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Default="007B63F5" w:rsidP="006A7E57">
      <w:pPr>
        <w:pStyle w:val="Heading2"/>
        <w:spacing w:before="180" w:after="120"/>
      </w:pPr>
      <w:bookmarkStart w:id="0" w:name="_Toc282094823"/>
      <w:bookmarkStart w:id="1" w:name="_Toc282095448"/>
      <w:bookmarkStart w:id="2" w:name="_Toc282606991"/>
      <w:bookmarkStart w:id="3" w:name="_Toc306784322"/>
      <w:bookmarkStart w:id="4" w:name="_Toc306786672"/>
      <w:bookmarkStart w:id="5" w:name="_Toc306793954"/>
      <w:bookmarkStart w:id="6" w:name="_Toc306795988"/>
      <w:bookmarkStart w:id="7" w:name="_Toc338329246"/>
      <w:bookmarkStart w:id="8" w:name="_Toc341966318"/>
      <w:bookmarkStart w:id="9" w:name="_Toc341966356"/>
      <w:bookmarkStart w:id="10" w:name="_Toc345658212"/>
      <w:bookmarkStart w:id="11" w:name="_Toc345658261"/>
      <w:bookmarkStart w:id="12" w:name="_Toc345658296"/>
      <w:bookmarkStart w:id="13" w:name="_Toc345658337"/>
      <w:bookmarkStart w:id="14" w:name="_Toc370458657"/>
      <w:bookmarkStart w:id="15" w:name="_Toc370459142"/>
      <w:bookmarkStart w:id="16" w:name="_Toc370459195"/>
      <w:bookmarkStart w:id="17" w:name="_Toc374960213"/>
      <w:bookmarkStart w:id="18" w:name="_Toc401837427"/>
      <w:bookmarkStart w:id="19" w:name="_Toc278275793"/>
      <w:bookmarkStart w:id="20" w:name="_Toc278275740"/>
      <w:r w:rsidRPr="00605501">
        <w:t>Data q</w:t>
      </w:r>
      <w:r w:rsidR="005E066E" w:rsidRPr="00605501">
        <w:t xml:space="preserve">uality </w:t>
      </w:r>
      <w:r w:rsidRPr="00605501">
        <w:t>i</w:t>
      </w:r>
      <w:r w:rsidR="005E066E" w:rsidRPr="00605501">
        <w:t xml:space="preserve">nformation — </w:t>
      </w:r>
      <w:r w:rsidR="009B5886" w:rsidRPr="00605501">
        <w:t>School education, chapter 4</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520FA7" w:rsidRDefault="00520FA7" w:rsidP="006A7E57">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0FA7" w:rsidTr="00520FA7">
        <w:tc>
          <w:tcPr>
            <w:tcW w:w="8771" w:type="dxa"/>
            <w:tcBorders>
              <w:top w:val="single" w:sz="6" w:space="0" w:color="78A22F"/>
              <w:left w:val="nil"/>
              <w:bottom w:val="nil"/>
              <w:right w:val="nil"/>
            </w:tcBorders>
            <w:shd w:val="clear" w:color="auto" w:fill="F2F2F2"/>
          </w:tcPr>
          <w:p w:rsidR="00520FA7" w:rsidRDefault="00520FA7" w:rsidP="00520FA7">
            <w:pPr>
              <w:pStyle w:val="BoxTitle"/>
            </w:pPr>
            <w:r w:rsidRPr="00106A5E">
              <w:t>Data quality information</w:t>
            </w:r>
          </w:p>
        </w:tc>
      </w:tr>
      <w:tr w:rsidR="00520FA7" w:rsidTr="00520FA7">
        <w:trPr>
          <w:cantSplit/>
        </w:trPr>
        <w:tc>
          <w:tcPr>
            <w:tcW w:w="8771" w:type="dxa"/>
            <w:tcBorders>
              <w:top w:val="nil"/>
              <w:left w:val="nil"/>
              <w:bottom w:val="nil"/>
              <w:right w:val="nil"/>
            </w:tcBorders>
            <w:shd w:val="clear" w:color="auto" w:fill="F2F2F2"/>
          </w:tcPr>
          <w:p w:rsidR="00520FA7" w:rsidRDefault="00520FA7" w:rsidP="006A7E57">
            <w:pPr>
              <w:pStyle w:val="Box"/>
              <w:spacing w:before="80"/>
            </w:pPr>
            <w:r>
              <w:t>Data quality information (</w:t>
            </w:r>
            <w:proofErr w:type="spellStart"/>
            <w:r>
              <w:t>DQI</w:t>
            </w:r>
            <w:proofErr w:type="spellEnd"/>
            <w:r>
              <w:t xml:space="preserve">) provides information against the seven Australian Bureau of Statistics (ABS) data quality framework dimensions, for performance indicators in the School education chapter. </w:t>
            </w:r>
          </w:p>
          <w:p w:rsidR="00520FA7" w:rsidRDefault="00520FA7" w:rsidP="006A7E57">
            <w:pPr>
              <w:pStyle w:val="Box"/>
              <w:spacing w:before="80"/>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520FA7" w:rsidTr="00520FA7">
        <w:trPr>
          <w:cantSplit/>
        </w:trPr>
        <w:tc>
          <w:tcPr>
            <w:tcW w:w="8771" w:type="dxa"/>
            <w:tcBorders>
              <w:top w:val="nil"/>
              <w:left w:val="nil"/>
              <w:bottom w:val="single" w:sz="6" w:space="0" w:color="78A22F"/>
              <w:right w:val="nil"/>
            </w:tcBorders>
            <w:shd w:val="clear" w:color="auto" w:fill="F2F2F2"/>
          </w:tcPr>
          <w:p w:rsidR="00520FA7" w:rsidRDefault="00520FA7">
            <w:pPr>
              <w:pStyle w:val="Box"/>
              <w:spacing w:before="0" w:line="120" w:lineRule="exact"/>
            </w:pPr>
          </w:p>
        </w:tc>
      </w:tr>
      <w:tr w:rsidR="00520FA7" w:rsidRPr="000863A5" w:rsidTr="00520FA7">
        <w:tc>
          <w:tcPr>
            <w:tcW w:w="8771" w:type="dxa"/>
            <w:tcBorders>
              <w:top w:val="single" w:sz="6" w:space="0" w:color="78A22F"/>
              <w:left w:val="nil"/>
              <w:bottom w:val="nil"/>
              <w:right w:val="nil"/>
            </w:tcBorders>
          </w:tcPr>
          <w:p w:rsidR="00520FA7" w:rsidRPr="00626D32" w:rsidRDefault="00520FA7" w:rsidP="00520FA7">
            <w:pPr>
              <w:pStyle w:val="BoxSpaceBelow"/>
            </w:pPr>
          </w:p>
        </w:tc>
      </w:tr>
    </w:tbl>
    <w:p w:rsidR="00117F04" w:rsidRPr="004D025A" w:rsidRDefault="00117F04" w:rsidP="004D025A">
      <w:pPr>
        <w:pStyle w:val="DQIContentsTitle"/>
      </w:pPr>
      <w:proofErr w:type="spellStart"/>
      <w:r w:rsidRPr="004D025A">
        <w:t>DQI</w:t>
      </w:r>
      <w:proofErr w:type="spellEnd"/>
      <w:r w:rsidRPr="004D025A">
        <w:t xml:space="preserve"> Contents</w:t>
      </w:r>
    </w:p>
    <w:sdt>
      <w:sdtPr>
        <w:rPr>
          <w:kern w:val="28"/>
          <w:sz w:val="52"/>
        </w:rPr>
        <w:id w:val="-667945931"/>
        <w:docPartObj>
          <w:docPartGallery w:val="Table of Contents"/>
          <w:docPartUnique/>
        </w:docPartObj>
      </w:sdtPr>
      <w:sdtEndPr>
        <w:rPr>
          <w:kern w:val="0"/>
          <w:sz w:val="26"/>
        </w:rPr>
      </w:sdtEndPr>
      <w:sdtContent>
        <w:p w:rsidR="00F075D5" w:rsidRDefault="00F075D5">
          <w:pPr>
            <w:pStyle w:val="TOC3"/>
            <w:rPr>
              <w:rFonts w:asciiTheme="minorHAnsi" w:eastAsiaTheme="minorEastAsia" w:hAnsiTheme="minorHAnsi" w:cstheme="minorBidi"/>
              <w:noProof/>
              <w:sz w:val="22"/>
              <w:szCs w:val="22"/>
              <w:lang w:eastAsia="en-AU"/>
            </w:rPr>
          </w:pPr>
          <w:r>
            <w:rPr>
              <w:noProof/>
            </w:rPr>
            <w:t>Attendance</w:t>
          </w:r>
          <w:r>
            <w:rPr>
              <w:noProof/>
            </w:rPr>
            <w:tab/>
            <w:t>2</w:t>
          </w:r>
        </w:p>
        <w:p w:rsidR="00F075D5" w:rsidRDefault="00F075D5">
          <w:pPr>
            <w:pStyle w:val="TOC3"/>
            <w:rPr>
              <w:rFonts w:asciiTheme="minorHAnsi" w:eastAsiaTheme="minorEastAsia" w:hAnsiTheme="minorHAnsi" w:cstheme="minorBidi"/>
              <w:noProof/>
              <w:sz w:val="22"/>
              <w:szCs w:val="22"/>
              <w:lang w:eastAsia="en-AU"/>
            </w:rPr>
          </w:pPr>
          <w:r>
            <w:rPr>
              <w:noProof/>
            </w:rPr>
            <w:t>Participation (6–15 year old children enrolled in school)</w:t>
          </w:r>
          <w:r>
            <w:rPr>
              <w:noProof/>
            </w:rPr>
            <w:tab/>
            <w:t>4</w:t>
          </w:r>
        </w:p>
        <w:p w:rsidR="00F075D5" w:rsidRDefault="00F075D5">
          <w:pPr>
            <w:pStyle w:val="TOC3"/>
            <w:rPr>
              <w:rFonts w:asciiTheme="minorHAnsi" w:eastAsiaTheme="minorEastAsia" w:hAnsiTheme="minorHAnsi" w:cstheme="minorBidi"/>
              <w:noProof/>
              <w:sz w:val="22"/>
              <w:szCs w:val="22"/>
              <w:lang w:eastAsia="en-AU"/>
            </w:rPr>
          </w:pPr>
          <w:r>
            <w:rPr>
              <w:noProof/>
            </w:rPr>
            <w:t>Participation (participation of 15–19 year old students)</w:t>
          </w:r>
          <w:r>
            <w:rPr>
              <w:noProof/>
            </w:rPr>
            <w:tab/>
            <w:t>7</w:t>
          </w:r>
        </w:p>
        <w:p w:rsidR="00F075D5" w:rsidRDefault="00F075D5">
          <w:pPr>
            <w:pStyle w:val="TOC3"/>
            <w:rPr>
              <w:rFonts w:asciiTheme="minorHAnsi" w:eastAsiaTheme="minorEastAsia" w:hAnsiTheme="minorHAnsi" w:cstheme="minorBidi"/>
              <w:noProof/>
              <w:sz w:val="22"/>
              <w:szCs w:val="22"/>
              <w:lang w:eastAsia="en-AU"/>
            </w:rPr>
          </w:pPr>
          <w:r>
            <w:rPr>
              <w:noProof/>
            </w:rPr>
            <w:t>Participation (the proportion of 15–19 year olds who have successfully completed at least one unit of competency as part of a VET qualification at AQF Certificate II or above)</w:t>
          </w:r>
          <w:r>
            <w:rPr>
              <w:noProof/>
            </w:rPr>
            <w:tab/>
            <w:t>9</w:t>
          </w:r>
        </w:p>
        <w:p w:rsidR="00F075D5" w:rsidRDefault="00F075D5">
          <w:pPr>
            <w:pStyle w:val="TOC3"/>
            <w:rPr>
              <w:rFonts w:asciiTheme="minorHAnsi" w:eastAsiaTheme="minorEastAsia" w:hAnsiTheme="minorHAnsi" w:cstheme="minorBidi"/>
              <w:noProof/>
              <w:sz w:val="22"/>
              <w:szCs w:val="22"/>
              <w:lang w:eastAsia="en-AU"/>
            </w:rPr>
          </w:pPr>
          <w:r>
            <w:rPr>
              <w:noProof/>
            </w:rPr>
            <w:t>Retention</w:t>
          </w:r>
          <w:r>
            <w:rPr>
              <w:noProof/>
            </w:rPr>
            <w:tab/>
            <w:t>14</w:t>
          </w:r>
        </w:p>
        <w:p w:rsidR="00F075D5" w:rsidRDefault="00F075D5">
          <w:pPr>
            <w:pStyle w:val="TOC3"/>
            <w:rPr>
              <w:rFonts w:asciiTheme="minorHAnsi" w:eastAsiaTheme="minorEastAsia" w:hAnsiTheme="minorHAnsi" w:cstheme="minorBidi"/>
              <w:noProof/>
              <w:sz w:val="22"/>
              <w:szCs w:val="22"/>
              <w:lang w:eastAsia="en-AU"/>
            </w:rPr>
          </w:pPr>
          <w:r>
            <w:rPr>
              <w:noProof/>
            </w:rPr>
            <w:t>Recurrent expenditure per student</w:t>
          </w:r>
          <w:r>
            <w:rPr>
              <w:noProof/>
            </w:rPr>
            <w:tab/>
            <w:t>17</w:t>
          </w:r>
        </w:p>
        <w:p w:rsidR="00F075D5" w:rsidRDefault="00F075D5">
          <w:pPr>
            <w:pStyle w:val="TOC3"/>
            <w:rPr>
              <w:rFonts w:asciiTheme="minorHAnsi" w:eastAsiaTheme="minorEastAsia" w:hAnsiTheme="minorHAnsi" w:cstheme="minorBidi"/>
              <w:noProof/>
              <w:sz w:val="22"/>
              <w:szCs w:val="22"/>
              <w:lang w:eastAsia="en-AU"/>
            </w:rPr>
          </w:pPr>
          <w:r>
            <w:rPr>
              <w:noProof/>
            </w:rPr>
            <w:t>Recurrent expenditure per student – staff expenditure per student</w:t>
          </w:r>
          <w:r>
            <w:rPr>
              <w:noProof/>
            </w:rPr>
            <w:tab/>
            <w:t>22</w:t>
          </w:r>
        </w:p>
        <w:p w:rsidR="00F075D5" w:rsidRDefault="00F075D5">
          <w:pPr>
            <w:pStyle w:val="TOC3"/>
            <w:rPr>
              <w:rFonts w:asciiTheme="minorHAnsi" w:eastAsiaTheme="minorEastAsia" w:hAnsiTheme="minorHAnsi" w:cstheme="minorBidi"/>
              <w:noProof/>
              <w:sz w:val="22"/>
              <w:szCs w:val="22"/>
              <w:lang w:eastAsia="en-AU"/>
            </w:rPr>
          </w:pPr>
          <w:r>
            <w:rPr>
              <w:noProof/>
            </w:rPr>
            <w:t>User cost of capital per student</w:t>
          </w:r>
          <w:r>
            <w:rPr>
              <w:noProof/>
            </w:rPr>
            <w:tab/>
            <w:t>25</w:t>
          </w:r>
        </w:p>
        <w:p w:rsidR="00F075D5" w:rsidRDefault="00F075D5">
          <w:pPr>
            <w:pStyle w:val="TOC3"/>
            <w:rPr>
              <w:rFonts w:asciiTheme="minorHAnsi" w:eastAsiaTheme="minorEastAsia" w:hAnsiTheme="minorHAnsi" w:cstheme="minorBidi"/>
              <w:noProof/>
              <w:sz w:val="22"/>
              <w:szCs w:val="22"/>
              <w:lang w:eastAsia="en-AU"/>
            </w:rPr>
          </w:pPr>
          <w:r>
            <w:rPr>
              <w:noProof/>
            </w:rPr>
            <w:t>Student-to-staff ratio</w:t>
          </w:r>
          <w:r>
            <w:rPr>
              <w:noProof/>
            </w:rPr>
            <w:tab/>
            <w:t>28</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Reading performance, writing performance, numeracy performance (NAPLAN)</w:t>
          </w:r>
          <w:r>
            <w:rPr>
              <w:noProof/>
            </w:rPr>
            <w:tab/>
            <w:t>30</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Science literacy performance - NAP</w:t>
          </w:r>
          <w:r>
            <w:rPr>
              <w:noProof/>
            </w:rPr>
            <w:tab/>
            <w:t>32</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Civics and citizenship performance – NAP</w:t>
          </w:r>
          <w:r>
            <w:rPr>
              <w:noProof/>
            </w:rPr>
            <w:tab/>
            <w:t>35</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ICT literacy performance – NAP</w:t>
          </w:r>
          <w:r>
            <w:rPr>
              <w:noProof/>
            </w:rPr>
            <w:tab/>
            <w:t>37</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The proportion of students in the achieving at or above the proficient standard, and in bottom and top levels of performance in international testing (PISA 2012, TIMSS 2011 and PIRLS 2011).</w:t>
          </w:r>
          <w:r>
            <w:rPr>
              <w:noProof/>
            </w:rPr>
            <w:tab/>
            <w:t>39</w:t>
          </w:r>
        </w:p>
        <w:p w:rsidR="00F075D5" w:rsidRDefault="00F075D5">
          <w:pPr>
            <w:pStyle w:val="TOC3"/>
            <w:rPr>
              <w:rFonts w:asciiTheme="minorHAnsi" w:eastAsiaTheme="minorEastAsia" w:hAnsiTheme="minorHAnsi" w:cstheme="minorBidi"/>
              <w:noProof/>
              <w:sz w:val="22"/>
              <w:szCs w:val="22"/>
              <w:lang w:eastAsia="en-AU"/>
            </w:rPr>
          </w:pPr>
          <w:r>
            <w:rPr>
              <w:noProof/>
            </w:rPr>
            <w:t>Learning outcomes – The proportions of sampled students achieving at various proficiency levels, and mean scale scores on the ICILS.</w:t>
          </w:r>
          <w:r>
            <w:rPr>
              <w:noProof/>
            </w:rPr>
            <w:tab/>
            <w:t>42</w:t>
          </w:r>
        </w:p>
        <w:p w:rsidR="00F075D5" w:rsidRDefault="00F075D5">
          <w:pPr>
            <w:pStyle w:val="TOC3"/>
            <w:rPr>
              <w:rFonts w:asciiTheme="minorHAnsi" w:eastAsiaTheme="minorEastAsia" w:hAnsiTheme="minorHAnsi" w:cstheme="minorBidi"/>
              <w:noProof/>
              <w:sz w:val="22"/>
              <w:szCs w:val="22"/>
              <w:lang w:eastAsia="en-AU"/>
            </w:rPr>
          </w:pPr>
          <w:r>
            <w:rPr>
              <w:noProof/>
            </w:rPr>
            <w:t>Completion (year 12)</w:t>
          </w:r>
          <w:r>
            <w:rPr>
              <w:noProof/>
            </w:rPr>
            <w:tab/>
            <w:t>44</w:t>
          </w:r>
        </w:p>
        <w:p w:rsidR="00F075D5" w:rsidRDefault="00F075D5">
          <w:pPr>
            <w:pStyle w:val="TOC3"/>
            <w:rPr>
              <w:rFonts w:asciiTheme="minorHAnsi" w:eastAsiaTheme="minorEastAsia" w:hAnsiTheme="minorHAnsi" w:cstheme="minorBidi"/>
              <w:noProof/>
              <w:sz w:val="22"/>
              <w:szCs w:val="22"/>
              <w:lang w:eastAsia="en-AU"/>
            </w:rPr>
          </w:pPr>
          <w:r>
            <w:rPr>
              <w:noProof/>
            </w:rPr>
            <w:t>Destination</w:t>
          </w:r>
          <w:r>
            <w:rPr>
              <w:noProof/>
            </w:rPr>
            <w:tab/>
            <w:t>48</w:t>
          </w:r>
        </w:p>
        <w:p w:rsidR="00E278D8" w:rsidRDefault="00111D1B" w:rsidP="006A7E57">
          <w:pPr>
            <w:pStyle w:val="TOC2"/>
            <w:spacing w:before="0" w:line="20" w:lineRule="exact"/>
          </w:pPr>
        </w:p>
      </w:sdtContent>
    </w:sdt>
    <w:p w:rsidR="003F53DA" w:rsidRDefault="003F53DA" w:rsidP="003F53DA">
      <w:pPr>
        <w:pStyle w:val="Heading3"/>
      </w:pPr>
      <w:bookmarkStart w:id="21" w:name="_Toc401837428"/>
      <w:bookmarkStart w:id="22" w:name="_Toc439840518"/>
      <w:bookmarkStart w:id="23" w:name="_Toc282094182"/>
      <w:bookmarkStart w:id="24" w:name="_Toc401837429"/>
      <w:bookmarkEnd w:id="19"/>
      <w:bookmarkEnd w:id="20"/>
      <w:r w:rsidRPr="00D37799">
        <w:lastRenderedPageBreak/>
        <w:t>Attendance</w:t>
      </w:r>
      <w:bookmarkEnd w:id="21"/>
      <w:bookmarkEnd w:id="22"/>
    </w:p>
    <w:p w:rsidR="003F53DA" w:rsidRPr="00D37799" w:rsidRDefault="003F53DA" w:rsidP="003F53DA">
      <w:pPr>
        <w:pStyle w:val="Box"/>
      </w:pPr>
      <w:r w:rsidRPr="00D37799">
        <w:t xml:space="preserve">Data quality information for this indicator has been drafted by the Secretariat in consultation with </w:t>
      </w:r>
      <w:r>
        <w:t>ACARA</w:t>
      </w:r>
      <w:r w:rsidRPr="00D37799">
        <w:t>, with additional Steering Committee comments.</w:t>
      </w:r>
    </w:p>
    <w:tbl>
      <w:tblPr>
        <w:tblW w:w="8732" w:type="dxa"/>
        <w:jc w:val="center"/>
        <w:tblLook w:val="01E0" w:firstRow="1" w:lastRow="1" w:firstColumn="1" w:lastColumn="1" w:noHBand="0" w:noVBand="0"/>
      </w:tblPr>
      <w:tblGrid>
        <w:gridCol w:w="1725"/>
        <w:gridCol w:w="5908"/>
        <w:gridCol w:w="136"/>
        <w:gridCol w:w="141"/>
        <w:gridCol w:w="822"/>
      </w:tblGrid>
      <w:tr w:rsidR="003F53DA" w:rsidRPr="00D37799" w:rsidTr="00E86F27">
        <w:trPr>
          <w:jc w:val="center"/>
        </w:trPr>
        <w:tc>
          <w:tcPr>
            <w:tcW w:w="7769" w:type="dxa"/>
            <w:gridSpan w:val="3"/>
          </w:tcPr>
          <w:p w:rsidR="003F53DA" w:rsidRPr="00D37799" w:rsidRDefault="003F53DA" w:rsidP="00E86F27">
            <w:pPr>
              <w:pStyle w:val="DQIMainRowHeadings"/>
              <w:rPr>
                <w:rFonts w:cs="Arial"/>
                <w:sz w:val="22"/>
                <w:szCs w:val="22"/>
              </w:rPr>
            </w:pPr>
            <w:r w:rsidRPr="00D37799">
              <w:rPr>
                <w:sz w:val="20"/>
              </w:rPr>
              <w:br w:type="page"/>
              <w:t xml:space="preserve">Indicator definition and description </w:t>
            </w:r>
          </w:p>
        </w:tc>
        <w:tc>
          <w:tcPr>
            <w:tcW w:w="963" w:type="dxa"/>
            <w:gridSpan w:val="2"/>
          </w:tcPr>
          <w:p w:rsidR="003F53DA" w:rsidRPr="00D37799" w:rsidRDefault="003F53DA" w:rsidP="00E86F27">
            <w:pPr>
              <w:pStyle w:val="DQIMainRowHeadings"/>
              <w:rPr>
                <w:rFonts w:cs="Arial"/>
                <w:sz w:val="22"/>
                <w:szCs w:val="22"/>
              </w:rPr>
            </w:pPr>
          </w:p>
        </w:tc>
      </w:tr>
      <w:tr w:rsidR="003F53DA" w:rsidRPr="00D37799" w:rsidTr="00E86F27">
        <w:trPr>
          <w:jc w:val="center"/>
        </w:trPr>
        <w:tc>
          <w:tcPr>
            <w:tcW w:w="1725" w:type="dxa"/>
          </w:tcPr>
          <w:p w:rsidR="003F53DA" w:rsidRPr="00520FA7" w:rsidRDefault="003F53DA" w:rsidP="00E86F27">
            <w:pPr>
              <w:pStyle w:val="DQIRowHeadings"/>
            </w:pPr>
            <w:r w:rsidRPr="00520FA7">
              <w:t>Element</w:t>
            </w:r>
          </w:p>
        </w:tc>
        <w:tc>
          <w:tcPr>
            <w:tcW w:w="7007" w:type="dxa"/>
            <w:gridSpan w:val="4"/>
          </w:tcPr>
          <w:p w:rsidR="003F53DA" w:rsidRPr="00D37799" w:rsidRDefault="003F53DA" w:rsidP="00E86F27">
            <w:pPr>
              <w:pStyle w:val="DQITableText"/>
              <w:rPr>
                <w:sz w:val="20"/>
              </w:rPr>
            </w:pPr>
            <w:r w:rsidRPr="00D37799">
              <w:rPr>
                <w:sz w:val="20"/>
              </w:rPr>
              <w:t xml:space="preserve">Equity </w:t>
            </w:r>
            <w:r w:rsidRPr="00D37799">
              <w:rPr>
                <w:rFonts w:cs="Arial"/>
                <w:sz w:val="20"/>
              </w:rPr>
              <w:t>―</w:t>
            </w:r>
            <w:r w:rsidRPr="00D37799">
              <w:rPr>
                <w:sz w:val="20"/>
              </w:rPr>
              <w:t xml:space="preserve"> Access</w:t>
            </w:r>
          </w:p>
        </w:tc>
      </w:tr>
      <w:tr w:rsidR="003F53DA" w:rsidRPr="00D37799" w:rsidTr="00E86F27">
        <w:trPr>
          <w:jc w:val="center"/>
        </w:trPr>
        <w:tc>
          <w:tcPr>
            <w:tcW w:w="1725" w:type="dxa"/>
          </w:tcPr>
          <w:p w:rsidR="003F53DA" w:rsidRPr="00520FA7" w:rsidRDefault="003F53DA" w:rsidP="00E86F27">
            <w:pPr>
              <w:pStyle w:val="DQIRowHeadings"/>
            </w:pPr>
            <w:r w:rsidRPr="00520FA7">
              <w:t>Indicator</w:t>
            </w:r>
          </w:p>
        </w:tc>
        <w:tc>
          <w:tcPr>
            <w:tcW w:w="7007" w:type="dxa"/>
            <w:gridSpan w:val="4"/>
          </w:tcPr>
          <w:p w:rsidR="003F53DA" w:rsidRPr="00D37799" w:rsidRDefault="003F53DA" w:rsidP="00E86F27">
            <w:pPr>
              <w:pStyle w:val="DQITableText"/>
            </w:pPr>
            <w:r w:rsidRPr="00D37799">
              <w:t>Attendance</w:t>
            </w:r>
            <w:r>
              <w:t xml:space="preserve"> and Participation </w:t>
            </w:r>
          </w:p>
        </w:tc>
      </w:tr>
      <w:tr w:rsidR="003F53DA" w:rsidRPr="00D37799" w:rsidTr="00E86F27">
        <w:trPr>
          <w:jc w:val="center"/>
        </w:trPr>
        <w:tc>
          <w:tcPr>
            <w:tcW w:w="1725" w:type="dxa"/>
          </w:tcPr>
          <w:p w:rsidR="003F53DA" w:rsidRPr="00520FA7" w:rsidRDefault="003F53DA" w:rsidP="00E86F27">
            <w:pPr>
              <w:pStyle w:val="DQIRowHeadings"/>
            </w:pPr>
            <w:r w:rsidRPr="00520FA7">
              <w:t>Measure (computation)</w:t>
            </w:r>
          </w:p>
        </w:tc>
        <w:tc>
          <w:tcPr>
            <w:tcW w:w="7007" w:type="dxa"/>
            <w:gridSpan w:val="4"/>
          </w:tcPr>
          <w:p w:rsidR="003F53DA" w:rsidRDefault="003F53DA" w:rsidP="00E86F27">
            <w:pPr>
              <w:pStyle w:val="DQITableText"/>
              <w:rPr>
                <w:u w:val="single"/>
              </w:rPr>
            </w:pPr>
            <w:r>
              <w:rPr>
                <w:u w:val="single"/>
              </w:rPr>
              <w:t>Measure 1 (attendance rate) d</w:t>
            </w:r>
            <w:r w:rsidRPr="00581FB1">
              <w:rPr>
                <w:u w:val="single"/>
              </w:rPr>
              <w:t>efinition</w:t>
            </w:r>
          </w:p>
          <w:p w:rsidR="003F53DA" w:rsidRDefault="003F53DA" w:rsidP="00E86F27">
            <w:pPr>
              <w:pStyle w:val="DQITableText"/>
              <w:rPr>
                <w:u w:val="single"/>
              </w:rPr>
            </w:pPr>
            <w:r>
              <w:t>T</w:t>
            </w:r>
            <w:r w:rsidRPr="001C18AD">
              <w:t>he number of actual full time equivalent student days attended by full time students in Years 1 to 10 as a percentage of the total number of possible student days attended over the period</w:t>
            </w:r>
            <w:r w:rsidRPr="001C18AD">
              <w:rPr>
                <w:u w:val="single"/>
              </w:rPr>
              <w:t xml:space="preserve"> </w:t>
            </w:r>
          </w:p>
          <w:p w:rsidR="003F53DA" w:rsidRDefault="003F53DA" w:rsidP="00E86F27">
            <w:pPr>
              <w:pStyle w:val="DQITableText"/>
            </w:pPr>
            <w:r w:rsidRPr="00581FB1">
              <w:rPr>
                <w:u w:val="single"/>
              </w:rPr>
              <w:t>Numerator</w:t>
            </w:r>
            <w:r w:rsidRPr="00581FB1">
              <w:br/>
            </w:r>
            <w:r>
              <w:t>T</w:t>
            </w:r>
            <w:r w:rsidRPr="001C18AD">
              <w:t>he number of actual full time equivalent student days attended by full time students in Years 1 to 10</w:t>
            </w:r>
          </w:p>
          <w:p w:rsidR="003F53DA" w:rsidRPr="0053439F" w:rsidRDefault="003F53DA" w:rsidP="00E86F27">
            <w:pPr>
              <w:pStyle w:val="DQITableText"/>
              <w:rPr>
                <w:u w:val="single"/>
              </w:rPr>
            </w:pPr>
            <w:r w:rsidRPr="00581FB1">
              <w:rPr>
                <w:u w:val="single"/>
              </w:rPr>
              <w:t>Denominator</w:t>
            </w:r>
            <w:r w:rsidRPr="00581FB1">
              <w:rPr>
                <w:u w:val="single"/>
              </w:rPr>
              <w:br/>
            </w:r>
            <w:r w:rsidRPr="0053439F">
              <w:t>sum of possible school days (the days each student is expected to attend) for all students in the collection period, for children in years 1–10 (children enrolled full time only</w:t>
            </w:r>
          </w:p>
          <w:p w:rsidR="003F53DA" w:rsidRDefault="003F53DA" w:rsidP="00E86F27">
            <w:pPr>
              <w:pStyle w:val="DQITableText"/>
              <w:shd w:val="clear" w:color="auto" w:fill="FFFFFF" w:themeFill="background1"/>
            </w:pPr>
            <w:r w:rsidRPr="00581FB1">
              <w:rPr>
                <w:u w:val="single"/>
              </w:rPr>
              <w:t>Computation/s</w:t>
            </w:r>
            <w:r w:rsidRPr="00581FB1">
              <w:t>:</w:t>
            </w:r>
            <w:r w:rsidRPr="00581FB1">
              <w:br/>
            </w:r>
            <w:r>
              <w:t>T</w:t>
            </w:r>
            <w:r w:rsidRPr="001C18AD">
              <w:t>he number of actual full time equivalent student days attended by full time students in Years 1 to 10 as a percentage of the total number of possible student days attended over the period. These</w:t>
            </w:r>
            <w:r w:rsidRPr="00581FB1">
              <w:t xml:space="preserve"> data are disaggregated by </w:t>
            </w:r>
            <w:r>
              <w:t>Indigenous status for all year levels and by remoteness for combined year levels 1-6, 7-10 and 1-10.</w:t>
            </w:r>
          </w:p>
          <w:p w:rsidR="003F53DA" w:rsidRDefault="003F53DA" w:rsidP="00E86F27">
            <w:pPr>
              <w:pStyle w:val="DQITableText"/>
              <w:shd w:val="clear" w:color="auto" w:fill="FFFFFF" w:themeFill="background1"/>
              <w:rPr>
                <w:u w:val="single"/>
              </w:rPr>
            </w:pPr>
            <w:r>
              <w:rPr>
                <w:u w:val="single"/>
              </w:rPr>
              <w:t>Measure 2 (attendance level) d</w:t>
            </w:r>
            <w:r w:rsidRPr="00581FB1">
              <w:rPr>
                <w:u w:val="single"/>
              </w:rPr>
              <w:t>efinition</w:t>
            </w:r>
            <w:r>
              <w:rPr>
                <w:u w:val="single"/>
              </w:rPr>
              <w:t xml:space="preserve"> : Government schools</w:t>
            </w:r>
          </w:p>
          <w:p w:rsidR="003F53DA" w:rsidRDefault="003F53DA" w:rsidP="00E86F27">
            <w:pPr>
              <w:pStyle w:val="DQITableText"/>
              <w:shd w:val="clear" w:color="auto" w:fill="FFFFFF" w:themeFill="background1"/>
            </w:pPr>
            <w:r>
              <w:t>T</w:t>
            </w:r>
            <w:r w:rsidRPr="001C18AD">
              <w:t xml:space="preserve">he proportion of full-time students in Years 1-10 whose attendance rate is greater than or equal to 90 per cent over the period </w:t>
            </w:r>
          </w:p>
          <w:p w:rsidR="003F53DA" w:rsidRDefault="003F53DA" w:rsidP="00E86F27">
            <w:pPr>
              <w:pStyle w:val="DQITableText"/>
              <w:shd w:val="clear" w:color="auto" w:fill="FFFFFF" w:themeFill="background1"/>
              <w:rPr>
                <w:b/>
                <w:bCs/>
              </w:rPr>
            </w:pPr>
            <w:r w:rsidRPr="00581FB1">
              <w:rPr>
                <w:u w:val="single"/>
              </w:rPr>
              <w:t>Numerator</w:t>
            </w:r>
            <w:r w:rsidRPr="00581FB1">
              <w:br/>
            </w:r>
            <w:r w:rsidRPr="00213DA4">
              <w:t>sum of possible school days</w:t>
            </w:r>
            <w:r>
              <w:t>,</w:t>
            </w:r>
            <w:r w:rsidRPr="00213DA4">
              <w:t xml:space="preserve"> for students attending more than or equal to 90 per cent of possible days in the collection period, for children in years 1–10 (children enrolled full time only)</w:t>
            </w:r>
            <w:r w:rsidRPr="00213DA4">
              <w:rPr>
                <w:b/>
                <w:bCs/>
              </w:rPr>
              <w:t xml:space="preserve"> </w:t>
            </w:r>
          </w:p>
          <w:p w:rsidR="003F53DA" w:rsidRPr="001C18AD" w:rsidRDefault="003F53DA" w:rsidP="00E86F27">
            <w:pPr>
              <w:pStyle w:val="DQITableText"/>
              <w:shd w:val="clear" w:color="auto" w:fill="FFFFFF" w:themeFill="background1"/>
              <w:rPr>
                <w:u w:val="single"/>
              </w:rPr>
            </w:pPr>
            <w:r w:rsidRPr="00581FB1">
              <w:rPr>
                <w:u w:val="single"/>
              </w:rPr>
              <w:t>Denominator</w:t>
            </w:r>
            <w:r w:rsidRPr="00581FB1">
              <w:rPr>
                <w:u w:val="single"/>
              </w:rPr>
              <w:br/>
            </w:r>
            <w:r w:rsidRPr="00213DA4">
              <w:t>sum of possible school days (the days each student is expected to attend) for all students in the collection period, for children in years 1–10 (children enrolled full time only</w:t>
            </w:r>
          </w:p>
          <w:p w:rsidR="003F53DA" w:rsidRDefault="003F53DA" w:rsidP="00E86F27">
            <w:pPr>
              <w:pStyle w:val="DQITableText"/>
              <w:shd w:val="clear" w:color="auto" w:fill="FFFFFF" w:themeFill="background1"/>
            </w:pPr>
            <w:r w:rsidRPr="00581FB1">
              <w:rPr>
                <w:u w:val="single"/>
              </w:rPr>
              <w:t>Computation/s</w:t>
            </w:r>
            <w:r w:rsidRPr="00581FB1">
              <w:t>:</w:t>
            </w:r>
            <w:r w:rsidRPr="00581FB1">
              <w:br/>
            </w:r>
            <w:r>
              <w:t xml:space="preserve">Numerator divided by denominator, expressed as a percentage. </w:t>
            </w:r>
            <w:r w:rsidRPr="001C18AD">
              <w:t>These</w:t>
            </w:r>
            <w:r w:rsidRPr="00581FB1">
              <w:t xml:space="preserve"> data are disaggregated by </w:t>
            </w:r>
            <w:r>
              <w:t>Indigenous status for all year levels and by remoteness for combined year levels 1-6, 7-10 and 1-10.</w:t>
            </w:r>
          </w:p>
          <w:p w:rsidR="003F53DA" w:rsidRPr="00213DA4" w:rsidRDefault="003F53DA" w:rsidP="00E86F27">
            <w:pPr>
              <w:pStyle w:val="DQITableText"/>
              <w:shd w:val="clear" w:color="auto" w:fill="FFFFFF" w:themeFill="background1"/>
            </w:pPr>
            <w:r>
              <w:rPr>
                <w:u w:val="single"/>
              </w:rPr>
              <w:t>Measure 2 (attendance level) for Non-government schools</w:t>
            </w:r>
            <w:r w:rsidRPr="00213DA4">
              <w:t xml:space="preserve"> </w:t>
            </w:r>
            <w:r>
              <w:br/>
            </w:r>
            <w:r w:rsidRPr="00213DA4">
              <w:t>Non-government schools student level data are based on a different measure of headcounts of students attending more than 90 per cent of the time, and are not directly comparable with data for government schools.</w:t>
            </w:r>
          </w:p>
          <w:p w:rsidR="003F53DA" w:rsidRPr="00D37799" w:rsidRDefault="003F53DA" w:rsidP="00E86F27">
            <w:pPr>
              <w:pStyle w:val="DQITableText"/>
            </w:pPr>
          </w:p>
        </w:tc>
      </w:tr>
      <w:tr w:rsidR="003F53DA" w:rsidRPr="00D37799" w:rsidTr="00E86F27">
        <w:trPr>
          <w:jc w:val="center"/>
        </w:trPr>
        <w:tc>
          <w:tcPr>
            <w:tcW w:w="1725" w:type="dxa"/>
          </w:tcPr>
          <w:p w:rsidR="003F53DA" w:rsidRPr="00520FA7" w:rsidRDefault="003F53DA" w:rsidP="00E86F27">
            <w:pPr>
              <w:pStyle w:val="DQIRowHeadings"/>
            </w:pPr>
            <w:r w:rsidRPr="00520FA7">
              <w:t>Data source/s</w:t>
            </w:r>
          </w:p>
        </w:tc>
        <w:tc>
          <w:tcPr>
            <w:tcW w:w="7007" w:type="dxa"/>
            <w:gridSpan w:val="4"/>
          </w:tcPr>
          <w:p w:rsidR="003F53DA" w:rsidRPr="00D37799" w:rsidRDefault="003F53DA" w:rsidP="00F100B8">
            <w:pPr>
              <w:pStyle w:val="DQITableText"/>
              <w:rPr>
                <w:highlight w:val="yellow"/>
              </w:rPr>
            </w:pPr>
            <w:proofErr w:type="spellStart"/>
            <w:r w:rsidRPr="00581FB1">
              <w:t>ACARA</w:t>
            </w:r>
            <w:proofErr w:type="spellEnd"/>
            <w:r w:rsidRPr="00581FB1">
              <w:t xml:space="preserve"> </w:t>
            </w:r>
            <w:r>
              <w:t>A</w:t>
            </w:r>
            <w:r w:rsidRPr="00581FB1">
              <w:t xml:space="preserve">nnual </w:t>
            </w:r>
            <w:proofErr w:type="spellStart"/>
            <w:r w:rsidRPr="00581FB1">
              <w:t>S</w:t>
            </w:r>
            <w:r w:rsidR="00F100B8">
              <w:t>tudent</w:t>
            </w:r>
            <w:r w:rsidRPr="00581FB1">
              <w:t>Attendance</w:t>
            </w:r>
            <w:proofErr w:type="spellEnd"/>
            <w:r w:rsidRPr="00581FB1">
              <w:t xml:space="preserve"> collection </w:t>
            </w:r>
            <w:r>
              <w:t xml:space="preserve">2014 and </w:t>
            </w:r>
            <w:r w:rsidRPr="00581FB1">
              <w:t>2015</w:t>
            </w:r>
          </w:p>
        </w:tc>
      </w:tr>
      <w:tr w:rsidR="003F53DA" w:rsidRPr="00D37799" w:rsidTr="00E86F27">
        <w:trPr>
          <w:jc w:val="center"/>
        </w:trPr>
        <w:tc>
          <w:tcPr>
            <w:tcW w:w="7633" w:type="dxa"/>
            <w:gridSpan w:val="2"/>
          </w:tcPr>
          <w:p w:rsidR="003F53DA" w:rsidRPr="00D37799" w:rsidRDefault="003F53DA" w:rsidP="00E86F27">
            <w:pPr>
              <w:pStyle w:val="DQIMainRowHeadings"/>
            </w:pPr>
            <w:r w:rsidRPr="00D37799">
              <w:t>Data Quality Framework Dimensions</w:t>
            </w:r>
          </w:p>
        </w:tc>
        <w:tc>
          <w:tcPr>
            <w:tcW w:w="1099" w:type="dxa"/>
            <w:gridSpan w:val="3"/>
          </w:tcPr>
          <w:p w:rsidR="003F53DA" w:rsidRPr="00D37799" w:rsidRDefault="003F53DA" w:rsidP="00E86F27">
            <w:pPr>
              <w:keepNext/>
              <w:keepLines/>
              <w:spacing w:after="40" w:line="220" w:lineRule="atLeast"/>
              <w:ind w:left="6" w:right="113"/>
              <w:rPr>
                <w:rFonts w:ascii="Arial" w:hAnsi="Arial"/>
                <w:sz w:val="20"/>
                <w:szCs w:val="20"/>
              </w:rPr>
            </w:pPr>
          </w:p>
        </w:tc>
      </w:tr>
      <w:tr w:rsidR="003F53DA" w:rsidRPr="00581FB1" w:rsidTr="00E86F27">
        <w:trPr>
          <w:jc w:val="center"/>
        </w:trPr>
        <w:tc>
          <w:tcPr>
            <w:tcW w:w="1725" w:type="dxa"/>
          </w:tcPr>
          <w:p w:rsidR="003F53DA" w:rsidRPr="00D37799" w:rsidRDefault="003F53DA" w:rsidP="00E86F27">
            <w:pPr>
              <w:pStyle w:val="DQIRowHeadings"/>
            </w:pPr>
            <w:r w:rsidRPr="00D37799">
              <w:t>Institutional environment</w:t>
            </w:r>
          </w:p>
        </w:tc>
        <w:tc>
          <w:tcPr>
            <w:tcW w:w="7007" w:type="dxa"/>
            <w:gridSpan w:val="4"/>
          </w:tcPr>
          <w:p w:rsidR="003F53DA" w:rsidRPr="00D37799" w:rsidRDefault="003F53DA" w:rsidP="00E86F27">
            <w:pPr>
              <w:pStyle w:val="DQITableText"/>
            </w:pPr>
            <w:r w:rsidRPr="00581FB1">
              <w:t xml:space="preserve">Data Collector(s): State and Territory Education departments and the Australian Government Department of Education </w:t>
            </w:r>
            <w:r>
              <w:t>and Training c</w:t>
            </w:r>
            <w:r w:rsidRPr="00581FB1">
              <w:t>ollect data from individual schools.</w:t>
            </w:r>
            <w:r>
              <w:br/>
            </w:r>
            <w:r w:rsidRPr="00581FB1">
              <w:t>Collection authority: ACARA Act 2008</w:t>
            </w:r>
          </w:p>
        </w:tc>
      </w:tr>
      <w:tr w:rsidR="003F53DA" w:rsidRPr="00D37799" w:rsidTr="00E86F27">
        <w:trPr>
          <w:jc w:val="center"/>
        </w:trPr>
        <w:tc>
          <w:tcPr>
            <w:tcW w:w="1725" w:type="dxa"/>
          </w:tcPr>
          <w:p w:rsidR="003F53DA" w:rsidRPr="00D37799" w:rsidRDefault="003F53DA" w:rsidP="00E86F27">
            <w:pPr>
              <w:pStyle w:val="DQIRowHeadings"/>
            </w:pPr>
            <w:r w:rsidRPr="00D37799">
              <w:t>Relevance</w:t>
            </w:r>
          </w:p>
          <w:p w:rsidR="003F53DA" w:rsidRPr="00D37799" w:rsidRDefault="003F53DA" w:rsidP="00E86F27">
            <w:pPr>
              <w:pStyle w:val="DQIRowHeadings"/>
            </w:pPr>
          </w:p>
        </w:tc>
        <w:tc>
          <w:tcPr>
            <w:tcW w:w="7007" w:type="dxa"/>
            <w:gridSpan w:val="4"/>
            <w:shd w:val="clear" w:color="auto" w:fill="FFFFFF" w:themeFill="background1"/>
          </w:tcPr>
          <w:p w:rsidR="003F53DA" w:rsidRDefault="003F53DA" w:rsidP="00E86F27">
            <w:pPr>
              <w:pStyle w:val="DQITableText"/>
            </w:pPr>
            <w:r w:rsidRPr="00581FB1">
              <w:t>Data collection is directly relevant.</w:t>
            </w:r>
          </w:p>
          <w:p w:rsidR="003F53DA" w:rsidRPr="008E7459" w:rsidRDefault="003F53DA" w:rsidP="00E86F27">
            <w:pPr>
              <w:pStyle w:val="DQITableText"/>
            </w:pPr>
            <w:r w:rsidRPr="008E7459">
              <w:t>Data represent student attendance rates</w:t>
            </w:r>
            <w:r>
              <w:t xml:space="preserve"> and levels</w:t>
            </w:r>
            <w:r w:rsidRPr="008E7459">
              <w:t xml:space="preserve">(per cent) for all schools in all sectors in Australia by Year level for Years 1 </w:t>
            </w:r>
            <w:r w:rsidRPr="008E7459">
              <w:noBreakHyphen/>
              <w:t xml:space="preserve">10 and ungraded students, State and </w:t>
            </w:r>
            <w:r w:rsidRPr="008E7459">
              <w:lastRenderedPageBreak/>
              <w:t>Territory, Sex, and Indigenous status</w:t>
            </w:r>
            <w:r>
              <w:t xml:space="preserve"> and by </w:t>
            </w:r>
            <w:proofErr w:type="spellStart"/>
            <w:r>
              <w:t>geolocation</w:t>
            </w:r>
            <w:proofErr w:type="spellEnd"/>
            <w:r>
              <w:t xml:space="preserve"> for years 1-6, 7-10 and 1-10</w:t>
            </w:r>
            <w:r w:rsidRPr="008E7459">
              <w:t xml:space="preserve">. </w:t>
            </w:r>
          </w:p>
          <w:p w:rsidR="003F53DA" w:rsidRDefault="003F53DA" w:rsidP="00E86F27">
            <w:pPr>
              <w:pStyle w:val="DQITableText"/>
            </w:pPr>
            <w:r w:rsidRPr="008E7459">
              <w:t>The collection period for the government sector was Semester 1 in 201</w:t>
            </w:r>
            <w:r>
              <w:t>4 and 2015</w:t>
            </w:r>
            <w:r w:rsidRPr="008E7459">
              <w:t xml:space="preserve"> for each state / territory</w:t>
            </w:r>
            <w:r>
              <w:t>.</w:t>
            </w:r>
            <w:r w:rsidRPr="008E7459">
              <w:t xml:space="preserve"> </w:t>
            </w:r>
            <w:r>
              <w:t>Attendance level data are available for 2015 only</w:t>
            </w:r>
          </w:p>
          <w:p w:rsidR="003F53DA" w:rsidRPr="00581FB1" w:rsidRDefault="003F53DA" w:rsidP="00E86F27">
            <w:pPr>
              <w:pStyle w:val="DQITableText"/>
            </w:pPr>
            <w:r w:rsidRPr="008E7459">
              <w:t xml:space="preserve">Note that actual dates of Semester 1 may vary between state / territory. </w:t>
            </w:r>
          </w:p>
        </w:tc>
      </w:tr>
      <w:tr w:rsidR="003F53DA" w:rsidRPr="00D37799" w:rsidTr="00E86F27">
        <w:trPr>
          <w:jc w:val="center"/>
        </w:trPr>
        <w:tc>
          <w:tcPr>
            <w:tcW w:w="1725" w:type="dxa"/>
          </w:tcPr>
          <w:p w:rsidR="003F53DA" w:rsidRPr="00D37799" w:rsidRDefault="003F53DA" w:rsidP="00E86F27">
            <w:pPr>
              <w:pStyle w:val="DQIRowHeadings"/>
            </w:pPr>
            <w:r w:rsidRPr="00D37799">
              <w:lastRenderedPageBreak/>
              <w:t>Timeliness</w:t>
            </w:r>
          </w:p>
          <w:p w:rsidR="003F53DA" w:rsidRPr="00D37799" w:rsidRDefault="003F53DA" w:rsidP="00E86F27">
            <w:pPr>
              <w:pStyle w:val="DQIRowHeadings"/>
            </w:pPr>
          </w:p>
        </w:tc>
        <w:tc>
          <w:tcPr>
            <w:tcW w:w="7007" w:type="dxa"/>
            <w:gridSpan w:val="4"/>
            <w:shd w:val="clear" w:color="auto" w:fill="FFFFFF" w:themeFill="background1"/>
          </w:tcPr>
          <w:p w:rsidR="003F53DA" w:rsidRPr="00D37799" w:rsidRDefault="003F53DA" w:rsidP="00F100B8">
            <w:pPr>
              <w:pStyle w:val="DQITableText"/>
            </w:pPr>
            <w:r w:rsidRPr="00581FB1">
              <w:t xml:space="preserve">Student Attendance data </w:t>
            </w:r>
            <w:r>
              <w:t>for national reporting are</w:t>
            </w:r>
            <w:r w:rsidRPr="00581FB1">
              <w:t xml:space="preserve"> collected annually for the reporting period of Semester 1 (Terms 1 and 2).</w:t>
            </w:r>
            <w:r>
              <w:t xml:space="preserve"> 2015 d</w:t>
            </w:r>
            <w:r w:rsidRPr="00581FB1">
              <w:t>ata w</w:t>
            </w:r>
            <w:r>
              <w:t>ere</w:t>
            </w:r>
            <w:r w:rsidRPr="00581FB1">
              <w:t xml:space="preserve"> provided to ACARA during </w:t>
            </w:r>
            <w:r w:rsidR="00F100B8">
              <w:t>Novem</w:t>
            </w:r>
            <w:r w:rsidRPr="00581FB1">
              <w:t>ber 2015</w:t>
            </w:r>
          </w:p>
        </w:tc>
      </w:tr>
      <w:tr w:rsidR="003F53DA" w:rsidRPr="00D37799" w:rsidTr="00E86F27">
        <w:trPr>
          <w:jc w:val="center"/>
        </w:trPr>
        <w:tc>
          <w:tcPr>
            <w:tcW w:w="1725" w:type="dxa"/>
          </w:tcPr>
          <w:p w:rsidR="003F53DA" w:rsidRPr="00D37799" w:rsidRDefault="003F53DA" w:rsidP="00E86F27">
            <w:pPr>
              <w:pStyle w:val="DQIRowHeadings"/>
            </w:pPr>
            <w:r w:rsidRPr="00D37799">
              <w:t>Accuracy</w:t>
            </w:r>
          </w:p>
          <w:p w:rsidR="003F53DA" w:rsidRPr="00D37799" w:rsidRDefault="003F53DA" w:rsidP="00E86F27">
            <w:pPr>
              <w:pStyle w:val="DQIRowHeadings"/>
            </w:pPr>
          </w:p>
        </w:tc>
        <w:tc>
          <w:tcPr>
            <w:tcW w:w="7007" w:type="dxa"/>
            <w:gridSpan w:val="4"/>
          </w:tcPr>
          <w:p w:rsidR="003F53DA" w:rsidRPr="00581FB1" w:rsidRDefault="003F53DA" w:rsidP="00E86F27">
            <w:pPr>
              <w:pStyle w:val="DQITableText"/>
            </w:pPr>
            <w:r w:rsidRPr="00581FB1">
              <w:t xml:space="preserve">Data reported to ACARA </w:t>
            </w:r>
            <w:r>
              <w:t>are</w:t>
            </w:r>
            <w:r w:rsidRPr="00581FB1">
              <w:t xml:space="preserve"> validated by the data providers and then subjected to consistency checks:</w:t>
            </w:r>
          </w:p>
          <w:p w:rsidR="003F53DA" w:rsidRPr="00CC3462" w:rsidRDefault="003F53DA" w:rsidP="00E86F27">
            <w:pPr>
              <w:pStyle w:val="DQITableText"/>
              <w:numPr>
                <w:ilvl w:val="0"/>
                <w:numId w:val="38"/>
              </w:numPr>
            </w:pPr>
            <w:r w:rsidRPr="00581FB1">
              <w:t>correct calculation of attendance rate</w:t>
            </w:r>
            <w:r w:rsidR="00F100B8">
              <w:t>s and levels</w:t>
            </w:r>
          </w:p>
        </w:tc>
      </w:tr>
      <w:tr w:rsidR="003F53DA" w:rsidRPr="00D37799" w:rsidTr="00E86F27">
        <w:trPr>
          <w:jc w:val="center"/>
        </w:trPr>
        <w:tc>
          <w:tcPr>
            <w:tcW w:w="1725" w:type="dxa"/>
          </w:tcPr>
          <w:p w:rsidR="003F53DA" w:rsidRPr="00D37799" w:rsidRDefault="003F53DA" w:rsidP="00E86F27">
            <w:pPr>
              <w:pStyle w:val="DQIRowHeadings"/>
            </w:pPr>
            <w:r w:rsidRPr="00D37799">
              <w:t>Coherence</w:t>
            </w:r>
          </w:p>
          <w:p w:rsidR="003F53DA" w:rsidRPr="00D37799" w:rsidRDefault="003F53DA" w:rsidP="00E86F27">
            <w:pPr>
              <w:pStyle w:val="DQIRowHeadings"/>
            </w:pPr>
          </w:p>
        </w:tc>
        <w:tc>
          <w:tcPr>
            <w:tcW w:w="7007" w:type="dxa"/>
            <w:gridSpan w:val="4"/>
          </w:tcPr>
          <w:p w:rsidR="003F53DA" w:rsidRDefault="003F53DA" w:rsidP="00E86F27">
            <w:pPr>
              <w:pStyle w:val="DQITableText"/>
            </w:pPr>
            <w:r w:rsidRPr="00581FB1">
              <w:t xml:space="preserve">Data </w:t>
            </w:r>
            <w:r>
              <w:t>for the attendance rate (measure 1) are</w:t>
            </w:r>
            <w:r w:rsidRPr="00581FB1">
              <w:t xml:space="preserve"> collected according to the “National Standards for Student Attendance Data Reporting” and </w:t>
            </w:r>
            <w:r>
              <w:t>are</w:t>
            </w:r>
            <w:r w:rsidRPr="00581FB1">
              <w:t xml:space="preserve"> consistent </w:t>
            </w:r>
            <w:r>
              <w:t xml:space="preserve">for </w:t>
            </w:r>
            <w:r w:rsidRPr="00581FB1">
              <w:t>2014 and 2015</w:t>
            </w:r>
            <w:r>
              <w:t>, except for NSW data which are collected on a different basis.</w:t>
            </w:r>
          </w:p>
          <w:p w:rsidR="003F53DA" w:rsidRPr="00D37799" w:rsidRDefault="003F53DA" w:rsidP="00F100B8">
            <w:pPr>
              <w:pStyle w:val="DQITableText"/>
            </w:pPr>
            <w:r>
              <w:t xml:space="preserve">Data for the attendance level (measure 2) are collected </w:t>
            </w:r>
            <w:r w:rsidRPr="00581FB1">
              <w:t>according to “National Standards for Student Attendance Data Reporting”</w:t>
            </w:r>
            <w:r>
              <w:t xml:space="preserve"> for government schools (except for NSW), but are collected </w:t>
            </w:r>
            <w:r w:rsidR="00F100B8">
              <w:t>using</w:t>
            </w:r>
            <w:r>
              <w:t xml:space="preserve"> a different method for non-government schools. Therefore government and non-government school data for this measure cannot be compared.</w:t>
            </w:r>
          </w:p>
        </w:tc>
      </w:tr>
      <w:tr w:rsidR="003F53DA" w:rsidRPr="00D37799" w:rsidTr="00E86F27">
        <w:trPr>
          <w:jc w:val="center"/>
        </w:trPr>
        <w:tc>
          <w:tcPr>
            <w:tcW w:w="1725" w:type="dxa"/>
          </w:tcPr>
          <w:p w:rsidR="003F53DA" w:rsidRPr="00D37799" w:rsidRDefault="003F53DA" w:rsidP="00E86F27">
            <w:pPr>
              <w:pStyle w:val="DQIRowHeadings"/>
            </w:pPr>
            <w:r w:rsidRPr="00D37799">
              <w:t>Interpretability</w:t>
            </w:r>
          </w:p>
        </w:tc>
        <w:tc>
          <w:tcPr>
            <w:tcW w:w="7007" w:type="dxa"/>
            <w:gridSpan w:val="4"/>
          </w:tcPr>
          <w:p w:rsidR="003F53DA" w:rsidRPr="00D37799" w:rsidRDefault="003F53DA" w:rsidP="00E86F27">
            <w:pPr>
              <w:pStyle w:val="DQITableText"/>
              <w:rPr>
                <w:sz w:val="20"/>
              </w:rPr>
            </w:pPr>
            <w:r w:rsidRPr="00551928">
              <w:t>Please refer to the</w:t>
            </w:r>
            <w:r w:rsidRPr="00581FB1">
              <w:rPr>
                <w:sz w:val="20"/>
              </w:rPr>
              <w:t xml:space="preserve"> </w:t>
            </w:r>
            <w:r w:rsidRPr="00111D1B">
              <w:rPr>
                <w:szCs w:val="18"/>
              </w:rPr>
              <w:t xml:space="preserve">National Standards for Student Attendance Data Reporting | </w:t>
            </w:r>
            <w:proofErr w:type="spellStart"/>
            <w:r w:rsidRPr="00111D1B">
              <w:rPr>
                <w:szCs w:val="18"/>
              </w:rPr>
              <w:t>ACARA</w:t>
            </w:r>
            <w:proofErr w:type="spellEnd"/>
          </w:p>
        </w:tc>
      </w:tr>
      <w:tr w:rsidR="003F53DA" w:rsidRPr="00D37799" w:rsidTr="00E86F27">
        <w:trPr>
          <w:jc w:val="center"/>
        </w:trPr>
        <w:tc>
          <w:tcPr>
            <w:tcW w:w="7910" w:type="dxa"/>
            <w:gridSpan w:val="4"/>
          </w:tcPr>
          <w:p w:rsidR="003F53DA" w:rsidRPr="00D37799" w:rsidRDefault="003F53DA" w:rsidP="00E86F27">
            <w:pPr>
              <w:pStyle w:val="DQIMainRowHeadings"/>
            </w:pPr>
            <w:r w:rsidRPr="00D37799">
              <w:t>Data Gaps/Issues Analysis</w:t>
            </w:r>
          </w:p>
        </w:tc>
        <w:tc>
          <w:tcPr>
            <w:tcW w:w="822" w:type="dxa"/>
          </w:tcPr>
          <w:p w:rsidR="003F53DA" w:rsidRPr="00D37799" w:rsidRDefault="003F53DA" w:rsidP="00E86F27">
            <w:pPr>
              <w:keepNext/>
              <w:keepLines/>
              <w:spacing w:after="40" w:line="220" w:lineRule="atLeast"/>
              <w:ind w:left="6" w:right="113"/>
              <w:jc w:val="both"/>
              <w:rPr>
                <w:rFonts w:ascii="Arial" w:hAnsi="Arial"/>
                <w:sz w:val="20"/>
                <w:szCs w:val="20"/>
              </w:rPr>
            </w:pPr>
          </w:p>
        </w:tc>
      </w:tr>
    </w:tbl>
    <w:bookmarkEnd w:id="23"/>
    <w:p w:rsidR="003F53DA" w:rsidRPr="00D37799" w:rsidRDefault="003F53DA" w:rsidP="003F53DA">
      <w:pPr>
        <w:pStyle w:val="DQITableText"/>
        <w:ind w:left="142"/>
      </w:pPr>
      <w:r w:rsidRPr="00D37799">
        <w:t>The Steering Committee notes the following issues:</w:t>
      </w:r>
    </w:p>
    <w:p w:rsidR="003F53DA" w:rsidRPr="001C18AD" w:rsidRDefault="003F53DA" w:rsidP="003F53DA">
      <w:pPr>
        <w:pStyle w:val="DQITableText"/>
        <w:ind w:left="142"/>
      </w:pPr>
      <w:r w:rsidRPr="001C18AD">
        <w:t>Care should be exercised in relation to the data for Aboriginal and Torres Strait Islander students, particularly in some jurisdictions and in the non-government sectors, due to small population sizes.</w:t>
      </w:r>
    </w:p>
    <w:p w:rsidR="003F53DA" w:rsidRDefault="003F53DA" w:rsidP="003F53DA">
      <w:pPr>
        <w:pStyle w:val="BodyText"/>
        <w:rPr>
          <w:rFonts w:ascii="Arial" w:hAnsi="Arial"/>
          <w:sz w:val="26"/>
        </w:rPr>
      </w:pPr>
      <w:r>
        <w:br w:type="page"/>
      </w:r>
    </w:p>
    <w:p w:rsidR="00C04CC9" w:rsidRPr="00D37799" w:rsidRDefault="00C04CC9" w:rsidP="00F53BDE">
      <w:pPr>
        <w:pStyle w:val="Heading3"/>
      </w:pPr>
      <w:bookmarkStart w:id="25" w:name="_Toc439840519"/>
      <w:r w:rsidRPr="00D37799">
        <w:lastRenderedPageBreak/>
        <w:t>Participation (6–15 year old children enrolled in school)</w:t>
      </w:r>
      <w:bookmarkEnd w:id="24"/>
      <w:bookmarkEnd w:id="25"/>
    </w:p>
    <w:p w:rsidR="00C5223A" w:rsidRPr="00D37799" w:rsidRDefault="00C5223A" w:rsidP="00F53BDE">
      <w:pPr>
        <w:pStyle w:val="Box"/>
      </w:pPr>
      <w:r w:rsidRPr="00D37799">
        <w:t>Data quality information for this indicator has been drafted by the Secretariat in consultation with the ABS, with additional Steering Committee comments.</w:t>
      </w:r>
    </w:p>
    <w:tbl>
      <w:tblPr>
        <w:tblW w:w="9138" w:type="dxa"/>
        <w:jc w:val="center"/>
        <w:tblInd w:w="207" w:type="dxa"/>
        <w:tblLook w:val="01E0" w:firstRow="1" w:lastRow="1" w:firstColumn="1" w:lastColumn="1" w:noHBand="0" w:noVBand="0"/>
      </w:tblPr>
      <w:tblGrid>
        <w:gridCol w:w="1831"/>
        <w:gridCol w:w="7307"/>
      </w:tblGrid>
      <w:tr w:rsidR="00C5223A" w:rsidRPr="00D37799" w:rsidTr="00972BB7">
        <w:trPr>
          <w:jc w:val="center"/>
        </w:trPr>
        <w:tc>
          <w:tcPr>
            <w:tcW w:w="9138" w:type="dxa"/>
            <w:gridSpan w:val="2"/>
          </w:tcPr>
          <w:p w:rsidR="00C5223A" w:rsidRPr="00D37799" w:rsidRDefault="00C5223A" w:rsidP="00F53BDE">
            <w:pPr>
              <w:pStyle w:val="DQIMainRowHeadings"/>
              <w:rPr>
                <w:rFonts w:cs="Arial"/>
                <w:sz w:val="22"/>
                <w:szCs w:val="22"/>
              </w:rPr>
            </w:pPr>
            <w:r w:rsidRPr="00D37799">
              <w:rPr>
                <w:rFonts w:cs="Arial"/>
                <w:sz w:val="22"/>
                <w:szCs w:val="22"/>
              </w:rPr>
              <w:br w:type="page"/>
            </w:r>
            <w:r w:rsidRPr="00D37799">
              <w:t>Indicator definition and description</w:t>
            </w:r>
          </w:p>
        </w:tc>
      </w:tr>
      <w:tr w:rsidR="00C5223A" w:rsidRPr="00D37799" w:rsidTr="00972BB7">
        <w:trPr>
          <w:jc w:val="center"/>
        </w:trPr>
        <w:tc>
          <w:tcPr>
            <w:tcW w:w="1831" w:type="dxa"/>
          </w:tcPr>
          <w:p w:rsidR="00C5223A" w:rsidRPr="00D37799" w:rsidRDefault="00C5223A" w:rsidP="00F53BDE">
            <w:pPr>
              <w:pStyle w:val="DQIRowHeadings"/>
            </w:pPr>
            <w:r w:rsidRPr="00D37799">
              <w:t>Element</w:t>
            </w:r>
          </w:p>
        </w:tc>
        <w:tc>
          <w:tcPr>
            <w:tcW w:w="7307" w:type="dxa"/>
          </w:tcPr>
          <w:p w:rsidR="00C5223A" w:rsidRPr="00D37799" w:rsidRDefault="00C5223A" w:rsidP="00F53BDE">
            <w:pPr>
              <w:pStyle w:val="DQITableText"/>
            </w:pPr>
            <w:r w:rsidRPr="00D37799">
              <w:t xml:space="preserve">Equity </w:t>
            </w:r>
            <w:r w:rsidRPr="00D37799">
              <w:rPr>
                <w:rFonts w:cs="Arial"/>
              </w:rPr>
              <w:t>―</w:t>
            </w:r>
            <w:r w:rsidRPr="00D37799">
              <w:t xml:space="preserve"> Access</w:t>
            </w:r>
          </w:p>
        </w:tc>
      </w:tr>
      <w:tr w:rsidR="00C5223A" w:rsidRPr="00D37799" w:rsidTr="00972BB7">
        <w:trPr>
          <w:jc w:val="center"/>
        </w:trPr>
        <w:tc>
          <w:tcPr>
            <w:tcW w:w="1831" w:type="dxa"/>
          </w:tcPr>
          <w:p w:rsidR="00C5223A" w:rsidRPr="00D37799" w:rsidRDefault="00C5223A" w:rsidP="00F53BDE">
            <w:pPr>
              <w:pStyle w:val="DQIRowHeadings"/>
            </w:pPr>
            <w:r w:rsidRPr="00D37799">
              <w:t>Indicator</w:t>
            </w:r>
          </w:p>
        </w:tc>
        <w:tc>
          <w:tcPr>
            <w:tcW w:w="7307" w:type="dxa"/>
          </w:tcPr>
          <w:p w:rsidR="00C5223A" w:rsidRPr="00D37799" w:rsidRDefault="00842E2A" w:rsidP="00F53BDE">
            <w:pPr>
              <w:pStyle w:val="DQITableText"/>
            </w:pPr>
            <w:r>
              <w:t xml:space="preserve">Attendance and </w:t>
            </w:r>
            <w:proofErr w:type="spellStart"/>
            <w:r>
              <w:t>particpation</w:t>
            </w:r>
            <w:proofErr w:type="spellEnd"/>
          </w:p>
        </w:tc>
      </w:tr>
      <w:tr w:rsidR="00C5223A" w:rsidRPr="00D37799" w:rsidTr="00972BB7">
        <w:trPr>
          <w:jc w:val="center"/>
        </w:trPr>
        <w:tc>
          <w:tcPr>
            <w:tcW w:w="1831" w:type="dxa"/>
          </w:tcPr>
          <w:p w:rsidR="00C5223A" w:rsidRPr="00D37799" w:rsidRDefault="00C5223A" w:rsidP="00F53BDE">
            <w:pPr>
              <w:pStyle w:val="DQIRowHeadings"/>
            </w:pPr>
            <w:r w:rsidRPr="00D37799">
              <w:t>Measure (computation</w:t>
            </w:r>
          </w:p>
        </w:tc>
        <w:tc>
          <w:tcPr>
            <w:tcW w:w="7307" w:type="dxa"/>
          </w:tcPr>
          <w:p w:rsidR="00C5223A" w:rsidRPr="00D37799" w:rsidRDefault="00C5223A" w:rsidP="00F53BDE">
            <w:pPr>
              <w:pStyle w:val="DQITableText"/>
              <w:rPr>
                <w:strike/>
              </w:rPr>
            </w:pPr>
            <w:r w:rsidRPr="00D37799">
              <w:rPr>
                <w:u w:val="single"/>
              </w:rPr>
              <w:t>Definition</w:t>
            </w:r>
            <w:r w:rsidRPr="00D37799">
              <w:br/>
              <w:t xml:space="preserve">Proportion of children aged 6–15 years who are enrolled in school (and is expressed as a percentage), </w:t>
            </w:r>
          </w:p>
          <w:p w:rsidR="00C5223A" w:rsidRPr="00D37799" w:rsidRDefault="00C5223A" w:rsidP="00F53BDE">
            <w:pPr>
              <w:pStyle w:val="DQITableText"/>
            </w:pPr>
            <w:r w:rsidRPr="00D37799">
              <w:rPr>
                <w:u w:val="single"/>
              </w:rPr>
              <w:t>Numerator</w:t>
            </w:r>
            <w:r w:rsidRPr="00D37799">
              <w:br/>
              <w:t>total number of children aged 6–15 years and enrolled in school (full</w:t>
            </w:r>
            <w:r>
              <w:t>-</w:t>
            </w:r>
            <w:r w:rsidRPr="00D37799">
              <w:t>time and part</w:t>
            </w:r>
            <w:r>
              <w:t>-</w:t>
            </w:r>
            <w:r w:rsidRPr="00D37799">
              <w:t>time enrolments)</w:t>
            </w:r>
          </w:p>
          <w:p w:rsidR="00C5223A" w:rsidRPr="00D37799" w:rsidRDefault="00C5223A" w:rsidP="00F53BDE">
            <w:pPr>
              <w:pStyle w:val="DQITableText"/>
            </w:pPr>
            <w:r w:rsidRPr="00D37799">
              <w:rPr>
                <w:u w:val="single"/>
              </w:rPr>
              <w:t>Denominator</w:t>
            </w:r>
            <w:r w:rsidRPr="00D37799">
              <w:rPr>
                <w:u w:val="single"/>
              </w:rPr>
              <w:br/>
            </w:r>
            <w:r w:rsidRPr="00D37799">
              <w:t>total population of children aged 6–15 years</w:t>
            </w:r>
          </w:p>
          <w:p w:rsidR="00C5223A" w:rsidRPr="00D37799" w:rsidRDefault="00C5223A" w:rsidP="00F53BDE">
            <w:pPr>
              <w:pStyle w:val="DQITableText"/>
            </w:pPr>
            <w:r w:rsidRPr="00D37799">
              <w:rPr>
                <w:u w:val="single"/>
              </w:rPr>
              <w:t>Computation/s</w:t>
            </w:r>
            <w:r w:rsidRPr="00D37799">
              <w:t>:</w:t>
            </w:r>
            <w:r w:rsidRPr="00D37799">
              <w:br/>
            </w:r>
            <w:r w:rsidRPr="00D37799">
              <w:rPr>
                <w:rFonts w:cs="Arial"/>
              </w:rPr>
              <w:t>The number of children aged 6–15 years enrolled in school divided by the total population of children of that age group</w:t>
            </w:r>
            <w:r>
              <w:rPr>
                <w:rFonts w:cs="Arial"/>
              </w:rPr>
              <w:t>. These data are disaggregated by Aboriginal and Torres Strait Islander and non-Indigenous peoples.</w:t>
            </w:r>
            <w:r w:rsidRPr="00D37799">
              <w:rPr>
                <w:rFonts w:cs="Arial"/>
              </w:rPr>
              <w:t xml:space="preserve"> </w:t>
            </w:r>
          </w:p>
        </w:tc>
      </w:tr>
      <w:tr w:rsidR="00C5223A" w:rsidRPr="00D37799" w:rsidTr="00972BB7">
        <w:trPr>
          <w:jc w:val="center"/>
        </w:trPr>
        <w:tc>
          <w:tcPr>
            <w:tcW w:w="1831" w:type="dxa"/>
          </w:tcPr>
          <w:p w:rsidR="00C5223A" w:rsidRPr="00D37799" w:rsidRDefault="00C5223A" w:rsidP="00F53BDE">
            <w:pPr>
              <w:pStyle w:val="DQIRowHeadings"/>
            </w:pPr>
            <w:r w:rsidRPr="00D37799">
              <w:t>Data source/s</w:t>
            </w:r>
          </w:p>
        </w:tc>
        <w:tc>
          <w:tcPr>
            <w:tcW w:w="7307" w:type="dxa"/>
          </w:tcPr>
          <w:p w:rsidR="00C5223A" w:rsidRPr="00D37799" w:rsidRDefault="00C5223A" w:rsidP="00F53BDE">
            <w:pPr>
              <w:pStyle w:val="DQITableText"/>
            </w:pPr>
            <w:r w:rsidRPr="00D37799">
              <w:rPr>
                <w:rFonts w:cs="Arial"/>
                <w:u w:val="single"/>
              </w:rPr>
              <w:t>Numerator</w:t>
            </w:r>
            <w:r w:rsidRPr="00D37799">
              <w:t xml:space="preserve"> </w:t>
            </w:r>
            <w:r w:rsidRPr="00D37799">
              <w:br/>
              <w:t>National Schools Statistics Collection (</w:t>
            </w:r>
            <w:proofErr w:type="spellStart"/>
            <w:r w:rsidRPr="00D37799">
              <w:t>NSSC</w:t>
            </w:r>
            <w:proofErr w:type="spellEnd"/>
            <w:r w:rsidRPr="00D37799">
              <w:t>) data.</w:t>
            </w:r>
          </w:p>
          <w:p w:rsidR="00C5223A" w:rsidRPr="00D37799" w:rsidRDefault="00C5223A" w:rsidP="00F53BDE">
            <w:pPr>
              <w:pStyle w:val="DQITableText"/>
            </w:pPr>
            <w:r w:rsidRPr="00D37799">
              <w:rPr>
                <w:u w:val="single"/>
              </w:rPr>
              <w:t xml:space="preserve">Denominator </w:t>
            </w:r>
            <w:r w:rsidRPr="00D37799">
              <w:br/>
              <w:t>ABS Estimated Resident Population (total population)</w:t>
            </w:r>
            <w:r>
              <w:t>, based on the 2011 Census</w:t>
            </w:r>
            <w:r w:rsidRPr="00D37799">
              <w:t>. Data are available annually</w:t>
            </w:r>
            <w:r>
              <w:t xml:space="preserve"> and adjusted for change over time. </w:t>
            </w:r>
          </w:p>
        </w:tc>
      </w:tr>
      <w:tr w:rsidR="00C5223A" w:rsidRPr="00D37799" w:rsidTr="00972BB7">
        <w:trPr>
          <w:jc w:val="center"/>
        </w:trPr>
        <w:tc>
          <w:tcPr>
            <w:tcW w:w="9138" w:type="dxa"/>
            <w:gridSpan w:val="2"/>
          </w:tcPr>
          <w:p w:rsidR="00C5223A" w:rsidRPr="00D37799" w:rsidRDefault="00C5223A" w:rsidP="00F53BDE">
            <w:pPr>
              <w:pStyle w:val="DQIMainRowHeadings"/>
              <w:rPr>
                <w:rFonts w:cs="Arial"/>
              </w:rPr>
            </w:pPr>
            <w:r w:rsidRPr="00D37799">
              <w:t>Data Quality Framework Dimensions</w:t>
            </w:r>
            <w:r w:rsidRPr="00D37799">
              <w:rPr>
                <w:rFonts w:cs="Arial"/>
              </w:rPr>
              <w:t xml:space="preserve"> </w:t>
            </w:r>
          </w:p>
        </w:tc>
      </w:tr>
      <w:tr w:rsidR="00C5223A" w:rsidRPr="00D37799" w:rsidTr="00972BB7">
        <w:trPr>
          <w:jc w:val="center"/>
        </w:trPr>
        <w:tc>
          <w:tcPr>
            <w:tcW w:w="1831" w:type="dxa"/>
          </w:tcPr>
          <w:p w:rsidR="00C5223A" w:rsidRPr="00D37799" w:rsidRDefault="00C5223A" w:rsidP="00F53BDE">
            <w:pPr>
              <w:pStyle w:val="DQIRowHeadings"/>
            </w:pPr>
            <w:r w:rsidRPr="00D37799">
              <w:t>Institutional environment</w:t>
            </w:r>
          </w:p>
        </w:tc>
        <w:tc>
          <w:tcPr>
            <w:tcW w:w="7307" w:type="dxa"/>
          </w:tcPr>
          <w:p w:rsidR="00C5223A" w:rsidRPr="00D37799" w:rsidRDefault="00C5223A" w:rsidP="00F53BDE">
            <w:pPr>
              <w:pStyle w:val="DQITableText"/>
            </w:pPr>
            <w:r w:rsidRPr="00D37799">
              <w:t>Data on government and non-government schools are collected from administrative school enrolment databases and collated by the ABS through the non-finance National Schools Statistics Collection (</w:t>
            </w:r>
            <w:proofErr w:type="spellStart"/>
            <w:r w:rsidRPr="00D37799">
              <w:t>NSSC</w:t>
            </w:r>
            <w:proofErr w:type="spellEnd"/>
            <w:r w:rsidRPr="00D37799">
              <w:t xml:space="preserve">). This collection was established through the work of the then </w:t>
            </w:r>
            <w:r>
              <w:t xml:space="preserve">Australian Education Council, later the </w:t>
            </w:r>
            <w:r w:rsidRPr="00D37799">
              <w:t>Ministerial Council on Education, Employment, Training and Youth Affairs (</w:t>
            </w:r>
            <w:proofErr w:type="spellStart"/>
            <w:r w:rsidRPr="00D37799">
              <w:t>MCEETYA</w:t>
            </w:r>
            <w:proofErr w:type="spellEnd"/>
            <w:r w:rsidRPr="00D37799">
              <w:t>).</w:t>
            </w:r>
          </w:p>
          <w:p w:rsidR="00C5223A" w:rsidRPr="00D37799" w:rsidRDefault="00C5223A" w:rsidP="00F53BDE">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p>
        </w:tc>
      </w:tr>
      <w:tr w:rsidR="00C5223A" w:rsidRPr="00D37799" w:rsidTr="00972BB7">
        <w:trPr>
          <w:jc w:val="center"/>
        </w:trPr>
        <w:tc>
          <w:tcPr>
            <w:tcW w:w="1831" w:type="dxa"/>
          </w:tcPr>
          <w:p w:rsidR="00C5223A" w:rsidRPr="00D37799" w:rsidRDefault="00C5223A" w:rsidP="00F53BDE">
            <w:pPr>
              <w:pStyle w:val="DQIRowHeadings"/>
            </w:pPr>
            <w:r w:rsidRPr="00D37799">
              <w:t>Relevance</w:t>
            </w:r>
          </w:p>
        </w:tc>
        <w:tc>
          <w:tcPr>
            <w:tcW w:w="7307" w:type="dxa"/>
          </w:tcPr>
          <w:p w:rsidR="00C5223A" w:rsidRPr="00D37799" w:rsidRDefault="00C5223A" w:rsidP="00F53BDE">
            <w:pPr>
              <w:pStyle w:val="DQITableText"/>
            </w:pPr>
            <w:r w:rsidRPr="00D37799">
              <w:t xml:space="preserve">Students are classified by state/territory, level and Year of education, </w:t>
            </w:r>
            <w:r>
              <w:t xml:space="preserve">Aboriginal and Torres Strait Islander </w:t>
            </w:r>
            <w:r w:rsidRPr="00D37799">
              <w:t>status, full</w:t>
            </w:r>
            <w:r>
              <w:t>-</w:t>
            </w:r>
            <w:r w:rsidRPr="00D37799">
              <w:t>time or part</w:t>
            </w:r>
            <w:r>
              <w:t>-</w:t>
            </w:r>
            <w:r w:rsidRPr="00D37799">
              <w:t>time status, age at 1 July, category of school and sex. Student data are not currently available by socioeconomic status or geography. Data covers all students enrolled at in scope schools.</w:t>
            </w:r>
          </w:p>
          <w:p w:rsidR="00C5223A" w:rsidRPr="00D37799" w:rsidRDefault="00C5223A" w:rsidP="00F53BDE">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for aggregate submissions and the </w:t>
            </w:r>
            <w:proofErr w:type="spellStart"/>
            <w:r w:rsidRPr="00D37799">
              <w:t>NSSC</w:t>
            </w:r>
            <w:proofErr w:type="spellEnd"/>
            <w:r w:rsidRPr="00D37799">
              <w:t xml:space="preserve"> Data Collection Manual for unit record level submissions.</w:t>
            </w:r>
          </w:p>
          <w:p w:rsidR="00C5223A" w:rsidRPr="00D37799" w:rsidRDefault="00C5223A" w:rsidP="00F53BDE">
            <w:pPr>
              <w:pStyle w:val="DQITableText"/>
            </w:pPr>
            <w:r w:rsidRPr="00D37799">
              <w:t>Rates are based on school students as a proportion of the estimated resident population.</w:t>
            </w:r>
            <w:r>
              <w:t xml:space="preserve"> For more information please the Data Quality Declaration for </w:t>
            </w:r>
            <w:r w:rsidRPr="00111D1B">
              <w:rPr>
                <w:sz w:val="20"/>
              </w:rPr>
              <w:t>Australian Demographic Statistics</w:t>
            </w:r>
            <w:r>
              <w:t xml:space="preserve"> (cat. no. 3101.0).</w:t>
            </w:r>
          </w:p>
        </w:tc>
      </w:tr>
      <w:tr w:rsidR="00C5223A" w:rsidRPr="00D37799" w:rsidTr="00972BB7">
        <w:trPr>
          <w:jc w:val="center"/>
        </w:trPr>
        <w:tc>
          <w:tcPr>
            <w:tcW w:w="1831" w:type="dxa"/>
          </w:tcPr>
          <w:p w:rsidR="00C5223A" w:rsidRPr="00D37799" w:rsidRDefault="00C5223A" w:rsidP="00F53BDE">
            <w:pPr>
              <w:pStyle w:val="DQIRowHeadings"/>
            </w:pPr>
            <w:r w:rsidRPr="00D37799">
              <w:t>Timeliness</w:t>
            </w:r>
          </w:p>
        </w:tc>
        <w:tc>
          <w:tcPr>
            <w:tcW w:w="7307" w:type="dxa"/>
          </w:tcPr>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the national school census that is conducted annually on the first Friday in August by each state and territory department of education and the non-government education systems. Information is disseminated through the ABS website from late January through to March the following year.</w:t>
            </w:r>
          </w:p>
        </w:tc>
      </w:tr>
      <w:tr w:rsidR="00C5223A" w:rsidRPr="00D37799" w:rsidTr="00972BB7">
        <w:trPr>
          <w:jc w:val="center"/>
        </w:trPr>
        <w:tc>
          <w:tcPr>
            <w:tcW w:w="1831" w:type="dxa"/>
          </w:tcPr>
          <w:p w:rsidR="00C5223A" w:rsidRPr="00D37799" w:rsidRDefault="00C5223A" w:rsidP="00F53BDE">
            <w:pPr>
              <w:pStyle w:val="DQIRowHeadings"/>
            </w:pPr>
            <w:r w:rsidRPr="00D37799">
              <w:t>Accuracy</w:t>
            </w:r>
          </w:p>
        </w:tc>
        <w:tc>
          <w:tcPr>
            <w:tcW w:w="7307" w:type="dxa"/>
          </w:tcPr>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enrolment information from education administrative data systems at the time of the school census, collected in accordance with the standards and definitions applying to the collection.</w:t>
            </w:r>
          </w:p>
          <w:p w:rsidR="00C5223A" w:rsidRPr="00D37799" w:rsidRDefault="00C5223A" w:rsidP="00F53BDE">
            <w:pPr>
              <w:pStyle w:val="DQITableText"/>
            </w:pPr>
            <w:r w:rsidRPr="00D37799">
              <w:t xml:space="preserve">For government data, each school provides and/or validates the information reflecting their enrolments to the relevant state education department. Each state and territory education department processes the data so that data forwarded to the ABS represents, or can be used to derive, student counts (a count of natural persons within a system of </w:t>
            </w:r>
            <w:r w:rsidRPr="00D37799">
              <w:lastRenderedPageBreak/>
              <w:t>education).</w:t>
            </w:r>
          </w:p>
          <w:p w:rsidR="00C5223A" w:rsidRPr="00D37799" w:rsidRDefault="00C5223A" w:rsidP="00F53BDE">
            <w:pPr>
              <w:pStyle w:val="DQITableText"/>
            </w:pPr>
            <w:r w:rsidRPr="00D37799">
              <w:t xml:space="preserve">Non-government data are coordinated through the </w:t>
            </w:r>
            <w:r>
              <w:t>Australian Government Department of Education</w:t>
            </w:r>
            <w:r w:rsidR="00C5404B">
              <w:t xml:space="preserve"> and Training</w:t>
            </w:r>
            <w:r w:rsidRPr="00D37799">
              <w:t xml:space="preserve">. </w:t>
            </w:r>
          </w:p>
          <w:p w:rsidR="00C5223A" w:rsidRPr="00D37799" w:rsidRDefault="00C5223A" w:rsidP="00F53BDE">
            <w:pPr>
              <w:pStyle w:val="DQITableText"/>
            </w:pPr>
            <w:r w:rsidRPr="00D37799">
              <w:t>The ABS undertakes further validation of all received data prior to publication.</w:t>
            </w:r>
          </w:p>
          <w:p w:rsidR="00C5223A" w:rsidRPr="00D37799" w:rsidRDefault="00C5223A" w:rsidP="00F53BDE">
            <w:pPr>
              <w:pStyle w:val="DQITableText"/>
            </w:pPr>
            <w:r w:rsidRPr="00D37799">
              <w:t>Due to the different enrolment systems, the ability to manage multiple records of enrolment for a student may vary among jurisdictions, which may result in over-reporting of school students in some jurisdictions.</w:t>
            </w:r>
          </w:p>
          <w:p w:rsidR="00C5223A" w:rsidRPr="00D37799" w:rsidRDefault="00C5223A" w:rsidP="00F53BDE">
            <w:pPr>
              <w:pStyle w:val="DQITableText"/>
            </w:pPr>
            <w:r w:rsidRPr="00D37799">
              <w:t>Some small exceptions exist in the interpretation of the standards applying to the collection, and the ability of systems to collect data to the specifications of the collection. These exceptions may affect comparisons of school counts, student counts and student full time equivalent values.</w:t>
            </w:r>
          </w:p>
        </w:tc>
      </w:tr>
      <w:tr w:rsidR="00C5223A" w:rsidRPr="00D37799" w:rsidTr="00972BB7">
        <w:trPr>
          <w:jc w:val="center"/>
        </w:trPr>
        <w:tc>
          <w:tcPr>
            <w:tcW w:w="1831" w:type="dxa"/>
          </w:tcPr>
          <w:p w:rsidR="00C5223A" w:rsidRPr="00D37799" w:rsidRDefault="00C5223A" w:rsidP="00F53BDE">
            <w:pPr>
              <w:pStyle w:val="DQIRowHeadings"/>
            </w:pPr>
            <w:r w:rsidRPr="00D37799">
              <w:lastRenderedPageBreak/>
              <w:t>Coherence</w:t>
            </w:r>
          </w:p>
        </w:tc>
        <w:tc>
          <w:tcPr>
            <w:tcW w:w="7307" w:type="dxa"/>
          </w:tcPr>
          <w:p w:rsidR="00C5223A" w:rsidRPr="00D37799" w:rsidRDefault="00C5223A" w:rsidP="00F53BDE">
            <w:pPr>
              <w:pStyle w:val="DQITableText"/>
            </w:pPr>
            <w:r w:rsidRPr="00D37799">
              <w:t>Rates are based on school students as a proportion of the estimated resident population. Data items are consistent over time, except where not available.</w:t>
            </w:r>
          </w:p>
          <w:p w:rsidR="00C5223A" w:rsidRPr="00D37799" w:rsidRDefault="00C5223A" w:rsidP="00F53BDE">
            <w:pPr>
              <w:pStyle w:val="DQITableText"/>
            </w:pPr>
            <w:proofErr w:type="spellStart"/>
            <w:r w:rsidRPr="00D37799">
              <w:t>NSSC</w:t>
            </w:r>
            <w:proofErr w:type="spellEnd"/>
            <w:r w:rsidRPr="00D37799">
              <w:t xml:space="preserve"> school and student information is a subset of the enrolment information provided by the various education authorities. The application of </w:t>
            </w:r>
            <w:proofErr w:type="spellStart"/>
            <w:r w:rsidRPr="00D37799">
              <w:t>NSSC</w:t>
            </w:r>
            <w:proofErr w:type="spellEnd"/>
            <w:r w:rsidRPr="00D37799">
              <w:t xml:space="preserve"> business rules may result in counts which differ from those in other datasets originating from the same education authorities. For example, </w:t>
            </w:r>
            <w:proofErr w:type="spellStart"/>
            <w:r w:rsidRPr="00D37799">
              <w:t>NSSC</w:t>
            </w:r>
            <w:proofErr w:type="spellEnd"/>
            <w:r w:rsidRPr="00D37799">
              <w:t xml:space="preserve"> student counts may not reconcile to enrolment counts available in alternate datasets where multiple enrolments were reported for those students enrolled in more than one school.</w:t>
            </w:r>
          </w:p>
          <w:p w:rsidR="00C5223A" w:rsidRPr="00D37799" w:rsidRDefault="00C5223A" w:rsidP="00F53BDE">
            <w:pPr>
              <w:pStyle w:val="DQITableText"/>
            </w:pPr>
            <w:r w:rsidRPr="00D37799">
              <w:t>State and territory governments report on schools, students and staff in their Annual Reports.</w:t>
            </w:r>
          </w:p>
          <w:p w:rsidR="00C5223A" w:rsidRPr="00D37799" w:rsidRDefault="00C5223A" w:rsidP="00F53BDE">
            <w:pPr>
              <w:pStyle w:val="DQITableText"/>
            </w:pPr>
            <w:r w:rsidRPr="00D37799">
              <w:t xml:space="preserve">State and territory governments provide </w:t>
            </w:r>
            <w:proofErr w:type="spellStart"/>
            <w:r w:rsidRPr="00D37799">
              <w:t>NSSC</w:t>
            </w:r>
            <w:proofErr w:type="spellEnd"/>
            <w:r w:rsidRPr="00D37799">
              <w:t xml:space="preserve"> data to </w:t>
            </w:r>
            <w:r>
              <w:t>the Australian Government Department of Education</w:t>
            </w:r>
            <w:r w:rsidR="00C5404B">
              <w:t xml:space="preserve"> and Training</w:t>
            </w:r>
            <w:r w:rsidRPr="00D37799">
              <w:t xml:space="preserve"> for Commonwealth funding purposes.</w:t>
            </w:r>
          </w:p>
          <w:p w:rsidR="00C5223A" w:rsidRPr="00D37799" w:rsidRDefault="00C5223A" w:rsidP="00F53BDE">
            <w:pPr>
              <w:pStyle w:val="DQITableText"/>
            </w:pPr>
            <w:r w:rsidRPr="00D37799">
              <w:t>State and territory governments provide school, student and staff data to the Australian Curriculum Assessment &amp; Reporting Authority (ACARA) for school level reporting.</w:t>
            </w:r>
          </w:p>
          <w:p w:rsidR="00C5223A" w:rsidRPr="00D37799" w:rsidRDefault="00C5223A" w:rsidP="00F53BDE">
            <w:pPr>
              <w:pStyle w:val="DQITableText"/>
            </w:pPr>
            <w:proofErr w:type="spellStart"/>
            <w:r w:rsidRPr="00D37799">
              <w:t>NSSC</w:t>
            </w:r>
            <w:proofErr w:type="spellEnd"/>
            <w:r w:rsidRPr="00D37799">
              <w:t xml:space="preserve"> data are reported through the National Report on Schooling in Australia, Aboriginal and Torres Strait Islander Education Action Plan, National Partnership on Youth Attainment and Transitions and the Report on Government Services.</w:t>
            </w:r>
          </w:p>
          <w:p w:rsidR="00C5223A" w:rsidRPr="00D37799" w:rsidRDefault="00C5223A" w:rsidP="00F53BDE">
            <w:pPr>
              <w:pStyle w:val="DQITableText"/>
            </w:pPr>
            <w:r>
              <w:t>The Australian Government Department of Education</w:t>
            </w:r>
            <w:r w:rsidRPr="00D37799">
              <w:t xml:space="preserve"> </w:t>
            </w:r>
            <w:r w:rsidR="00C5404B">
              <w:t xml:space="preserve">and Training </w:t>
            </w:r>
            <w:r w:rsidRPr="00D37799">
              <w:t>reports on non-government school, student and staff data collected for the purposes of administering the Schools Assistance Act 2008</w:t>
            </w:r>
            <w:r>
              <w:t xml:space="preserve"> </w:t>
            </w:r>
            <w:r w:rsidRPr="00D37799">
              <w:t>(</w:t>
            </w:r>
            <w:proofErr w:type="spellStart"/>
            <w:r w:rsidRPr="00D37799">
              <w:t>www.deewr.gov.au</w:t>
            </w:r>
            <w:proofErr w:type="spellEnd"/>
            <w:r w:rsidRPr="00D37799">
              <w:t>/Schooling/Programs/Pages/</w:t>
            </w:r>
            <w:proofErr w:type="spellStart"/>
            <w:r w:rsidRPr="00D37799">
              <w:t>SchoolsAssistance</w:t>
            </w:r>
            <w:proofErr w:type="spellEnd"/>
            <w:r w:rsidRPr="00D37799">
              <w:t xml:space="preserve"> </w:t>
            </w:r>
            <w:proofErr w:type="spellStart"/>
            <w:r w:rsidRPr="00D37799">
              <w:t>Act2008.aspx</w:t>
            </w:r>
            <w:proofErr w:type="spellEnd"/>
            <w:r w:rsidRPr="00D37799">
              <w:t>).</w:t>
            </w:r>
          </w:p>
          <w:p w:rsidR="00C5223A" w:rsidRPr="00D37799" w:rsidRDefault="00C5223A" w:rsidP="00F53BDE">
            <w:pPr>
              <w:pStyle w:val="DQITableText"/>
            </w:pPr>
            <w:r w:rsidRPr="00D37799">
              <w:t>The five-yearly Census of Population and Housing (www.abs.gov.au/websitedbs/censushome.nsf/home/data?opendocument#from-banner=LN) includes information on children attending school and the occupation of Australians (including teachers).</w:t>
            </w:r>
          </w:p>
          <w:p w:rsidR="00C5223A" w:rsidRDefault="00C5223A" w:rsidP="00F53BDE">
            <w:pPr>
              <w:pStyle w:val="DQITableText"/>
            </w:pPr>
            <w:r w:rsidRPr="00D37799">
              <w:t>The ABS Estimated Resident Population (</w:t>
            </w:r>
            <w:proofErr w:type="spellStart"/>
            <w:r w:rsidRPr="00D37799">
              <w:t>ERP</w:t>
            </w:r>
            <w:proofErr w:type="spellEnd"/>
            <w:r w:rsidRPr="00D37799">
              <w:t xml:space="preserve">) series is used in the calculation of some measures of secondary engagement in this publication. It is used as a denominator to calculate students as a proportion of the population. The </w:t>
            </w:r>
            <w:proofErr w:type="spellStart"/>
            <w:r w:rsidRPr="00D37799">
              <w:t>ERP</w:t>
            </w:r>
            <w:proofErr w:type="spellEnd"/>
            <w:r w:rsidRPr="00D37799">
              <w:t xml:space="preserve"> is an estimate of the population of Australia, based on data from the most recent published ABS Census of Population and Housing, and is updated annually using information on births, deaths and internal migration provided by state and </w:t>
            </w:r>
            <w:r w:rsidRPr="009479BD">
              <w:rPr>
                <w:szCs w:val="18"/>
              </w:rPr>
              <w:t xml:space="preserve">federal government departments. See ABS Population by Age and Sex, Australian states and territories. See </w:t>
            </w:r>
            <w:r w:rsidRPr="00111D1B">
              <w:rPr>
                <w:szCs w:val="18"/>
              </w:rPr>
              <w:t>Australian Demographic Statistics</w:t>
            </w:r>
            <w:r w:rsidRPr="009479BD">
              <w:rPr>
                <w:szCs w:val="18"/>
              </w:rPr>
              <w:t xml:space="preserve"> (cat. no. 3101.0) for further details</w:t>
            </w:r>
            <w:r>
              <w:t>.</w:t>
            </w:r>
          </w:p>
          <w:p w:rsidR="00C5223A" w:rsidRDefault="00C5223A" w:rsidP="00F53BDE">
            <w:pPr>
              <w:pStyle w:val="DQITableText"/>
            </w:pPr>
            <w:r>
              <w:t xml:space="preserve">Projected and estimated Aboriginal and Torres Strait Islander population data are sourced from </w:t>
            </w:r>
            <w:r w:rsidRPr="00CA7CCF">
              <w:rPr>
                <w:i/>
              </w:rPr>
              <w:t>Estimates and Projections, Aboriginal and Torres Strait Islander Australians, 2001 to 2026</w:t>
            </w:r>
            <w:r w:rsidRPr="00CA7CCF">
              <w:t xml:space="preserve">  (Cat. no. 3238.0) </w:t>
            </w:r>
            <w:r>
              <w:t>(s</w:t>
            </w:r>
            <w:r w:rsidRPr="00CA7CCF">
              <w:t>eries B</w:t>
            </w:r>
            <w:r>
              <w:t>)</w:t>
            </w:r>
          </w:p>
          <w:p w:rsidR="00C5223A" w:rsidRDefault="00C5223A" w:rsidP="00F53BDE">
            <w:pPr>
              <w:pStyle w:val="DQITableText"/>
            </w:pPr>
            <w:r>
              <w:t xml:space="preserve">Non-indigenous population estimates are derived by subtracting the Aboriginal and Torres Strait Islander estimates and projections from the </w:t>
            </w:r>
            <w:proofErr w:type="spellStart"/>
            <w:r>
              <w:t>ERP</w:t>
            </w:r>
            <w:proofErr w:type="spellEnd"/>
            <w:r>
              <w:t xml:space="preserve">. </w:t>
            </w:r>
          </w:p>
          <w:p w:rsidR="00C5223A" w:rsidRDefault="00C5223A" w:rsidP="00F53BDE">
            <w:pPr>
              <w:pStyle w:val="DQITableText"/>
            </w:pPr>
            <w:r w:rsidRPr="00D37799">
              <w:t xml:space="preserve">Estimates may differ from those released in previous editions of this publication due to scheduled revisions of the estimated resident population. </w:t>
            </w:r>
          </w:p>
          <w:p w:rsidR="00C5223A" w:rsidRPr="00D37799" w:rsidRDefault="00C5223A" w:rsidP="00F53BDE">
            <w:pPr>
              <w:pStyle w:val="DQITableText"/>
              <w:rPr>
                <w:rFonts w:cs="Arial"/>
              </w:rPr>
            </w:pPr>
            <w:r w:rsidRPr="0068055B">
              <w:rPr>
                <w:rFonts w:cs="Arial"/>
              </w:rPr>
              <w:t xml:space="preserve">ABS data from the </w:t>
            </w:r>
            <w:proofErr w:type="spellStart"/>
            <w:r w:rsidRPr="0068055B">
              <w:rPr>
                <w:rFonts w:cs="Arial"/>
              </w:rPr>
              <w:t>NSSC</w:t>
            </w:r>
            <w:proofErr w:type="spellEnd"/>
            <w:r w:rsidRPr="0068055B">
              <w:rPr>
                <w:rFonts w:cs="Arial"/>
              </w:rPr>
              <w:t xml:space="preserve"> for reporting student enrolments are not comparable with </w:t>
            </w:r>
            <w:r>
              <w:rPr>
                <w:rFonts w:cs="Arial"/>
              </w:rPr>
              <w:t>Education Council</w:t>
            </w:r>
            <w:r w:rsidRPr="0068055B">
              <w:rPr>
                <w:rFonts w:cs="Arial"/>
              </w:rPr>
              <w:t xml:space="preserve"> data from the </w:t>
            </w:r>
            <w:proofErr w:type="spellStart"/>
            <w:r w:rsidRPr="0068055B">
              <w:rPr>
                <w:rFonts w:cs="Arial"/>
              </w:rPr>
              <w:t>NSAC</w:t>
            </w:r>
            <w:proofErr w:type="spellEnd"/>
            <w:r w:rsidRPr="0068055B">
              <w:rPr>
                <w:rFonts w:cs="Arial"/>
              </w:rPr>
              <w:t xml:space="preserve"> for reporting student attendance </w:t>
            </w:r>
          </w:p>
        </w:tc>
      </w:tr>
      <w:tr w:rsidR="00C5223A" w:rsidRPr="00D37799" w:rsidTr="00972BB7">
        <w:trPr>
          <w:jc w:val="center"/>
        </w:trPr>
        <w:tc>
          <w:tcPr>
            <w:tcW w:w="1831" w:type="dxa"/>
          </w:tcPr>
          <w:p w:rsidR="00C5223A" w:rsidRPr="00D37799" w:rsidRDefault="00C5223A" w:rsidP="00F53BDE">
            <w:pPr>
              <w:pStyle w:val="DQIRowHeadings"/>
            </w:pPr>
            <w:r w:rsidRPr="00D37799">
              <w:t>Accessibility</w:t>
            </w:r>
          </w:p>
        </w:tc>
        <w:tc>
          <w:tcPr>
            <w:tcW w:w="7307" w:type="dxa"/>
          </w:tcPr>
          <w:p w:rsidR="00C5223A" w:rsidRPr="00D37799" w:rsidRDefault="00C5223A" w:rsidP="00F53BDE">
            <w:pPr>
              <w:pStyle w:val="DQITableText"/>
            </w:pPr>
            <w:r w:rsidRPr="00D37799">
              <w:t xml:space="preserve">Predominantly national level information is published in </w:t>
            </w:r>
            <w:r w:rsidRPr="00D37799">
              <w:rPr>
                <w:i/>
              </w:rPr>
              <w:t>Schools, Australia</w:t>
            </w:r>
            <w:r w:rsidRPr="00D37799">
              <w:t xml:space="preserve"> </w:t>
            </w:r>
            <w:r w:rsidRPr="00D37799">
              <w:lastRenderedPageBreak/>
              <w:t>(</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on the ABS website. A range of time series data cubes, with a focus on state/territory level information, is also available on the ABS website.</w:t>
            </w:r>
          </w:p>
        </w:tc>
      </w:tr>
      <w:tr w:rsidR="00C5223A" w:rsidRPr="00D37799" w:rsidTr="00972BB7">
        <w:trPr>
          <w:jc w:val="center"/>
        </w:trPr>
        <w:tc>
          <w:tcPr>
            <w:tcW w:w="1831" w:type="dxa"/>
          </w:tcPr>
          <w:p w:rsidR="00C5223A" w:rsidRPr="00D37799" w:rsidRDefault="00C5223A" w:rsidP="00F53BDE">
            <w:pPr>
              <w:pStyle w:val="DQIRowHeadings"/>
            </w:pPr>
            <w:r w:rsidRPr="00D37799">
              <w:lastRenderedPageBreak/>
              <w:t>Interpretability</w:t>
            </w:r>
          </w:p>
        </w:tc>
        <w:tc>
          <w:tcPr>
            <w:tcW w:w="7307" w:type="dxa"/>
          </w:tcPr>
          <w:p w:rsidR="00C5223A" w:rsidRPr="00D37799" w:rsidRDefault="00C5223A" w:rsidP="00F53BDE">
            <w:pPr>
              <w:pStyle w:val="DQITableText"/>
            </w:pPr>
            <w:r w:rsidRPr="00D37799">
              <w:rPr>
                <w:i/>
              </w:rPr>
              <w:t>Schools, Australia</w:t>
            </w:r>
            <w:r w:rsidRPr="00D37799">
              <w:t xml:space="preserve"> (</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includes explanatory notes and a glossary, both of which are available on the ABS website.</w:t>
            </w:r>
          </w:p>
        </w:tc>
      </w:tr>
      <w:tr w:rsidR="00C5223A" w:rsidRPr="00D37799" w:rsidTr="00972BB7">
        <w:trPr>
          <w:jc w:val="center"/>
        </w:trPr>
        <w:tc>
          <w:tcPr>
            <w:tcW w:w="9138" w:type="dxa"/>
            <w:gridSpan w:val="2"/>
          </w:tcPr>
          <w:p w:rsidR="00C5223A" w:rsidRPr="00D37799" w:rsidRDefault="00C5223A" w:rsidP="00F53BDE">
            <w:pPr>
              <w:pStyle w:val="DQIMainRowHeadings"/>
            </w:pPr>
            <w:r w:rsidRPr="00D37799">
              <w:t>Data Gaps/Issues Analysis</w:t>
            </w:r>
          </w:p>
        </w:tc>
      </w:tr>
      <w:tr w:rsidR="00C5223A" w:rsidRPr="00D37799" w:rsidTr="00972BB7">
        <w:trPr>
          <w:jc w:val="center"/>
        </w:trPr>
        <w:tc>
          <w:tcPr>
            <w:tcW w:w="1831" w:type="dxa"/>
          </w:tcPr>
          <w:p w:rsidR="00C5223A" w:rsidRPr="00D37799" w:rsidRDefault="00C5223A" w:rsidP="00F53BDE">
            <w:pPr>
              <w:pStyle w:val="DQIRowHeadings"/>
            </w:pPr>
            <w:r w:rsidRPr="00D37799">
              <w:t>Key data gaps/issues</w:t>
            </w:r>
          </w:p>
        </w:tc>
        <w:tc>
          <w:tcPr>
            <w:tcW w:w="7307" w:type="dxa"/>
          </w:tcPr>
          <w:p w:rsidR="00C5223A" w:rsidRPr="00D37799" w:rsidRDefault="00C5223A" w:rsidP="00F53BDE">
            <w:pPr>
              <w:pStyle w:val="DQITableText"/>
            </w:pPr>
            <w:r w:rsidRPr="00D37799">
              <w:t>The Steering Committee notes the following issues:</w:t>
            </w:r>
          </w:p>
          <w:p w:rsidR="00C5223A" w:rsidRPr="00D37799" w:rsidRDefault="00C5223A" w:rsidP="00F53BDE">
            <w:pPr>
              <w:pStyle w:val="DQITableBullet"/>
            </w:pPr>
            <w:r w:rsidRPr="00D37799">
              <w:t>The differences in populations used for the numerator (service population for each jurisdiction) and denominator (resident population for each jurisdiction) may result in an overestimate of enrolment rates for some jurisdictions (in particular, the ACT) and an underestimate in other jurisdictions.</w:t>
            </w:r>
          </w:p>
        </w:tc>
      </w:tr>
    </w:tbl>
    <w:p w:rsidR="00C5223A" w:rsidRDefault="00C5223A">
      <w:pPr>
        <w:rPr>
          <w:rFonts w:ascii="Arial" w:hAnsi="Arial"/>
          <w:b/>
        </w:rPr>
      </w:pPr>
    </w:p>
    <w:p w:rsidR="00D37799" w:rsidRDefault="00D37799">
      <w:pPr>
        <w:rPr>
          <w:rFonts w:ascii="Arial" w:hAnsi="Arial"/>
          <w:b/>
        </w:rPr>
      </w:pPr>
      <w:r>
        <w:rPr>
          <w:rFonts w:ascii="Arial" w:hAnsi="Arial"/>
          <w:b/>
        </w:rPr>
        <w:br w:type="page"/>
      </w:r>
    </w:p>
    <w:p w:rsidR="00C04CC9" w:rsidRPr="00D37799" w:rsidRDefault="00C04CC9" w:rsidP="00F53BDE">
      <w:pPr>
        <w:pStyle w:val="Heading3"/>
      </w:pPr>
      <w:bookmarkStart w:id="26" w:name="_Toc401837430"/>
      <w:bookmarkStart w:id="27" w:name="_Toc439840520"/>
      <w:r w:rsidRPr="00D37799">
        <w:lastRenderedPageBreak/>
        <w:t>Participation (participation of 1</w:t>
      </w:r>
      <w:r w:rsidR="0025682C">
        <w:t>5</w:t>
      </w:r>
      <w:r w:rsidRPr="00D37799">
        <w:t>–19 year old students)</w:t>
      </w:r>
      <w:bookmarkEnd w:id="26"/>
      <w:bookmarkEnd w:id="27"/>
    </w:p>
    <w:p w:rsidR="00C5223A" w:rsidRPr="00D37799" w:rsidRDefault="00C5223A" w:rsidP="00F53BDE">
      <w:pPr>
        <w:pStyle w:val="Box"/>
      </w:pPr>
      <w:bookmarkStart w:id="28" w:name="OLE_LINK1"/>
      <w:bookmarkStart w:id="29" w:name="OLE_LINK2"/>
      <w:r w:rsidRPr="00D37799">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800"/>
        <w:gridCol w:w="7064"/>
      </w:tblGrid>
      <w:tr w:rsidR="00C5223A" w:rsidRPr="00D37799" w:rsidTr="00972BB7">
        <w:trPr>
          <w:jc w:val="center"/>
        </w:trPr>
        <w:tc>
          <w:tcPr>
            <w:tcW w:w="8864" w:type="dxa"/>
            <w:gridSpan w:val="2"/>
          </w:tcPr>
          <w:bookmarkEnd w:id="28"/>
          <w:bookmarkEnd w:id="29"/>
          <w:p w:rsidR="00C5223A" w:rsidRPr="00D37799" w:rsidRDefault="00C5223A" w:rsidP="00F53BDE">
            <w:pPr>
              <w:pStyle w:val="DQIMainRowHeadings"/>
              <w:rPr>
                <w:rFonts w:cs="Arial"/>
              </w:rPr>
            </w:pPr>
            <w:r w:rsidRPr="00D37799">
              <w:t>Indicator definition and description</w:t>
            </w:r>
          </w:p>
        </w:tc>
      </w:tr>
      <w:tr w:rsidR="00C5223A" w:rsidRPr="00D37799" w:rsidTr="00972BB7">
        <w:trPr>
          <w:jc w:val="center"/>
        </w:trPr>
        <w:tc>
          <w:tcPr>
            <w:tcW w:w="1800" w:type="dxa"/>
          </w:tcPr>
          <w:p w:rsidR="00C5223A" w:rsidRPr="00D37799" w:rsidRDefault="00C5223A" w:rsidP="00F53BDE">
            <w:pPr>
              <w:pStyle w:val="DQIRowHeadings"/>
            </w:pPr>
            <w:r w:rsidRPr="00D37799">
              <w:t>Element</w:t>
            </w:r>
          </w:p>
        </w:tc>
        <w:tc>
          <w:tcPr>
            <w:tcW w:w="7064" w:type="dxa"/>
          </w:tcPr>
          <w:p w:rsidR="00C5223A" w:rsidRPr="00D37799" w:rsidRDefault="00C5223A" w:rsidP="00F53BDE">
            <w:pPr>
              <w:pStyle w:val="DQITableText"/>
            </w:pPr>
            <w:r w:rsidRPr="00D37799">
              <w:t>Equity — Access</w:t>
            </w:r>
          </w:p>
        </w:tc>
      </w:tr>
      <w:tr w:rsidR="00C5223A" w:rsidRPr="00D37799" w:rsidTr="00972BB7">
        <w:trPr>
          <w:jc w:val="center"/>
        </w:trPr>
        <w:tc>
          <w:tcPr>
            <w:tcW w:w="1800" w:type="dxa"/>
          </w:tcPr>
          <w:p w:rsidR="00C5223A" w:rsidRPr="00D37799" w:rsidRDefault="00C5223A" w:rsidP="00F53BDE">
            <w:pPr>
              <w:pStyle w:val="DQIRowHeadings"/>
            </w:pPr>
            <w:r w:rsidRPr="00D37799">
              <w:t>Indicator</w:t>
            </w:r>
          </w:p>
        </w:tc>
        <w:tc>
          <w:tcPr>
            <w:tcW w:w="7064" w:type="dxa"/>
          </w:tcPr>
          <w:p w:rsidR="00C5223A" w:rsidRPr="00D37799" w:rsidRDefault="00842E2A" w:rsidP="00F53BDE">
            <w:pPr>
              <w:pStyle w:val="DQITableText"/>
            </w:pPr>
            <w:r>
              <w:t xml:space="preserve">Attendance and </w:t>
            </w:r>
            <w:r w:rsidR="00C5223A" w:rsidRPr="00D37799">
              <w:t>Participation</w:t>
            </w:r>
          </w:p>
        </w:tc>
      </w:tr>
      <w:tr w:rsidR="00C5223A" w:rsidRPr="00D37799" w:rsidTr="00972BB7">
        <w:trPr>
          <w:jc w:val="center"/>
        </w:trPr>
        <w:tc>
          <w:tcPr>
            <w:tcW w:w="1800" w:type="dxa"/>
          </w:tcPr>
          <w:p w:rsidR="00C5223A" w:rsidRPr="00D37799" w:rsidRDefault="00C5223A" w:rsidP="00F53BDE">
            <w:pPr>
              <w:pStyle w:val="DQIRowHeadings"/>
            </w:pPr>
            <w:r w:rsidRPr="00D37799">
              <w:t>Measure (computation)</w:t>
            </w:r>
          </w:p>
        </w:tc>
        <w:tc>
          <w:tcPr>
            <w:tcW w:w="7064" w:type="dxa"/>
          </w:tcPr>
          <w:p w:rsidR="00C5223A" w:rsidRPr="00D37799" w:rsidRDefault="00C5223A" w:rsidP="00F53BDE">
            <w:pPr>
              <w:pStyle w:val="DQITableText"/>
              <w:rPr>
                <w:u w:val="single"/>
              </w:rPr>
            </w:pPr>
            <w:r w:rsidRPr="00D37799">
              <w:rPr>
                <w:u w:val="single"/>
              </w:rPr>
              <w:t>Definition</w:t>
            </w:r>
          </w:p>
          <w:p w:rsidR="00C5223A" w:rsidRPr="00D37799" w:rsidRDefault="00C5223A" w:rsidP="00F53BDE">
            <w:pPr>
              <w:pStyle w:val="DQITableText"/>
            </w:pPr>
            <w:r w:rsidRPr="00D37799">
              <w:t>The number of full</w:t>
            </w:r>
            <w:r>
              <w:t>-</w:t>
            </w:r>
            <w:r w:rsidRPr="00D37799">
              <w:t>time and part</w:t>
            </w:r>
            <w:r>
              <w:t>-</w:t>
            </w:r>
            <w:r w:rsidRPr="00D37799">
              <w:t>time school students of a particular age expressed as a proportion of the estimated resident population of the same age, for each year for 1</w:t>
            </w:r>
            <w:r w:rsidR="0025682C">
              <w:t>5</w:t>
            </w:r>
            <w:r w:rsidRPr="00D37799">
              <w:t>–19 year olds.</w:t>
            </w:r>
          </w:p>
          <w:p w:rsidR="00C5223A" w:rsidRPr="00D37799" w:rsidRDefault="00C5223A" w:rsidP="00F53BDE">
            <w:pPr>
              <w:pStyle w:val="DQITableText"/>
              <w:rPr>
                <w:u w:val="single"/>
              </w:rPr>
            </w:pPr>
            <w:r w:rsidRPr="00D37799">
              <w:rPr>
                <w:u w:val="single"/>
              </w:rPr>
              <w:t>Numerator/s</w:t>
            </w:r>
          </w:p>
          <w:p w:rsidR="00C5223A" w:rsidRPr="00D37799" w:rsidRDefault="00C5223A" w:rsidP="00F53BDE">
            <w:pPr>
              <w:pStyle w:val="DQITableText"/>
            </w:pPr>
            <w:r w:rsidRPr="00D37799">
              <w:t>Number of full and part</w:t>
            </w:r>
            <w:r>
              <w:t>-</w:t>
            </w:r>
            <w:r w:rsidRPr="00D37799">
              <w:t xml:space="preserve">time students of specific ages: 15, 16, 17, 18, 19 and </w:t>
            </w:r>
            <w:r w:rsidR="00F53BDE">
              <w:br/>
            </w:r>
            <w:r w:rsidRPr="00D37799">
              <w:t>1</w:t>
            </w:r>
            <w:r w:rsidR="0025682C">
              <w:t>5</w:t>
            </w:r>
            <w:r w:rsidRPr="00D37799">
              <w:t>–19.</w:t>
            </w:r>
          </w:p>
          <w:p w:rsidR="00C5223A" w:rsidRPr="00D37799" w:rsidRDefault="00C5223A" w:rsidP="00F53BDE">
            <w:pPr>
              <w:pStyle w:val="DQITableText"/>
              <w:rPr>
                <w:u w:val="single"/>
              </w:rPr>
            </w:pPr>
            <w:r w:rsidRPr="00D37799">
              <w:rPr>
                <w:u w:val="single"/>
              </w:rPr>
              <w:t>Denominator/s</w:t>
            </w:r>
          </w:p>
          <w:p w:rsidR="00C5223A" w:rsidRPr="00D37799" w:rsidRDefault="00C5223A" w:rsidP="00F53BDE">
            <w:pPr>
              <w:pStyle w:val="DQITableText"/>
            </w:pPr>
            <w:r w:rsidRPr="00D37799">
              <w:t>Estimated resident population for these age groups, based on 20</w:t>
            </w:r>
            <w:r>
              <w:t>11</w:t>
            </w:r>
            <w:r w:rsidRPr="00D37799">
              <w:t xml:space="preserve"> Census of Population and Housing.</w:t>
            </w:r>
          </w:p>
          <w:p w:rsidR="00C5223A" w:rsidRPr="00D37799" w:rsidRDefault="00C5223A" w:rsidP="00F53BDE">
            <w:pPr>
              <w:pStyle w:val="DQITableText"/>
              <w:rPr>
                <w:u w:val="single"/>
              </w:rPr>
            </w:pPr>
            <w:r w:rsidRPr="00D37799">
              <w:rPr>
                <w:u w:val="single"/>
              </w:rPr>
              <w:t>Computation/s:</w:t>
            </w:r>
          </w:p>
          <w:p w:rsidR="00C5223A" w:rsidRPr="00D37799" w:rsidRDefault="00C5223A" w:rsidP="00F53BDE">
            <w:pPr>
              <w:pStyle w:val="DQITableText"/>
            </w:pPr>
            <w:r w:rsidRPr="00D37799">
              <w:rPr>
                <w:rFonts w:cs="Arial"/>
              </w:rPr>
              <w:t>The number of full and part</w:t>
            </w:r>
            <w:r>
              <w:rPr>
                <w:rFonts w:cs="Arial"/>
              </w:rPr>
              <w:t>-</w:t>
            </w:r>
            <w:r w:rsidRPr="00D37799">
              <w:rPr>
                <w:rFonts w:cs="Arial"/>
              </w:rPr>
              <w:t>time students as a proportion of the estimated resident population. These are provided by jurisdiction</w:t>
            </w:r>
            <w:r>
              <w:rPr>
                <w:rFonts w:cs="Arial"/>
              </w:rPr>
              <w:t>s</w:t>
            </w:r>
            <w:r w:rsidRPr="00D37799">
              <w:rPr>
                <w:rFonts w:cs="Arial"/>
              </w:rPr>
              <w:t xml:space="preserve"> and disaggregated by sex.</w:t>
            </w:r>
          </w:p>
        </w:tc>
      </w:tr>
      <w:tr w:rsidR="00C5223A" w:rsidRPr="00D37799" w:rsidTr="00972BB7">
        <w:trPr>
          <w:jc w:val="center"/>
        </w:trPr>
        <w:tc>
          <w:tcPr>
            <w:tcW w:w="1800" w:type="dxa"/>
          </w:tcPr>
          <w:p w:rsidR="00C5223A" w:rsidRPr="00D37799" w:rsidRDefault="00C5223A" w:rsidP="00F53BDE">
            <w:pPr>
              <w:pStyle w:val="DQIRowHeadings"/>
            </w:pPr>
            <w:r w:rsidRPr="00D37799">
              <w:t>Data source/s</w:t>
            </w:r>
          </w:p>
        </w:tc>
        <w:tc>
          <w:tcPr>
            <w:tcW w:w="7064" w:type="dxa"/>
          </w:tcPr>
          <w:p w:rsidR="00C5223A" w:rsidRPr="00D37799" w:rsidRDefault="00C5223A" w:rsidP="00F53BDE">
            <w:pPr>
              <w:pStyle w:val="DQITableText"/>
              <w:rPr>
                <w:u w:val="single"/>
              </w:rPr>
            </w:pPr>
            <w:r w:rsidRPr="00D37799">
              <w:rPr>
                <w:u w:val="single"/>
              </w:rPr>
              <w:t xml:space="preserve">Numerator and Denominator </w:t>
            </w:r>
          </w:p>
          <w:p w:rsidR="00C5223A" w:rsidRPr="00D37799" w:rsidRDefault="00C5223A" w:rsidP="00F53BDE">
            <w:pPr>
              <w:pStyle w:val="DQITableText"/>
            </w:pPr>
            <w:r w:rsidRPr="00D37799">
              <w:t>Numerator: ABS Schools Australia (various years)</w:t>
            </w:r>
            <w:r>
              <w:t xml:space="preserve"> (</w:t>
            </w:r>
            <w:r w:rsidRPr="00D37799">
              <w:t>cat. no. 4221.0</w:t>
            </w:r>
            <w:r>
              <w:t>)</w:t>
            </w:r>
            <w:r w:rsidRPr="00D37799">
              <w:t xml:space="preserve">; </w:t>
            </w:r>
            <w:r w:rsidR="00954AD3">
              <w:t>Education Council</w:t>
            </w:r>
            <w:r w:rsidRPr="00D37799">
              <w:t xml:space="preserve"> National Schools Statistics Collection (</w:t>
            </w:r>
            <w:proofErr w:type="spellStart"/>
            <w:r w:rsidRPr="00D37799">
              <w:t>NSSC</w:t>
            </w:r>
            <w:proofErr w:type="spellEnd"/>
            <w:r w:rsidRPr="00D37799">
              <w:t>) data; and unpublished data from Schools, Australia.</w:t>
            </w:r>
          </w:p>
          <w:p w:rsidR="00C5223A" w:rsidRPr="00D37799" w:rsidRDefault="00C5223A" w:rsidP="00F53BDE">
            <w:pPr>
              <w:pStyle w:val="DQITableText"/>
            </w:pPr>
            <w:r w:rsidRPr="00D37799">
              <w:rPr>
                <w:u w:val="single"/>
              </w:rPr>
              <w:t>Denominator</w:t>
            </w:r>
            <w:r w:rsidRPr="00D37799">
              <w:t xml:space="preserve"> – ABS Estimated Resident Population (total population) Data are available annually. </w:t>
            </w:r>
          </w:p>
          <w:p w:rsidR="00C5223A" w:rsidRPr="00D37799" w:rsidRDefault="00C5223A" w:rsidP="00F53BDE">
            <w:pPr>
              <w:pStyle w:val="DQITableText"/>
            </w:pPr>
            <w:r w:rsidRPr="00D37799">
              <w:t>The participation rate is supplied directly to the review, but the numerator and denominator on which it is based are not.</w:t>
            </w:r>
          </w:p>
          <w:p w:rsidR="00C5223A" w:rsidRPr="00D37799" w:rsidRDefault="00C5223A" w:rsidP="00F53BDE">
            <w:pPr>
              <w:pStyle w:val="DQITableText"/>
            </w:pPr>
            <w:r w:rsidRPr="00D37799">
              <w:t>All data are available annually.</w:t>
            </w:r>
          </w:p>
        </w:tc>
      </w:tr>
      <w:tr w:rsidR="00C5223A" w:rsidRPr="00D37799" w:rsidTr="00972BB7">
        <w:trPr>
          <w:jc w:val="center"/>
        </w:trPr>
        <w:tc>
          <w:tcPr>
            <w:tcW w:w="8864" w:type="dxa"/>
            <w:gridSpan w:val="2"/>
          </w:tcPr>
          <w:p w:rsidR="00C5223A" w:rsidRPr="00D37799" w:rsidRDefault="00C5223A" w:rsidP="00F53BDE">
            <w:pPr>
              <w:pStyle w:val="DQIMainRowHeadings"/>
              <w:rPr>
                <w:rFonts w:cs="Arial"/>
              </w:rPr>
            </w:pPr>
            <w:r w:rsidRPr="00D37799">
              <w:t>Data Quality Framework Dimensions</w:t>
            </w:r>
          </w:p>
        </w:tc>
      </w:tr>
      <w:tr w:rsidR="00C5223A" w:rsidRPr="00D37799" w:rsidTr="00972BB7">
        <w:trPr>
          <w:jc w:val="center"/>
        </w:trPr>
        <w:tc>
          <w:tcPr>
            <w:tcW w:w="1800" w:type="dxa"/>
          </w:tcPr>
          <w:p w:rsidR="00C5223A" w:rsidRPr="00D37799" w:rsidRDefault="00C5223A" w:rsidP="00F53BDE">
            <w:pPr>
              <w:pStyle w:val="DQIRowHeadings"/>
            </w:pPr>
            <w:r w:rsidRPr="00D37799">
              <w:t>Institutional environment</w:t>
            </w:r>
          </w:p>
        </w:tc>
        <w:tc>
          <w:tcPr>
            <w:tcW w:w="7064" w:type="dxa"/>
          </w:tcPr>
          <w:p w:rsidR="00C5223A" w:rsidRPr="00D37799" w:rsidRDefault="00C5223A" w:rsidP="00F53BDE">
            <w:pPr>
              <w:pStyle w:val="DQITableText"/>
            </w:pPr>
            <w:r w:rsidRPr="00D37799">
              <w:t>Data on government and non-government schools are collected from administrative school enrolment databases and collated by the ABS through the non-finance National Schools Statistics Collection (</w:t>
            </w:r>
            <w:proofErr w:type="spellStart"/>
            <w:r w:rsidRPr="00D37799">
              <w:t>NSSC</w:t>
            </w:r>
            <w:proofErr w:type="spellEnd"/>
            <w:r w:rsidRPr="00D37799">
              <w:t xml:space="preserve">) and are based on the annual School census. This collection was established through the work of the former </w:t>
            </w:r>
            <w:proofErr w:type="spellStart"/>
            <w:r w:rsidRPr="00D37799">
              <w:t>MCEETYA</w:t>
            </w:r>
            <w:proofErr w:type="spellEnd"/>
            <w:r w:rsidRPr="00D37799">
              <w:t xml:space="preserve">. </w:t>
            </w:r>
          </w:p>
          <w:p w:rsidR="00C5223A" w:rsidRPr="00D37799" w:rsidRDefault="00C5223A" w:rsidP="00F53BDE">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r w:rsidRPr="00D37799">
              <w:t xml:space="preserve"> </w:t>
            </w:r>
          </w:p>
        </w:tc>
      </w:tr>
      <w:tr w:rsidR="00C5223A" w:rsidRPr="00D37799" w:rsidTr="00972BB7">
        <w:trPr>
          <w:jc w:val="center"/>
        </w:trPr>
        <w:tc>
          <w:tcPr>
            <w:tcW w:w="1800" w:type="dxa"/>
          </w:tcPr>
          <w:p w:rsidR="00C5223A" w:rsidRPr="00D37799" w:rsidRDefault="00C5223A" w:rsidP="00F53BDE">
            <w:pPr>
              <w:pStyle w:val="DQIRowHeadings"/>
            </w:pPr>
            <w:r w:rsidRPr="00D37799">
              <w:t>Relevance</w:t>
            </w:r>
          </w:p>
        </w:tc>
        <w:tc>
          <w:tcPr>
            <w:tcW w:w="7064" w:type="dxa"/>
          </w:tcPr>
          <w:p w:rsidR="00C5223A" w:rsidRPr="00D37799" w:rsidRDefault="00C5223A" w:rsidP="00F53BDE">
            <w:pPr>
              <w:pStyle w:val="DQITableText"/>
            </w:pPr>
            <w:r w:rsidRPr="00D37799">
              <w:t>School student data are available by state/territory and for full</w:t>
            </w:r>
            <w:r>
              <w:t>-</w:t>
            </w:r>
            <w:r w:rsidRPr="00D37799">
              <w:t>time students and full plus part</w:t>
            </w:r>
            <w:r>
              <w:t>-</w:t>
            </w:r>
            <w:r w:rsidRPr="00D37799">
              <w:t xml:space="preserve">time students. Rates are based on school students as a proportion of the estimated resident population. </w:t>
            </w:r>
          </w:p>
          <w:p w:rsidR="00C5223A" w:rsidRPr="00D37799" w:rsidRDefault="00C5223A" w:rsidP="00F53BDE">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Data covers all students enrolled in school, some of whom may be taking a VET course.</w:t>
            </w:r>
          </w:p>
        </w:tc>
      </w:tr>
      <w:tr w:rsidR="00C5223A" w:rsidRPr="00D37799" w:rsidTr="00972BB7">
        <w:trPr>
          <w:jc w:val="center"/>
        </w:trPr>
        <w:tc>
          <w:tcPr>
            <w:tcW w:w="1800" w:type="dxa"/>
          </w:tcPr>
          <w:p w:rsidR="00C5223A" w:rsidRPr="00D37799" w:rsidRDefault="00C5223A" w:rsidP="00F53BDE">
            <w:pPr>
              <w:pStyle w:val="DQIRowHeadings"/>
            </w:pPr>
            <w:r w:rsidRPr="00D37799">
              <w:t>Timeliness</w:t>
            </w:r>
          </w:p>
        </w:tc>
        <w:tc>
          <w:tcPr>
            <w:tcW w:w="7064" w:type="dxa"/>
          </w:tcPr>
          <w:p w:rsidR="00C5223A" w:rsidRPr="00D37799" w:rsidRDefault="00C5223A" w:rsidP="0025682C">
            <w:pPr>
              <w:pStyle w:val="DQITableText"/>
            </w:pPr>
            <w:r w:rsidRPr="00D37799">
              <w:t xml:space="preserve">The </w:t>
            </w:r>
            <w:proofErr w:type="spellStart"/>
            <w:r w:rsidRPr="00D37799">
              <w:t>NSSC</w:t>
            </w:r>
            <w:proofErr w:type="spellEnd"/>
            <w:r w:rsidRPr="00D37799">
              <w:t xml:space="preserve"> is based on the school census that is conducted annually on the first Friday in August by each state and territory department of education. The results from the 201</w:t>
            </w:r>
            <w:r w:rsidR="0025682C">
              <w:t>4</w:t>
            </w:r>
            <w:r w:rsidRPr="00D37799">
              <w:t xml:space="preserve"> </w:t>
            </w:r>
            <w:proofErr w:type="spellStart"/>
            <w:r w:rsidRPr="00D37799">
              <w:t>NSSC</w:t>
            </w:r>
            <w:proofErr w:type="spellEnd"/>
            <w:r w:rsidRPr="00D37799">
              <w:t xml:space="preserve"> were released in March 201</w:t>
            </w:r>
            <w:r w:rsidR="0025682C">
              <w:t>5</w:t>
            </w:r>
            <w:r w:rsidRPr="00D37799">
              <w:t>.</w:t>
            </w:r>
          </w:p>
        </w:tc>
      </w:tr>
      <w:tr w:rsidR="00C5223A" w:rsidRPr="00D37799" w:rsidTr="00972BB7">
        <w:trPr>
          <w:jc w:val="center"/>
        </w:trPr>
        <w:tc>
          <w:tcPr>
            <w:tcW w:w="1800" w:type="dxa"/>
          </w:tcPr>
          <w:p w:rsidR="00C5223A" w:rsidRPr="00D37799" w:rsidRDefault="00C5223A" w:rsidP="00F53BDE">
            <w:pPr>
              <w:pStyle w:val="DQIRowHeadings"/>
            </w:pPr>
            <w:r w:rsidRPr="00D37799">
              <w:t>Accuracy</w:t>
            </w:r>
          </w:p>
        </w:tc>
        <w:tc>
          <w:tcPr>
            <w:tcW w:w="7064" w:type="dxa"/>
          </w:tcPr>
          <w:p w:rsidR="00C5223A" w:rsidRPr="00D37799" w:rsidRDefault="00C5223A" w:rsidP="00F53BDE">
            <w:pPr>
              <w:pStyle w:val="DQITableText"/>
            </w:pPr>
            <w:r w:rsidRPr="00D37799">
              <w:t xml:space="preserve">Each school provides information on their enrolments to the relevant state education department, which then forwards aggregate data to the ABS. The collection of data on students in non-government schools is coordinated through the </w:t>
            </w:r>
            <w:r>
              <w:t>Australian Government Department of Education</w:t>
            </w:r>
            <w:r w:rsidR="00954AD3">
              <w:t xml:space="preserve"> and Training</w:t>
            </w:r>
            <w:r w:rsidRPr="00D37799">
              <w:t xml:space="preserve">. </w:t>
            </w:r>
          </w:p>
          <w:p w:rsidR="00C5223A" w:rsidRPr="00D37799" w:rsidRDefault="00C5223A" w:rsidP="00F53BDE">
            <w:pPr>
              <w:pStyle w:val="DQITableText"/>
            </w:pPr>
            <w:r w:rsidRPr="00D37799">
              <w:lastRenderedPageBreak/>
              <w:t xml:space="preserve">The </w:t>
            </w:r>
            <w:proofErr w:type="spellStart"/>
            <w:r w:rsidRPr="00D37799">
              <w:t>NSSC</w:t>
            </w:r>
            <w:proofErr w:type="spellEnd"/>
            <w:r w:rsidRPr="00D37799">
              <w:t xml:space="preserve"> is based on information on each student enrolled at the time of the school census.</w:t>
            </w:r>
          </w:p>
        </w:tc>
      </w:tr>
      <w:tr w:rsidR="00C5223A" w:rsidRPr="00D37799" w:rsidTr="00972BB7">
        <w:trPr>
          <w:jc w:val="center"/>
        </w:trPr>
        <w:tc>
          <w:tcPr>
            <w:tcW w:w="1800" w:type="dxa"/>
          </w:tcPr>
          <w:p w:rsidR="00C5223A" w:rsidRPr="00D37799" w:rsidRDefault="00C5223A" w:rsidP="00F53BDE">
            <w:pPr>
              <w:pStyle w:val="DQIRowHeadings"/>
            </w:pPr>
            <w:r w:rsidRPr="00D37799">
              <w:lastRenderedPageBreak/>
              <w:t>Coherence</w:t>
            </w:r>
          </w:p>
        </w:tc>
        <w:tc>
          <w:tcPr>
            <w:tcW w:w="7064" w:type="dxa"/>
          </w:tcPr>
          <w:p w:rsidR="00C5223A" w:rsidRPr="00D37799" w:rsidRDefault="00C5223A" w:rsidP="00F53BDE">
            <w:pPr>
              <w:pStyle w:val="DQITableText"/>
            </w:pPr>
            <w:r w:rsidRPr="00D37799">
              <w:t>Rates are based on school students as a proportion of the estimated resident population from the five-yearly Census of Population and Housing for the relevant age group. Data items are consistent over time.</w:t>
            </w:r>
          </w:p>
          <w:p w:rsidR="00C5223A" w:rsidRPr="00D37799" w:rsidRDefault="00C5223A" w:rsidP="00F53BDE">
            <w:pPr>
              <w:pStyle w:val="DQITableText"/>
            </w:pPr>
            <w:r w:rsidRPr="00D37799">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C5223A" w:rsidRPr="00D37799" w:rsidRDefault="00C5223A" w:rsidP="00F53BDE">
            <w:pPr>
              <w:pStyle w:val="DQITableText"/>
            </w:pPr>
            <w:r>
              <w:t>Cross bo</w:t>
            </w:r>
            <w:r w:rsidRPr="00D37799">
              <w:t>rder enrolments may affect consistency between the populations at the numerator and denominator.</w:t>
            </w:r>
          </w:p>
          <w:p w:rsidR="00C5223A" w:rsidRPr="00D37799" w:rsidRDefault="00C5223A" w:rsidP="00F53BDE">
            <w:pPr>
              <w:pStyle w:val="DQITableText"/>
            </w:pPr>
            <w:r w:rsidRPr="00D37799">
              <w:t>Each state and territory government reports on school students. The Australian Curriculum Assessment &amp; Reporting Authority (ACARA) also reports on school students and the five-yearly Census of Population and Housing includes information on children attending school.</w:t>
            </w:r>
          </w:p>
        </w:tc>
      </w:tr>
      <w:tr w:rsidR="00C5223A" w:rsidRPr="00D37799" w:rsidTr="00972BB7">
        <w:trPr>
          <w:jc w:val="center"/>
        </w:trPr>
        <w:tc>
          <w:tcPr>
            <w:tcW w:w="1800" w:type="dxa"/>
          </w:tcPr>
          <w:p w:rsidR="00C5223A" w:rsidRPr="00D37799" w:rsidRDefault="00C5223A" w:rsidP="00F53BDE">
            <w:pPr>
              <w:pStyle w:val="DQIRowHeadings"/>
            </w:pPr>
            <w:r w:rsidRPr="00D37799">
              <w:t>Accessibility</w:t>
            </w:r>
          </w:p>
        </w:tc>
        <w:tc>
          <w:tcPr>
            <w:tcW w:w="7064" w:type="dxa"/>
          </w:tcPr>
          <w:p w:rsidR="00C5223A" w:rsidRPr="00D37799" w:rsidRDefault="00C5223A" w:rsidP="00F53BDE">
            <w:pPr>
              <w:pStyle w:val="DQITableText"/>
            </w:pPr>
            <w:r w:rsidRPr="00D37799">
              <w:rPr>
                <w:rFonts w:cs="Arial"/>
                <w:u w:val="single"/>
              </w:rPr>
              <w:t>Schools, Australia</w:t>
            </w:r>
            <w:r w:rsidRPr="00D37799">
              <w:t xml:space="preserve"> (cat. no. 4221.0) includes explanatory notes and a glossary available on the ABS website. </w:t>
            </w:r>
          </w:p>
        </w:tc>
      </w:tr>
      <w:tr w:rsidR="00C5223A" w:rsidRPr="00D37799" w:rsidTr="00972BB7">
        <w:trPr>
          <w:jc w:val="center"/>
        </w:trPr>
        <w:tc>
          <w:tcPr>
            <w:tcW w:w="1800" w:type="dxa"/>
          </w:tcPr>
          <w:p w:rsidR="00C5223A" w:rsidRPr="00D37799" w:rsidRDefault="00C5223A" w:rsidP="00F53BDE">
            <w:pPr>
              <w:pStyle w:val="DQIRowHeadings"/>
            </w:pPr>
            <w:r w:rsidRPr="00D37799">
              <w:t>Interpretability</w:t>
            </w:r>
          </w:p>
        </w:tc>
        <w:tc>
          <w:tcPr>
            <w:tcW w:w="7064" w:type="dxa"/>
          </w:tcPr>
          <w:p w:rsidR="00C5223A" w:rsidRPr="00D37799" w:rsidRDefault="00C5223A" w:rsidP="00F53BDE">
            <w:pPr>
              <w:pStyle w:val="DQITableText"/>
            </w:pPr>
            <w:r w:rsidRPr="00D37799">
              <w:t xml:space="preserve">Predominantly national level information is published in </w:t>
            </w:r>
            <w:r w:rsidRPr="00D37799">
              <w:rPr>
                <w:rFonts w:cs="Arial"/>
                <w:u w:val="single"/>
              </w:rPr>
              <w:t>Schools Australia</w:t>
            </w:r>
            <w:r w:rsidRPr="00D37799">
              <w:t xml:space="preserve"> (cat. no. 4221.0) on the ABS website. A range of time series data cubes, with a focus on state/territory level information, is also available on the ABS website.</w:t>
            </w:r>
          </w:p>
        </w:tc>
      </w:tr>
      <w:tr w:rsidR="00C5223A" w:rsidRPr="00D37799" w:rsidTr="00972BB7">
        <w:trPr>
          <w:jc w:val="center"/>
        </w:trPr>
        <w:tc>
          <w:tcPr>
            <w:tcW w:w="8864" w:type="dxa"/>
            <w:gridSpan w:val="2"/>
          </w:tcPr>
          <w:p w:rsidR="00C5223A" w:rsidRPr="00D37799" w:rsidRDefault="00C5223A" w:rsidP="00F53BDE">
            <w:pPr>
              <w:pStyle w:val="DQIMainRowHeadings"/>
            </w:pPr>
            <w:r w:rsidRPr="00D37799">
              <w:t>Data Gaps/Issues Analysis</w:t>
            </w:r>
          </w:p>
        </w:tc>
      </w:tr>
      <w:tr w:rsidR="00C5223A" w:rsidRPr="00D37799" w:rsidTr="00972BB7">
        <w:trPr>
          <w:jc w:val="center"/>
        </w:trPr>
        <w:tc>
          <w:tcPr>
            <w:tcW w:w="1800" w:type="dxa"/>
          </w:tcPr>
          <w:p w:rsidR="00C5223A" w:rsidRPr="00D37799" w:rsidRDefault="00C5223A" w:rsidP="00F53BDE">
            <w:pPr>
              <w:pStyle w:val="DQIRowHeadings"/>
            </w:pPr>
            <w:r w:rsidRPr="00D37799">
              <w:t>Key data gaps/issues</w:t>
            </w:r>
          </w:p>
        </w:tc>
        <w:tc>
          <w:tcPr>
            <w:tcW w:w="7064" w:type="dxa"/>
          </w:tcPr>
          <w:p w:rsidR="00C5223A" w:rsidRPr="00D37799" w:rsidRDefault="00C5223A" w:rsidP="00F53BDE">
            <w:pPr>
              <w:pStyle w:val="DQITableText"/>
            </w:pPr>
            <w:r w:rsidRPr="00D37799">
              <w:t xml:space="preserve">The Steering Committee notes the following issues: </w:t>
            </w:r>
          </w:p>
          <w:p w:rsidR="00C5223A" w:rsidRPr="00D37799" w:rsidRDefault="00C5223A" w:rsidP="00F53BDE">
            <w:pPr>
              <w:pStyle w:val="DQITableBullet"/>
            </w:pPr>
            <w:r w:rsidRPr="00D37799">
              <w:t>This indicator does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w:t>
            </w:r>
            <w:r>
              <w:t>Child care, education and training</w:t>
            </w:r>
            <w:r w:rsidRPr="00D37799">
              <w:t xml:space="preserve"> sector </w:t>
            </w:r>
            <w:r>
              <w:t>overview</w:t>
            </w:r>
            <w:r w:rsidRPr="00D37799">
              <w:t>’.</w:t>
            </w:r>
          </w:p>
        </w:tc>
      </w:tr>
    </w:tbl>
    <w:p w:rsidR="00C5223A" w:rsidRPr="00D37799" w:rsidRDefault="00C5223A" w:rsidP="00F53BDE">
      <w:pPr>
        <w:pStyle w:val="BodyText"/>
      </w:pPr>
    </w:p>
    <w:p w:rsidR="00C04CC9" w:rsidRPr="00D37799" w:rsidRDefault="00C04CC9" w:rsidP="00F53BDE">
      <w:pPr>
        <w:pStyle w:val="BodyText"/>
      </w:pPr>
    </w:p>
    <w:p w:rsidR="00D37799" w:rsidRDefault="00D37799" w:rsidP="00F53BDE">
      <w:pPr>
        <w:pStyle w:val="Heading3"/>
      </w:pPr>
      <w:bookmarkStart w:id="30" w:name="_Toc439840521"/>
      <w:bookmarkStart w:id="31" w:name="_Toc282094184"/>
      <w:r w:rsidRPr="00D37799">
        <w:lastRenderedPageBreak/>
        <w:t xml:space="preserve">Participation (the </w:t>
      </w:r>
      <w:r w:rsidRPr="00F53BDE">
        <w:t>proportion</w:t>
      </w:r>
      <w:r w:rsidRPr="00D37799">
        <w:t xml:space="preserve"> of 15–19 year olds who have successfully completed at least one unit of competency as part of a VET qualification at </w:t>
      </w:r>
      <w:proofErr w:type="spellStart"/>
      <w:r w:rsidRPr="00D37799">
        <w:t>AQF</w:t>
      </w:r>
      <w:proofErr w:type="spellEnd"/>
      <w:r w:rsidRPr="00D37799">
        <w:t xml:space="preserve"> Certificate II or above)</w:t>
      </w:r>
      <w:bookmarkEnd w:id="30"/>
    </w:p>
    <w:p w:rsidR="0099630B" w:rsidRPr="00D37799" w:rsidRDefault="0099630B" w:rsidP="00F53BDE">
      <w:pPr>
        <w:pStyle w:val="Box"/>
      </w:pPr>
      <w:r w:rsidRPr="00D37799">
        <w:t xml:space="preserve">Data quality information for this indicator has been drafted by the Secretariat in consultation with </w:t>
      </w:r>
      <w:proofErr w:type="spellStart"/>
      <w:r w:rsidRPr="00D37799">
        <w:t>NCVER</w:t>
      </w:r>
      <w:proofErr w:type="spellEnd"/>
      <w:r w:rsidRPr="00D37799">
        <w:t xml:space="preserve"> and the ABS, with additional Steering Committee comments.</w:t>
      </w:r>
    </w:p>
    <w:tbl>
      <w:tblPr>
        <w:tblW w:w="8732" w:type="dxa"/>
        <w:jc w:val="center"/>
        <w:tblLook w:val="01E0" w:firstRow="1" w:lastRow="1" w:firstColumn="1" w:lastColumn="1" w:noHBand="0" w:noVBand="0"/>
      </w:tblPr>
      <w:tblGrid>
        <w:gridCol w:w="1772"/>
        <w:gridCol w:w="3587"/>
        <w:gridCol w:w="3373"/>
      </w:tblGrid>
      <w:tr w:rsidR="0099630B" w:rsidRPr="00D37799" w:rsidTr="00955A88">
        <w:trPr>
          <w:jc w:val="center"/>
        </w:trPr>
        <w:tc>
          <w:tcPr>
            <w:tcW w:w="8732" w:type="dxa"/>
            <w:gridSpan w:val="3"/>
          </w:tcPr>
          <w:p w:rsidR="0099630B" w:rsidRPr="00D37799" w:rsidRDefault="0099630B" w:rsidP="00F53BDE">
            <w:pPr>
              <w:pStyle w:val="DQIMainRowHeadings"/>
              <w:rPr>
                <w:rFonts w:cs="Arial"/>
                <w:sz w:val="22"/>
                <w:szCs w:val="22"/>
              </w:rPr>
            </w:pPr>
            <w:r w:rsidRPr="00D37799">
              <w:br w:type="page"/>
              <w:t xml:space="preserve">Indicator definition and description </w:t>
            </w:r>
          </w:p>
        </w:tc>
      </w:tr>
      <w:tr w:rsidR="0099630B" w:rsidRPr="00D37799" w:rsidTr="00955A88">
        <w:trPr>
          <w:jc w:val="center"/>
        </w:trPr>
        <w:tc>
          <w:tcPr>
            <w:tcW w:w="1772" w:type="dxa"/>
          </w:tcPr>
          <w:p w:rsidR="0099630B" w:rsidRPr="00D37799" w:rsidRDefault="0099630B" w:rsidP="00F53BDE">
            <w:pPr>
              <w:pStyle w:val="DQIRowHeadings"/>
            </w:pPr>
            <w:r w:rsidRPr="00D37799">
              <w:t>Element</w:t>
            </w:r>
          </w:p>
        </w:tc>
        <w:tc>
          <w:tcPr>
            <w:tcW w:w="6960" w:type="dxa"/>
            <w:gridSpan w:val="2"/>
          </w:tcPr>
          <w:p w:rsidR="0099630B" w:rsidRPr="00D37799" w:rsidRDefault="0099630B" w:rsidP="00F53BDE">
            <w:pPr>
              <w:pStyle w:val="DQITableText"/>
            </w:pPr>
            <w:r w:rsidRPr="00D37799">
              <w:t xml:space="preserve">Equity </w:t>
            </w:r>
            <w:r w:rsidRPr="00D37799">
              <w:rPr>
                <w:rFonts w:cs="Arial"/>
              </w:rPr>
              <w:t>―</w:t>
            </w:r>
            <w:r w:rsidRPr="00D37799">
              <w:t xml:space="preserve"> Access</w:t>
            </w:r>
          </w:p>
        </w:tc>
      </w:tr>
      <w:tr w:rsidR="0099630B" w:rsidRPr="00D37799" w:rsidTr="00955A88">
        <w:trPr>
          <w:jc w:val="center"/>
        </w:trPr>
        <w:tc>
          <w:tcPr>
            <w:tcW w:w="1772" w:type="dxa"/>
          </w:tcPr>
          <w:p w:rsidR="0099630B" w:rsidRPr="00D37799" w:rsidRDefault="0099630B" w:rsidP="00F53BDE">
            <w:pPr>
              <w:pStyle w:val="DQIRowHeadings"/>
            </w:pPr>
            <w:r w:rsidRPr="00D37799">
              <w:t>Indicator</w:t>
            </w:r>
          </w:p>
        </w:tc>
        <w:tc>
          <w:tcPr>
            <w:tcW w:w="6960" w:type="dxa"/>
            <w:gridSpan w:val="2"/>
          </w:tcPr>
          <w:p w:rsidR="0099630B" w:rsidRPr="00D37799" w:rsidRDefault="0099630B" w:rsidP="00F53BDE">
            <w:pPr>
              <w:pStyle w:val="DQITableText"/>
            </w:pPr>
            <w:r w:rsidRPr="00D37799">
              <w:t>Attendance and participation</w:t>
            </w:r>
          </w:p>
        </w:tc>
      </w:tr>
      <w:tr w:rsidR="0099630B" w:rsidRPr="00D37799" w:rsidTr="00955A88">
        <w:trPr>
          <w:jc w:val="center"/>
        </w:trPr>
        <w:tc>
          <w:tcPr>
            <w:tcW w:w="1772" w:type="dxa"/>
          </w:tcPr>
          <w:p w:rsidR="0099630B" w:rsidRPr="00D37799" w:rsidRDefault="0099630B" w:rsidP="00F53BDE">
            <w:pPr>
              <w:pStyle w:val="DQIRowHeadings"/>
            </w:pPr>
            <w:r w:rsidRPr="00D37799">
              <w:t>Measure (computation)</w:t>
            </w:r>
          </w:p>
        </w:tc>
        <w:tc>
          <w:tcPr>
            <w:tcW w:w="6960" w:type="dxa"/>
            <w:gridSpan w:val="2"/>
          </w:tcPr>
          <w:p w:rsidR="0099630B" w:rsidRPr="00D37799" w:rsidRDefault="0099630B" w:rsidP="00F53BDE">
            <w:pPr>
              <w:pStyle w:val="DQITableText"/>
            </w:pPr>
            <w:r w:rsidRPr="00D37799">
              <w:rPr>
                <w:u w:val="single"/>
              </w:rPr>
              <w:t>Definition</w:t>
            </w:r>
          </w:p>
          <w:p w:rsidR="0099630B" w:rsidRPr="00D37799" w:rsidRDefault="0099630B" w:rsidP="00F53BDE">
            <w:pPr>
              <w:pStyle w:val="DQITableText"/>
            </w:pPr>
            <w:r w:rsidRPr="00D37799">
              <w:t xml:space="preserve">The proportion of 15–19 year olds who have successfully completed at least one unit of competency as part of a VET qualification at </w:t>
            </w:r>
            <w:proofErr w:type="spellStart"/>
            <w:r w:rsidRPr="00D37799">
              <w:t>AQF</w:t>
            </w:r>
            <w:proofErr w:type="spellEnd"/>
            <w:r w:rsidRPr="00D37799">
              <w:t xml:space="preserve"> Certificate II or above </w:t>
            </w:r>
          </w:p>
          <w:p w:rsidR="0099630B" w:rsidRPr="00D37799" w:rsidRDefault="0099630B" w:rsidP="00F53BDE">
            <w:pPr>
              <w:pStyle w:val="DQITableText"/>
            </w:pPr>
            <w:r w:rsidRPr="00D37799">
              <w:rPr>
                <w:u w:val="single"/>
              </w:rPr>
              <w:t>Numerator</w:t>
            </w:r>
            <w:r w:rsidRPr="00D37799">
              <w:t xml:space="preserve"> – number of 15–19 year olds who had successfully completed at least one unit of competency as part of a VET qualification at </w:t>
            </w:r>
            <w:proofErr w:type="spellStart"/>
            <w:r w:rsidRPr="00D37799">
              <w:t>AQF</w:t>
            </w:r>
            <w:proofErr w:type="spellEnd"/>
            <w:r w:rsidRPr="00D37799">
              <w:t xml:space="preserve"> Certificate II, at June 201</w:t>
            </w:r>
            <w:r w:rsidR="00790BCB">
              <w:t>3</w:t>
            </w:r>
            <w:r w:rsidRPr="00D37799">
              <w:t>.</w:t>
            </w:r>
          </w:p>
          <w:p w:rsidR="0099630B" w:rsidRPr="00D37799" w:rsidRDefault="0099630B" w:rsidP="00F53BDE">
            <w:pPr>
              <w:pStyle w:val="DQITableText"/>
            </w:pPr>
            <w:r w:rsidRPr="00D37799">
              <w:rPr>
                <w:u w:val="single"/>
              </w:rPr>
              <w:t>Denominator</w:t>
            </w:r>
            <w:r w:rsidRPr="00D37799">
              <w:t xml:space="preserve"> – The 15 to 19-year-old population at June 201</w:t>
            </w:r>
            <w:r w:rsidR="00790BCB">
              <w:t>3</w:t>
            </w:r>
            <w:r w:rsidRPr="00D37799">
              <w:t>.</w:t>
            </w:r>
          </w:p>
          <w:p w:rsidR="0099630B" w:rsidRPr="00D37799" w:rsidRDefault="0099630B" w:rsidP="00F53BDE">
            <w:pPr>
              <w:pStyle w:val="DQITableText"/>
            </w:pPr>
            <w:r w:rsidRPr="00D37799">
              <w:rPr>
                <w:u w:val="single"/>
              </w:rPr>
              <w:t>Computation</w:t>
            </w:r>
            <w:r w:rsidRPr="00D37799">
              <w:t>/s:</w:t>
            </w:r>
          </w:p>
          <w:p w:rsidR="0099630B" w:rsidRPr="00D37799" w:rsidRDefault="0099630B" w:rsidP="00F53BDE">
            <w:pPr>
              <w:pStyle w:val="DQITableText"/>
            </w:pPr>
            <w:r w:rsidRPr="00D37799">
              <w:t>Numerator (above) divided by denominator (above) for each jurisdiction.</w:t>
            </w:r>
          </w:p>
        </w:tc>
      </w:tr>
      <w:tr w:rsidR="0099630B" w:rsidRPr="00D37799" w:rsidTr="00955A88">
        <w:trPr>
          <w:jc w:val="center"/>
        </w:trPr>
        <w:tc>
          <w:tcPr>
            <w:tcW w:w="1772" w:type="dxa"/>
          </w:tcPr>
          <w:p w:rsidR="0099630B" w:rsidRPr="00D37799" w:rsidRDefault="0099630B" w:rsidP="00F53BDE">
            <w:pPr>
              <w:pStyle w:val="DQIRowHeadings"/>
            </w:pPr>
            <w:r w:rsidRPr="00D37799">
              <w:t>Data source/s</w:t>
            </w:r>
          </w:p>
        </w:tc>
        <w:tc>
          <w:tcPr>
            <w:tcW w:w="6960" w:type="dxa"/>
            <w:gridSpan w:val="2"/>
          </w:tcPr>
          <w:p w:rsidR="0099630B" w:rsidRPr="00D37799" w:rsidRDefault="0099630B" w:rsidP="00F53BDE">
            <w:pPr>
              <w:pStyle w:val="DQITableText"/>
              <w:rPr>
                <w:rFonts w:ascii="ArialMT" w:hAnsi="ArialMT" w:cs="ArialMT"/>
              </w:rPr>
            </w:pPr>
            <w:proofErr w:type="spellStart"/>
            <w:r w:rsidRPr="00D37799">
              <w:rPr>
                <w:rFonts w:ascii="ArialMT" w:hAnsi="ArialMT" w:cs="ArialMT"/>
              </w:rPr>
              <w:t>NCVER</w:t>
            </w:r>
            <w:proofErr w:type="spellEnd"/>
            <w:r w:rsidRPr="00D37799">
              <w:rPr>
                <w:rFonts w:ascii="ArialMT" w:hAnsi="ArialMT" w:cs="ArialMT"/>
              </w:rPr>
              <w:t>, National VET Provider Collection 201</w:t>
            </w:r>
            <w:r w:rsidR="0025682C">
              <w:rPr>
                <w:rFonts w:ascii="ArialMT" w:hAnsi="ArialMT" w:cs="ArialMT"/>
              </w:rPr>
              <w:t>3</w:t>
            </w:r>
            <w:r w:rsidRPr="00D37799">
              <w:rPr>
                <w:rFonts w:ascii="ArialMT" w:hAnsi="ArialMT" w:cs="ArialMT"/>
              </w:rPr>
              <w:t xml:space="preserve">; </w:t>
            </w:r>
            <w:proofErr w:type="spellStart"/>
            <w:r w:rsidRPr="00D37799">
              <w:rPr>
                <w:rFonts w:ascii="ArialMT" w:hAnsi="ArialMT" w:cs="ArialMT"/>
              </w:rPr>
              <w:t>NCVER</w:t>
            </w:r>
            <w:proofErr w:type="spellEnd"/>
            <w:r w:rsidRPr="00D37799">
              <w:rPr>
                <w:rFonts w:ascii="ArialMT" w:hAnsi="ArialMT" w:cs="ArialMT"/>
              </w:rPr>
              <w:t>, National VET in Schools Collection 201</w:t>
            </w:r>
            <w:r w:rsidR="0025682C">
              <w:rPr>
                <w:rFonts w:ascii="ArialMT" w:hAnsi="ArialMT" w:cs="ArialMT"/>
              </w:rPr>
              <w:t>3</w:t>
            </w:r>
            <w:r w:rsidRPr="00D37799">
              <w:rPr>
                <w:rFonts w:ascii="ArialMT" w:hAnsi="ArialMT" w:cs="ArialMT"/>
              </w:rPr>
              <w:t xml:space="preserve"> (numerator); </w:t>
            </w:r>
          </w:p>
          <w:p w:rsidR="0099630B" w:rsidRPr="00D37799" w:rsidRDefault="0099630B" w:rsidP="0025682C">
            <w:pPr>
              <w:pStyle w:val="DQITableText"/>
            </w:pPr>
            <w:r w:rsidRPr="00D37799">
              <w:rPr>
                <w:rFonts w:ascii="ArialMT" w:hAnsi="ArialMT" w:cs="ArialMT"/>
              </w:rPr>
              <w:t>ABS (201</w:t>
            </w:r>
            <w:r w:rsidR="0025682C">
              <w:rPr>
                <w:rFonts w:ascii="ArialMT" w:hAnsi="ArialMT" w:cs="ArialMT"/>
              </w:rPr>
              <w:t>3</w:t>
            </w:r>
            <w:r w:rsidRPr="00D37799">
              <w:rPr>
                <w:rFonts w:ascii="ArialMT" w:hAnsi="ArialMT" w:cs="ArialMT"/>
              </w:rPr>
              <w:t>) Population by Age and Sex, Australian States and Territories, June 201</w:t>
            </w:r>
            <w:r w:rsidR="0025682C">
              <w:rPr>
                <w:rFonts w:ascii="ArialMT" w:hAnsi="ArialMT" w:cs="ArialMT"/>
              </w:rPr>
              <w:t>3</w:t>
            </w:r>
            <w:r w:rsidRPr="00D37799">
              <w:rPr>
                <w:rFonts w:ascii="ArialMT" w:hAnsi="ArialMT" w:cs="ArialMT"/>
              </w:rPr>
              <w:t xml:space="preserve"> (cat. no. 3201.0) Canberra (denominator)</w:t>
            </w:r>
            <w:r w:rsidRPr="00D37799">
              <w:t>.</w:t>
            </w:r>
          </w:p>
        </w:tc>
      </w:tr>
      <w:tr w:rsidR="0099630B" w:rsidRPr="00D37799" w:rsidTr="00955A88">
        <w:trPr>
          <w:jc w:val="center"/>
        </w:trPr>
        <w:tc>
          <w:tcPr>
            <w:tcW w:w="8732" w:type="dxa"/>
            <w:gridSpan w:val="3"/>
          </w:tcPr>
          <w:p w:rsidR="0099630B" w:rsidRPr="00D37799" w:rsidRDefault="0099630B" w:rsidP="00F53BDE">
            <w:pPr>
              <w:pStyle w:val="DQIMainRowHeadings"/>
            </w:pPr>
            <w:r w:rsidRPr="00D37799">
              <w:t>Data Quality Framework Dimensions</w:t>
            </w:r>
          </w:p>
        </w:tc>
      </w:tr>
      <w:tr w:rsidR="0099630B" w:rsidRPr="00D37799" w:rsidTr="00955A88">
        <w:trPr>
          <w:jc w:val="center"/>
        </w:trPr>
        <w:tc>
          <w:tcPr>
            <w:tcW w:w="1772" w:type="dxa"/>
          </w:tcPr>
          <w:p w:rsidR="0099630B" w:rsidRPr="00D37799" w:rsidRDefault="0099630B" w:rsidP="00955A88">
            <w:pPr>
              <w:pStyle w:val="DQIRowHeadings"/>
            </w:pPr>
            <w:r w:rsidRPr="00D37799">
              <w:t>Institutional environment</w:t>
            </w:r>
          </w:p>
        </w:tc>
        <w:tc>
          <w:tcPr>
            <w:tcW w:w="6960" w:type="dxa"/>
            <w:gridSpan w:val="2"/>
            <w:shd w:val="clear" w:color="auto" w:fill="FFFFFF" w:themeFill="background1"/>
          </w:tcPr>
          <w:p w:rsidR="00CE68C6" w:rsidRPr="005970A0" w:rsidRDefault="0099630B" w:rsidP="00CE68C6">
            <w:pPr>
              <w:pStyle w:val="DQITableText"/>
            </w:pPr>
            <w:r>
              <w:t>Numerator:</w:t>
            </w:r>
            <w:r>
              <w:br/>
            </w:r>
            <w:r w:rsidR="00CE68C6" w:rsidRPr="005970A0">
              <w:t xml:space="preserve">The </w:t>
            </w:r>
            <w:proofErr w:type="spellStart"/>
            <w:r w:rsidR="00CE68C6">
              <w:t>NCVER</w:t>
            </w:r>
            <w:proofErr w:type="spellEnd"/>
            <w:r w:rsidR="00CE68C6" w:rsidRPr="005970A0">
              <w:t xml:space="preserve"> is a not-for-profit company owned by the federal, state and territory ministers responsible for training.</w:t>
            </w:r>
          </w:p>
          <w:p w:rsidR="00CE68C6" w:rsidRPr="005970A0" w:rsidRDefault="00CE68C6" w:rsidP="00CE68C6">
            <w:pPr>
              <w:pStyle w:val="DQITableText"/>
            </w:pPr>
            <w:proofErr w:type="spellStart"/>
            <w:r w:rsidRPr="005970A0">
              <w:t>NCVER</w:t>
            </w:r>
            <w:proofErr w:type="spellEnd"/>
            <w:r w:rsidRPr="005970A0">
              <w:t xml:space="preserve"> is a professional and independent body responsible for collecting, managing, analysing, evaluating and communicating research and statistics about </w:t>
            </w:r>
            <w:r>
              <w:t>VET</w:t>
            </w:r>
            <w:r w:rsidRPr="005970A0">
              <w:t xml:space="preserve"> nationally. It is Australia's principal provider of VET research and statistics.</w:t>
            </w:r>
          </w:p>
          <w:p w:rsidR="0099630B" w:rsidRPr="00D37799" w:rsidRDefault="00CE68C6" w:rsidP="00CE68C6">
            <w:pPr>
              <w:pStyle w:val="DQITableText"/>
            </w:pPr>
            <w:r w:rsidRPr="005970A0">
              <w:t xml:space="preserve">For further information on </w:t>
            </w:r>
            <w:proofErr w:type="spellStart"/>
            <w:r>
              <w:t>NCVER</w:t>
            </w:r>
            <w:proofErr w:type="spellEnd"/>
            <w:r w:rsidRPr="005970A0">
              <w:t xml:space="preserve">, see </w:t>
            </w:r>
            <w:r w:rsidRPr="00111D1B">
              <w:rPr>
                <w:rFonts w:cs="Arial"/>
              </w:rPr>
              <w:t>http://</w:t>
            </w:r>
            <w:proofErr w:type="spellStart"/>
            <w:r w:rsidRPr="00111D1B">
              <w:rPr>
                <w:rFonts w:cs="Arial"/>
              </w:rPr>
              <w:t>www.ncver.edu.au</w:t>
            </w:r>
            <w:proofErr w:type="spellEnd"/>
            <w:r w:rsidRPr="00111D1B">
              <w:rPr>
                <w:rFonts w:cs="Arial"/>
              </w:rPr>
              <w:t>/</w:t>
            </w:r>
            <w:r w:rsidRPr="00111D1B">
              <w:rPr>
                <w:rFonts w:cs="Arial"/>
              </w:rPr>
              <w:br/>
            </w:r>
            <w:proofErr w:type="spellStart"/>
            <w:r w:rsidRPr="00111D1B">
              <w:rPr>
                <w:rFonts w:cs="Arial"/>
              </w:rPr>
              <w:t>aboutncver</w:t>
            </w:r>
            <w:proofErr w:type="spellEnd"/>
            <w:r w:rsidRPr="00111D1B">
              <w:rPr>
                <w:rFonts w:cs="Arial"/>
              </w:rPr>
              <w:t>/</w:t>
            </w:r>
            <w:proofErr w:type="spellStart"/>
            <w:r w:rsidRPr="00111D1B">
              <w:rPr>
                <w:rFonts w:cs="Arial"/>
              </w:rPr>
              <w:t>who.html</w:t>
            </w:r>
            <w:proofErr w:type="spellEnd"/>
          </w:p>
          <w:p w:rsidR="0099630B" w:rsidRPr="00D37799" w:rsidRDefault="0099630B" w:rsidP="00955A88">
            <w:pPr>
              <w:pStyle w:val="DQITableText"/>
            </w:pPr>
            <w:r w:rsidRPr="0060079A">
              <w:rPr>
                <w:shd w:val="clear" w:color="auto" w:fill="FFFFFF" w:themeFill="background1"/>
              </w:rPr>
              <w:t xml:space="preserve">Denominator: This publication uses data sourced from a variety of institutional environments. Much of the </w:t>
            </w:r>
            <w:r w:rsidR="0061062A">
              <w:rPr>
                <w:shd w:val="clear" w:color="auto" w:fill="FFFFFF" w:themeFill="background1"/>
              </w:rPr>
              <w:t>data are</w:t>
            </w:r>
            <w:r w:rsidRPr="0060079A">
              <w:rPr>
                <w:shd w:val="clear" w:color="auto" w:fill="FFFFFF" w:themeFill="background1"/>
              </w:rPr>
              <w:t xml:space="preserve"> administrative </w:t>
            </w:r>
            <w:proofErr w:type="spellStart"/>
            <w:r w:rsidRPr="0060079A">
              <w:rPr>
                <w:shd w:val="clear" w:color="auto" w:fill="FFFFFF" w:themeFill="background1"/>
              </w:rPr>
              <w:t>by-product</w:t>
            </w:r>
            <w:proofErr w:type="spellEnd"/>
            <w:r w:rsidRPr="0060079A">
              <w:rPr>
                <w:shd w:val="clear" w:color="auto" w:fill="FFFFFF" w:themeFill="background1"/>
              </w:rPr>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w:t>
            </w:r>
            <w:r w:rsidR="0061062A">
              <w:rPr>
                <w:shd w:val="clear" w:color="auto" w:fill="FFFFFF" w:themeFill="background1"/>
              </w:rPr>
              <w:t>data are</w:t>
            </w:r>
            <w:r w:rsidRPr="0060079A">
              <w:rPr>
                <w:shd w:val="clear" w:color="auto" w:fill="FFFFFF" w:themeFill="background1"/>
              </w:rPr>
              <w:t xml:space="preserve"> used to estimate interstate migration. Records of overseas movements matched with passenger card, passport and visa data, provided by the Department of Immigration and Border Protection (</w:t>
            </w:r>
            <w:proofErr w:type="spellStart"/>
            <w:r w:rsidRPr="0060079A">
              <w:rPr>
                <w:shd w:val="clear" w:color="auto" w:fill="FFFFFF" w:themeFill="background1"/>
              </w:rPr>
              <w:t>DIBP</w:t>
            </w:r>
            <w:proofErr w:type="spellEnd"/>
            <w:r w:rsidRPr="0060079A">
              <w:rPr>
                <w:shd w:val="clear" w:color="auto" w:fill="FFFFFF" w:themeFill="background1"/>
              </w:rPr>
              <w:t>) are used to calculate Net Overseas Migration (NOM). ABS Census of Population and Housing and Post Enumeration Survey (</w:t>
            </w:r>
            <w:proofErr w:type="spellStart"/>
            <w:r w:rsidRPr="0060079A">
              <w:rPr>
                <w:shd w:val="clear" w:color="auto" w:fill="FFFFFF" w:themeFill="background1"/>
              </w:rPr>
              <w:t>PES</w:t>
            </w:r>
            <w:proofErr w:type="spellEnd"/>
            <w:r w:rsidRPr="0060079A">
              <w:rPr>
                <w:shd w:val="clear" w:color="auto" w:fill="FFFFFF" w:themeFill="background1"/>
              </w:rPr>
              <w:t>) data are used to determine a base population from which Estimated Resident Population (</w:t>
            </w:r>
            <w:proofErr w:type="spellStart"/>
            <w:r w:rsidRPr="0060079A">
              <w:rPr>
                <w:shd w:val="clear" w:color="auto" w:fill="FFFFFF" w:themeFill="background1"/>
              </w:rPr>
              <w:t>ERP</w:t>
            </w:r>
            <w:proofErr w:type="spellEnd"/>
            <w:r w:rsidRPr="0060079A">
              <w:rPr>
                <w:shd w:val="clear" w:color="auto" w:fill="FFFFFF" w:themeFill="background1"/>
              </w:rPr>
              <w:t>) is calculated and to finalise all components of population change. For information on the institutional environment of the Australian Bureau of Statistics (ABS), please see ABS Institutional Environment.</w:t>
            </w:r>
          </w:p>
        </w:tc>
      </w:tr>
      <w:tr w:rsidR="0099630B" w:rsidRPr="00D37799" w:rsidTr="00955A88">
        <w:trPr>
          <w:jc w:val="center"/>
        </w:trPr>
        <w:tc>
          <w:tcPr>
            <w:tcW w:w="1772" w:type="dxa"/>
          </w:tcPr>
          <w:p w:rsidR="0099630B" w:rsidRPr="00D37799" w:rsidRDefault="0099630B" w:rsidP="00F53BDE">
            <w:pPr>
              <w:pStyle w:val="DQIRowHeadings"/>
            </w:pPr>
            <w:r w:rsidRPr="00D37799">
              <w:t>Relevance</w:t>
            </w:r>
          </w:p>
          <w:p w:rsidR="0099630B" w:rsidRPr="00D37799" w:rsidRDefault="0099630B" w:rsidP="00F53BDE">
            <w:pPr>
              <w:pStyle w:val="DQIRowHeadings"/>
            </w:pPr>
          </w:p>
        </w:tc>
        <w:tc>
          <w:tcPr>
            <w:tcW w:w="6960" w:type="dxa"/>
            <w:gridSpan w:val="2"/>
          </w:tcPr>
          <w:p w:rsidR="00F53BDE" w:rsidRPr="00F53BDE" w:rsidRDefault="00F53BDE" w:rsidP="00F53BDE">
            <w:pPr>
              <w:pStyle w:val="DQITableText"/>
            </w:pPr>
            <w:r w:rsidRPr="00F53BDE">
              <w:t>The National VET Provider Collection collects information relating to students, courses, qualifications, training providers and funding in Australia’s publicly funded vocational education and training (VET) system.</w:t>
            </w:r>
          </w:p>
          <w:p w:rsidR="00F53BDE" w:rsidRPr="00F53BDE" w:rsidRDefault="00F53BDE" w:rsidP="00F53BDE">
            <w:pPr>
              <w:pStyle w:val="DQITableText"/>
            </w:pPr>
            <w:r w:rsidRPr="00F53BDE">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F53BDE" w:rsidRPr="00F53BDE" w:rsidRDefault="00F53BDE" w:rsidP="00F53BDE">
            <w:pPr>
              <w:pStyle w:val="DQITableText"/>
            </w:pPr>
            <w:r w:rsidRPr="00F53BDE">
              <w:lastRenderedPageBreak/>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F53BDE" w:rsidRPr="00F53BDE" w:rsidRDefault="00F53BDE" w:rsidP="00F53BDE">
            <w:pPr>
              <w:pStyle w:val="DQITableText"/>
            </w:pPr>
            <w:r w:rsidRPr="00F53BDE">
              <w:t>This collection does not report on the following types of training activity:</w:t>
            </w:r>
          </w:p>
          <w:p w:rsidR="00F53BDE" w:rsidRPr="00F53BDE" w:rsidRDefault="00F53BDE" w:rsidP="00F53BDE">
            <w:pPr>
              <w:pStyle w:val="DQITableBullet"/>
            </w:pPr>
            <w:r w:rsidRPr="00F53BDE">
              <w:t xml:space="preserve">recreation, leisure and personal enrichment </w:t>
            </w:r>
          </w:p>
          <w:p w:rsidR="00F53BDE" w:rsidRPr="00F53BDE" w:rsidRDefault="00F53BDE" w:rsidP="00F53BDE">
            <w:pPr>
              <w:pStyle w:val="DQITableBullet"/>
            </w:pPr>
            <w:r w:rsidRPr="00F53BDE">
              <w:t xml:space="preserve">fee-for-service VET by private providers </w:t>
            </w:r>
          </w:p>
          <w:p w:rsidR="00F53BDE" w:rsidRPr="00F53BDE" w:rsidRDefault="00F53BDE" w:rsidP="00F53BDE">
            <w:pPr>
              <w:pStyle w:val="DQITableBullet"/>
            </w:pPr>
            <w:r w:rsidRPr="00F53BDE">
              <w:t xml:space="preserve">delivery undertaken at overseas campuses of Australian VET institutions </w:t>
            </w:r>
          </w:p>
          <w:p w:rsidR="00F53BDE" w:rsidRPr="00F53BDE" w:rsidRDefault="00F53BDE" w:rsidP="00F53BDE">
            <w:pPr>
              <w:pStyle w:val="DQITableBullet"/>
            </w:pPr>
            <w:r w:rsidRPr="00F53BDE">
              <w:t>credit transfer</w:t>
            </w:r>
          </w:p>
          <w:p w:rsidR="00F53BDE" w:rsidRDefault="00F53BDE" w:rsidP="00F53BDE">
            <w:pPr>
              <w:pStyle w:val="DQITableBullet"/>
            </w:pPr>
            <w:r w:rsidRPr="00F53BDE">
              <w:t>VET delivered in schools, where the delivery</w:t>
            </w:r>
            <w:r w:rsidR="00CE68C6">
              <w:t xml:space="preserve"> has been undertaken by schools</w:t>
            </w:r>
          </w:p>
          <w:p w:rsidR="00CE68C6" w:rsidRPr="00F53BDE" w:rsidRDefault="00CE68C6" w:rsidP="00F53BDE">
            <w:pPr>
              <w:pStyle w:val="DQITableBullet"/>
            </w:pPr>
            <w:r w:rsidRPr="00CE68C6">
              <w:t xml:space="preserve">any activity where revenue was earned from another registered training organisation in terms of subcontracted, </w:t>
            </w:r>
            <w:proofErr w:type="spellStart"/>
            <w:r w:rsidRPr="00CE68C6">
              <w:t>auspicing</w:t>
            </w:r>
            <w:proofErr w:type="spellEnd"/>
            <w:r w:rsidRPr="00CE68C6">
              <w:t>, partnership or similar arrangements</w:t>
            </w:r>
          </w:p>
          <w:p w:rsidR="00F53BDE" w:rsidRPr="00F53BDE" w:rsidRDefault="00F53BDE" w:rsidP="00F53BDE">
            <w:pPr>
              <w:pStyle w:val="DQITableText"/>
            </w:pPr>
            <w:r w:rsidRPr="00F53BDE">
              <w:t>The National VET in Schools Collection contains information on all activity undertaken as part of a student’s senior secondary certificate that provides credit towards a nationally recognised VET qualification.</w:t>
            </w:r>
          </w:p>
          <w:p w:rsidR="00F53BDE" w:rsidRPr="00D37799" w:rsidRDefault="00F53BDE" w:rsidP="00F53BDE">
            <w:pPr>
              <w:pStyle w:val="DQITableText"/>
              <w:rPr>
                <w:sz w:val="20"/>
              </w:rPr>
            </w:pPr>
            <w:r w:rsidRPr="00F53BDE">
              <w:t>Estimates of the resident population (</w:t>
            </w:r>
            <w:proofErr w:type="spellStart"/>
            <w:r w:rsidRPr="00F53BDE">
              <w:t>ERP</w:t>
            </w:r>
            <w:proofErr w:type="spellEnd"/>
            <w:r w:rsidRPr="00F53BDE">
              <w:t xml:space="preserve">) for the states and territories of Australia are published by sex and age groups, and estimates and projections of the Aboriginal and Torres Strait Islander population are also available. The </w:t>
            </w:r>
            <w:proofErr w:type="spellStart"/>
            <w:r w:rsidRPr="00F53BDE">
              <w:t>ERP</w:t>
            </w:r>
            <w:proofErr w:type="spellEnd"/>
            <w:r w:rsidRPr="00F53BDE">
              <w:t xml:space="preserve"> is the official measure of the population of states and territories of Australia according to a usual residence population concept. </w:t>
            </w:r>
            <w:proofErr w:type="spellStart"/>
            <w:r w:rsidRPr="00F53BDE">
              <w:t>ERP</w:t>
            </w:r>
            <w:proofErr w:type="spellEnd"/>
            <w:r w:rsidRPr="00F53BDE">
              <w:t xml:space="preserve"> is used for a range of key decisions such as resource and funding distribution and apportioning seats in the House of Representatives to each state and territory.</w:t>
            </w:r>
          </w:p>
        </w:tc>
      </w:tr>
      <w:tr w:rsidR="0099630B" w:rsidRPr="00D37799" w:rsidTr="00955A88">
        <w:trPr>
          <w:jc w:val="center"/>
        </w:trPr>
        <w:tc>
          <w:tcPr>
            <w:tcW w:w="1772" w:type="dxa"/>
          </w:tcPr>
          <w:p w:rsidR="0099630B" w:rsidRPr="00D37799" w:rsidRDefault="0099630B" w:rsidP="00F53BDE">
            <w:pPr>
              <w:pStyle w:val="DQIRowHeadings"/>
            </w:pPr>
            <w:r w:rsidRPr="00D37799">
              <w:lastRenderedPageBreak/>
              <w:t>Timeliness</w:t>
            </w:r>
          </w:p>
          <w:p w:rsidR="0099630B" w:rsidRPr="00D37799" w:rsidRDefault="0099630B" w:rsidP="00F53BDE">
            <w:pPr>
              <w:pStyle w:val="DQIRowHeadings"/>
            </w:pPr>
          </w:p>
        </w:tc>
        <w:tc>
          <w:tcPr>
            <w:tcW w:w="6960" w:type="dxa"/>
            <w:gridSpan w:val="2"/>
          </w:tcPr>
          <w:p w:rsidR="00CE68C6" w:rsidRDefault="00CE68C6" w:rsidP="00CE68C6">
            <w:pPr>
              <w:pStyle w:val="DQITableText"/>
            </w:pPr>
            <w:r>
              <w:t xml:space="preserve">The National VET Provider Collection is submitted to </w:t>
            </w:r>
            <w:proofErr w:type="spellStart"/>
            <w:r>
              <w:t>NCVER</w:t>
            </w:r>
            <w:proofErr w:type="spellEnd"/>
            <w:r>
              <w:t xml:space="preserve"> on a quarterly basis and consists of data for January to March, January to June, January to September and January to December. </w:t>
            </w:r>
          </w:p>
          <w:p w:rsidR="00CE68C6" w:rsidRDefault="00CE68C6" w:rsidP="00CE68C6">
            <w:pPr>
              <w:pStyle w:val="DQITableText"/>
            </w:pPr>
            <w:r>
              <w:t>A summary of 2014 data was released on 30 June 2015 in Government-funded students and courses 2014.</w:t>
            </w:r>
          </w:p>
          <w:p w:rsidR="0099630B" w:rsidRPr="0060079A" w:rsidRDefault="0099630B" w:rsidP="00CE68C6">
            <w:pPr>
              <w:pStyle w:val="DQITableText"/>
            </w:pPr>
            <w:r w:rsidRPr="0060079A">
              <w:rPr>
                <w:rFonts w:cs="Arial"/>
              </w:rPr>
              <w:t xml:space="preserve">The National VET in Schools Collection is an annual collection, which commenced from the 2005 year. Data are submitted to </w:t>
            </w:r>
            <w:proofErr w:type="spellStart"/>
            <w:r w:rsidRPr="0060079A">
              <w:rPr>
                <w:rFonts w:cs="Arial"/>
              </w:rPr>
              <w:t>NCVER</w:t>
            </w:r>
            <w:proofErr w:type="spellEnd"/>
            <w:r w:rsidRPr="0060079A">
              <w:rPr>
                <w:rFonts w:cs="Arial"/>
              </w:rPr>
              <w:t xml:space="preserve"> via state training authorities and/or the senior secondary assessment authorities by 31 March in the year following activity. A summary of 201</w:t>
            </w:r>
            <w:r w:rsidR="0025682C">
              <w:rPr>
                <w:rFonts w:cs="Arial"/>
              </w:rPr>
              <w:t>4</w:t>
            </w:r>
            <w:r w:rsidRPr="0060079A">
              <w:rPr>
                <w:rFonts w:cs="Arial"/>
              </w:rPr>
              <w:t xml:space="preserve"> data was released by </w:t>
            </w:r>
            <w:proofErr w:type="spellStart"/>
            <w:r w:rsidRPr="0060079A">
              <w:rPr>
                <w:rFonts w:cs="Arial"/>
              </w:rPr>
              <w:t>NCVER</w:t>
            </w:r>
            <w:proofErr w:type="spellEnd"/>
            <w:r w:rsidRPr="0060079A">
              <w:rPr>
                <w:rFonts w:cs="Arial"/>
              </w:rPr>
              <w:t xml:space="preserve"> in early December 201</w:t>
            </w:r>
            <w:r w:rsidR="0025682C">
              <w:rPr>
                <w:rFonts w:cs="Arial"/>
              </w:rPr>
              <w:t>5</w:t>
            </w:r>
            <w:r w:rsidRPr="0060079A">
              <w:rPr>
                <w:rFonts w:cs="Arial"/>
              </w:rPr>
              <w:t xml:space="preserve"> in the </w:t>
            </w:r>
            <w:r w:rsidRPr="00111D1B">
              <w:rPr>
                <w:rFonts w:cs="Arial"/>
              </w:rPr>
              <w:t>VET in Schools data tables</w:t>
            </w:r>
            <w:r w:rsidRPr="0060079A">
              <w:rPr>
                <w:rFonts w:cs="Arial"/>
              </w:rPr>
              <w:t>.</w:t>
            </w:r>
          </w:p>
        </w:tc>
      </w:tr>
      <w:tr w:rsidR="0099630B" w:rsidRPr="00D37799" w:rsidTr="00955A88">
        <w:trPr>
          <w:jc w:val="center"/>
        </w:trPr>
        <w:tc>
          <w:tcPr>
            <w:tcW w:w="1772" w:type="dxa"/>
          </w:tcPr>
          <w:p w:rsidR="0099630B" w:rsidRPr="00D37799" w:rsidRDefault="0099630B" w:rsidP="00F53BDE">
            <w:pPr>
              <w:pStyle w:val="DQIRowHeadings"/>
            </w:pPr>
            <w:r w:rsidRPr="00D37799">
              <w:t>Accuracy</w:t>
            </w:r>
          </w:p>
          <w:p w:rsidR="0099630B" w:rsidRPr="00D37799" w:rsidRDefault="0099630B" w:rsidP="00F53BDE">
            <w:pPr>
              <w:pStyle w:val="DQIRowHeadings"/>
            </w:pPr>
          </w:p>
        </w:tc>
        <w:tc>
          <w:tcPr>
            <w:tcW w:w="6960" w:type="dxa"/>
            <w:gridSpan w:val="2"/>
          </w:tcPr>
          <w:p w:rsidR="0099630B" w:rsidRPr="0060079A" w:rsidRDefault="0099630B" w:rsidP="00F53BDE">
            <w:pPr>
              <w:pStyle w:val="DQITableText"/>
            </w:pPr>
            <w:r w:rsidRPr="0060079A">
              <w:t>The National VET Provider Collection is a collection of all publicly funded training activity in Australia in a particular year. It is an administrative collection.</w:t>
            </w:r>
          </w:p>
          <w:p w:rsidR="00CE68C6" w:rsidRDefault="00CE68C6" w:rsidP="00CE68C6">
            <w:pPr>
              <w:pStyle w:val="DQITableText"/>
            </w:pPr>
            <w:r>
              <w:t>The National VET Provider Collection is a collection of all publicly funded training activity in Australia in a particular year. It is an administrative collection.</w:t>
            </w:r>
          </w:p>
          <w:p w:rsidR="00CE68C6" w:rsidRDefault="00CE68C6" w:rsidP="00CE68C6">
            <w:pPr>
              <w:pStyle w:val="DQITableText"/>
            </w:pPr>
            <w:r>
              <w:t xml:space="preserve">Publicly funded registered training organisations submit unit record data directly to state/territory training authorities, who in turn submit the data to </w:t>
            </w:r>
            <w:proofErr w:type="spellStart"/>
            <w:r>
              <w:t>NCVER</w:t>
            </w:r>
            <w:proofErr w:type="spellEnd"/>
            <w:r>
              <w:t xml:space="preserve">. Prior to submissions to </w:t>
            </w:r>
            <w:proofErr w:type="spellStart"/>
            <w:r>
              <w:t>NCVER</w:t>
            </w:r>
            <w:proofErr w:type="spellEnd"/>
            <w:r>
              <w:t xml:space="preserve">, data must first pass a validation process to ensure that data conforms to the </w:t>
            </w:r>
            <w:proofErr w:type="spellStart"/>
            <w:r>
              <w:t>AVETMISS</w:t>
            </w:r>
            <w:proofErr w:type="spellEnd"/>
            <w:r>
              <w:t xml:space="preserve"> (Refer to http://</w:t>
            </w:r>
            <w:proofErr w:type="spellStart"/>
            <w:r>
              <w:t>www.ncver.edu.au</w:t>
            </w:r>
            <w:proofErr w:type="spellEnd"/>
            <w:r>
              <w:t>/</w:t>
            </w:r>
            <w:proofErr w:type="spellStart"/>
            <w:r>
              <w:t>avetmiss</w:t>
            </w:r>
            <w:proofErr w:type="spellEnd"/>
            <w:r>
              <w:t>/</w:t>
            </w:r>
            <w:proofErr w:type="spellStart"/>
            <w:r>
              <w:t>21055.html</w:t>
            </w:r>
            <w:proofErr w:type="spellEnd"/>
            <w:r>
              <w:t xml:space="preserve">). </w:t>
            </w:r>
          </w:p>
          <w:p w:rsidR="00CE68C6" w:rsidRDefault="00CE68C6" w:rsidP="00CE68C6">
            <w:pPr>
              <w:pStyle w:val="DQITableText"/>
            </w:pPr>
            <w:r>
              <w:t xml:space="preserve">Once data submissions are received by </w:t>
            </w:r>
            <w:proofErr w:type="spellStart"/>
            <w:r>
              <w:t>NCVER</w:t>
            </w:r>
            <w:proofErr w:type="spellEnd"/>
            <w:r>
              <w:t xml:space="preserve"> they are subjected to a comprehensive data quality checking program to ensure accurate reporting against agreed Key Performance Measures (</w:t>
            </w:r>
            <w:proofErr w:type="spellStart"/>
            <w:r>
              <w:t>KPMs</w:t>
            </w:r>
            <w:proofErr w:type="spellEnd"/>
            <w:r>
              <w:t xml:space="preserve">). Some of the </w:t>
            </w:r>
            <w:proofErr w:type="spellStart"/>
            <w:r>
              <w:t>KPMs</w:t>
            </w:r>
            <w:proofErr w:type="spellEnd"/>
            <w:r>
              <w:t xml:space="preserve"> include:</w:t>
            </w:r>
          </w:p>
          <w:p w:rsidR="00CE68C6" w:rsidRDefault="00CE68C6" w:rsidP="00CE68C6">
            <w:pPr>
              <w:pStyle w:val="DQITableBullet"/>
            </w:pPr>
            <w:r>
              <w:tab/>
              <w:t>Percentage of unknown data</w:t>
            </w:r>
          </w:p>
          <w:p w:rsidR="00CE68C6" w:rsidRDefault="00CE68C6" w:rsidP="00CE68C6">
            <w:pPr>
              <w:pStyle w:val="DQITableBullet"/>
            </w:pPr>
            <w:r>
              <w:tab/>
              <w:t>The number of training organisation identifiers that do not match the National Training Information Service (</w:t>
            </w:r>
            <w:proofErr w:type="spellStart"/>
            <w:r>
              <w:t>NTIS</w:t>
            </w:r>
            <w:proofErr w:type="spellEnd"/>
            <w:r>
              <w:t>) listing</w:t>
            </w:r>
          </w:p>
          <w:p w:rsidR="00CE68C6" w:rsidRDefault="00CE68C6" w:rsidP="00CE68C6">
            <w:pPr>
              <w:pStyle w:val="DQITableBullet"/>
            </w:pPr>
            <w:r>
              <w:tab/>
              <w:t>Inappropriate training organisation delivery locations</w:t>
            </w:r>
          </w:p>
          <w:p w:rsidR="00CE68C6" w:rsidRDefault="00CE68C6" w:rsidP="00CE68C6">
            <w:pPr>
              <w:pStyle w:val="DQITableBullet"/>
            </w:pPr>
            <w:r>
              <w:tab/>
              <w:t xml:space="preserve">The number of qualifications/courses that do not match the </w:t>
            </w:r>
            <w:proofErr w:type="spellStart"/>
            <w:r>
              <w:t>NTIS</w:t>
            </w:r>
            <w:proofErr w:type="spellEnd"/>
            <w:r>
              <w:t xml:space="preserve"> listing</w:t>
            </w:r>
          </w:p>
          <w:p w:rsidR="00CE68C6" w:rsidRDefault="00CE68C6" w:rsidP="00CE68C6">
            <w:pPr>
              <w:pStyle w:val="DQITableBullet"/>
            </w:pPr>
            <w:r>
              <w:tab/>
              <w:t xml:space="preserve">The number of modules/units of competency that do not match the </w:t>
            </w:r>
            <w:proofErr w:type="spellStart"/>
            <w:r>
              <w:t>NTIS</w:t>
            </w:r>
            <w:proofErr w:type="spellEnd"/>
            <w:r>
              <w:t xml:space="preserve"> listing </w:t>
            </w:r>
          </w:p>
          <w:p w:rsidR="00CE68C6" w:rsidRDefault="00CE68C6" w:rsidP="00CE68C6">
            <w:pPr>
              <w:pStyle w:val="DQITableBullet"/>
            </w:pPr>
            <w:r>
              <w:tab/>
              <w:t>Duplicate client identification</w:t>
            </w:r>
          </w:p>
          <w:p w:rsidR="00CE68C6" w:rsidRDefault="00CE68C6" w:rsidP="00CE68C6">
            <w:pPr>
              <w:pStyle w:val="DQITableBullet"/>
            </w:pPr>
            <w:r>
              <w:tab/>
              <w:t>Duplicate qualifications completed</w:t>
            </w:r>
          </w:p>
          <w:p w:rsidR="00CE68C6" w:rsidRDefault="00CE68C6" w:rsidP="00CE68C6">
            <w:pPr>
              <w:pStyle w:val="DQITableBullet"/>
            </w:pPr>
            <w:r>
              <w:tab/>
              <w:t>Reporting scopes</w:t>
            </w:r>
          </w:p>
          <w:p w:rsidR="00CE68C6" w:rsidRDefault="00CE68C6" w:rsidP="00CE68C6">
            <w:pPr>
              <w:pStyle w:val="DQITableBullet"/>
            </w:pPr>
            <w:r>
              <w:tab/>
              <w:t>Funding sources</w:t>
            </w:r>
          </w:p>
          <w:p w:rsidR="00CE68C6" w:rsidRDefault="00CE68C6" w:rsidP="00CE68C6">
            <w:pPr>
              <w:pStyle w:val="DQITableBullet"/>
            </w:pPr>
            <w:r>
              <w:lastRenderedPageBreak/>
              <w:tab/>
              <w:t>Outcome identifiers</w:t>
            </w:r>
          </w:p>
          <w:p w:rsidR="0099630B" w:rsidRPr="0060079A" w:rsidRDefault="0099630B" w:rsidP="00955A88">
            <w:pPr>
              <w:pStyle w:val="DQITableText"/>
            </w:pPr>
            <w:r w:rsidRPr="0060079A">
              <w:t xml:space="preserve">The National VET in Schools Collection is an administrative collection, sourced from the student </w:t>
            </w:r>
            <w:r w:rsidRPr="00955A88">
              <w:t>enrolment</w:t>
            </w:r>
            <w:r w:rsidRPr="0060079A">
              <w:t xml:space="preserve"> records through the senior secondary assessment authority in each state or territory. The data are submitted at unit record level either directly to </w:t>
            </w:r>
            <w:proofErr w:type="spellStart"/>
            <w:r w:rsidRPr="0060079A">
              <w:t>NCVER</w:t>
            </w:r>
            <w:proofErr w:type="spellEnd"/>
            <w:r w:rsidRPr="0060079A">
              <w:t xml:space="preserve"> or via state/territory training authorities. Prior to submission to </w:t>
            </w:r>
            <w:proofErr w:type="spellStart"/>
            <w:r w:rsidRPr="0060079A">
              <w:t>NCVER</w:t>
            </w:r>
            <w:proofErr w:type="spellEnd"/>
            <w:r w:rsidRPr="0060079A">
              <w:t>, data must first pass a validation process to ensure that data conforms to the Australian vocational education and training management information statistical standard (</w:t>
            </w:r>
            <w:proofErr w:type="spellStart"/>
            <w:r w:rsidRPr="0060079A">
              <w:t>AVETMISS</w:t>
            </w:r>
            <w:proofErr w:type="spellEnd"/>
            <w:r w:rsidRPr="0060079A">
              <w:t>) (Refer to http://</w:t>
            </w:r>
            <w:proofErr w:type="spellStart"/>
            <w:r w:rsidRPr="0060079A">
              <w:t>www.ncver.edu.au</w:t>
            </w:r>
            <w:proofErr w:type="spellEnd"/>
            <w:r w:rsidRPr="0060079A">
              <w:t>/</w:t>
            </w:r>
            <w:proofErr w:type="spellStart"/>
            <w:r w:rsidRPr="0060079A">
              <w:t>avetmiss</w:t>
            </w:r>
            <w:proofErr w:type="spellEnd"/>
            <w:r w:rsidRPr="0060079A">
              <w:t>/</w:t>
            </w:r>
            <w:proofErr w:type="spellStart"/>
            <w:r w:rsidRPr="0060079A">
              <w:t>21055.html</w:t>
            </w:r>
            <w:proofErr w:type="spellEnd"/>
            <w:r w:rsidRPr="0060079A">
              <w:t xml:space="preserve">). </w:t>
            </w:r>
          </w:p>
          <w:p w:rsidR="0099630B" w:rsidRPr="0060079A" w:rsidRDefault="0099630B" w:rsidP="00F53BDE">
            <w:pPr>
              <w:pStyle w:val="DQITableText"/>
            </w:pPr>
            <w:r w:rsidRPr="0060079A">
              <w:t xml:space="preserve">All </w:t>
            </w:r>
            <w:proofErr w:type="spellStart"/>
            <w:r w:rsidRPr="0060079A">
              <w:t>ERP</w:t>
            </w:r>
            <w:proofErr w:type="spellEnd"/>
            <w:r w:rsidRPr="0060079A">
              <w:t xml:space="preserve"> data sources are subject to non-sampling error. Non-sampling error can arise from inaccuracies in collecting, recording and processing the data. In the case of Census and </w:t>
            </w:r>
            <w:proofErr w:type="spellStart"/>
            <w:r w:rsidRPr="0060079A">
              <w:t>PES</w:t>
            </w:r>
            <w:proofErr w:type="spellEnd"/>
            <w:r w:rsidRPr="0060079A">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(see institutional environment).</w:t>
            </w:r>
          </w:p>
          <w:p w:rsidR="0099630B" w:rsidRPr="0060079A" w:rsidRDefault="0099630B" w:rsidP="00F53BDE">
            <w:pPr>
              <w:pStyle w:val="DQITableText"/>
            </w:pPr>
            <w:r w:rsidRPr="0060079A">
              <w:t xml:space="preserve">Another dimension of non-sampling error in </w:t>
            </w:r>
            <w:proofErr w:type="spellStart"/>
            <w:r w:rsidRPr="0060079A">
              <w:t>ERP</w:t>
            </w:r>
            <w:proofErr w:type="spellEnd"/>
            <w:r w:rsidRPr="0060079A">
              <w:t xml:space="preserve"> is the fact that the measures of components of population growth become more accurate as more time elapses after the reference period. As discussed under Timeliness, the tradeoff between timeliness and accuracy means that a user can access more accurate data by using the revised or final </w:t>
            </w:r>
            <w:proofErr w:type="spellStart"/>
            <w:r w:rsidRPr="0060079A">
              <w:t>ERP</w:t>
            </w:r>
            <w:proofErr w:type="spellEnd"/>
            <w:r w:rsidRPr="0060079A">
              <w:t xml:space="preserve">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99630B" w:rsidRPr="0060079A" w:rsidRDefault="0099630B" w:rsidP="00F53BDE">
            <w:pPr>
              <w:pStyle w:val="DQITableText"/>
            </w:pPr>
            <w:r w:rsidRPr="0060079A">
              <w:t xml:space="preserve">After each Census the ABS uses the Census population count to update the original series of published quarterly population estimates since the previous Census. For example, 2011 Census results were used to update quarterly population estimates between the 2006 and 2011 Census. The </w:t>
            </w:r>
            <w:proofErr w:type="spellStart"/>
            <w:r w:rsidRPr="0060079A">
              <w:t>PES</w:t>
            </w:r>
            <w:proofErr w:type="spellEnd"/>
            <w:r w:rsidRPr="0060079A">
              <w:t xml:space="preserve"> is conducted soon after the Census to estimate the number of residents not included in the Census. Factoring the </w:t>
            </w:r>
            <w:proofErr w:type="spellStart"/>
            <w:r w:rsidRPr="0060079A">
              <w:t>PES</w:t>
            </w:r>
            <w:proofErr w:type="spellEnd"/>
            <w:r w:rsidRPr="0060079A">
              <w:t xml:space="preserve"> results into determining the </w:t>
            </w:r>
            <w:proofErr w:type="spellStart"/>
            <w:r w:rsidRPr="0060079A">
              <w:t>ERP</w:t>
            </w:r>
            <w:proofErr w:type="spellEnd"/>
            <w:r w:rsidRPr="0060079A">
              <w:t xml:space="preserve"> is a critical step in arriving at the most accurate determination of </w:t>
            </w:r>
            <w:proofErr w:type="spellStart"/>
            <w:r w:rsidRPr="0060079A">
              <w:t>ERP</w:t>
            </w:r>
            <w:proofErr w:type="spellEnd"/>
            <w:r w:rsidRPr="0060079A">
              <w:t xml:space="preserve"> possible. For more information on rebasing see the feature article in the December quarter 2012 issue of Australian Demographic Statistics (cat. no. 3101.0).</w:t>
            </w:r>
          </w:p>
        </w:tc>
      </w:tr>
      <w:tr w:rsidR="0099630B" w:rsidRPr="00D37799" w:rsidTr="00B67545">
        <w:trPr>
          <w:jc w:val="center"/>
        </w:trPr>
        <w:tc>
          <w:tcPr>
            <w:tcW w:w="1772" w:type="dxa"/>
          </w:tcPr>
          <w:p w:rsidR="0099630B" w:rsidRPr="00D37799" w:rsidRDefault="0099630B" w:rsidP="00F53BDE">
            <w:pPr>
              <w:pStyle w:val="DQIRowHeadings"/>
            </w:pPr>
            <w:r w:rsidRPr="00D37799">
              <w:lastRenderedPageBreak/>
              <w:t>Coherence</w:t>
            </w:r>
          </w:p>
          <w:p w:rsidR="0099630B" w:rsidRPr="00D37799" w:rsidRDefault="0099630B" w:rsidP="00F53BDE">
            <w:pPr>
              <w:pStyle w:val="DQIRowHeadings"/>
            </w:pPr>
          </w:p>
        </w:tc>
        <w:tc>
          <w:tcPr>
            <w:tcW w:w="6960" w:type="dxa"/>
            <w:gridSpan w:val="2"/>
            <w:shd w:val="clear" w:color="auto" w:fill="auto"/>
          </w:tcPr>
          <w:p w:rsidR="00CE68C6" w:rsidRDefault="00CE68C6" w:rsidP="00CE68C6">
            <w:pPr>
              <w:pStyle w:val="DQITableText"/>
            </w:pPr>
            <w:proofErr w:type="spellStart"/>
            <w:r>
              <w:t>AVETMISS</w:t>
            </w:r>
            <w:proofErr w:type="spellEnd"/>
            <w:r>
              <w:t xml:space="preserve"> provides the foundation for nationally comparable data and includes a range of data items relevant to the VET system. </w:t>
            </w:r>
          </w:p>
          <w:p w:rsidR="00CE68C6" w:rsidRDefault="00CE68C6" w:rsidP="00CE68C6">
            <w:pPr>
              <w:pStyle w:val="DQITableBullet"/>
            </w:pPr>
            <w:r>
              <w:tab/>
              <w:t xml:space="preserve">From 2007, data comply with release 6.0 of </w:t>
            </w:r>
            <w:proofErr w:type="spellStart"/>
            <w:r>
              <w:t>AVETMISS</w:t>
            </w:r>
            <w:proofErr w:type="spellEnd"/>
            <w:r>
              <w:t xml:space="preserve">, whereas previous collections complied with earlier releases. </w:t>
            </w:r>
          </w:p>
          <w:p w:rsidR="00CE68C6" w:rsidRDefault="00CE68C6" w:rsidP="00CE68C6">
            <w:pPr>
              <w:pStyle w:val="DQITableBullet"/>
            </w:pPr>
            <w:r>
              <w:tab/>
              <w:t xml:space="preserve">From 2012, data comply with release 6.1 of </w:t>
            </w:r>
            <w:proofErr w:type="spellStart"/>
            <w:r>
              <w:t>AVETMISS</w:t>
            </w:r>
            <w:proofErr w:type="spellEnd"/>
            <w:r>
              <w:t xml:space="preserve">, whereas previous collections complied with earlier releases. </w:t>
            </w:r>
          </w:p>
          <w:p w:rsidR="00CE68C6" w:rsidRDefault="00CE68C6" w:rsidP="00CE68C6">
            <w:pPr>
              <w:pStyle w:val="DQITableBullet"/>
            </w:pPr>
            <w:r>
              <w:tab/>
              <w:t xml:space="preserve">From 2014, Release 7.0 came into effect. </w:t>
            </w:r>
          </w:p>
          <w:p w:rsidR="00CE68C6" w:rsidRDefault="00CE68C6" w:rsidP="00CE68C6">
            <w:pPr>
              <w:pStyle w:val="DQITableText"/>
            </w:pPr>
            <w:r>
              <w:t>For further information go to &lt;http://</w:t>
            </w:r>
            <w:proofErr w:type="spellStart"/>
            <w:r>
              <w:t>www.ncver.edu.au</w:t>
            </w:r>
            <w:proofErr w:type="spellEnd"/>
            <w:r>
              <w:t>/</w:t>
            </w:r>
            <w:proofErr w:type="spellStart"/>
            <w:r>
              <w:t>avetmiss</w:t>
            </w:r>
            <w:proofErr w:type="spellEnd"/>
            <w:r>
              <w:t>/</w:t>
            </w:r>
            <w:proofErr w:type="spellStart"/>
            <w:r>
              <w:t>21055.html</w:t>
            </w:r>
            <w:proofErr w:type="spellEnd"/>
            <w:r>
              <w:t>&gt;.</w:t>
            </w:r>
          </w:p>
          <w:p w:rsidR="00CE68C6" w:rsidRDefault="00CE68C6" w:rsidP="00CE68C6">
            <w:pPr>
              <w:pStyle w:val="DQITableText"/>
            </w:pPr>
            <w:r>
              <w:t xml:space="preserve">In 2010, the invalid enrolment audit cycle changed, with States and Territories now being audited for invalid enrolments over a three-year cycle rather than annually. </w:t>
            </w:r>
          </w:p>
          <w:p w:rsidR="00CE68C6" w:rsidRPr="00CE68C6" w:rsidRDefault="00CE68C6" w:rsidP="00CE68C6">
            <w:pPr>
              <w:pStyle w:val="DQITableText"/>
            </w:pPr>
            <w:r w:rsidRPr="00CE68C6">
              <w:t xml:space="preserve">The National VET in Schools collection is governed by the VET in Schools administrative arrangements that are used in conjunction with </w:t>
            </w:r>
            <w:proofErr w:type="spellStart"/>
            <w:r w:rsidRPr="00CE68C6">
              <w:t>AVETMISS</w:t>
            </w:r>
            <w:proofErr w:type="spellEnd"/>
            <w:r w:rsidRPr="00CE68C6">
              <w:t xml:space="preserve">. From 2012, data comply with release 6.1 of </w:t>
            </w:r>
            <w:proofErr w:type="spellStart"/>
            <w:r w:rsidRPr="00CE68C6">
              <w:t>AVETMISS</w:t>
            </w:r>
            <w:proofErr w:type="spellEnd"/>
            <w:r w:rsidRPr="00CE68C6">
              <w:t xml:space="preserve">, whereas previous collections complied with earlier releases.  Release 7.0 of the standard applies to training activity from 1 January 2014 and was published in April 2013. For details, see </w:t>
            </w:r>
            <w:r w:rsidRPr="00111D1B">
              <w:t>http://</w:t>
            </w:r>
            <w:proofErr w:type="spellStart"/>
            <w:r w:rsidRPr="00111D1B">
              <w:t>www.ncver.edu.au</w:t>
            </w:r>
            <w:proofErr w:type="spellEnd"/>
            <w:r w:rsidRPr="00111D1B">
              <w:t>/</w:t>
            </w:r>
            <w:proofErr w:type="spellStart"/>
            <w:r w:rsidRPr="00111D1B">
              <w:t>avetmiss</w:t>
            </w:r>
            <w:proofErr w:type="spellEnd"/>
            <w:r w:rsidRPr="00111D1B">
              <w:t>/</w:t>
            </w:r>
            <w:proofErr w:type="spellStart"/>
            <w:r w:rsidRPr="00111D1B">
              <w:t>21055.html</w:t>
            </w:r>
            <w:proofErr w:type="spellEnd"/>
            <w:r w:rsidRPr="00CE68C6">
              <w:t>.</w:t>
            </w:r>
          </w:p>
          <w:p w:rsidR="0099630B" w:rsidRPr="00955A88" w:rsidRDefault="0099630B" w:rsidP="00955A88">
            <w:pPr>
              <w:pStyle w:val="DQITableText"/>
            </w:pPr>
            <w:proofErr w:type="spellStart"/>
            <w:r w:rsidRPr="00955A88">
              <w:t>ERP</w:t>
            </w:r>
            <w:proofErr w:type="spellEnd"/>
            <w:r w:rsidRPr="00955A88">
              <w:t xml:space="preserve"> was introduced in 1981 and backdated to 1971 as Australia's official measure of population based on place of usual residence. </w:t>
            </w:r>
            <w:proofErr w:type="spellStart"/>
            <w:r w:rsidRPr="00955A88">
              <w:t>ERP</w:t>
            </w:r>
            <w:proofErr w:type="spellEnd"/>
            <w:r w:rsidRPr="00955A88">
              <w:t xml:space="preserve"> is derived from usual residence census counts, to which is added the estimated net census undercount and Australian residents temporarily overseas at the time of the census (overseas visitors in Australia are excluded from this calculation). Before the introduction of </w:t>
            </w:r>
            <w:proofErr w:type="spellStart"/>
            <w:r w:rsidRPr="00955A88">
              <w:lastRenderedPageBreak/>
              <w:t>ERP</w:t>
            </w:r>
            <w:proofErr w:type="spellEnd"/>
            <w:r w:rsidRPr="00955A88">
              <w:t>, the Australian population was based on unadjusted census counts on actual location basis. It is important to note this break in time series when comparing historical population estimates.</w:t>
            </w:r>
          </w:p>
          <w:p w:rsidR="0099630B" w:rsidRPr="00955A88" w:rsidRDefault="0099630B" w:rsidP="00955A88">
            <w:pPr>
              <w:pStyle w:val="DQITableText"/>
            </w:pPr>
            <w:r w:rsidRPr="00955A88">
              <w:t>An improved method for calculating NOM was applied from September quarter 2006 onwards. The key change is the introduction of a '12/16 month rule' for measuring a person's residency in Australia replacing the '12/12 month rule'. This change results in a break in time series therefore it is not advised that NOM data calculated using the new method is compared to data previous to this. For further information see Information Paper: Further Improvements to Net Overseas Migration Estimation, Dec 2013 (cat. no. 3412.0.55.002).</w:t>
            </w:r>
          </w:p>
          <w:p w:rsidR="0099630B" w:rsidRPr="00955A88" w:rsidRDefault="0099630B" w:rsidP="00955A88">
            <w:pPr>
              <w:pStyle w:val="DQITableText"/>
            </w:pPr>
            <w:r w:rsidRPr="00955A88">
              <w:t xml:space="preserve">The births and deaths data in this publication are not coherent with the data found in ABS births and deaths publications. This is because the revision cycle necessary to produce </w:t>
            </w:r>
            <w:proofErr w:type="spellStart"/>
            <w:r w:rsidRPr="00955A88">
              <w:t>ERP</w:t>
            </w:r>
            <w:proofErr w:type="spellEnd"/>
            <w:r w:rsidRPr="00955A88">
              <w:t xml:space="preserve">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lastRenderedPageBreak/>
              <w:t>Accessibility</w:t>
            </w:r>
          </w:p>
        </w:tc>
        <w:tc>
          <w:tcPr>
            <w:tcW w:w="6960" w:type="dxa"/>
            <w:gridSpan w:val="2"/>
            <w:shd w:val="clear" w:color="auto" w:fill="auto"/>
          </w:tcPr>
          <w:p w:rsidR="00CE68C6" w:rsidRPr="00CE68C6" w:rsidRDefault="00CE68C6" w:rsidP="00CE68C6">
            <w:pPr>
              <w:pStyle w:val="DQITableText"/>
            </w:pPr>
            <w:r w:rsidRPr="00CE68C6">
              <w:t xml:space="preserve">Summary information is available free of charge in </w:t>
            </w:r>
            <w:r w:rsidRPr="00111D1B">
              <w:t>Students and Courses</w:t>
            </w:r>
            <w:r w:rsidRPr="00CE68C6">
              <w:t xml:space="preserve"> on </w:t>
            </w:r>
            <w:proofErr w:type="spellStart"/>
            <w:r w:rsidRPr="00CE68C6">
              <w:t>NCVER’s</w:t>
            </w:r>
            <w:proofErr w:type="spellEnd"/>
            <w:r w:rsidRPr="00CE68C6">
              <w:t xml:space="preserve"> website at: </w:t>
            </w:r>
            <w:r w:rsidRPr="00111D1B">
              <w:t>http://</w:t>
            </w:r>
            <w:proofErr w:type="spellStart"/>
            <w:r w:rsidRPr="00111D1B">
              <w:t>www.ncver.edu.au</w:t>
            </w:r>
            <w:proofErr w:type="spellEnd"/>
            <w:r w:rsidRPr="00111D1B">
              <w:t>/statistic/</w:t>
            </w:r>
            <w:proofErr w:type="spellStart"/>
            <w:r w:rsidRPr="00111D1B">
              <w:t>21053.html</w:t>
            </w:r>
            <w:proofErr w:type="spellEnd"/>
            <w:r w:rsidRPr="00CE68C6">
              <w:t xml:space="preserve">. Requests for more detailed statistical information can be made to </w:t>
            </w:r>
            <w:proofErr w:type="spellStart"/>
            <w:r w:rsidRPr="00CE68C6">
              <w:t>NCVER</w:t>
            </w:r>
            <w:proofErr w:type="spellEnd"/>
            <w:r w:rsidRPr="00CE68C6">
              <w:t xml:space="preserve"> on (08) 8230 8400 or </w:t>
            </w:r>
            <w:proofErr w:type="spellStart"/>
            <w:r w:rsidRPr="00111D1B">
              <w:t>vet_req@ncver.edu.au</w:t>
            </w:r>
            <w:proofErr w:type="spellEnd"/>
          </w:p>
          <w:p w:rsidR="00CE68C6" w:rsidRDefault="00CE68C6" w:rsidP="00CE68C6">
            <w:pPr>
              <w:pStyle w:val="DQITableText"/>
            </w:pPr>
            <w:r w:rsidRPr="00CE68C6">
              <w:t xml:space="preserve">A charge will be generally made by </w:t>
            </w:r>
            <w:proofErr w:type="spellStart"/>
            <w:r w:rsidRPr="00CE68C6">
              <w:t>NCVER</w:t>
            </w:r>
            <w:proofErr w:type="spellEnd"/>
            <w:r w:rsidRPr="00CE68C6">
              <w:t xml:space="preserve"> for more complex requests for information. See </w:t>
            </w:r>
            <w:proofErr w:type="spellStart"/>
            <w:r w:rsidRPr="00CE68C6">
              <w:t>NCVER’s</w:t>
            </w:r>
            <w:proofErr w:type="spellEnd"/>
            <w:r w:rsidRPr="00CE68C6">
              <w:t xml:space="preserve"> fees and charges policy at </w:t>
            </w:r>
            <w:r w:rsidRPr="00111D1B">
              <w:t>http://</w:t>
            </w:r>
            <w:proofErr w:type="spellStart"/>
            <w:r w:rsidRPr="00111D1B">
              <w:t>www.ncver.edu.au</w:t>
            </w:r>
            <w:proofErr w:type="spellEnd"/>
            <w:r w:rsidRPr="00111D1B">
              <w:t>/statistic/</w:t>
            </w:r>
            <w:proofErr w:type="spellStart"/>
            <w:r w:rsidRPr="00111D1B">
              <w:t>21075.html</w:t>
            </w:r>
            <w:proofErr w:type="spellEnd"/>
          </w:p>
          <w:p w:rsidR="003D69CF" w:rsidRPr="003D69CF" w:rsidRDefault="003D69CF" w:rsidP="00CE68C6">
            <w:pPr>
              <w:pStyle w:val="DQITableText"/>
            </w:pPr>
            <w:proofErr w:type="spellStart"/>
            <w:r w:rsidRPr="003D69CF">
              <w:t>ERP</w:t>
            </w:r>
            <w:proofErr w:type="spellEnd"/>
            <w:r w:rsidRPr="003D69CF">
              <w:t xml:space="preserve"> data is available in a variety of formats on the ABS website under the 3101.0 product families. The formats available free on the web are:</w:t>
            </w:r>
          </w:p>
          <w:p w:rsidR="003D69CF" w:rsidRPr="003D69CF" w:rsidRDefault="003D69CF" w:rsidP="003D69CF">
            <w:pPr>
              <w:pStyle w:val="DQITableText"/>
            </w:pPr>
            <w:r w:rsidRPr="003D69CF">
              <w:t xml:space="preserve">•The main features which has the key figures commentary, </w:t>
            </w:r>
          </w:p>
          <w:p w:rsidR="003D69CF" w:rsidRPr="003D69CF" w:rsidRDefault="003D69CF" w:rsidP="003D69CF">
            <w:pPr>
              <w:pStyle w:val="DQITableText"/>
            </w:pPr>
            <w:r w:rsidRPr="003D69CF">
              <w:t xml:space="preserve">•A pdf version of the publication, </w:t>
            </w:r>
          </w:p>
          <w:p w:rsidR="003D69CF" w:rsidRPr="003D69CF" w:rsidRDefault="003D69CF" w:rsidP="003D69CF">
            <w:pPr>
              <w:pStyle w:val="DQITableText"/>
            </w:pPr>
            <w:r w:rsidRPr="003D69CF">
              <w:t xml:space="preserve">•Time series spreadsheets on population change, components of change and interstate arrivals and departures, </w:t>
            </w:r>
          </w:p>
          <w:p w:rsidR="00955A88" w:rsidRPr="00955A88" w:rsidRDefault="003D69CF" w:rsidP="003D69CF">
            <w:pPr>
              <w:pStyle w:val="DQITableText"/>
            </w:pPr>
            <w:r w:rsidRPr="003D69CF">
              <w:t xml:space="preserve">If the information you require is not available as a standard product, then ABS Consultancy Services can help you with customised services to suit your needs. For inquiries contact the National Information and Referral Service on 1300 135 070. Alternatively, please email </w:t>
            </w:r>
            <w:proofErr w:type="spellStart"/>
            <w:r w:rsidRPr="003D69CF">
              <w:t>client.services@abs.gov.au</w:t>
            </w:r>
            <w:proofErr w:type="spellEnd"/>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t>Interpretability</w:t>
            </w:r>
          </w:p>
        </w:tc>
        <w:tc>
          <w:tcPr>
            <w:tcW w:w="6960" w:type="dxa"/>
            <w:gridSpan w:val="2"/>
            <w:shd w:val="clear" w:color="auto" w:fill="auto"/>
          </w:tcPr>
          <w:p w:rsidR="003D69CF" w:rsidRPr="003D69CF" w:rsidRDefault="003D69CF" w:rsidP="003D69CF">
            <w:pPr>
              <w:pStyle w:val="DQITableText"/>
            </w:pPr>
            <w:r w:rsidRPr="003D69CF">
              <w:t xml:space="preserve">To aid interpretation, information on the National VET Provider Collection, the National VET in Schools Collection, </w:t>
            </w:r>
            <w:proofErr w:type="spellStart"/>
            <w:r w:rsidRPr="003D69CF">
              <w:t>AVETMISS</w:t>
            </w:r>
            <w:proofErr w:type="spellEnd"/>
            <w:r w:rsidRPr="003D69CF">
              <w:t xml:space="preserve">, and Students and Courses is available on the </w:t>
            </w:r>
            <w:proofErr w:type="spellStart"/>
            <w:r w:rsidRPr="003D69CF">
              <w:t>NCVER</w:t>
            </w:r>
            <w:proofErr w:type="spellEnd"/>
            <w:r w:rsidRPr="003D69CF">
              <w:t xml:space="preserve"> website.</w:t>
            </w:r>
          </w:p>
          <w:p w:rsidR="003D69CF" w:rsidRPr="003D69CF" w:rsidRDefault="003D69CF" w:rsidP="003D69CF">
            <w:pPr>
              <w:pStyle w:val="DQITableText"/>
            </w:pPr>
            <w:r w:rsidRPr="003D69CF">
              <w:t xml:space="preserve">Among other standards detailed in </w:t>
            </w:r>
            <w:proofErr w:type="spellStart"/>
            <w:r w:rsidRPr="003D69CF">
              <w:t>AVETMISS</w:t>
            </w:r>
            <w:proofErr w:type="spellEnd"/>
            <w:r w:rsidRPr="003D69CF">
              <w:t>, the collections use the:</w:t>
            </w:r>
          </w:p>
          <w:p w:rsidR="003D69CF" w:rsidRPr="003D69CF" w:rsidRDefault="003D69CF" w:rsidP="003D69CF">
            <w:pPr>
              <w:pStyle w:val="DQITableText"/>
              <w:numPr>
                <w:ilvl w:val="0"/>
                <w:numId w:val="19"/>
              </w:numPr>
            </w:pPr>
            <w:r w:rsidRPr="00111D1B">
              <w:rPr>
                <w:bCs/>
              </w:rPr>
              <w:t>Australian Classification of Education (</w:t>
            </w:r>
            <w:proofErr w:type="spellStart"/>
            <w:r w:rsidRPr="00111D1B">
              <w:rPr>
                <w:bCs/>
              </w:rPr>
              <w:t>ASCED</w:t>
            </w:r>
            <w:proofErr w:type="spellEnd"/>
            <w:r w:rsidRPr="00111D1B">
              <w:rPr>
                <w:bCs/>
              </w:rPr>
              <w:t>) (ABS cat. no. 1272.0)</w:t>
            </w:r>
            <w:r w:rsidRPr="003D69CF">
              <w:t xml:space="preserve"> to classify the level and field of education</w:t>
            </w:r>
          </w:p>
          <w:p w:rsidR="003D69CF" w:rsidRPr="003D69CF" w:rsidRDefault="003D69CF" w:rsidP="003D69CF">
            <w:pPr>
              <w:pStyle w:val="DQITableText"/>
              <w:numPr>
                <w:ilvl w:val="0"/>
                <w:numId w:val="19"/>
              </w:numPr>
            </w:pPr>
            <w:r w:rsidRPr="003D69CF">
              <w:rPr>
                <w:u w:val="single"/>
              </w:rPr>
              <w:t>Australian and New Zealand Standard Classification of Occupations (</w:t>
            </w:r>
            <w:proofErr w:type="spellStart"/>
            <w:r w:rsidRPr="003D69CF">
              <w:rPr>
                <w:u w:val="single"/>
              </w:rPr>
              <w:t>ANZSCO</w:t>
            </w:r>
            <w:proofErr w:type="spellEnd"/>
            <w:r w:rsidRPr="003D69CF">
              <w:rPr>
                <w:u w:val="single"/>
              </w:rPr>
              <w:t xml:space="preserve">, previously </w:t>
            </w:r>
            <w:proofErr w:type="spellStart"/>
            <w:r w:rsidRPr="003D69CF">
              <w:rPr>
                <w:u w:val="single"/>
              </w:rPr>
              <w:t>ASCO</w:t>
            </w:r>
            <w:proofErr w:type="spellEnd"/>
            <w:r w:rsidRPr="003D69CF">
              <w:rPr>
                <w:u w:val="single"/>
              </w:rPr>
              <w:t>) (ABS cat. no. 1220.0)</w:t>
            </w:r>
            <w:r w:rsidRPr="003D69CF">
              <w:t xml:space="preserve"> to classify occupation</w:t>
            </w:r>
          </w:p>
          <w:p w:rsidR="003D69CF" w:rsidRPr="003D69CF" w:rsidRDefault="003D69CF" w:rsidP="003D69CF">
            <w:pPr>
              <w:pStyle w:val="DQITableText"/>
            </w:pPr>
            <w:r w:rsidRPr="00111D1B">
              <w:t>Access/Remoteness Index of Australia (ARIA+)</w:t>
            </w:r>
            <w:r w:rsidRPr="003D69CF">
              <w:t xml:space="preserve"> to classify remoteness. It was developed by the National Centre for Applications of Geographic Information Systems </w:t>
            </w:r>
            <w:r w:rsidRPr="00111D1B">
              <w:t>(</w:t>
            </w:r>
            <w:proofErr w:type="spellStart"/>
            <w:r w:rsidRPr="00111D1B">
              <w:t>GISCA</w:t>
            </w:r>
            <w:proofErr w:type="spellEnd"/>
            <w:r w:rsidRPr="00111D1B">
              <w:t>)</w:t>
            </w:r>
            <w:r w:rsidRPr="003D69CF">
              <w:t xml:space="preserve"> and is the standard ABS endorsed measure of remoteness. </w:t>
            </w:r>
            <w:r w:rsidRPr="003D69CF">
              <w:tab/>
            </w:r>
          </w:p>
          <w:p w:rsidR="003D69CF" w:rsidRPr="003D69CF" w:rsidRDefault="003D69CF" w:rsidP="003D69CF">
            <w:pPr>
              <w:pStyle w:val="DQITableText"/>
            </w:pPr>
            <w:r w:rsidRPr="003D69CF">
              <w:t>Student remoteness is based on the Access/Remoteness Index of Australia (ARIA+), which was developed by the National Centre for Social Applications of Geographic Information Systems (</w:t>
            </w:r>
            <w:proofErr w:type="spellStart"/>
            <w:r w:rsidRPr="003D69CF">
              <w:t>GISCA</w:t>
            </w:r>
            <w:proofErr w:type="spellEnd"/>
            <w:r w:rsidRPr="003D69CF">
              <w:t xml:space="preserve">). ARIA+ is now the standard ABS-endorsed measure of remoteness. From 2011, Student remoteness (ARIA+) is determined from ARIA+ remoteness regions and ABS </w:t>
            </w:r>
            <w:proofErr w:type="spellStart"/>
            <w:r w:rsidRPr="003D69CF">
              <w:t>SA2</w:t>
            </w:r>
            <w:proofErr w:type="spellEnd"/>
            <w:r w:rsidRPr="003D69CF">
              <w:t xml:space="preserve"> regions. Data prior to 2011 </w:t>
            </w:r>
            <w:r w:rsidR="00CE68C6">
              <w:t>are</w:t>
            </w:r>
            <w:r w:rsidRPr="003D69CF">
              <w:t xml:space="preserve"> based on ABS postal areas and ARIA+. Student remoteness (ARIA+) regions use the same ARIA+ ranges as the ABS remoteness areas and are therefore an approximation of the ABS remoteness areas. For more details of ARIA+ refer to &lt;</w:t>
            </w:r>
            <w:r w:rsidRPr="00111D1B">
              <w:t>www.adelaide.edu.au/apmrc/research/projects/category/about_aria.html</w:t>
            </w:r>
            <w:r w:rsidRPr="003D69CF">
              <w:t xml:space="preserve">&gt; </w:t>
            </w:r>
          </w:p>
          <w:p w:rsidR="003D69CF" w:rsidRPr="003D69CF" w:rsidRDefault="003D69CF" w:rsidP="003D69CF">
            <w:pPr>
              <w:pStyle w:val="DQITableText"/>
            </w:pPr>
            <w:proofErr w:type="spellStart"/>
            <w:r w:rsidRPr="003D69CF">
              <w:t>ERP</w:t>
            </w:r>
            <w:proofErr w:type="spellEnd"/>
            <w:r w:rsidRPr="003D69CF">
              <w:t xml:space="preserve"> is generally easy to interpret as the official measure of Australia's population (by state and territory) on a place of usual residence basis. However, there are still </w:t>
            </w:r>
            <w:r w:rsidRPr="003D69CF">
              <w:lastRenderedPageBreak/>
              <w:t xml:space="preserve">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3D69CF">
              <w:t>ERP</w:t>
            </w:r>
            <w:proofErr w:type="spellEnd"/>
            <w:r w:rsidRPr="003D69CF">
              <w:t xml:space="preserve"> is subject to error, but </w:t>
            </w:r>
            <w:proofErr w:type="spellStart"/>
            <w:r w:rsidRPr="003D69CF">
              <w:t>ERP</w:t>
            </w:r>
            <w:proofErr w:type="spellEnd"/>
            <w:r w:rsidRPr="003D69CF">
              <w:t xml:space="preserve"> itself is not in any way a guess. It is what the population would be if the components are measured well.</w:t>
            </w:r>
          </w:p>
          <w:p w:rsidR="003D69CF" w:rsidRPr="003D69CF" w:rsidRDefault="003D69CF" w:rsidP="003D69CF">
            <w:pPr>
              <w:pStyle w:val="DQITableText"/>
            </w:pPr>
            <w:r w:rsidRPr="003D69CF">
              <w:t xml:space="preserve">Population estimation is also very different to sample survey-based estimation. This is because population estimation is largely based on a full enumeration of components. In the case of the population base, only the </w:t>
            </w:r>
            <w:proofErr w:type="spellStart"/>
            <w:r w:rsidRPr="003D69CF">
              <w:t>PES</w:t>
            </w:r>
            <w:proofErr w:type="spellEnd"/>
            <w:r w:rsidRPr="003D69CF">
              <w:t xml:space="preserve"> used sampled data to adjust for census net undercount. In the case of the components of population growth used to carry population estimates forward, Australia has a theoretically complete measure of each component.</w:t>
            </w:r>
          </w:p>
          <w:p w:rsidR="00955A88" w:rsidRPr="00955A88" w:rsidRDefault="003D69CF" w:rsidP="003D69CF">
            <w:pPr>
              <w:pStyle w:val="DQITableText"/>
            </w:pPr>
            <w:r w:rsidRPr="003D69CF">
              <w:t>Another example of a common misconception relates to the fact that the population projections presented in this publication are not predictions or forecasts. They are an assessment of what would happen to Australia's population if the assumed levels of components of population change - births, deaths and migration - were to hold into the future.</w:t>
            </w:r>
          </w:p>
        </w:tc>
      </w:tr>
      <w:tr w:rsidR="00955A88" w:rsidRPr="00D37799" w:rsidTr="00B67545">
        <w:trPr>
          <w:jc w:val="center"/>
        </w:trPr>
        <w:tc>
          <w:tcPr>
            <w:tcW w:w="5359" w:type="dxa"/>
            <w:gridSpan w:val="2"/>
            <w:shd w:val="clear" w:color="auto" w:fill="auto"/>
          </w:tcPr>
          <w:p w:rsidR="00955A88" w:rsidRPr="00D37799" w:rsidRDefault="00955A88" w:rsidP="00E51EB3">
            <w:pPr>
              <w:pStyle w:val="DQIRowHeadings"/>
            </w:pPr>
            <w:r w:rsidRPr="00D37799">
              <w:lastRenderedPageBreak/>
              <w:t>Data Gaps/Issues Analysis</w:t>
            </w:r>
          </w:p>
        </w:tc>
        <w:tc>
          <w:tcPr>
            <w:tcW w:w="3373" w:type="dxa"/>
            <w:shd w:val="clear" w:color="auto" w:fill="auto"/>
          </w:tcPr>
          <w:p w:rsidR="00955A88" w:rsidRPr="00955A88" w:rsidRDefault="00955A88" w:rsidP="00955A88">
            <w:pPr>
              <w:pStyle w:val="DQITableText"/>
            </w:pPr>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t>Key data gaps/issues</w:t>
            </w:r>
          </w:p>
        </w:tc>
        <w:tc>
          <w:tcPr>
            <w:tcW w:w="6960" w:type="dxa"/>
            <w:gridSpan w:val="2"/>
            <w:shd w:val="clear" w:color="auto" w:fill="auto"/>
          </w:tcPr>
          <w:p w:rsidR="003D69CF" w:rsidRPr="003D69CF" w:rsidRDefault="003D69CF" w:rsidP="00B67545">
            <w:pPr>
              <w:pStyle w:val="DQITableText"/>
            </w:pPr>
            <w:r w:rsidRPr="003D69CF">
              <w:t>The Steering Committee notes the following issues:</w:t>
            </w:r>
          </w:p>
          <w:p w:rsidR="00955A88" w:rsidRPr="00955A88" w:rsidRDefault="003D69CF" w:rsidP="00B67545">
            <w:pPr>
              <w:pStyle w:val="DQITableText"/>
            </w:pPr>
            <w:r w:rsidRPr="003D69CF">
              <w:t xml:space="preserve">This measure does not include private </w:t>
            </w:r>
            <w:proofErr w:type="spellStart"/>
            <w:r w:rsidRPr="003D69CF">
              <w:t>RTOs</w:t>
            </w:r>
            <w:proofErr w:type="spellEnd"/>
            <w:r w:rsidRPr="003D69CF">
              <w:t xml:space="preserve"> who are not in receipt of government funding</w:t>
            </w:r>
          </w:p>
        </w:tc>
      </w:tr>
    </w:tbl>
    <w:p w:rsidR="00955A88" w:rsidRDefault="00955A88" w:rsidP="00955A88">
      <w:pPr>
        <w:pStyle w:val="BodyText"/>
      </w:pPr>
    </w:p>
    <w:p w:rsidR="0099630B" w:rsidRDefault="0099630B">
      <w:pPr>
        <w:rPr>
          <w:rFonts w:ascii="Arial" w:hAnsi="Arial"/>
          <w:b/>
        </w:rPr>
      </w:pPr>
      <w:r>
        <w:rPr>
          <w:rFonts w:ascii="Arial" w:hAnsi="Arial"/>
          <w:b/>
        </w:rPr>
        <w:br w:type="page"/>
      </w:r>
    </w:p>
    <w:p w:rsidR="00902E88" w:rsidRPr="00D37799" w:rsidRDefault="00902E88" w:rsidP="00902E88">
      <w:pPr>
        <w:pStyle w:val="Heading3"/>
      </w:pPr>
      <w:bookmarkStart w:id="32" w:name="_Toc439840522"/>
      <w:bookmarkStart w:id="33" w:name="_Toc401837432"/>
      <w:bookmarkStart w:id="34" w:name="_Toc282094185"/>
      <w:bookmarkEnd w:id="31"/>
      <w:r w:rsidRPr="00902E88">
        <w:lastRenderedPageBreak/>
        <w:t>Retention</w:t>
      </w:r>
      <w:bookmarkEnd w:id="32"/>
    </w:p>
    <w:p w:rsidR="0099630B" w:rsidRPr="00902E88" w:rsidRDefault="0099630B" w:rsidP="001F0BC6">
      <w:pPr>
        <w:pStyle w:val="Box"/>
        <w:shd w:val="clear" w:color="auto" w:fill="FFFFFF" w:themeFill="background1"/>
      </w:pPr>
      <w:r w:rsidRPr="00902E88">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621"/>
        <w:gridCol w:w="7243"/>
      </w:tblGrid>
      <w:tr w:rsidR="00902E88" w:rsidRPr="00D37799" w:rsidTr="00E86F27">
        <w:trPr>
          <w:jc w:val="center"/>
        </w:trPr>
        <w:tc>
          <w:tcPr>
            <w:tcW w:w="8864" w:type="dxa"/>
            <w:gridSpan w:val="2"/>
          </w:tcPr>
          <w:p w:rsidR="00902E88" w:rsidRPr="00D37799" w:rsidRDefault="00902E88" w:rsidP="001F0BC6">
            <w:pPr>
              <w:pStyle w:val="DQIMainRowHeadings"/>
              <w:shd w:val="clear" w:color="auto" w:fill="FFFFFF" w:themeFill="background1"/>
              <w:rPr>
                <w:rFonts w:cs="Arial"/>
              </w:rPr>
            </w:pPr>
            <w:r w:rsidRPr="00D37799">
              <w:t>Indicator definition and description</w:t>
            </w:r>
          </w:p>
        </w:tc>
      </w:tr>
      <w:tr w:rsidR="00902E88" w:rsidRPr="00D37799" w:rsidTr="00E86F27">
        <w:trPr>
          <w:jc w:val="center"/>
        </w:trPr>
        <w:tc>
          <w:tcPr>
            <w:tcW w:w="1800" w:type="dxa"/>
          </w:tcPr>
          <w:p w:rsidR="00902E88" w:rsidRPr="00D37799" w:rsidRDefault="00902E88" w:rsidP="001F0BC6">
            <w:pPr>
              <w:pStyle w:val="DQIRowHeadings"/>
              <w:shd w:val="clear" w:color="auto" w:fill="FFFFFF" w:themeFill="background1"/>
            </w:pPr>
            <w:r w:rsidRPr="00D37799">
              <w:t>Element</w:t>
            </w:r>
          </w:p>
        </w:tc>
        <w:tc>
          <w:tcPr>
            <w:tcW w:w="7064" w:type="dxa"/>
          </w:tcPr>
          <w:p w:rsidR="00902E88" w:rsidRPr="00D37799" w:rsidRDefault="00902E88" w:rsidP="001F0BC6">
            <w:pPr>
              <w:pStyle w:val="DQITableText"/>
              <w:shd w:val="clear" w:color="auto" w:fill="FFFFFF" w:themeFill="background1"/>
            </w:pPr>
            <w:r w:rsidRPr="00D37799">
              <w:t>Equity — Access</w:t>
            </w:r>
          </w:p>
        </w:tc>
      </w:tr>
      <w:tr w:rsidR="00902E88" w:rsidRPr="00D37799" w:rsidTr="00902E88">
        <w:trPr>
          <w:jc w:val="center"/>
        </w:trPr>
        <w:tc>
          <w:tcPr>
            <w:tcW w:w="1800" w:type="dxa"/>
          </w:tcPr>
          <w:p w:rsidR="00902E88" w:rsidRPr="00D37799" w:rsidRDefault="00902E88" w:rsidP="001F0BC6">
            <w:pPr>
              <w:pStyle w:val="DQIRowHeadings"/>
              <w:shd w:val="clear" w:color="auto" w:fill="FFFFFF" w:themeFill="background1"/>
            </w:pPr>
            <w:r w:rsidRPr="00D37799">
              <w:t>Indicator</w:t>
            </w:r>
          </w:p>
        </w:tc>
        <w:tc>
          <w:tcPr>
            <w:tcW w:w="7064" w:type="dxa"/>
            <w:shd w:val="clear" w:color="auto" w:fill="FFFFFF" w:themeFill="background1"/>
          </w:tcPr>
          <w:p w:rsidR="00902E88" w:rsidRPr="00D37799" w:rsidRDefault="00902E88" w:rsidP="001F0BC6">
            <w:pPr>
              <w:pStyle w:val="DQITableText"/>
              <w:shd w:val="clear" w:color="auto" w:fill="FFFFFF" w:themeFill="background1"/>
            </w:pPr>
            <w:r>
              <w:t>Retention</w:t>
            </w:r>
          </w:p>
        </w:tc>
      </w:tr>
      <w:tr w:rsidR="00902E88" w:rsidRPr="00D37799" w:rsidTr="00902E88">
        <w:trPr>
          <w:jc w:val="center"/>
        </w:trPr>
        <w:tc>
          <w:tcPr>
            <w:tcW w:w="1800" w:type="dxa"/>
          </w:tcPr>
          <w:p w:rsidR="00902E88" w:rsidRPr="00D37799" w:rsidRDefault="00902E88" w:rsidP="00000EE4">
            <w:pPr>
              <w:pStyle w:val="DQIRowHeadings"/>
              <w:shd w:val="clear" w:color="auto" w:fill="FFFFFF" w:themeFill="background1"/>
            </w:pPr>
            <w:r w:rsidRPr="00D37799">
              <w:t>Measure (computation)</w:t>
            </w:r>
          </w:p>
        </w:tc>
        <w:tc>
          <w:tcPr>
            <w:tcW w:w="7064" w:type="dxa"/>
            <w:shd w:val="clear" w:color="auto" w:fill="FFFFFF" w:themeFill="background1"/>
          </w:tcPr>
          <w:p w:rsidR="00902E88" w:rsidRPr="00D37799" w:rsidRDefault="00902E88" w:rsidP="00000EE4">
            <w:pPr>
              <w:pStyle w:val="DQITableText"/>
              <w:shd w:val="clear" w:color="auto" w:fill="FFFFFF" w:themeFill="background1"/>
              <w:rPr>
                <w:u w:val="single"/>
              </w:rPr>
            </w:pPr>
            <w:r w:rsidRPr="00D37799">
              <w:rPr>
                <w:u w:val="single"/>
              </w:rPr>
              <w:t>Definition</w:t>
            </w:r>
          </w:p>
          <w:p w:rsidR="00902E88" w:rsidRPr="00902E88" w:rsidRDefault="00902E88" w:rsidP="00000EE4">
            <w:pPr>
              <w:pStyle w:val="DQITableText"/>
              <w:shd w:val="clear" w:color="auto" w:fill="FFFFFF" w:themeFill="background1"/>
            </w:pPr>
            <w:r w:rsidRPr="00902E88">
              <w:t>Apparent retention rates (</w:t>
            </w:r>
            <w:proofErr w:type="spellStart"/>
            <w:r w:rsidRPr="00902E88">
              <w:t>ARRs</w:t>
            </w:r>
            <w:proofErr w:type="spellEnd"/>
            <w:r w:rsidRPr="00902E88">
              <w:t>): The number of school students in a designated level/Year of education as a percentage of their respective cohort group (either at the commencement of their secondary schooling — at Year 7 or 8 — or at Year 10). Data are reported for:</w:t>
            </w:r>
          </w:p>
          <w:p w:rsidR="00902E88" w:rsidRPr="00902E88" w:rsidRDefault="00902E88" w:rsidP="00000EE4">
            <w:pPr>
              <w:pStyle w:val="DQITableText"/>
              <w:shd w:val="clear" w:color="auto" w:fill="FFFFFF" w:themeFill="background1"/>
            </w:pPr>
            <w:r w:rsidRPr="00902E88">
              <w:t>(1) the proportion of students commencing secondary school at Year 7 or 8 and continuing to Year 10</w:t>
            </w:r>
          </w:p>
          <w:p w:rsidR="00902E88" w:rsidRPr="00902E88" w:rsidRDefault="00902E88" w:rsidP="00000EE4">
            <w:pPr>
              <w:pStyle w:val="DQITableText"/>
              <w:shd w:val="clear" w:color="auto" w:fill="FFFFFF" w:themeFill="background1"/>
            </w:pPr>
            <w:r w:rsidRPr="00902E88">
              <w:t>(2) the proportion of students commencing secondary school at Year 7 or 8 and continuing to Year 12</w:t>
            </w:r>
          </w:p>
          <w:p w:rsidR="00902E88" w:rsidRPr="00902E88" w:rsidRDefault="00902E88" w:rsidP="00000EE4">
            <w:pPr>
              <w:pStyle w:val="DQITableText"/>
              <w:shd w:val="clear" w:color="auto" w:fill="FFFFFF" w:themeFill="background1"/>
            </w:pPr>
            <w:r w:rsidRPr="00902E88">
              <w:t>(3) the proportion of Year 10 students continuing to Year 12.</w:t>
            </w:r>
          </w:p>
          <w:p w:rsidR="00902E88" w:rsidRPr="00902E88" w:rsidRDefault="00902E88" w:rsidP="00000EE4">
            <w:pPr>
              <w:pStyle w:val="DQITableText"/>
              <w:shd w:val="clear" w:color="auto" w:fill="FFFFFF" w:themeFill="background1"/>
              <w:rPr>
                <w:u w:val="single"/>
              </w:rPr>
            </w:pPr>
            <w:r w:rsidRPr="00902E88">
              <w:rPr>
                <w:u w:val="single"/>
              </w:rPr>
              <w:t>Numerators and denominators</w:t>
            </w:r>
          </w:p>
          <w:p w:rsidR="00902E88" w:rsidRPr="00902E88" w:rsidRDefault="00902E88" w:rsidP="00000EE4">
            <w:pPr>
              <w:pStyle w:val="DQITableText"/>
              <w:shd w:val="clear" w:color="auto" w:fill="FFFFFF" w:themeFill="background1"/>
            </w:pPr>
            <w:r w:rsidRPr="00902E88">
              <w:t>Numerator (1) – number of full-time students in Year 10 in the reporting year</w:t>
            </w:r>
          </w:p>
          <w:p w:rsidR="00902E88" w:rsidRPr="00902E88" w:rsidRDefault="00902E88" w:rsidP="00000EE4">
            <w:pPr>
              <w:pStyle w:val="DQITableText"/>
              <w:shd w:val="clear" w:color="auto" w:fill="FFFFFF" w:themeFill="background1"/>
            </w:pPr>
            <w:r w:rsidRPr="00902E88">
              <w:t xml:space="preserve">Denominator (1) – number of full-time students in the base year (in year 7 three years previous to reporting year for NSW, Vic, Tas and ACT; </w:t>
            </w:r>
            <w:r w:rsidRPr="00902E88">
              <w:rPr>
                <w:lang w:val="en-US"/>
              </w:rPr>
              <w:t>in Year 8 two years previous to the reporting year  for</w:t>
            </w:r>
            <w:r w:rsidRPr="00902E88">
              <w:t xml:space="preserve"> QLD, WA, SA and NT). </w:t>
            </w:r>
          </w:p>
          <w:p w:rsidR="00902E88" w:rsidRPr="00902E88" w:rsidRDefault="00902E88" w:rsidP="00000EE4">
            <w:pPr>
              <w:pStyle w:val="DQITableText"/>
              <w:shd w:val="clear" w:color="auto" w:fill="FFFFFF" w:themeFill="background1"/>
            </w:pPr>
            <w:r w:rsidRPr="00902E88">
              <w:rPr>
                <w:iCs/>
              </w:rPr>
              <w:t xml:space="preserve">Numerator (2) </w:t>
            </w:r>
            <w:r w:rsidRPr="00902E88">
              <w:t>– number of full-time students in Year 12 in reporting year</w:t>
            </w:r>
          </w:p>
          <w:p w:rsidR="00902E88" w:rsidRPr="00902E88" w:rsidRDefault="00902E88" w:rsidP="00000EE4">
            <w:pPr>
              <w:pStyle w:val="DQITableText"/>
              <w:shd w:val="clear" w:color="auto" w:fill="FFFFFF" w:themeFill="background1"/>
            </w:pPr>
            <w:r w:rsidRPr="00902E88">
              <w:rPr>
                <w:iCs/>
              </w:rPr>
              <w:t>Denominator (2)</w:t>
            </w:r>
            <w:r w:rsidRPr="00902E88">
              <w:rPr>
                <w:i/>
                <w:iCs/>
              </w:rPr>
              <w:t xml:space="preserve"> </w:t>
            </w:r>
            <w:r w:rsidRPr="00902E88">
              <w:t>– number of full-time students in the base year (</w:t>
            </w:r>
            <w:r w:rsidRPr="00902E88">
              <w:rPr>
                <w:lang w:val="en-US"/>
              </w:rPr>
              <w:t xml:space="preserve">in Year 7 five years previous to the reporting year for </w:t>
            </w:r>
            <w:r w:rsidRPr="00902E88">
              <w:t xml:space="preserve">NSW, Vic, Tas and ACT; </w:t>
            </w:r>
            <w:r w:rsidRPr="00902E88">
              <w:rPr>
                <w:lang w:val="en-US"/>
              </w:rPr>
              <w:t xml:space="preserve">in Year 8 four years previous in </w:t>
            </w:r>
            <w:r w:rsidRPr="00902E88">
              <w:t>Qld, WA, SA and NT).</w:t>
            </w:r>
          </w:p>
          <w:p w:rsidR="00902E88" w:rsidRPr="00902E88" w:rsidRDefault="00902E88" w:rsidP="00000EE4">
            <w:pPr>
              <w:pStyle w:val="DQITableText"/>
              <w:shd w:val="clear" w:color="auto" w:fill="FFFFFF" w:themeFill="background1"/>
            </w:pPr>
            <w:r w:rsidRPr="00902E88">
              <w:t xml:space="preserve">Numerator (3)– number of full time students in Year 12 in reporting year </w:t>
            </w:r>
          </w:p>
          <w:p w:rsidR="00902E88" w:rsidRPr="00902E88" w:rsidRDefault="00902E88" w:rsidP="00000EE4">
            <w:pPr>
              <w:pStyle w:val="DQITableText"/>
              <w:shd w:val="clear" w:color="auto" w:fill="FFFFFF" w:themeFill="background1"/>
            </w:pPr>
            <w:r w:rsidRPr="00902E88">
              <w:t>Denominator (3) – number of full-time students in the base year (</w:t>
            </w:r>
            <w:r w:rsidRPr="00902E88">
              <w:rPr>
                <w:lang w:val="en-US"/>
              </w:rPr>
              <w:t>in Year 10 two years previous to the reporting year</w:t>
            </w:r>
            <w:r w:rsidRPr="00902E88">
              <w:t xml:space="preserve">). </w:t>
            </w:r>
          </w:p>
          <w:p w:rsidR="00902E88" w:rsidRPr="00902E88" w:rsidRDefault="00902E88" w:rsidP="00000EE4">
            <w:pPr>
              <w:pStyle w:val="DQITableText"/>
              <w:shd w:val="clear" w:color="auto" w:fill="FFFFFF" w:themeFill="background1"/>
            </w:pPr>
            <w:r w:rsidRPr="00902E88">
              <w:t>In addition data including part-time students are provided for the Year 10 – 12 measure. This measure only provides information on those who are retained to Year 10 or Year 12. These students may or may not complete Year 10 or Year 12.</w:t>
            </w:r>
          </w:p>
          <w:p w:rsidR="00902E88" w:rsidRPr="00D37799" w:rsidRDefault="00902E88" w:rsidP="00000EE4">
            <w:pPr>
              <w:pStyle w:val="DQITableText"/>
              <w:shd w:val="clear" w:color="auto" w:fill="FFFFFF" w:themeFill="background1"/>
              <w:rPr>
                <w:u w:val="single"/>
              </w:rPr>
            </w:pPr>
            <w:r w:rsidRPr="00D37799">
              <w:rPr>
                <w:u w:val="single"/>
              </w:rPr>
              <w:t>Computation/s:</w:t>
            </w:r>
          </w:p>
          <w:p w:rsidR="00902E88" w:rsidRPr="00D37799" w:rsidRDefault="00902E88" w:rsidP="00000EE4">
            <w:pPr>
              <w:pStyle w:val="DQITableText"/>
              <w:shd w:val="clear" w:color="auto" w:fill="FFFFFF" w:themeFill="background1"/>
            </w:pPr>
            <w:r w:rsidRPr="00D37799">
              <w:rPr>
                <w:rFonts w:cs="Arial"/>
              </w:rPr>
              <w:t>The number of students in the relevant numerator year divided by the number of students in the denominator year. These data are provided by Indigenous status and for government, non-government and all schools. In addition data including part time students are provided for the Year 10 – 12 measure</w:t>
            </w:r>
          </w:p>
        </w:tc>
      </w:tr>
      <w:tr w:rsidR="00902E88" w:rsidRPr="00D37799" w:rsidTr="001F0BC6">
        <w:trPr>
          <w:jc w:val="center"/>
        </w:trPr>
        <w:tc>
          <w:tcPr>
            <w:tcW w:w="1800" w:type="dxa"/>
            <w:shd w:val="clear" w:color="auto" w:fill="FFFFFF" w:themeFill="background1"/>
          </w:tcPr>
          <w:p w:rsidR="00902E88" w:rsidRPr="00000EE4" w:rsidRDefault="00902E88" w:rsidP="00000EE4">
            <w:pPr>
              <w:pStyle w:val="DQIRowHeadings"/>
              <w:shd w:val="clear" w:color="auto" w:fill="FFFFFF" w:themeFill="background1"/>
              <w:ind w:left="72" w:right="199" w:hanging="66"/>
            </w:pPr>
            <w:r w:rsidRPr="00000EE4">
              <w:rPr>
                <w:shd w:val="clear" w:color="auto" w:fill="FFFFFF" w:themeFill="background1"/>
              </w:rPr>
              <w:t>Data source/s</w:t>
            </w:r>
          </w:p>
        </w:tc>
        <w:tc>
          <w:tcPr>
            <w:tcW w:w="7064" w:type="dxa"/>
            <w:shd w:val="clear" w:color="auto" w:fill="FFFFFF" w:themeFill="background1"/>
          </w:tcPr>
          <w:p w:rsidR="00902E88" w:rsidRPr="001F0BC6" w:rsidRDefault="00902E88" w:rsidP="00000EE4">
            <w:pPr>
              <w:pStyle w:val="DQITableText"/>
              <w:shd w:val="clear" w:color="auto" w:fill="FFFFFF" w:themeFill="background1"/>
              <w:rPr>
                <w:rFonts w:cs="Arial"/>
              </w:rPr>
            </w:pPr>
            <w:r w:rsidRPr="001F0BC6">
              <w:rPr>
                <w:u w:val="single"/>
              </w:rPr>
              <w:t xml:space="preserve">Numerator and Denominator </w:t>
            </w:r>
            <w:r w:rsidRPr="001F0BC6">
              <w:rPr>
                <w:rFonts w:cs="Arial"/>
              </w:rPr>
              <w:t xml:space="preserve">non-finance National Schools Statistics Collection. </w:t>
            </w:r>
          </w:p>
          <w:p w:rsidR="00902E88" w:rsidRPr="001F0BC6" w:rsidRDefault="00902E88" w:rsidP="00000EE4">
            <w:pPr>
              <w:pStyle w:val="DQITableText"/>
              <w:shd w:val="clear" w:color="auto" w:fill="FFFFFF" w:themeFill="background1"/>
            </w:pPr>
            <w:r w:rsidRPr="001F0BC6">
              <w:t xml:space="preserve">Non-finance </w:t>
            </w:r>
            <w:proofErr w:type="spellStart"/>
            <w:r w:rsidRPr="001F0BC6">
              <w:t>NSSC</w:t>
            </w:r>
            <w:proofErr w:type="spellEnd"/>
            <w:r w:rsidRPr="001F0BC6">
              <w:t xml:space="preserve">. Data are published in </w:t>
            </w:r>
            <w:r w:rsidRPr="001F0BC6">
              <w:rPr>
                <w:i/>
              </w:rPr>
              <w:t>Schools, Australia</w:t>
            </w:r>
            <w:r w:rsidRPr="001F0BC6">
              <w:t xml:space="preserve"> (http://</w:t>
            </w:r>
            <w:proofErr w:type="spellStart"/>
            <w:r w:rsidRPr="001F0BC6">
              <w:t>www.abs.gov.au</w:t>
            </w:r>
            <w:proofErr w:type="spellEnd"/>
            <w:r w:rsidRPr="001F0BC6">
              <w:t>/</w:t>
            </w:r>
            <w:proofErr w:type="spellStart"/>
            <w:r w:rsidRPr="001F0BC6">
              <w:t>ausstats</w:t>
            </w:r>
            <w:proofErr w:type="spellEnd"/>
            <w:r w:rsidRPr="001F0BC6">
              <w:t>/abs@.</w:t>
            </w:r>
            <w:proofErr w:type="spellStart"/>
            <w:r w:rsidRPr="001F0BC6">
              <w:t>nsf</w:t>
            </w:r>
            <w:proofErr w:type="spellEnd"/>
            <w:r w:rsidRPr="001F0BC6">
              <w:t>/mf/4221.0) (cat. no. 4221.0). Data are available annually</w:t>
            </w:r>
          </w:p>
        </w:tc>
      </w:tr>
      <w:tr w:rsidR="00902E88" w:rsidRPr="00000EE4" w:rsidTr="00000EE4">
        <w:trPr>
          <w:jc w:val="center"/>
        </w:trPr>
        <w:tc>
          <w:tcPr>
            <w:tcW w:w="8864" w:type="dxa"/>
            <w:gridSpan w:val="2"/>
            <w:shd w:val="clear" w:color="auto" w:fill="FFFFFF" w:themeFill="background1"/>
          </w:tcPr>
          <w:p w:rsidR="00902E88" w:rsidRPr="00000EE4" w:rsidRDefault="00902E88" w:rsidP="00000EE4">
            <w:pPr>
              <w:pStyle w:val="DQIMainRowHeadings"/>
              <w:shd w:val="clear" w:color="auto" w:fill="FFFFFF" w:themeFill="background1"/>
              <w:rPr>
                <w:rFonts w:cs="Arial"/>
              </w:rPr>
            </w:pPr>
            <w:r w:rsidRPr="00000EE4">
              <w:t>Data Quality Framework Dimensions</w:t>
            </w:r>
          </w:p>
        </w:tc>
      </w:tr>
      <w:tr w:rsidR="00902E88" w:rsidRPr="00D37799" w:rsidTr="00000EE4">
        <w:trPr>
          <w:jc w:val="center"/>
        </w:trPr>
        <w:tc>
          <w:tcPr>
            <w:tcW w:w="1800" w:type="dxa"/>
            <w:shd w:val="clear" w:color="auto" w:fill="FFFFFF" w:themeFill="background1"/>
          </w:tcPr>
          <w:p w:rsidR="00902E88" w:rsidRPr="00000EE4" w:rsidRDefault="00902E88" w:rsidP="00000EE4">
            <w:pPr>
              <w:pStyle w:val="DQIRowHeadings"/>
              <w:shd w:val="clear" w:color="auto" w:fill="FFFFFF" w:themeFill="background1"/>
            </w:pPr>
            <w:r w:rsidRPr="00000EE4">
              <w:t>Institutional environment</w:t>
            </w:r>
          </w:p>
        </w:tc>
        <w:tc>
          <w:tcPr>
            <w:tcW w:w="7064" w:type="dxa"/>
            <w:shd w:val="clear" w:color="auto" w:fill="FFFFFF" w:themeFill="background1"/>
          </w:tcPr>
          <w:p w:rsidR="00902E88" w:rsidRPr="00000EE4" w:rsidRDefault="00902E88" w:rsidP="00000EE4">
            <w:pPr>
              <w:pStyle w:val="DQITableText"/>
              <w:shd w:val="clear" w:color="auto" w:fill="FFFFFF" w:themeFill="background1"/>
            </w:pPr>
            <w:r w:rsidRPr="00000EE4">
              <w:t xml:space="preserve">The </w:t>
            </w:r>
            <w:proofErr w:type="spellStart"/>
            <w:r w:rsidRPr="00000EE4">
              <w:t>NSSC</w:t>
            </w:r>
            <w:proofErr w:type="spellEnd"/>
            <w:r w:rsidRPr="00000EE4">
              <w:t xml:space="preserve"> is a joint undertaking of the various state and territory departments of education, the Australian Government Department of Education and Training, the Australian Bureau of Statistics (ABS), and the Education Council.</w:t>
            </w:r>
          </w:p>
          <w:p w:rsidR="00902E88" w:rsidRPr="00000EE4" w:rsidRDefault="00902E88" w:rsidP="00000EE4">
            <w:pPr>
              <w:pStyle w:val="DQITableText"/>
              <w:shd w:val="clear" w:color="auto" w:fill="FFFFFF" w:themeFill="background1"/>
            </w:pPr>
            <w:proofErr w:type="spellStart"/>
            <w:r w:rsidRPr="00000EE4">
              <w:t>NSSC</w:t>
            </w:r>
            <w:proofErr w:type="spellEnd"/>
            <w:r w:rsidRPr="00000EE4">
              <w:t xml:space="preserve"> (non-finance) data are collated by the ABS and are sourced from administrative school enrolment databases from the various state and territory departments of education for government data and the </w:t>
            </w:r>
            <w:proofErr w:type="spellStart"/>
            <w:r w:rsidRPr="00000EE4">
              <w:t>DEEWR</w:t>
            </w:r>
            <w:proofErr w:type="spellEnd"/>
            <w:r w:rsidRPr="00000EE4">
              <w:t xml:space="preserve"> for non-government data.</w:t>
            </w:r>
          </w:p>
          <w:p w:rsidR="00902E88" w:rsidRPr="00D37799" w:rsidRDefault="00902E88" w:rsidP="00000EE4">
            <w:pPr>
              <w:pStyle w:val="DQITableText"/>
              <w:shd w:val="clear" w:color="auto" w:fill="FFFFFF" w:themeFill="background1"/>
            </w:pPr>
            <w:r w:rsidRPr="00000EE4">
              <w:t xml:space="preserve">For information on the institutional environment of the ABS, including the legislative obligations of the ABS, which cover this collection, please see </w:t>
            </w:r>
            <w:r w:rsidRPr="00111D1B">
              <w:t xml:space="preserve">ABS Institutional </w:t>
            </w:r>
            <w:r w:rsidRPr="00111D1B">
              <w:lastRenderedPageBreak/>
              <w:t>Environment</w:t>
            </w:r>
          </w:p>
        </w:tc>
      </w:tr>
      <w:tr w:rsidR="00902E88" w:rsidRPr="00D37799" w:rsidTr="00902E88">
        <w:trPr>
          <w:jc w:val="center"/>
        </w:trPr>
        <w:tc>
          <w:tcPr>
            <w:tcW w:w="1800" w:type="dxa"/>
          </w:tcPr>
          <w:p w:rsidR="00902E88" w:rsidRPr="00D37799" w:rsidRDefault="00902E88" w:rsidP="00000EE4">
            <w:pPr>
              <w:pStyle w:val="DQIRowHeadings"/>
              <w:shd w:val="clear" w:color="auto" w:fill="FFFFFF" w:themeFill="background1"/>
            </w:pPr>
            <w:r w:rsidRPr="00D37799">
              <w:lastRenderedPageBreak/>
              <w:t>Relevance</w:t>
            </w:r>
          </w:p>
        </w:tc>
        <w:tc>
          <w:tcPr>
            <w:tcW w:w="7064" w:type="dxa"/>
            <w:shd w:val="clear" w:color="auto" w:fill="FFFFFF" w:themeFill="background1"/>
          </w:tcPr>
          <w:p w:rsidR="00902E88" w:rsidRPr="00902E88" w:rsidRDefault="00902E88" w:rsidP="00000EE4">
            <w:pPr>
              <w:pStyle w:val="DQITableText"/>
              <w:shd w:val="clear" w:color="auto" w:fill="FFFFFF" w:themeFill="background1"/>
            </w:pPr>
            <w:r w:rsidRPr="00902E88">
              <w:t>School student data are available by state/territory and Indigenous status but are not currently available by socioeconomic status.</w:t>
            </w:r>
          </w:p>
          <w:p w:rsidR="00902E88" w:rsidRPr="00902E88" w:rsidRDefault="00902E88" w:rsidP="00000EE4">
            <w:pPr>
              <w:pStyle w:val="DQITableText"/>
              <w:shd w:val="clear" w:color="auto" w:fill="FFFFFF" w:themeFill="background1"/>
            </w:pPr>
            <w:r w:rsidRPr="00902E88">
              <w:t xml:space="preserve">Information on Indigenous status is obtained from school enrolment forms which are generally completed by the primary carer of the child. The </w:t>
            </w:r>
            <w:proofErr w:type="spellStart"/>
            <w:r w:rsidRPr="00902E88">
              <w:t>NSSC</w:t>
            </w:r>
            <w:proofErr w:type="spellEnd"/>
            <w:r w:rsidRPr="00902E88">
              <w:t xml:space="preserve"> includes people who did not state their Indigenous status in the category ‘non-Indigenous’.</w:t>
            </w:r>
          </w:p>
          <w:p w:rsidR="00902E88" w:rsidRPr="00902E88" w:rsidRDefault="00902E88" w:rsidP="00000EE4">
            <w:pPr>
              <w:pStyle w:val="DQITableText"/>
              <w:shd w:val="clear" w:color="auto" w:fill="FFFFFF" w:themeFill="background1"/>
            </w:pPr>
            <w:r w:rsidRPr="00902E88">
              <w:t>This indicator is calculated by dividing the number of students in Year 10 or Year 12 in the reference year by the number enrolled at the commencement of secondary school some years previously (depending on jurisdiction). Hence the measure is an Apparent Retention Rate (</w:t>
            </w:r>
            <w:proofErr w:type="spellStart"/>
            <w:r w:rsidRPr="00902E88">
              <w:t>ARR</w:t>
            </w:r>
            <w:proofErr w:type="spellEnd"/>
            <w:r w:rsidRPr="00902E88">
              <w:t xml:space="preserve">). It is not a measure of the proportion of students who actually completed Year 10 or Year 12. </w:t>
            </w:r>
          </w:p>
          <w:p w:rsidR="00902E88" w:rsidRPr="00902E88" w:rsidRDefault="00902E88" w:rsidP="00000EE4">
            <w:pPr>
              <w:pStyle w:val="DQITableText"/>
              <w:shd w:val="clear" w:color="auto" w:fill="FFFFFF" w:themeFill="background1"/>
            </w:pPr>
            <w:r w:rsidRPr="00902E88">
              <w:t xml:space="preserve">Particularly in small jurisdictions, relatively small changes in student numbers can create apparently large movements in retention rates. In addition, the rates in the smaller jurisdictions may be noticeably affected by changes in such factors as the proportion of ungraded and/or mature aged students from year to year. </w:t>
            </w:r>
          </w:p>
          <w:p w:rsidR="00902E88" w:rsidRPr="00D37799" w:rsidRDefault="00902E88" w:rsidP="00000EE4">
            <w:pPr>
              <w:pStyle w:val="DQITableText"/>
              <w:shd w:val="clear" w:color="auto" w:fill="FFFFFF" w:themeFill="background1"/>
            </w:pPr>
            <w:r w:rsidRPr="00902E88">
              <w:t xml:space="preserve">All data are collected to standard classifications as stated in the </w:t>
            </w:r>
            <w:proofErr w:type="spellStart"/>
            <w:r w:rsidRPr="00902E88">
              <w:t>NSSC</w:t>
            </w:r>
            <w:proofErr w:type="spellEnd"/>
            <w:r w:rsidRPr="00902E88">
              <w:t xml:space="preserve"> Notes, Instructions and Tabulations manual. Data covers all students enrolled in school, some of whom may be taking a VET course.</w:t>
            </w:r>
          </w:p>
        </w:tc>
      </w:tr>
      <w:tr w:rsidR="00902E88" w:rsidRPr="00D37799" w:rsidTr="00E86F27">
        <w:trPr>
          <w:jc w:val="center"/>
        </w:trPr>
        <w:tc>
          <w:tcPr>
            <w:tcW w:w="1800" w:type="dxa"/>
          </w:tcPr>
          <w:p w:rsidR="00902E88" w:rsidRPr="00D37799" w:rsidRDefault="00902E88" w:rsidP="00000EE4">
            <w:pPr>
              <w:pStyle w:val="DQIRowHeadings"/>
              <w:shd w:val="clear" w:color="auto" w:fill="FFFFFF" w:themeFill="background1"/>
            </w:pPr>
            <w:r w:rsidRPr="00D37799">
              <w:t>Timeliness</w:t>
            </w:r>
          </w:p>
        </w:tc>
        <w:tc>
          <w:tcPr>
            <w:tcW w:w="7064" w:type="dxa"/>
          </w:tcPr>
          <w:p w:rsidR="00902E88" w:rsidRPr="00D37799" w:rsidRDefault="00902E88" w:rsidP="00000EE4">
            <w:pPr>
              <w:pStyle w:val="DQITableText"/>
              <w:shd w:val="clear" w:color="auto" w:fill="FFFFFF" w:themeFill="background1"/>
            </w:pPr>
            <w:r w:rsidRPr="00902E88">
              <w:t xml:space="preserve">The </w:t>
            </w:r>
            <w:proofErr w:type="spellStart"/>
            <w:r w:rsidRPr="00902E88">
              <w:t>NSSC</w:t>
            </w:r>
            <w:proofErr w:type="spellEnd"/>
            <w:r w:rsidRPr="00902E88">
              <w:t xml:space="preserve"> is based on the school census that is conducted annually on the first Friday in August by each state and territory department of education. The results for each reporting year are released in March of the following year.</w:t>
            </w:r>
            <w:r w:rsidRPr="00D37799">
              <w:t>.</w:t>
            </w:r>
          </w:p>
        </w:tc>
      </w:tr>
      <w:tr w:rsidR="00902E88" w:rsidRPr="00D37799" w:rsidTr="00E86F27">
        <w:trPr>
          <w:jc w:val="center"/>
        </w:trPr>
        <w:tc>
          <w:tcPr>
            <w:tcW w:w="1800" w:type="dxa"/>
          </w:tcPr>
          <w:p w:rsidR="00902E88" w:rsidRPr="00D37799" w:rsidRDefault="00902E88" w:rsidP="00000EE4">
            <w:pPr>
              <w:pStyle w:val="DQIRowHeadings"/>
              <w:shd w:val="clear" w:color="auto" w:fill="FFFFFF" w:themeFill="background1"/>
            </w:pPr>
            <w:r w:rsidRPr="00D37799">
              <w:t>Accuracy</w:t>
            </w:r>
          </w:p>
        </w:tc>
        <w:tc>
          <w:tcPr>
            <w:tcW w:w="7064" w:type="dxa"/>
          </w:tcPr>
          <w:p w:rsidR="00902E88" w:rsidRDefault="00902E88" w:rsidP="00000EE4">
            <w:pPr>
              <w:pStyle w:val="DQITableText"/>
              <w:shd w:val="clear" w:color="auto" w:fill="FFFFFF" w:themeFill="background1"/>
            </w:pPr>
            <w:r w:rsidRPr="00902E88">
              <w:t>Each school provides information on their enrolments to the relevant state education department to then forward aggregate data to the ABS. The collection of data on students in non-government schools is coordinated through the Australian Government Department of Education and Training.</w:t>
            </w:r>
          </w:p>
          <w:p w:rsidR="00902E88" w:rsidRDefault="00902E88" w:rsidP="00000EE4">
            <w:pPr>
              <w:pStyle w:val="DQITableText"/>
              <w:shd w:val="clear" w:color="auto" w:fill="FFFFFF" w:themeFill="background1"/>
            </w:pPr>
            <w:r w:rsidRPr="00902E88">
              <w:t xml:space="preserve">The </w:t>
            </w:r>
            <w:proofErr w:type="spellStart"/>
            <w:r w:rsidRPr="00902E88">
              <w:t>NSSC</w:t>
            </w:r>
            <w:proofErr w:type="spellEnd"/>
            <w:r w:rsidRPr="00902E88">
              <w:t xml:space="preserve"> is based on information on each student enrolled at the time of the school census</w:t>
            </w:r>
          </w:p>
          <w:p w:rsidR="00902E88" w:rsidRDefault="00902E88" w:rsidP="00000EE4">
            <w:pPr>
              <w:pStyle w:val="DQITableText"/>
              <w:shd w:val="clear" w:color="auto" w:fill="FFFFFF" w:themeFill="background1"/>
            </w:pPr>
            <w:r w:rsidRPr="00902E88">
              <w:t xml:space="preserve">Care should be taken in the interpretation of </w:t>
            </w:r>
            <w:proofErr w:type="spellStart"/>
            <w:r w:rsidRPr="00902E88">
              <w:t>ARRs</w:t>
            </w:r>
            <w:proofErr w:type="spellEnd"/>
            <w:r w:rsidRPr="00902E88">
              <w:t xml:space="preserve"> as the method of calculation does not take into account a range of factors such as repeating students, inter-sector transfers and enrolment policies. For further details on the accuracy of the </w:t>
            </w:r>
            <w:proofErr w:type="spellStart"/>
            <w:r w:rsidRPr="00902E88">
              <w:t>NSSC</w:t>
            </w:r>
            <w:proofErr w:type="spellEnd"/>
            <w:r w:rsidRPr="00902E88">
              <w:t xml:space="preserve"> methodology and </w:t>
            </w:r>
            <w:proofErr w:type="spellStart"/>
            <w:r w:rsidRPr="00902E88">
              <w:t>ARRs</w:t>
            </w:r>
            <w:proofErr w:type="spellEnd"/>
            <w:r w:rsidRPr="00902E88">
              <w:t xml:space="preserve">, see Explanatory Notes of </w:t>
            </w:r>
            <w:r w:rsidRPr="00902E88">
              <w:rPr>
                <w:i/>
              </w:rPr>
              <w:t>Schools, Australia</w:t>
            </w:r>
            <w:r w:rsidR="001F0BC6">
              <w:rPr>
                <w:i/>
              </w:rPr>
              <w:t xml:space="preserve"> </w:t>
            </w:r>
          </w:p>
          <w:p w:rsidR="00902E88" w:rsidRPr="00D37799" w:rsidRDefault="00902E88" w:rsidP="00000EE4">
            <w:pPr>
              <w:pStyle w:val="DQITableText"/>
              <w:shd w:val="clear" w:color="auto" w:fill="FFFFFF" w:themeFill="background1"/>
            </w:pPr>
          </w:p>
        </w:tc>
      </w:tr>
      <w:tr w:rsidR="00902E88" w:rsidRPr="00D37799" w:rsidTr="00E86F27">
        <w:trPr>
          <w:jc w:val="center"/>
        </w:trPr>
        <w:tc>
          <w:tcPr>
            <w:tcW w:w="1800" w:type="dxa"/>
          </w:tcPr>
          <w:p w:rsidR="00902E88" w:rsidRPr="00D37799" w:rsidRDefault="00902E88" w:rsidP="00000EE4">
            <w:pPr>
              <w:pStyle w:val="DQIRowHeadings"/>
              <w:shd w:val="clear" w:color="auto" w:fill="FFFFFF" w:themeFill="background1"/>
            </w:pPr>
            <w:r w:rsidRPr="00D37799">
              <w:t>Coherence</w:t>
            </w:r>
          </w:p>
        </w:tc>
        <w:tc>
          <w:tcPr>
            <w:tcW w:w="7064" w:type="dxa"/>
          </w:tcPr>
          <w:p w:rsidR="001F0BC6" w:rsidRPr="00D37799" w:rsidRDefault="001F0BC6" w:rsidP="00000EE4">
            <w:pPr>
              <w:pStyle w:val="DQITableText"/>
              <w:shd w:val="clear" w:color="auto" w:fill="FFFFFF" w:themeFill="background1"/>
            </w:pPr>
            <w:r w:rsidRPr="001F0BC6">
              <w:t xml:space="preserve">The </w:t>
            </w:r>
            <w:proofErr w:type="spellStart"/>
            <w:r w:rsidRPr="001F0BC6">
              <w:t>ARR</w:t>
            </w:r>
            <w:proofErr w:type="spellEnd"/>
            <w:r w:rsidRPr="001F0BC6">
              <w:t xml:space="preserve"> is based on those who are undertaking study at the Year 10 or Year 12 level as at August in the reference year and they may not go on to complete Year 10 or Year 12</w:t>
            </w:r>
            <w:r>
              <w:t xml:space="preserve"> </w:t>
            </w:r>
          </w:p>
          <w:p w:rsidR="00902E88" w:rsidRDefault="001F0BC6" w:rsidP="00000EE4">
            <w:pPr>
              <w:pStyle w:val="DQITableText"/>
              <w:shd w:val="clear" w:color="auto" w:fill="FFFFFF" w:themeFill="background1"/>
            </w:pPr>
            <w:r w:rsidRPr="001F0BC6">
              <w:t xml:space="preserve">The </w:t>
            </w:r>
            <w:proofErr w:type="spellStart"/>
            <w:r w:rsidRPr="001F0BC6">
              <w:t>NSSC</w:t>
            </w:r>
            <w:proofErr w:type="spellEnd"/>
            <w:r w:rsidRPr="001F0BC6">
              <w:t xml:space="preserve"> data items used to construct the </w:t>
            </w:r>
            <w:proofErr w:type="spellStart"/>
            <w:r w:rsidRPr="001F0BC6">
              <w:t>ARRs</w:t>
            </w:r>
            <w:proofErr w:type="spellEnd"/>
            <w:r w:rsidRPr="001F0BC6">
              <w:t xml:space="preserve"> are consistent and comparable over time, and support assessment of annual change.</w:t>
            </w:r>
          </w:p>
          <w:p w:rsidR="001F0BC6" w:rsidRDefault="001F0BC6" w:rsidP="00000EE4">
            <w:pPr>
              <w:pStyle w:val="DQITableText"/>
              <w:shd w:val="clear" w:color="auto" w:fill="FFFFFF" w:themeFill="background1"/>
            </w:pPr>
            <w:r w:rsidRPr="001F0BC6">
              <w:t xml:space="preserve">The </w:t>
            </w:r>
            <w:proofErr w:type="spellStart"/>
            <w:r w:rsidRPr="001F0BC6">
              <w:t>ARR</w:t>
            </w:r>
            <w:proofErr w:type="spellEnd"/>
            <w:r w:rsidRPr="001F0BC6">
              <w:t xml:space="preserve"> measures change over a period of time. The numerator and denominator are sourced from different annual cycles of the </w:t>
            </w:r>
            <w:proofErr w:type="spellStart"/>
            <w:r w:rsidRPr="001F0BC6">
              <w:t>NSSC</w:t>
            </w:r>
            <w:proofErr w:type="spellEnd"/>
            <w:r w:rsidRPr="001F0BC6">
              <w:t xml:space="preserve">, to follow the same age-cohort. Given the long analysis period, student transitions, such as migration or re-entry to the school system, have an effect on the accuracy of this calculation. In addition, the denominator is sourced from two different </w:t>
            </w:r>
            <w:proofErr w:type="spellStart"/>
            <w:r w:rsidRPr="001F0BC6">
              <w:t>NSSC</w:t>
            </w:r>
            <w:proofErr w:type="spellEnd"/>
            <w:r w:rsidRPr="001F0BC6">
              <w:t xml:space="preserve"> years due to different starting years for secondary school. For example, for the </w:t>
            </w:r>
            <w:proofErr w:type="spellStart"/>
            <w:r w:rsidRPr="001F0BC6">
              <w:t>ARR</w:t>
            </w:r>
            <w:proofErr w:type="spellEnd"/>
            <w:r w:rsidRPr="001F0BC6">
              <w:t xml:space="preserve"> from Year 7/8 to Year 10 in 2014, the denominator for NSW, Vic, Tas and ACT is sourced from </w:t>
            </w:r>
            <w:proofErr w:type="spellStart"/>
            <w:r w:rsidRPr="001F0BC6">
              <w:t>NSSC</w:t>
            </w:r>
            <w:proofErr w:type="spellEnd"/>
            <w:r w:rsidRPr="001F0BC6">
              <w:t xml:space="preserve"> 2011 (Year 7) and for Qld, WA, SA and NT is sourced from 2012 (Year 8).</w:t>
            </w:r>
          </w:p>
          <w:p w:rsidR="001F0BC6" w:rsidRDefault="001F0BC6" w:rsidP="00000EE4">
            <w:pPr>
              <w:pStyle w:val="DQITableText"/>
              <w:shd w:val="clear" w:color="auto" w:fill="FFFFFF" w:themeFill="background1"/>
            </w:pPr>
            <w:r w:rsidRPr="001F0BC6">
              <w:t>There is some variability in the reporting of Indigenous status, particularly in relation to not stated responses. This may result in some under reporting of Indigenous status, see Appendix 2: Collection of Indigenous Status of Students (</w:t>
            </w:r>
            <w:r w:rsidRPr="00111D1B">
              <w:t>http://www.abs.gov.au/AUSSTATS/abs@.nsf/DetailsPage/4221.02014?OpenDocument</w:t>
            </w:r>
            <w:r w:rsidRPr="001F0BC6">
              <w:t xml:space="preserve"> (cat. no. 4221.0) 2009. Increases in the number of Indigenous students due to improvements in the reporting of Indigenous status may lead to increases in </w:t>
            </w:r>
            <w:proofErr w:type="spellStart"/>
            <w:r w:rsidRPr="001F0BC6">
              <w:t>ARRs</w:t>
            </w:r>
            <w:proofErr w:type="spellEnd"/>
            <w:r w:rsidRPr="001F0BC6">
              <w:t xml:space="preserve"> for Indigenous students independently of changes in actual retention</w:t>
            </w:r>
            <w:r>
              <w:t>.</w:t>
            </w:r>
          </w:p>
          <w:p w:rsidR="001F0BC6" w:rsidRPr="00D37799" w:rsidRDefault="001F0BC6" w:rsidP="00000EE4">
            <w:pPr>
              <w:pStyle w:val="DQITableText"/>
              <w:shd w:val="clear" w:color="auto" w:fill="FFFFFF" w:themeFill="background1"/>
            </w:pPr>
            <w:r w:rsidRPr="001F0BC6">
              <w:t xml:space="preserve">Care should be taken in the interpretation of </w:t>
            </w:r>
            <w:proofErr w:type="spellStart"/>
            <w:r w:rsidRPr="001F0BC6">
              <w:t>ARRs</w:t>
            </w:r>
            <w:proofErr w:type="spellEnd"/>
            <w:r w:rsidRPr="001F0BC6">
              <w:t xml:space="preserve"> as the method of calculation does not take into account a range of factors such as repeating students, migration, inter-sector transfers and enrolment policies. For further details on the accuracy of the </w:t>
            </w:r>
            <w:proofErr w:type="spellStart"/>
            <w:r w:rsidRPr="001F0BC6">
              <w:t>NSSC</w:t>
            </w:r>
            <w:proofErr w:type="spellEnd"/>
            <w:r w:rsidRPr="001F0BC6">
              <w:t xml:space="preserve"> methodology and </w:t>
            </w:r>
            <w:proofErr w:type="spellStart"/>
            <w:r w:rsidRPr="001F0BC6">
              <w:t>ARRs</w:t>
            </w:r>
            <w:proofErr w:type="spellEnd"/>
            <w:r w:rsidRPr="001F0BC6">
              <w:t xml:space="preserve">, see Explanatory Notes of </w:t>
            </w:r>
            <w:r w:rsidRPr="001F0BC6">
              <w:rPr>
                <w:i/>
              </w:rPr>
              <w:t>Schools, Australia</w:t>
            </w:r>
            <w:r w:rsidRPr="001F0BC6">
              <w:t xml:space="preserve"> </w:t>
            </w:r>
            <w:r w:rsidRPr="001F0BC6">
              <w:lastRenderedPageBreak/>
              <w:t>http://</w:t>
            </w:r>
            <w:proofErr w:type="spellStart"/>
            <w:r w:rsidRPr="001F0BC6">
              <w:t>www8.abs.gov.au</w:t>
            </w:r>
            <w:proofErr w:type="spellEnd"/>
            <w:r w:rsidRPr="001F0BC6">
              <w:t>/</w:t>
            </w:r>
            <w:r w:rsidRPr="001F0BC6">
              <w:rPr>
                <w:rFonts w:ascii="Times New Roman" w:hAnsi="Times New Roman"/>
                <w:sz w:val="24"/>
                <w:szCs w:val="24"/>
              </w:rPr>
              <w:t xml:space="preserve"> </w:t>
            </w:r>
            <w:r w:rsidRPr="001F0BC6">
              <w:t>AUS</w:t>
            </w:r>
            <w:r w:rsidRPr="00111D1B">
              <w:t>STATS/abs@.nsf/Lookup/4221.0Explanatory%20Notes12014?OpenDocument</w:t>
            </w:r>
            <w:r w:rsidRPr="001F0BC6">
              <w:t xml:space="preserve"> (cat. no. 4221.0).</w:t>
            </w:r>
          </w:p>
        </w:tc>
      </w:tr>
      <w:tr w:rsidR="00902E88" w:rsidRPr="00D37799" w:rsidTr="00000EE4">
        <w:trPr>
          <w:jc w:val="center"/>
        </w:trPr>
        <w:tc>
          <w:tcPr>
            <w:tcW w:w="1800" w:type="dxa"/>
            <w:shd w:val="clear" w:color="auto" w:fill="auto"/>
          </w:tcPr>
          <w:p w:rsidR="00902E88" w:rsidRPr="00D37799" w:rsidRDefault="00902E88" w:rsidP="00000EE4">
            <w:pPr>
              <w:pStyle w:val="DQIRowHeadings"/>
              <w:shd w:val="clear" w:color="auto" w:fill="FFFFFF" w:themeFill="background1"/>
            </w:pPr>
            <w:r w:rsidRPr="00D37799">
              <w:lastRenderedPageBreak/>
              <w:t>Accessibility</w:t>
            </w:r>
          </w:p>
        </w:tc>
        <w:tc>
          <w:tcPr>
            <w:tcW w:w="7064" w:type="dxa"/>
            <w:shd w:val="clear" w:color="auto" w:fill="FFFFFF" w:themeFill="background1"/>
          </w:tcPr>
          <w:p w:rsidR="00902E88" w:rsidRPr="00D37799" w:rsidRDefault="001F0BC6" w:rsidP="00000EE4">
            <w:pPr>
              <w:pStyle w:val="DQITableText"/>
              <w:shd w:val="clear" w:color="auto" w:fill="FFFFFF" w:themeFill="background1"/>
            </w:pPr>
            <w:r w:rsidRPr="001F0BC6">
              <w:t xml:space="preserve">Predominantly national level information is published in </w:t>
            </w:r>
            <w:r w:rsidRPr="001F0BC6">
              <w:rPr>
                <w:i/>
              </w:rPr>
              <w:t>Schools, Australia</w:t>
            </w:r>
            <w:r w:rsidRPr="001F0BC6">
              <w:t xml:space="preserve"> (http://</w:t>
            </w:r>
            <w:proofErr w:type="spellStart"/>
            <w:r w:rsidRPr="001F0BC6">
              <w:t>www.abs.gov.au</w:t>
            </w:r>
            <w:proofErr w:type="spellEnd"/>
            <w:r w:rsidRPr="001F0BC6">
              <w:t>/</w:t>
            </w:r>
            <w:proofErr w:type="spellStart"/>
            <w:r w:rsidRPr="001F0BC6">
              <w:t>ausstats</w:t>
            </w:r>
            <w:proofErr w:type="spellEnd"/>
            <w:r w:rsidRPr="001F0BC6">
              <w:t>/abs@.</w:t>
            </w:r>
            <w:proofErr w:type="spellStart"/>
            <w:r w:rsidRPr="001F0BC6">
              <w:t>nsf</w:t>
            </w:r>
            <w:proofErr w:type="spellEnd"/>
            <w:r w:rsidRPr="001F0BC6">
              <w:t>/mf/4221.0) (cat. no. 4221.0) on the ABS website. A range of time series data cubes, with a focus on State/Territory level information, are available on the ABS website.</w:t>
            </w:r>
            <w:r w:rsidR="00902E88" w:rsidRPr="00D37799">
              <w:t xml:space="preserve"> </w:t>
            </w:r>
          </w:p>
        </w:tc>
      </w:tr>
      <w:tr w:rsidR="00902E88" w:rsidRPr="00D37799" w:rsidTr="00000EE4">
        <w:trPr>
          <w:jc w:val="center"/>
        </w:trPr>
        <w:tc>
          <w:tcPr>
            <w:tcW w:w="1800" w:type="dxa"/>
            <w:shd w:val="clear" w:color="auto" w:fill="auto"/>
          </w:tcPr>
          <w:p w:rsidR="00902E88" w:rsidRPr="00D37799" w:rsidRDefault="00902E88" w:rsidP="00000EE4">
            <w:pPr>
              <w:pStyle w:val="DQIRowHeadings"/>
              <w:shd w:val="clear" w:color="auto" w:fill="FFFFFF" w:themeFill="background1"/>
            </w:pPr>
            <w:r w:rsidRPr="00D37799">
              <w:t>Interpretability</w:t>
            </w:r>
          </w:p>
        </w:tc>
        <w:tc>
          <w:tcPr>
            <w:tcW w:w="7064" w:type="dxa"/>
            <w:shd w:val="clear" w:color="auto" w:fill="auto"/>
          </w:tcPr>
          <w:p w:rsidR="001F0BC6" w:rsidRPr="001F0BC6" w:rsidRDefault="001F0BC6" w:rsidP="00000EE4">
            <w:pPr>
              <w:pStyle w:val="DQITableText"/>
              <w:shd w:val="clear" w:color="auto" w:fill="FFFFFF" w:themeFill="background1"/>
            </w:pPr>
            <w:r w:rsidRPr="001F0BC6">
              <w:rPr>
                <w:i/>
              </w:rPr>
              <w:t>Schools, Australia</w:t>
            </w:r>
            <w:r w:rsidRPr="001F0BC6">
              <w:t xml:space="preserve"> (http://</w:t>
            </w:r>
            <w:proofErr w:type="spellStart"/>
            <w:r w:rsidRPr="001F0BC6">
              <w:t>www.abs.gov.au</w:t>
            </w:r>
            <w:proofErr w:type="spellEnd"/>
            <w:r w:rsidRPr="001F0BC6">
              <w:t>/</w:t>
            </w:r>
            <w:proofErr w:type="spellStart"/>
            <w:r w:rsidRPr="001F0BC6">
              <w:t>ausstats</w:t>
            </w:r>
            <w:proofErr w:type="spellEnd"/>
            <w:r w:rsidRPr="001F0BC6">
              <w:t>/abs@.</w:t>
            </w:r>
            <w:proofErr w:type="spellStart"/>
            <w:r w:rsidRPr="001F0BC6">
              <w:t>nsf</w:t>
            </w:r>
            <w:proofErr w:type="spellEnd"/>
            <w:r w:rsidRPr="001F0BC6">
              <w:t>/mf/4221.0) (cat. no. 4221.0) includes explanatory notes and glossary available on the ABS website.</w:t>
            </w:r>
          </w:p>
          <w:p w:rsidR="00902E88" w:rsidRPr="00D37799" w:rsidRDefault="001F0BC6" w:rsidP="00000EE4">
            <w:pPr>
              <w:pStyle w:val="DQITableText"/>
              <w:shd w:val="clear" w:color="auto" w:fill="FFFFFF" w:themeFill="background1"/>
            </w:pPr>
            <w:r w:rsidRPr="001F0BC6">
              <w:t xml:space="preserve">Socioeconomic status is not yet available in the </w:t>
            </w:r>
            <w:proofErr w:type="spellStart"/>
            <w:r w:rsidRPr="001F0BC6">
              <w:t>NSSC</w:t>
            </w:r>
            <w:proofErr w:type="spellEnd"/>
          </w:p>
        </w:tc>
      </w:tr>
      <w:tr w:rsidR="00902E88" w:rsidRPr="00D37799" w:rsidTr="00000EE4">
        <w:trPr>
          <w:jc w:val="center"/>
        </w:trPr>
        <w:tc>
          <w:tcPr>
            <w:tcW w:w="8864" w:type="dxa"/>
            <w:gridSpan w:val="2"/>
            <w:shd w:val="clear" w:color="auto" w:fill="auto"/>
          </w:tcPr>
          <w:p w:rsidR="00902E88" w:rsidRPr="00D37799" w:rsidRDefault="00902E88" w:rsidP="00000EE4">
            <w:pPr>
              <w:pStyle w:val="DQIMainRowHeadings"/>
              <w:shd w:val="clear" w:color="auto" w:fill="FFFFFF" w:themeFill="background1"/>
            </w:pPr>
            <w:r w:rsidRPr="00D37799">
              <w:t>Data Gaps/Issues Analysis</w:t>
            </w:r>
          </w:p>
        </w:tc>
      </w:tr>
      <w:tr w:rsidR="00902E88" w:rsidRPr="00D37799" w:rsidTr="00000EE4">
        <w:trPr>
          <w:jc w:val="center"/>
        </w:trPr>
        <w:tc>
          <w:tcPr>
            <w:tcW w:w="1800" w:type="dxa"/>
            <w:shd w:val="clear" w:color="auto" w:fill="auto"/>
          </w:tcPr>
          <w:p w:rsidR="00902E88" w:rsidRPr="00D37799" w:rsidRDefault="00902E88" w:rsidP="00000EE4">
            <w:pPr>
              <w:pStyle w:val="DQIRowHeadings"/>
              <w:shd w:val="clear" w:color="auto" w:fill="FFFFFF" w:themeFill="background1"/>
            </w:pPr>
            <w:r w:rsidRPr="00D37799">
              <w:t>Key data gaps/issues</w:t>
            </w:r>
          </w:p>
        </w:tc>
        <w:tc>
          <w:tcPr>
            <w:tcW w:w="7064" w:type="dxa"/>
            <w:shd w:val="clear" w:color="auto" w:fill="auto"/>
          </w:tcPr>
          <w:p w:rsidR="00902E88" w:rsidRPr="00000EE4" w:rsidRDefault="00902E88" w:rsidP="00000EE4">
            <w:pPr>
              <w:pStyle w:val="DQITableText"/>
              <w:shd w:val="clear" w:color="auto" w:fill="FFFFFF" w:themeFill="background1"/>
            </w:pPr>
            <w:r w:rsidRPr="00000EE4">
              <w:t xml:space="preserve">The Steering Committee notes the following issues: </w:t>
            </w:r>
          </w:p>
          <w:p w:rsidR="00902E88" w:rsidRPr="00D37799" w:rsidRDefault="001F0BC6" w:rsidP="00000EE4">
            <w:pPr>
              <w:pStyle w:val="DQITableBullet"/>
              <w:shd w:val="clear" w:color="auto" w:fill="FFFFFF" w:themeFill="background1"/>
            </w:pPr>
            <w:r w:rsidRPr="00000EE4">
              <w:t>Data may not be reliable, for example the apparent retention rates are greater than 100 per cent in many cases. Work published by the ABS has noted the limitations of apparent retention rates as measures of engagement in senior secondary school (</w:t>
            </w:r>
            <w:proofErr w:type="spellStart"/>
            <w:r w:rsidRPr="00000EE4">
              <w:t>Rossiter</w:t>
            </w:r>
            <w:proofErr w:type="spellEnd"/>
            <w:r w:rsidRPr="00000EE4">
              <w:t xml:space="preserve"> and Duncan, 2006). The ABS has developed alternative measures of secondary school engagement (apparent continuation rates and apparent progression rates), but neither of these measures is currently available disaggregated by Indigenous status.</w:t>
            </w:r>
          </w:p>
        </w:tc>
      </w:tr>
    </w:tbl>
    <w:p w:rsidR="00902E88" w:rsidRDefault="00902E88">
      <w:pPr>
        <w:rPr>
          <w:rFonts w:ascii="Arial" w:hAnsi="Arial"/>
          <w:b/>
          <w:sz w:val="26"/>
          <w:szCs w:val="20"/>
        </w:rPr>
      </w:pPr>
      <w:r>
        <w:br w:type="page"/>
      </w:r>
    </w:p>
    <w:p w:rsidR="0041293F" w:rsidRPr="00902E88" w:rsidRDefault="0041293F" w:rsidP="00B177B6">
      <w:pPr>
        <w:pStyle w:val="Heading3"/>
        <w:rPr>
          <w:sz w:val="28"/>
        </w:rPr>
      </w:pPr>
      <w:bookmarkStart w:id="35" w:name="_Toc439840523"/>
      <w:r w:rsidRPr="00902E88">
        <w:rPr>
          <w:sz w:val="28"/>
        </w:rPr>
        <w:lastRenderedPageBreak/>
        <w:t>Recurrent expenditure per student</w:t>
      </w:r>
      <w:bookmarkEnd w:id="33"/>
      <w:bookmarkEnd w:id="35"/>
      <w:r w:rsidRPr="00902E88">
        <w:rPr>
          <w:sz w:val="28"/>
        </w:rPr>
        <w:t xml:space="preserve"> </w:t>
      </w:r>
    </w:p>
    <w:p w:rsidR="00476C1C" w:rsidRPr="00902E88" w:rsidRDefault="00476C1C" w:rsidP="00B177B6">
      <w:pPr>
        <w:pStyle w:val="Box"/>
        <w:rPr>
          <w:sz w:val="22"/>
        </w:rPr>
      </w:pPr>
      <w:r w:rsidRPr="00902E88">
        <w:rPr>
          <w:sz w:val="22"/>
        </w:rPr>
        <w:t>Data quality information for this indicator has been drafted by the Education Council, the Australian Government, State and Territory Governments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476C1C" w:rsidRPr="00902E88" w:rsidTr="00972BB7">
        <w:tc>
          <w:tcPr>
            <w:tcW w:w="9108" w:type="dxa"/>
            <w:gridSpan w:val="3"/>
            <w:shd w:val="clear" w:color="auto" w:fill="auto"/>
          </w:tcPr>
          <w:p w:rsidR="00476C1C" w:rsidRPr="00902E88" w:rsidRDefault="00476C1C" w:rsidP="00B177B6">
            <w:pPr>
              <w:pStyle w:val="DQIMainRowHeadings"/>
              <w:rPr>
                <w:sz w:val="20"/>
              </w:rPr>
            </w:pPr>
            <w:r w:rsidRPr="00902E88">
              <w:rPr>
                <w:sz w:val="20"/>
              </w:rPr>
              <w:t>Indicator definition and description</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Element</w:t>
            </w:r>
          </w:p>
        </w:tc>
        <w:tc>
          <w:tcPr>
            <w:tcW w:w="7200" w:type="dxa"/>
            <w:shd w:val="clear" w:color="auto" w:fill="auto"/>
          </w:tcPr>
          <w:p w:rsidR="00476C1C" w:rsidRPr="00902E88" w:rsidRDefault="00476C1C" w:rsidP="00B177B6">
            <w:pPr>
              <w:pStyle w:val="DQITableText"/>
              <w:rPr>
                <w:sz w:val="20"/>
              </w:rPr>
            </w:pPr>
            <w:r w:rsidRPr="00902E88">
              <w:rPr>
                <w:sz w:val="20"/>
              </w:rPr>
              <w:t>Efficiency</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Indicator</w:t>
            </w:r>
          </w:p>
        </w:tc>
        <w:tc>
          <w:tcPr>
            <w:tcW w:w="7200" w:type="dxa"/>
            <w:shd w:val="clear" w:color="auto" w:fill="auto"/>
          </w:tcPr>
          <w:p w:rsidR="00476C1C" w:rsidRPr="00902E88" w:rsidRDefault="00476C1C" w:rsidP="00B177B6">
            <w:pPr>
              <w:pStyle w:val="DQITableText"/>
              <w:rPr>
                <w:sz w:val="20"/>
              </w:rPr>
            </w:pPr>
            <w:r w:rsidRPr="00902E88">
              <w:rPr>
                <w:sz w:val="20"/>
              </w:rPr>
              <w:t>Recurrent expenditure per student</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Measure (computation)</w:t>
            </w:r>
          </w:p>
        </w:tc>
        <w:tc>
          <w:tcPr>
            <w:tcW w:w="7200" w:type="dxa"/>
            <w:shd w:val="clear" w:color="auto" w:fill="auto"/>
          </w:tcPr>
          <w:p w:rsidR="00476C1C" w:rsidRPr="00902E88" w:rsidRDefault="00476C1C" w:rsidP="00B177B6">
            <w:pPr>
              <w:pStyle w:val="DQITableText"/>
              <w:rPr>
                <w:sz w:val="20"/>
              </w:rPr>
            </w:pPr>
            <w:r w:rsidRPr="00902E88">
              <w:rPr>
                <w:sz w:val="20"/>
                <w:u w:val="single"/>
              </w:rPr>
              <w:t>Definition</w:t>
            </w:r>
          </w:p>
          <w:p w:rsidR="00476C1C" w:rsidRPr="00902E88" w:rsidRDefault="00476C1C" w:rsidP="00B177B6">
            <w:pPr>
              <w:pStyle w:val="DQITableText"/>
              <w:rPr>
                <w:sz w:val="20"/>
              </w:rPr>
            </w:pPr>
            <w:r w:rsidRPr="00902E88">
              <w:rPr>
                <w:sz w:val="20"/>
              </w:rPr>
              <w:t xml:space="preserve">‘Recurrent expenditure per student’ is defined as all government recurrent expenditure per FTE student. It is reported for government schools by in-school primary, in-school secondary, out-of-school services and aggregations; and for non-government schools. It is also reported for all Australian government expenditure and state and territory government expenditure, by government and non-government sector. </w:t>
            </w:r>
          </w:p>
          <w:p w:rsidR="00476C1C" w:rsidRPr="00902E88" w:rsidRDefault="00476C1C" w:rsidP="00B177B6">
            <w:pPr>
              <w:pStyle w:val="DQITableText"/>
              <w:rPr>
                <w:sz w:val="20"/>
              </w:rPr>
            </w:pPr>
            <w:r w:rsidRPr="00902E88">
              <w:rPr>
                <w:sz w:val="20"/>
                <w:u w:val="single"/>
              </w:rPr>
              <w:t>Numerator</w:t>
            </w:r>
            <w:r w:rsidRPr="00902E88">
              <w:rPr>
                <w:sz w:val="20"/>
              </w:rPr>
              <w:t xml:space="preserve"> – expenditure on government schools by categories identified in ‘definition’ above </w:t>
            </w:r>
          </w:p>
          <w:p w:rsidR="00476C1C" w:rsidRPr="00902E88" w:rsidRDefault="00476C1C" w:rsidP="00B177B6">
            <w:pPr>
              <w:pStyle w:val="DQITableText"/>
              <w:rPr>
                <w:sz w:val="20"/>
              </w:rPr>
            </w:pPr>
            <w:r w:rsidRPr="00902E88">
              <w:rPr>
                <w:sz w:val="20"/>
                <w:u w:val="single"/>
              </w:rPr>
              <w:t>Denominator</w:t>
            </w:r>
            <w:r w:rsidRPr="00902E88">
              <w:rPr>
                <w:sz w:val="20"/>
              </w:rPr>
              <w:t xml:space="preserve"> – Full-time equivalent (FTE) students in government schools.</w:t>
            </w:r>
          </w:p>
          <w:p w:rsidR="00476C1C" w:rsidRPr="00902E88" w:rsidRDefault="00476C1C" w:rsidP="00B177B6">
            <w:pPr>
              <w:pStyle w:val="DQITableText"/>
              <w:rPr>
                <w:sz w:val="20"/>
              </w:rPr>
            </w:pPr>
            <w:r w:rsidRPr="00902E88">
              <w:rPr>
                <w:sz w:val="20"/>
                <w:u w:val="single"/>
              </w:rPr>
              <w:t>Computation</w:t>
            </w:r>
            <w:r w:rsidRPr="00902E88">
              <w:rPr>
                <w:sz w:val="20"/>
              </w:rPr>
              <w:t>/s:</w:t>
            </w:r>
          </w:p>
          <w:p w:rsidR="00476C1C" w:rsidRPr="00902E88" w:rsidRDefault="00476C1C" w:rsidP="00B177B6">
            <w:pPr>
              <w:pStyle w:val="DQITableText"/>
              <w:rPr>
                <w:sz w:val="20"/>
              </w:rPr>
            </w:pPr>
            <w:r w:rsidRPr="00902E88">
              <w:rPr>
                <w:sz w:val="20"/>
              </w:rPr>
              <w:t>The expenditure per full-time equivalent student in the categories identified in ‘definition’ above.</w:t>
            </w:r>
          </w:p>
          <w:p w:rsidR="00476C1C" w:rsidRPr="00902E88" w:rsidRDefault="00476C1C" w:rsidP="00B177B6">
            <w:pPr>
              <w:pStyle w:val="DQITableText"/>
              <w:rPr>
                <w:sz w:val="20"/>
              </w:rPr>
            </w:pPr>
            <w:r w:rsidRPr="00902E88">
              <w:rPr>
                <w:sz w:val="20"/>
              </w:rPr>
              <w:t xml:space="preserve">State and territory expenditure for government schools are derived by subtracting reported Australian government expenditure on government schools from all government school expenditure (reported by </w:t>
            </w:r>
            <w:r w:rsidR="00954AD3" w:rsidRPr="00902E88">
              <w:rPr>
                <w:sz w:val="20"/>
              </w:rPr>
              <w:t>the Education Council</w:t>
            </w:r>
            <w:r w:rsidRPr="00902E88">
              <w:rPr>
                <w:sz w:val="20"/>
              </w:rPr>
              <w:t>).</w:t>
            </w:r>
          </w:p>
          <w:p w:rsidR="00476C1C" w:rsidRPr="00902E88" w:rsidRDefault="00476C1C" w:rsidP="00B177B6">
            <w:pPr>
              <w:pStyle w:val="DQITableText"/>
              <w:rPr>
                <w:sz w:val="20"/>
              </w:rPr>
            </w:pPr>
            <w:r w:rsidRPr="00902E88">
              <w:rPr>
                <w:sz w:val="20"/>
              </w:rPr>
              <w:t>The nine previous years data are deflated using the GDP Price deflator to provide real expenditure, that can be compared with the current year.</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Data source/s</w:t>
            </w:r>
          </w:p>
        </w:tc>
        <w:tc>
          <w:tcPr>
            <w:tcW w:w="7200" w:type="dxa"/>
            <w:shd w:val="clear" w:color="auto" w:fill="auto"/>
          </w:tcPr>
          <w:p w:rsidR="00476C1C" w:rsidRPr="00902E88" w:rsidRDefault="00476C1C" w:rsidP="00790BCB">
            <w:pPr>
              <w:pStyle w:val="DQITableText"/>
              <w:rPr>
                <w:sz w:val="20"/>
              </w:rPr>
            </w:pPr>
            <w:r w:rsidRPr="00902E88">
              <w:rPr>
                <w:sz w:val="20"/>
              </w:rPr>
              <w:t>Finance data are collected and quality assured by the Education Council National Schools Statistics Collection (</w:t>
            </w:r>
            <w:proofErr w:type="spellStart"/>
            <w:r w:rsidRPr="00902E88">
              <w:rPr>
                <w:sz w:val="20"/>
              </w:rPr>
              <w:t>NSSC</w:t>
            </w:r>
            <w:proofErr w:type="spellEnd"/>
            <w:r w:rsidRPr="00902E88">
              <w:rPr>
                <w:sz w:val="20"/>
              </w:rPr>
              <w:t>) School Finance Statistics Group (</w:t>
            </w:r>
            <w:proofErr w:type="spellStart"/>
            <w:r w:rsidRPr="00902E88">
              <w:rPr>
                <w:sz w:val="20"/>
              </w:rPr>
              <w:t>SFSG</w:t>
            </w:r>
            <w:proofErr w:type="spellEnd"/>
            <w:r w:rsidRPr="00902E88">
              <w:rPr>
                <w:sz w:val="20"/>
              </w:rPr>
              <w:t xml:space="preserve">); Student and staff data are collected from jurisdictions by the Australian Bureau of Statistics (ABS) on behalf of the Education Council as part of the </w:t>
            </w:r>
            <w:proofErr w:type="spellStart"/>
            <w:r w:rsidRPr="00902E88">
              <w:rPr>
                <w:sz w:val="20"/>
              </w:rPr>
              <w:t>NSSC</w:t>
            </w:r>
            <w:proofErr w:type="spellEnd"/>
            <w:r w:rsidRPr="00902E88">
              <w:rPr>
                <w:sz w:val="20"/>
              </w:rPr>
              <w:t xml:space="preserve">; unpublished finance data from Australian and State and territory governments;  Finance data are published in the Education Council National Report on Schooling; Data from the non-finance </w:t>
            </w:r>
            <w:proofErr w:type="spellStart"/>
            <w:r w:rsidRPr="00902E88">
              <w:rPr>
                <w:sz w:val="20"/>
              </w:rPr>
              <w:t>NSSC</w:t>
            </w:r>
            <w:proofErr w:type="spellEnd"/>
            <w:r w:rsidRPr="00902E88">
              <w:rPr>
                <w:sz w:val="20"/>
              </w:rPr>
              <w:t xml:space="preserve"> is disseminated by the ABS through </w:t>
            </w:r>
            <w:r w:rsidRPr="00902E88">
              <w:rPr>
                <w:i/>
                <w:sz w:val="20"/>
              </w:rPr>
              <w:t>Schools, Australia</w:t>
            </w:r>
            <w:r w:rsidRPr="00902E88">
              <w:rPr>
                <w:i/>
                <w:sz w:val="20"/>
                <w:szCs w:val="18"/>
              </w:rPr>
              <w:t>, 201</w:t>
            </w:r>
            <w:r w:rsidR="0025682C" w:rsidRPr="00902E88">
              <w:rPr>
                <w:i/>
                <w:sz w:val="20"/>
                <w:szCs w:val="18"/>
              </w:rPr>
              <w:t>4,</w:t>
            </w:r>
            <w:r w:rsidRPr="00902E88">
              <w:rPr>
                <w:sz w:val="20"/>
                <w:szCs w:val="18"/>
              </w:rPr>
              <w:t xml:space="preserve"> cat. no. 4221.0, '</w:t>
            </w:r>
            <w:proofErr w:type="spellStart"/>
            <w:r w:rsidRPr="00902E88">
              <w:rPr>
                <w:sz w:val="20"/>
                <w:szCs w:val="18"/>
              </w:rPr>
              <w:t>NSSC</w:t>
            </w:r>
            <w:proofErr w:type="spellEnd"/>
            <w:r w:rsidRPr="00902E88">
              <w:rPr>
                <w:sz w:val="20"/>
                <w:szCs w:val="18"/>
              </w:rPr>
              <w:t xml:space="preserve"> Table </w:t>
            </w:r>
            <w:proofErr w:type="spellStart"/>
            <w:r w:rsidRPr="00902E88">
              <w:rPr>
                <w:sz w:val="20"/>
                <w:szCs w:val="18"/>
              </w:rPr>
              <w:t>43a</w:t>
            </w:r>
            <w:proofErr w:type="spellEnd"/>
            <w:r w:rsidRPr="00902E88">
              <w:rPr>
                <w:sz w:val="20"/>
                <w:szCs w:val="18"/>
              </w:rPr>
              <w:t>: Full-time equivalent students 1999-2013’ data cube: Excel spreadsheet, cat. no. 4221.0, &lt;</w:t>
            </w:r>
            <w:r w:rsidR="00790BCB" w:rsidRPr="00111D1B">
              <w:rPr>
                <w:sz w:val="20"/>
                <w:szCs w:val="18"/>
              </w:rPr>
              <w:t>http://</w:t>
            </w:r>
            <w:proofErr w:type="spellStart"/>
            <w:r w:rsidR="00790BCB" w:rsidRPr="00111D1B">
              <w:rPr>
                <w:sz w:val="20"/>
                <w:szCs w:val="18"/>
              </w:rPr>
              <w:t>www.abs.gov.au</w:t>
            </w:r>
            <w:proofErr w:type="spellEnd"/>
            <w:r w:rsidR="00790BCB" w:rsidRPr="00111D1B">
              <w:rPr>
                <w:sz w:val="20"/>
                <w:szCs w:val="18"/>
              </w:rPr>
              <w:t>/</w:t>
            </w:r>
            <w:proofErr w:type="spellStart"/>
            <w:r w:rsidR="00790BCB" w:rsidRPr="00111D1B">
              <w:rPr>
                <w:sz w:val="20"/>
                <w:szCs w:val="18"/>
              </w:rPr>
              <w:t>AUSSTATS</w:t>
            </w:r>
            <w:proofErr w:type="spellEnd"/>
            <w:r w:rsidR="00790BCB" w:rsidRPr="00111D1B">
              <w:rPr>
                <w:sz w:val="20"/>
                <w:szCs w:val="18"/>
              </w:rPr>
              <w:t>/</w:t>
            </w:r>
            <w:r w:rsidR="00790BCB" w:rsidRPr="00111D1B">
              <w:rPr>
                <w:sz w:val="20"/>
                <w:szCs w:val="18"/>
              </w:rPr>
              <w:br/>
              <w:t>abs@.</w:t>
            </w:r>
            <w:proofErr w:type="spellStart"/>
            <w:r w:rsidR="00790BCB" w:rsidRPr="00111D1B">
              <w:rPr>
                <w:sz w:val="20"/>
                <w:szCs w:val="18"/>
              </w:rPr>
              <w:t>nsf</w:t>
            </w:r>
            <w:proofErr w:type="spellEnd"/>
            <w:r w:rsidR="00790BCB" w:rsidRPr="00111D1B">
              <w:rPr>
                <w:sz w:val="20"/>
                <w:szCs w:val="18"/>
              </w:rPr>
              <w:t>/</w:t>
            </w:r>
            <w:proofErr w:type="spellStart"/>
            <w:r w:rsidR="00790BCB" w:rsidRPr="00111D1B">
              <w:rPr>
                <w:sz w:val="20"/>
                <w:szCs w:val="18"/>
              </w:rPr>
              <w:t>DetailsPage</w:t>
            </w:r>
            <w:proofErr w:type="spellEnd"/>
            <w:r w:rsidR="00790BCB" w:rsidRPr="00111D1B">
              <w:rPr>
                <w:sz w:val="20"/>
                <w:szCs w:val="18"/>
              </w:rPr>
              <w:t>/</w:t>
            </w:r>
            <w:proofErr w:type="spellStart"/>
            <w:r w:rsidR="00790BCB" w:rsidRPr="00111D1B">
              <w:rPr>
                <w:sz w:val="20"/>
                <w:szCs w:val="18"/>
              </w:rPr>
              <w:t>4221.02014?OpenDocument</w:t>
            </w:r>
            <w:proofErr w:type="spellEnd"/>
            <w:r w:rsidRPr="00902E88">
              <w:rPr>
                <w:sz w:val="20"/>
                <w:szCs w:val="18"/>
              </w:rPr>
              <w:t>&gt;.</w:t>
            </w:r>
          </w:p>
        </w:tc>
      </w:tr>
      <w:tr w:rsidR="00476C1C" w:rsidRPr="00902E88" w:rsidTr="00972BB7">
        <w:tc>
          <w:tcPr>
            <w:tcW w:w="9108" w:type="dxa"/>
            <w:gridSpan w:val="3"/>
            <w:shd w:val="clear" w:color="auto" w:fill="auto"/>
          </w:tcPr>
          <w:p w:rsidR="00476C1C" w:rsidRPr="00902E88" w:rsidRDefault="00476C1C" w:rsidP="00B177B6">
            <w:pPr>
              <w:pStyle w:val="DQIMainRowHeadings"/>
              <w:rPr>
                <w:sz w:val="20"/>
              </w:rPr>
            </w:pPr>
            <w:r w:rsidRPr="00902E88">
              <w:rPr>
                <w:sz w:val="20"/>
              </w:rPr>
              <w:t>Data Quality Framework Dimensions</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Institutional environment</w:t>
            </w:r>
          </w:p>
        </w:tc>
        <w:tc>
          <w:tcPr>
            <w:tcW w:w="7200" w:type="dxa"/>
            <w:shd w:val="clear" w:color="auto" w:fill="auto"/>
          </w:tcPr>
          <w:p w:rsidR="00476C1C" w:rsidRPr="00902E88" w:rsidRDefault="00476C1C" w:rsidP="00B177B6">
            <w:pPr>
              <w:pStyle w:val="DQITableText"/>
              <w:rPr>
                <w:sz w:val="20"/>
                <w:u w:val="single"/>
              </w:rPr>
            </w:pPr>
            <w:r w:rsidRPr="00902E88">
              <w:rPr>
                <w:sz w:val="20"/>
                <w:u w:val="single"/>
              </w:rPr>
              <w:t>Numerator:</w:t>
            </w:r>
          </w:p>
          <w:p w:rsidR="00476C1C" w:rsidRPr="00902E88" w:rsidRDefault="00476C1C" w:rsidP="00B177B6">
            <w:pPr>
              <w:pStyle w:val="DQITableText"/>
              <w:rPr>
                <w:i/>
                <w:sz w:val="20"/>
              </w:rPr>
            </w:pPr>
            <w:r w:rsidRPr="00902E88">
              <w:rPr>
                <w:i/>
                <w:sz w:val="20"/>
              </w:rPr>
              <w:t>Australian Government expenditure data (government and non-government schools):</w:t>
            </w:r>
          </w:p>
          <w:p w:rsidR="00476C1C" w:rsidRPr="00902E88" w:rsidRDefault="00476C1C" w:rsidP="00B177B6">
            <w:pPr>
              <w:pStyle w:val="DQITableText"/>
              <w:rPr>
                <w:sz w:val="20"/>
              </w:rPr>
            </w:pPr>
            <w:r w:rsidRPr="00902E88">
              <w:rPr>
                <w:sz w:val="20"/>
              </w:rPr>
              <w:t>Australian Government expenditure data are collected by the Department of Finance (</w:t>
            </w:r>
            <w:proofErr w:type="spellStart"/>
            <w:r w:rsidRPr="00902E88">
              <w:rPr>
                <w:sz w:val="20"/>
              </w:rPr>
              <w:t>DoF</w:t>
            </w:r>
            <w:proofErr w:type="spellEnd"/>
            <w:r w:rsidRPr="00902E88">
              <w:rPr>
                <w:sz w:val="20"/>
              </w:rPr>
              <w:t xml:space="preserve">). The Australian Government Department of Education </w:t>
            </w:r>
            <w:r w:rsidR="0025682C" w:rsidRPr="00902E88">
              <w:rPr>
                <w:sz w:val="20"/>
              </w:rPr>
              <w:t xml:space="preserve">and Training </w:t>
            </w:r>
            <w:r w:rsidRPr="00902E88">
              <w:rPr>
                <w:sz w:val="20"/>
              </w:rPr>
              <w:t xml:space="preserve">and Department of Treasury (Treasury) both contribute financial information to the expenditure data that are collected. </w:t>
            </w:r>
            <w:proofErr w:type="spellStart"/>
            <w:r w:rsidRPr="00902E88">
              <w:rPr>
                <w:sz w:val="20"/>
              </w:rPr>
              <w:t>DoF</w:t>
            </w:r>
            <w:proofErr w:type="spellEnd"/>
            <w:r w:rsidRPr="00902E88">
              <w:rPr>
                <w:sz w:val="20"/>
              </w:rPr>
              <w:t xml:space="preserve"> plays an important role in assisting government across a wide range of policy areas to ensure its outcomes are met, particularly with regard to expenditure and financial management, deregulation reform and the operations of government.</w:t>
            </w:r>
          </w:p>
          <w:p w:rsidR="00476C1C" w:rsidRPr="00902E88" w:rsidRDefault="00476C1C" w:rsidP="00B177B6">
            <w:pPr>
              <w:pStyle w:val="DQITableText"/>
              <w:rPr>
                <w:i/>
                <w:sz w:val="20"/>
              </w:rPr>
            </w:pPr>
            <w:r w:rsidRPr="00902E88">
              <w:rPr>
                <w:i/>
                <w:sz w:val="20"/>
              </w:rPr>
              <w:lastRenderedPageBreak/>
              <w:t>State and territory expenditure data (non-government schools):</w:t>
            </w:r>
          </w:p>
          <w:p w:rsidR="00476C1C" w:rsidRPr="00902E88" w:rsidRDefault="00476C1C" w:rsidP="00B177B6">
            <w:pPr>
              <w:pStyle w:val="DQITableText"/>
              <w:rPr>
                <w:sz w:val="20"/>
              </w:rPr>
            </w:pPr>
            <w:r w:rsidRPr="00902E88">
              <w:rPr>
                <w:sz w:val="20"/>
              </w:rPr>
              <w:t>These data are collected and compiled by each of the eight state and territory governments, from their own records of budget allocations and expenditure.</w:t>
            </w:r>
          </w:p>
          <w:p w:rsidR="00476C1C" w:rsidRPr="00902E88" w:rsidRDefault="00476C1C" w:rsidP="00B177B6">
            <w:pPr>
              <w:pStyle w:val="DQITableText"/>
              <w:rPr>
                <w:i/>
                <w:sz w:val="20"/>
              </w:rPr>
            </w:pPr>
            <w:r w:rsidRPr="00902E88">
              <w:rPr>
                <w:i/>
                <w:sz w:val="20"/>
              </w:rPr>
              <w:t>Overall government school expenditure data (provided by Education Council):</w:t>
            </w:r>
          </w:p>
          <w:p w:rsidR="00476C1C" w:rsidRPr="00902E88" w:rsidRDefault="00476C1C" w:rsidP="00B177B6">
            <w:pPr>
              <w:pStyle w:val="DQITableText"/>
              <w:rPr>
                <w:sz w:val="20"/>
              </w:rPr>
            </w:pPr>
            <w:r w:rsidRPr="00902E88">
              <w:rPr>
                <w:sz w:val="20"/>
              </w:rPr>
              <w:t>The Education Council collects Government schools recurrent and capital expenditure data on behalf of Government schools for reporting purposes.</w:t>
            </w:r>
          </w:p>
          <w:p w:rsidR="00B177B6" w:rsidRPr="00902E88" w:rsidRDefault="00B177B6" w:rsidP="00B177B6">
            <w:pPr>
              <w:pStyle w:val="DQITableText"/>
              <w:rPr>
                <w:sz w:val="20"/>
              </w:rPr>
            </w:pPr>
          </w:p>
          <w:p w:rsidR="00476C1C" w:rsidRPr="00902E88" w:rsidRDefault="00476C1C" w:rsidP="00B177B6">
            <w:pPr>
              <w:pStyle w:val="DQITableText"/>
              <w:rPr>
                <w:sz w:val="20"/>
                <w:u w:val="single"/>
              </w:rPr>
            </w:pPr>
            <w:r w:rsidRPr="00902E88">
              <w:rPr>
                <w:sz w:val="20"/>
                <w:u w:val="single"/>
              </w:rPr>
              <w:t xml:space="preserve">Denominator: </w:t>
            </w:r>
          </w:p>
          <w:p w:rsidR="00476C1C" w:rsidRPr="00902E88" w:rsidRDefault="00476C1C" w:rsidP="00B177B6">
            <w:pPr>
              <w:pStyle w:val="DQITableText"/>
              <w:rPr>
                <w:sz w:val="20"/>
              </w:rPr>
            </w:pPr>
            <w:r w:rsidRPr="00902E88">
              <w:rPr>
                <w:sz w:val="20"/>
              </w:rPr>
              <w:t>For information on the institutional environment of the ABS, including the  legislative obligations of the ABS which cover this collection, please see ABS Institutional Environment.</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lastRenderedPageBreak/>
              <w:t>Relevance</w:t>
            </w:r>
          </w:p>
          <w:p w:rsidR="00476C1C" w:rsidRPr="00902E88" w:rsidRDefault="00476C1C" w:rsidP="00B177B6">
            <w:pPr>
              <w:pStyle w:val="DQIRowHeadings"/>
              <w:rPr>
                <w:sz w:val="20"/>
              </w:rPr>
            </w:pPr>
          </w:p>
        </w:tc>
        <w:tc>
          <w:tcPr>
            <w:tcW w:w="7200" w:type="dxa"/>
            <w:shd w:val="clear" w:color="auto" w:fill="auto"/>
          </w:tcPr>
          <w:p w:rsidR="00476C1C" w:rsidRPr="00902E88" w:rsidRDefault="00476C1C" w:rsidP="00B177B6">
            <w:pPr>
              <w:pStyle w:val="DQITableText"/>
              <w:rPr>
                <w:sz w:val="20"/>
                <w:u w:val="single"/>
              </w:rPr>
            </w:pPr>
            <w:r w:rsidRPr="00902E88">
              <w:rPr>
                <w:sz w:val="20"/>
                <w:u w:val="single"/>
              </w:rPr>
              <w:t>Numerator:</w:t>
            </w:r>
          </w:p>
          <w:p w:rsidR="00476C1C" w:rsidRPr="00902E88" w:rsidRDefault="00476C1C" w:rsidP="00B177B6">
            <w:pPr>
              <w:pStyle w:val="DQITableText"/>
              <w:rPr>
                <w:i/>
                <w:sz w:val="20"/>
              </w:rPr>
            </w:pPr>
            <w:r w:rsidRPr="00902E88">
              <w:rPr>
                <w:i/>
                <w:sz w:val="20"/>
              </w:rPr>
              <w:t>Australian Government expenditure data (government and non-government schools):</w:t>
            </w:r>
          </w:p>
          <w:p w:rsidR="00476C1C" w:rsidRPr="00902E88" w:rsidRDefault="00476C1C" w:rsidP="00B177B6">
            <w:pPr>
              <w:pStyle w:val="DQITableText"/>
              <w:rPr>
                <w:sz w:val="20"/>
              </w:rPr>
            </w:pPr>
            <w:r w:rsidRPr="00902E88">
              <w:rPr>
                <w:sz w:val="20"/>
              </w:rPr>
              <w:t xml:space="preserve">Australian Government payments for specific purposes to support state education services are split across states and territories. This reporting shows how Specific Purpose Payments expenditure is attributed across states and territories. </w:t>
            </w:r>
          </w:p>
          <w:p w:rsidR="00476C1C" w:rsidRPr="00902E88" w:rsidRDefault="00476C1C" w:rsidP="00B177B6">
            <w:pPr>
              <w:pStyle w:val="DQITableText"/>
              <w:rPr>
                <w:i/>
                <w:sz w:val="20"/>
              </w:rPr>
            </w:pPr>
            <w:r w:rsidRPr="00902E88">
              <w:rPr>
                <w:i/>
                <w:sz w:val="20"/>
              </w:rPr>
              <w:t>State and territory expenditure data for non-government schools:</w:t>
            </w:r>
          </w:p>
          <w:p w:rsidR="00476C1C" w:rsidRPr="00902E88" w:rsidRDefault="00476C1C" w:rsidP="00B177B6">
            <w:pPr>
              <w:pStyle w:val="DQITableText"/>
              <w:rPr>
                <w:sz w:val="20"/>
              </w:rPr>
            </w:pPr>
            <w:r w:rsidRPr="00902E88">
              <w:rPr>
                <w:sz w:val="20"/>
              </w:rPr>
              <w:t>These data identify the extent of state and territory funding to non-government schools. These data reflect expenditure by state and territory governments to the non-Government schools sector (both Independent and Catholic, not disaggregated between these sectors). Data are provided on a whole of state allocation and apply to a range of expenditure types agreed by the School Education Working Group, and included in an agreed data manual.</w:t>
            </w:r>
          </w:p>
          <w:p w:rsidR="00476C1C" w:rsidRPr="00902E88" w:rsidRDefault="00476C1C" w:rsidP="00B177B6">
            <w:pPr>
              <w:pStyle w:val="DQITableText"/>
              <w:rPr>
                <w:i/>
                <w:sz w:val="20"/>
              </w:rPr>
            </w:pPr>
            <w:r w:rsidRPr="00902E88">
              <w:rPr>
                <w:i/>
                <w:sz w:val="20"/>
              </w:rPr>
              <w:t xml:space="preserve">Overall government school expenditure data (provided by Education Council) </w:t>
            </w:r>
          </w:p>
          <w:p w:rsidR="00476C1C" w:rsidRPr="00902E88" w:rsidRDefault="00476C1C" w:rsidP="00B177B6">
            <w:pPr>
              <w:pStyle w:val="DQITableText"/>
              <w:rPr>
                <w:sz w:val="20"/>
              </w:rPr>
            </w:pPr>
            <w:r w:rsidRPr="00902E88">
              <w:rPr>
                <w:sz w:val="20"/>
              </w:rPr>
              <w:t>Data relate to major expenditure categories and are provided both in total expenditure terms and in terms of cost per student.</w:t>
            </w:r>
          </w:p>
          <w:p w:rsidR="00476C1C" w:rsidRPr="00902E88" w:rsidRDefault="00476C1C" w:rsidP="00B177B6">
            <w:pPr>
              <w:pStyle w:val="DQITableText"/>
              <w:rPr>
                <w:sz w:val="20"/>
                <w:u w:val="single"/>
              </w:rPr>
            </w:pPr>
            <w:r w:rsidRPr="00902E88">
              <w:rPr>
                <w:sz w:val="20"/>
                <w:u w:val="single"/>
              </w:rPr>
              <w:t xml:space="preserve">Denominator: </w:t>
            </w:r>
          </w:p>
          <w:p w:rsidR="00476C1C" w:rsidRPr="00902E88" w:rsidRDefault="00476C1C" w:rsidP="00B177B6">
            <w:pPr>
              <w:pStyle w:val="DQITableText"/>
              <w:rPr>
                <w:sz w:val="20"/>
              </w:rPr>
            </w:pPr>
            <w:r w:rsidRPr="00902E88">
              <w:rPr>
                <w:sz w:val="20"/>
              </w:rPr>
              <w:t xml:space="preserve">These 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902E88">
              <w:rPr>
                <w:sz w:val="20"/>
              </w:rPr>
              <w:t>NSSC</w:t>
            </w:r>
            <w:proofErr w:type="spellEnd"/>
            <w:r w:rsidRPr="00902E88">
              <w:rPr>
                <w:sz w:val="20"/>
              </w:rPr>
              <w:t xml:space="preserve"> student data include students undertaking additional study where this is in conjunction with </w:t>
            </w:r>
            <w:proofErr w:type="spellStart"/>
            <w:r w:rsidRPr="00902E88">
              <w:rPr>
                <w:sz w:val="20"/>
              </w:rPr>
              <w:t>NSSC</w:t>
            </w:r>
            <w:proofErr w:type="spellEnd"/>
            <w:r w:rsidRPr="00902E88">
              <w:rPr>
                <w:sz w:val="20"/>
              </w:rPr>
              <w:t xml:space="preserve"> in-scope schooling. This additional study is included as part of the student’s workload and includes </w:t>
            </w:r>
            <w:r w:rsidRPr="00902E88">
              <w:rPr>
                <w:rFonts w:eastAsia="Calibri" w:cs="Arial"/>
                <w:color w:val="000000"/>
                <w:sz w:val="20"/>
              </w:rPr>
              <w:t>educational</w:t>
            </w:r>
            <w:r w:rsidRPr="00902E88">
              <w:rPr>
                <w:rFonts w:eastAsia="Calibri" w:cs="Arial"/>
                <w:bCs/>
                <w:color w:val="000000"/>
                <w:sz w:val="2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t>Timeliness</w:t>
            </w:r>
          </w:p>
          <w:p w:rsidR="00476C1C" w:rsidRPr="00902E88" w:rsidRDefault="00476C1C" w:rsidP="00B177B6">
            <w:pPr>
              <w:pStyle w:val="DQIRowHeadings"/>
              <w:rPr>
                <w:sz w:val="20"/>
              </w:rPr>
            </w:pPr>
          </w:p>
        </w:tc>
        <w:tc>
          <w:tcPr>
            <w:tcW w:w="7200" w:type="dxa"/>
            <w:shd w:val="clear" w:color="auto" w:fill="auto"/>
          </w:tcPr>
          <w:p w:rsidR="00476C1C" w:rsidRPr="00902E88" w:rsidRDefault="00476C1C" w:rsidP="00B177B6">
            <w:pPr>
              <w:pStyle w:val="DQITableText"/>
              <w:rPr>
                <w:sz w:val="20"/>
                <w:u w:val="single"/>
              </w:rPr>
            </w:pPr>
            <w:r w:rsidRPr="00902E88">
              <w:rPr>
                <w:sz w:val="20"/>
                <w:u w:val="single"/>
              </w:rPr>
              <w:t>Numerator:</w:t>
            </w:r>
          </w:p>
          <w:p w:rsidR="00476C1C" w:rsidRPr="00902E88" w:rsidRDefault="00476C1C" w:rsidP="00B177B6">
            <w:pPr>
              <w:pStyle w:val="DQITableText"/>
              <w:rPr>
                <w:i/>
                <w:sz w:val="20"/>
              </w:rPr>
            </w:pPr>
            <w:r w:rsidRPr="00902E88">
              <w:rPr>
                <w:i/>
                <w:sz w:val="20"/>
              </w:rPr>
              <w:t>Australian Government expenditure data (government and non-government schools):</w:t>
            </w:r>
          </w:p>
          <w:p w:rsidR="00476C1C" w:rsidRPr="00902E88" w:rsidRDefault="00476C1C" w:rsidP="00B177B6">
            <w:pPr>
              <w:pStyle w:val="DQITableText"/>
              <w:rPr>
                <w:sz w:val="20"/>
              </w:rPr>
            </w:pPr>
            <w:r w:rsidRPr="00902E88">
              <w:rPr>
                <w:sz w:val="20"/>
              </w:rPr>
              <w:t>Australian Government data for the Final Budget Outcome (</w:t>
            </w:r>
            <w:proofErr w:type="spellStart"/>
            <w:r w:rsidRPr="00902E88">
              <w:rPr>
                <w:sz w:val="20"/>
              </w:rPr>
              <w:t>FBO</w:t>
            </w:r>
            <w:proofErr w:type="spellEnd"/>
            <w:r w:rsidRPr="00902E88">
              <w:rPr>
                <w:sz w:val="20"/>
              </w:rPr>
              <w:t xml:space="preserve">) are collected on an annual basis. Data are publicly available around October/November annually. The reference period for the </w:t>
            </w:r>
            <w:proofErr w:type="spellStart"/>
            <w:r w:rsidRPr="00902E88">
              <w:rPr>
                <w:sz w:val="20"/>
              </w:rPr>
              <w:t>FBO</w:t>
            </w:r>
            <w:proofErr w:type="spellEnd"/>
            <w:r w:rsidRPr="00902E88">
              <w:rPr>
                <w:sz w:val="20"/>
              </w:rPr>
              <w:t xml:space="preserve"> is the 201</w:t>
            </w:r>
            <w:r w:rsidR="0025682C" w:rsidRPr="00902E88">
              <w:rPr>
                <w:sz w:val="20"/>
              </w:rPr>
              <w:t>3</w:t>
            </w:r>
            <w:r w:rsidRPr="00902E88">
              <w:rPr>
                <w:sz w:val="20"/>
              </w:rPr>
              <w:t>-1</w:t>
            </w:r>
            <w:r w:rsidR="0025682C" w:rsidRPr="00902E88">
              <w:rPr>
                <w:sz w:val="20"/>
              </w:rPr>
              <w:t>4</w:t>
            </w:r>
            <w:r w:rsidRPr="00902E88">
              <w:rPr>
                <w:sz w:val="20"/>
              </w:rPr>
              <w:t xml:space="preserve"> financial year.</w:t>
            </w:r>
          </w:p>
          <w:p w:rsidR="00476C1C" w:rsidRPr="00902E88" w:rsidRDefault="00476C1C" w:rsidP="00B177B6">
            <w:pPr>
              <w:pStyle w:val="DQITableText"/>
              <w:rPr>
                <w:i/>
                <w:sz w:val="20"/>
              </w:rPr>
            </w:pPr>
            <w:r w:rsidRPr="00902E88">
              <w:rPr>
                <w:i/>
                <w:sz w:val="20"/>
              </w:rPr>
              <w:t>State and territory expenditure data for non-government schools:</w:t>
            </w:r>
          </w:p>
          <w:p w:rsidR="00476C1C" w:rsidRPr="00902E88" w:rsidRDefault="00476C1C" w:rsidP="00B177B6">
            <w:pPr>
              <w:pStyle w:val="DQITableText"/>
              <w:rPr>
                <w:sz w:val="20"/>
              </w:rPr>
            </w:pPr>
            <w:r w:rsidRPr="00902E88">
              <w:rPr>
                <w:sz w:val="20"/>
              </w:rPr>
              <w:lastRenderedPageBreak/>
              <w:t xml:space="preserve">Data are collected in relation to financial year outcomes, on an annual basis for the </w:t>
            </w:r>
            <w:proofErr w:type="spellStart"/>
            <w:r w:rsidRPr="00902E88">
              <w:rPr>
                <w:sz w:val="20"/>
              </w:rPr>
              <w:t>RoGS</w:t>
            </w:r>
            <w:proofErr w:type="spellEnd"/>
            <w:r w:rsidRPr="00902E88">
              <w:rPr>
                <w:sz w:val="20"/>
              </w:rPr>
              <w:t xml:space="preserve">. The data request is made in July for the financial year ending in the year prior. This is the first opportunity for them to be collected for the </w:t>
            </w:r>
            <w:proofErr w:type="spellStart"/>
            <w:r w:rsidRPr="00902E88">
              <w:rPr>
                <w:sz w:val="20"/>
              </w:rPr>
              <w:t>RoGS</w:t>
            </w:r>
            <w:proofErr w:type="spellEnd"/>
            <w:r w:rsidRPr="00902E88">
              <w:rPr>
                <w:sz w:val="20"/>
              </w:rPr>
              <w:t xml:space="preserve">. Data providers (states and territories) may update these data for prior years, as part of the data provision process for each </w:t>
            </w:r>
            <w:proofErr w:type="spellStart"/>
            <w:r w:rsidRPr="00902E88">
              <w:rPr>
                <w:sz w:val="20"/>
              </w:rPr>
              <w:t>RoGS</w:t>
            </w:r>
            <w:proofErr w:type="spellEnd"/>
            <w:r w:rsidRPr="00902E88">
              <w:rPr>
                <w:sz w:val="20"/>
              </w:rPr>
              <w:t>.</w:t>
            </w:r>
          </w:p>
          <w:p w:rsidR="00476C1C" w:rsidRPr="00902E88" w:rsidRDefault="00476C1C" w:rsidP="00B177B6">
            <w:pPr>
              <w:pStyle w:val="DQITableText"/>
              <w:rPr>
                <w:i/>
                <w:sz w:val="20"/>
              </w:rPr>
            </w:pPr>
            <w:r w:rsidRPr="00902E88">
              <w:rPr>
                <w:i/>
                <w:sz w:val="20"/>
              </w:rPr>
              <w:t>Overall government school expenditure data (provided by Education Council):</w:t>
            </w:r>
          </w:p>
          <w:p w:rsidR="00476C1C" w:rsidRPr="00902E88" w:rsidRDefault="00476C1C" w:rsidP="00B177B6">
            <w:pPr>
              <w:pStyle w:val="DQITableText"/>
              <w:rPr>
                <w:sz w:val="20"/>
              </w:rPr>
            </w:pPr>
            <w:r w:rsidRPr="00902E88">
              <w:rPr>
                <w:sz w:val="20"/>
              </w:rPr>
              <w:t>Data are collected annually on a financial year basis which accords with State and Territory financial reporting processes. The most recent available data are used.</w:t>
            </w:r>
          </w:p>
          <w:p w:rsidR="00476C1C" w:rsidRPr="00902E88" w:rsidRDefault="00476C1C" w:rsidP="00B177B6">
            <w:pPr>
              <w:pStyle w:val="DQITableText"/>
              <w:rPr>
                <w:sz w:val="20"/>
                <w:u w:val="single"/>
              </w:rPr>
            </w:pPr>
            <w:r w:rsidRPr="00902E88">
              <w:rPr>
                <w:sz w:val="20"/>
                <w:u w:val="single"/>
              </w:rPr>
              <w:t xml:space="preserve">Denominator: </w:t>
            </w:r>
          </w:p>
          <w:p w:rsidR="00476C1C" w:rsidRPr="00902E88" w:rsidRDefault="00476C1C" w:rsidP="00B177B6">
            <w:pPr>
              <w:pStyle w:val="DQITableText"/>
              <w:rPr>
                <w:sz w:val="20"/>
              </w:rPr>
            </w:pPr>
            <w:r w:rsidRPr="00902E88">
              <w:rPr>
                <w:sz w:val="20"/>
              </w:rPr>
              <w:t xml:space="preserve">The </w:t>
            </w:r>
            <w:proofErr w:type="spellStart"/>
            <w:r w:rsidRPr="00902E88">
              <w:rPr>
                <w:sz w:val="20"/>
              </w:rPr>
              <w:t>NSSC</w:t>
            </w:r>
            <w:proofErr w:type="spellEnd"/>
            <w:r w:rsidRPr="00902E88">
              <w:rPr>
                <w:sz w:val="20"/>
              </w:rPr>
              <w:t xml:space="preserve"> is an annual collection as at the first Friday in August of each year and provided to the ABS during November of the same year. Student FTE </w:t>
            </w:r>
            <w:r w:rsidR="0061062A" w:rsidRPr="00902E88">
              <w:rPr>
                <w:sz w:val="20"/>
              </w:rPr>
              <w:t>data are</w:t>
            </w:r>
            <w:r w:rsidRPr="00902E88">
              <w:rPr>
                <w:sz w:val="20"/>
              </w:rPr>
              <w:t xml:space="preserve"> made available between January and March the following year.</w:t>
            </w:r>
          </w:p>
        </w:tc>
      </w:tr>
      <w:tr w:rsidR="00476C1C" w:rsidRPr="00902E88" w:rsidTr="00972BB7">
        <w:tc>
          <w:tcPr>
            <w:tcW w:w="1908" w:type="dxa"/>
            <w:gridSpan w:val="2"/>
            <w:shd w:val="clear" w:color="auto" w:fill="auto"/>
          </w:tcPr>
          <w:p w:rsidR="00476C1C" w:rsidRPr="00902E88" w:rsidRDefault="00476C1C" w:rsidP="00B177B6">
            <w:pPr>
              <w:pStyle w:val="DQIRowHeadings"/>
              <w:rPr>
                <w:sz w:val="20"/>
              </w:rPr>
            </w:pPr>
            <w:r w:rsidRPr="00902E88">
              <w:rPr>
                <w:sz w:val="20"/>
              </w:rPr>
              <w:lastRenderedPageBreak/>
              <w:t>Accuracy</w:t>
            </w:r>
          </w:p>
          <w:p w:rsidR="00476C1C" w:rsidRPr="00902E88" w:rsidRDefault="00476C1C" w:rsidP="00B177B6">
            <w:pPr>
              <w:pStyle w:val="DQIRowHeadings"/>
              <w:rPr>
                <w:sz w:val="20"/>
              </w:rPr>
            </w:pPr>
          </w:p>
        </w:tc>
        <w:tc>
          <w:tcPr>
            <w:tcW w:w="7200" w:type="dxa"/>
            <w:shd w:val="clear" w:color="auto" w:fill="auto"/>
          </w:tcPr>
          <w:p w:rsidR="00476C1C" w:rsidRPr="00902E88" w:rsidRDefault="00476C1C" w:rsidP="00B177B6">
            <w:pPr>
              <w:pStyle w:val="DQITableText"/>
              <w:rPr>
                <w:sz w:val="20"/>
                <w:u w:val="single"/>
              </w:rPr>
            </w:pPr>
            <w:r w:rsidRPr="00902E88">
              <w:rPr>
                <w:sz w:val="20"/>
                <w:u w:val="single"/>
              </w:rPr>
              <w:t>Numerator:</w:t>
            </w:r>
          </w:p>
          <w:p w:rsidR="00476C1C" w:rsidRPr="00902E88" w:rsidRDefault="00476C1C" w:rsidP="00B177B6">
            <w:pPr>
              <w:pStyle w:val="DQITableText"/>
              <w:rPr>
                <w:i/>
                <w:sz w:val="20"/>
              </w:rPr>
            </w:pPr>
            <w:r w:rsidRPr="00902E88">
              <w:rPr>
                <w:i/>
                <w:sz w:val="20"/>
              </w:rPr>
              <w:t>Australian Government expenditure data (government and non-government schools):</w:t>
            </w:r>
          </w:p>
          <w:p w:rsidR="00476C1C" w:rsidRPr="00902E88" w:rsidRDefault="00476C1C" w:rsidP="00B177B6">
            <w:pPr>
              <w:pStyle w:val="DQITableText"/>
              <w:rPr>
                <w:sz w:val="20"/>
              </w:rPr>
            </w:pPr>
            <w:r w:rsidRPr="00902E88">
              <w:rPr>
                <w:sz w:val="20"/>
              </w:rPr>
              <w:t xml:space="preserve">The method of Australian Government data collection for </w:t>
            </w:r>
            <w:proofErr w:type="spellStart"/>
            <w:r w:rsidRPr="00902E88">
              <w:rPr>
                <w:sz w:val="20"/>
              </w:rPr>
              <w:t>FBO</w:t>
            </w:r>
            <w:proofErr w:type="spellEnd"/>
            <w:r w:rsidRPr="00902E88">
              <w:rPr>
                <w:sz w:val="20"/>
              </w:rPr>
              <w:t xml:space="preserve"> is through the Central Budget Management System (</w:t>
            </w:r>
            <w:proofErr w:type="spellStart"/>
            <w:r w:rsidRPr="00902E88">
              <w:rPr>
                <w:sz w:val="20"/>
              </w:rPr>
              <w:t>CBMS</w:t>
            </w:r>
            <w:proofErr w:type="spellEnd"/>
            <w:r w:rsidRPr="00902E88">
              <w:rPr>
                <w:sz w:val="20"/>
              </w:rPr>
              <w:t xml:space="preserve">). The Australian Government Department of Education </w:t>
            </w:r>
            <w:r w:rsidR="00790BCB" w:rsidRPr="00902E88">
              <w:rPr>
                <w:sz w:val="20"/>
              </w:rPr>
              <w:t xml:space="preserve">and Training </w:t>
            </w:r>
            <w:r w:rsidRPr="00902E88">
              <w:rPr>
                <w:sz w:val="20"/>
              </w:rPr>
              <w:t xml:space="preserve">and </w:t>
            </w:r>
            <w:r w:rsidR="00954AD3" w:rsidRPr="00902E88">
              <w:rPr>
                <w:sz w:val="20"/>
              </w:rPr>
              <w:t xml:space="preserve">the </w:t>
            </w:r>
            <w:r w:rsidRPr="00902E88">
              <w:rPr>
                <w:sz w:val="20"/>
              </w:rPr>
              <w:t xml:space="preserve">Treasury are required to enter data, on a monthly basis to maintain this system. This then forms the basis of the expenditure data that appears </w:t>
            </w:r>
            <w:r w:rsidRPr="00902E88">
              <w:rPr>
                <w:sz w:val="20"/>
                <w:shd w:val="clear" w:color="auto" w:fill="FFFFFF" w:themeFill="background1"/>
              </w:rPr>
              <w:t>in table 3</w:t>
            </w:r>
            <w:r w:rsidR="00790BCB" w:rsidRPr="00902E88">
              <w:rPr>
                <w:sz w:val="20"/>
                <w:shd w:val="clear" w:color="auto" w:fill="FFFFFF" w:themeFill="background1"/>
              </w:rPr>
              <w:t>8</w:t>
            </w:r>
            <w:r w:rsidRPr="00902E88">
              <w:rPr>
                <w:sz w:val="20"/>
                <w:shd w:val="clear" w:color="auto" w:fill="FFFFFF" w:themeFill="background1"/>
              </w:rPr>
              <w:t xml:space="preserve"> of the </w:t>
            </w:r>
            <w:proofErr w:type="spellStart"/>
            <w:r w:rsidRPr="00902E88">
              <w:rPr>
                <w:sz w:val="20"/>
                <w:shd w:val="clear" w:color="auto" w:fill="FFFFFF" w:themeFill="background1"/>
              </w:rPr>
              <w:t>FBO</w:t>
            </w:r>
            <w:proofErr w:type="spellEnd"/>
            <w:r w:rsidRPr="00902E88">
              <w:rPr>
                <w:sz w:val="20"/>
                <w:shd w:val="clear" w:color="auto" w:fill="FFFFFF" w:themeFill="background1"/>
              </w:rPr>
              <w:t xml:space="preserve"> for the 201</w:t>
            </w:r>
            <w:r w:rsidR="0025682C" w:rsidRPr="00902E88">
              <w:rPr>
                <w:sz w:val="20"/>
                <w:shd w:val="clear" w:color="auto" w:fill="FFFFFF" w:themeFill="background1"/>
              </w:rPr>
              <w:t>3</w:t>
            </w:r>
            <w:r w:rsidRPr="00902E88">
              <w:rPr>
                <w:sz w:val="20"/>
                <w:shd w:val="clear" w:color="auto" w:fill="FFFFFF" w:themeFill="background1"/>
              </w:rPr>
              <w:t>-</w:t>
            </w:r>
            <w:r w:rsidR="0025682C" w:rsidRPr="00902E88">
              <w:rPr>
                <w:sz w:val="20"/>
                <w:shd w:val="clear" w:color="auto" w:fill="FFFFFF" w:themeFill="background1"/>
              </w:rPr>
              <w:t>14</w:t>
            </w:r>
            <w:r w:rsidRPr="00902E88">
              <w:rPr>
                <w:sz w:val="20"/>
                <w:shd w:val="clear" w:color="auto" w:fill="FFFFFF" w:themeFill="background1"/>
              </w:rPr>
              <w:t xml:space="preserve"> financial year. The Australian Government De</w:t>
            </w:r>
            <w:r w:rsidRPr="00902E88">
              <w:rPr>
                <w:sz w:val="20"/>
              </w:rPr>
              <w:t xml:space="preserve">partment of Education </w:t>
            </w:r>
            <w:r w:rsidR="0025682C" w:rsidRPr="00902E88">
              <w:rPr>
                <w:sz w:val="20"/>
              </w:rPr>
              <w:t>and Training</w:t>
            </w:r>
            <w:r w:rsidRPr="00902E88">
              <w:rPr>
                <w:sz w:val="20"/>
              </w:rPr>
              <w:t xml:space="preserve"> minimises processing errors through the use of standard monitoring processes and financial system controls. </w:t>
            </w:r>
          </w:p>
          <w:p w:rsidR="00476C1C" w:rsidRPr="00902E88" w:rsidRDefault="00476C1C" w:rsidP="00B177B6">
            <w:pPr>
              <w:pStyle w:val="DQITableText"/>
              <w:rPr>
                <w:i/>
                <w:sz w:val="20"/>
              </w:rPr>
            </w:pPr>
            <w:r w:rsidRPr="00902E88">
              <w:rPr>
                <w:i/>
                <w:sz w:val="20"/>
              </w:rPr>
              <w:t>State and territory expenditure data for non-government schools:</w:t>
            </w:r>
          </w:p>
          <w:p w:rsidR="00476C1C" w:rsidRPr="00902E88" w:rsidRDefault="00476C1C" w:rsidP="00B177B6">
            <w:pPr>
              <w:pStyle w:val="DQITableText"/>
              <w:rPr>
                <w:sz w:val="20"/>
              </w:rPr>
            </w:pPr>
            <w:r w:rsidRPr="00902E88">
              <w:rPr>
                <w:sz w:val="20"/>
              </w:rPr>
              <w:t>The data are collected by states and territories through their budget and financial recording processes and have a high degree of accuracy. Data categories fit the definitions in the data manual, unless states or territories advise otherwise.</w:t>
            </w:r>
          </w:p>
          <w:p w:rsidR="00476C1C" w:rsidRPr="00902E88" w:rsidRDefault="00476C1C" w:rsidP="00B177B6">
            <w:pPr>
              <w:pStyle w:val="DQITableText"/>
              <w:rPr>
                <w:i/>
                <w:sz w:val="20"/>
              </w:rPr>
            </w:pPr>
            <w:r w:rsidRPr="00902E88">
              <w:rPr>
                <w:i/>
                <w:sz w:val="20"/>
              </w:rPr>
              <w:t>Overall government school expenditure data (provided by Education Council):</w:t>
            </w:r>
          </w:p>
          <w:p w:rsidR="00476C1C" w:rsidRPr="00902E88" w:rsidRDefault="00476C1C" w:rsidP="00B177B6">
            <w:pPr>
              <w:pStyle w:val="DQITableText"/>
              <w:rPr>
                <w:sz w:val="20"/>
              </w:rPr>
            </w:pPr>
            <w:r w:rsidRPr="00902E88">
              <w:rPr>
                <w:sz w:val="20"/>
              </w:rPr>
              <w:t>Data are derived from jurisdictions’ audited annual accounts.</w:t>
            </w:r>
          </w:p>
          <w:p w:rsidR="00476C1C" w:rsidRPr="00902E88" w:rsidRDefault="00476C1C" w:rsidP="00B177B6">
            <w:pPr>
              <w:pStyle w:val="DQITableText"/>
              <w:rPr>
                <w:sz w:val="20"/>
                <w:u w:val="single"/>
              </w:rPr>
            </w:pPr>
            <w:r w:rsidRPr="00902E88">
              <w:rPr>
                <w:sz w:val="20"/>
                <w:u w:val="single"/>
              </w:rPr>
              <w:t xml:space="preserve">Denominator: </w:t>
            </w:r>
          </w:p>
          <w:p w:rsidR="00476C1C" w:rsidRPr="00902E88" w:rsidRDefault="00476C1C" w:rsidP="00954AD3">
            <w:pPr>
              <w:pStyle w:val="DQITableText"/>
              <w:rPr>
                <w:sz w:val="20"/>
              </w:rPr>
            </w:pPr>
            <w:r w:rsidRPr="00902E88">
              <w:rPr>
                <w:rFonts w:cs="Arial"/>
                <w:color w:val="000000"/>
                <w:sz w:val="20"/>
              </w:rPr>
              <w:t xml:space="preserve">Data on government and non-government schools are collected from administrative school enrolment databases, collated by the ABS through the non-finance </w:t>
            </w:r>
            <w:proofErr w:type="spellStart"/>
            <w:r w:rsidRPr="00902E88">
              <w:rPr>
                <w:rFonts w:cs="Arial"/>
                <w:color w:val="000000"/>
                <w:sz w:val="20"/>
              </w:rPr>
              <w:t>NSSC</w:t>
            </w:r>
            <w:proofErr w:type="spellEnd"/>
            <w:r w:rsidRPr="00902E88">
              <w:rPr>
                <w:rFonts w:cs="Arial"/>
                <w:color w:val="000000"/>
                <w:sz w:val="20"/>
              </w:rPr>
              <w:t>.</w:t>
            </w:r>
            <w:r w:rsidRPr="00902E88">
              <w:rPr>
                <w:rFonts w:cs="Arial"/>
                <w:sz w:val="20"/>
              </w:rPr>
              <w:t xml:space="preserve"> 201</w:t>
            </w:r>
            <w:r w:rsidR="0025682C" w:rsidRPr="00902E88">
              <w:rPr>
                <w:rFonts w:cs="Arial"/>
                <w:sz w:val="20"/>
              </w:rPr>
              <w:t>3</w:t>
            </w:r>
            <w:r w:rsidRPr="00902E88">
              <w:rPr>
                <w:rFonts w:cs="Arial"/>
                <w:sz w:val="20"/>
              </w:rPr>
              <w:t xml:space="preserve"> and 201</w:t>
            </w:r>
            <w:r w:rsidR="0025682C" w:rsidRPr="00902E88">
              <w:rPr>
                <w:rFonts w:cs="Arial"/>
                <w:sz w:val="20"/>
              </w:rPr>
              <w:t>4</w:t>
            </w:r>
            <w:r w:rsidRPr="00902E88">
              <w:rPr>
                <w:rFonts w:cs="Arial"/>
                <w:sz w:val="20"/>
              </w:rPr>
              <w:t xml:space="preserve"> data forwarded to the ABS represent student counts. The ability to manage multiple records of enrolment may vary among systems administering enrolment data and over-reporting of students by some systems may occur. Where administration duplicates can be identified they should be removed by the administering systems during data validation processes conducted prior to providing the </w:t>
            </w:r>
            <w:proofErr w:type="spellStart"/>
            <w:r w:rsidRPr="00902E88">
              <w:rPr>
                <w:rFonts w:cs="Arial"/>
                <w:sz w:val="20"/>
              </w:rPr>
              <w:t>NSSC</w:t>
            </w:r>
            <w:proofErr w:type="spellEnd"/>
            <w:r w:rsidRPr="00902E88">
              <w:rPr>
                <w:rFonts w:cs="Arial"/>
                <w:sz w:val="20"/>
              </w:rPr>
              <w:t xml:space="preserve"> data to the ABS (or the Australian Government Department of Education</w:t>
            </w:r>
            <w:r w:rsidR="00954AD3" w:rsidRPr="00902E88">
              <w:rPr>
                <w:rFonts w:cs="Arial"/>
                <w:sz w:val="20"/>
              </w:rPr>
              <w:t xml:space="preserve"> and Training</w:t>
            </w:r>
            <w:r w:rsidR="00C5404B" w:rsidRPr="00902E88">
              <w:rPr>
                <w:rFonts w:cs="Arial"/>
                <w:sz w:val="20"/>
              </w:rPr>
              <w:t xml:space="preserve"> </w:t>
            </w:r>
            <w:r w:rsidRPr="00902E88">
              <w:rPr>
                <w:rFonts w:cs="Arial"/>
                <w:sz w:val="20"/>
              </w:rPr>
              <w:t>for non-government schools who then provides this data to the ABS for the non-government contribution). The extent of over-reporting cannot be quantified, but the understanding of the extent that students might be legitimately enrolled in more than one school would suggest that the figure is small. Some revisions may occur year to year where providers resupply data post publication. The FTE values for students reported for this bench mark have a high degree of accuracy.</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Coherence</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lastRenderedPageBreak/>
              <w:t xml:space="preserve">The consistency of the Australian Government data for recurrent expenditure has changed from 2008-09 financial year with the introduction of the National Education Agreement (and associated </w:t>
            </w:r>
            <w:r w:rsidRPr="002020A0">
              <w:rPr>
                <w:shd w:val="clear" w:color="auto" w:fill="FFFFFF" w:themeFill="background1"/>
              </w:rPr>
              <w:t xml:space="preserve">National Schools </w:t>
            </w:r>
            <w:proofErr w:type="spellStart"/>
            <w:r w:rsidRPr="002020A0">
              <w:rPr>
                <w:shd w:val="clear" w:color="auto" w:fill="FFFFFF" w:themeFill="background1"/>
              </w:rPr>
              <w:t>SPP</w:t>
            </w:r>
            <w:proofErr w:type="spellEnd"/>
            <w:r w:rsidRPr="002020A0">
              <w:rPr>
                <w:shd w:val="clear" w:color="auto" w:fill="FFFFFF" w:themeFill="background1"/>
              </w:rPr>
              <w:t xml:space="preserve"> reported in the </w:t>
            </w:r>
            <w:proofErr w:type="spellStart"/>
            <w:r w:rsidRPr="002020A0">
              <w:rPr>
                <w:shd w:val="clear" w:color="auto" w:fill="FFFFFF" w:themeFill="background1"/>
              </w:rPr>
              <w:t>FBO</w:t>
            </w:r>
            <w:proofErr w:type="spellEnd"/>
            <w:r w:rsidRPr="002020A0">
              <w:rPr>
                <w:shd w:val="clear" w:color="auto" w:fill="FFFFFF" w:themeFill="background1"/>
              </w:rPr>
              <w:t xml:space="preserve">), which commenced from 1 January 2009. </w:t>
            </w:r>
            <w:r w:rsidR="0025682C" w:rsidRPr="002020A0">
              <w:rPr>
                <w:shd w:val="clear" w:color="auto" w:fill="FFFFFF" w:themeFill="background1"/>
              </w:rPr>
              <w:t>A further change occurred with the introduction of the Students First funding model on 1 January 2014.</w:t>
            </w:r>
            <w:r w:rsidR="0025682C">
              <w:t xml:space="preserve"> </w:t>
            </w:r>
            <w:r w:rsidRPr="00476C1C">
              <w:t>The National Partnerships, including the Smarter Schools National Partnership, Closing the Gap – Northern Territory also commenced in the 2008-09 financial year. The Australian Government expenditure data by state and territory are consistent across states and territories and nationally.</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 xml:space="preserve">The data are consistent over time, subject to any inclusions or exclusions noted by states and territories. The counting rules and inclusions have remained consistent over recent </w:t>
            </w:r>
            <w:proofErr w:type="spellStart"/>
            <w:r w:rsidRPr="00476C1C">
              <w:t>RoGS</w:t>
            </w:r>
            <w:proofErr w:type="spellEnd"/>
            <w:r w:rsidRPr="00476C1C">
              <w:t xml:space="preserve"> editions. As programs vary across states and territories, some aspects of inclusions may differ, but within the agreed categories. A ten year time series is published in each </w:t>
            </w:r>
            <w:proofErr w:type="spellStart"/>
            <w:r w:rsidRPr="00476C1C">
              <w:t>RoGS</w:t>
            </w:r>
            <w:proofErr w:type="spellEnd"/>
            <w:r w:rsidRPr="00476C1C">
              <w:t>. Other data in relation to state and territory government funding for non-government schools is included in the annual national Report on Schooling, published by ACARA.</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specialised in terms of established data standards and instructions.</w:t>
            </w: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954AD3">
            <w:pPr>
              <w:pStyle w:val="DQITableText"/>
            </w:pPr>
            <w:r w:rsidRPr="00476C1C">
              <w:t xml:space="preserve">Each state and territory government and the Australian Curriculum Assessment and Reporting Authority (ACARA) reports on school students. ABS </w:t>
            </w:r>
            <w:proofErr w:type="spellStart"/>
            <w:r w:rsidRPr="00476C1C">
              <w:t>NSSC</w:t>
            </w:r>
            <w:proofErr w:type="spellEnd"/>
            <w:r w:rsidRPr="00476C1C">
              <w:t xml:space="preserve"> </w:t>
            </w:r>
            <w:r w:rsidR="0061062A">
              <w:t>data are</w:t>
            </w:r>
            <w:r w:rsidRPr="00476C1C">
              <w:t xml:space="preserve"> sourced for national reporting mechanisms including the Report on Government Services and the National Report on Schooling in Australia.</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lastRenderedPageBreak/>
              <w:t>Interpretability</w:t>
            </w:r>
          </w:p>
          <w:p w:rsidR="00476C1C" w:rsidRPr="00437070"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 xml:space="preserve">There are no context issues that need to be considered in relation to the Australian Government data. </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 xml:space="preserve">This information can be considered in the context of all government funding for both government and non-government schools, which is reported in each </w:t>
            </w:r>
            <w:proofErr w:type="spellStart"/>
            <w:r w:rsidRPr="00476C1C">
              <w:t>RoGS</w:t>
            </w:r>
            <w:proofErr w:type="spellEnd"/>
            <w:r w:rsidRPr="00476C1C">
              <w:t>.</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nationally consistent and used for the National Report on Schooling.</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Explanatory Notes and a Glossary accompanying the data are available on the ABS website, and include caveats and advice as appropriate. </w:t>
            </w:r>
          </w:p>
          <w:p w:rsidR="00476C1C" w:rsidRPr="00476C1C" w:rsidRDefault="00476C1C" w:rsidP="00B177B6">
            <w:pPr>
              <w:pStyle w:val="DQITableText"/>
            </w:pPr>
            <w:r w:rsidRPr="00476C1C">
              <w:t>&lt;http://www.abs.gov.au/AUSSTATS/abs@.nsf/Lookup/4221.0Explanatory%20Notes12011?OpenDocument&gt;</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Accessibility</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r w:rsidRPr="00437070">
              <w:t>:</w:t>
            </w:r>
          </w:p>
          <w:p w:rsidR="00476C1C" w:rsidRPr="00437070" w:rsidRDefault="00476C1C" w:rsidP="00B177B6">
            <w:pPr>
              <w:pStyle w:val="DQITableText"/>
              <w:rPr>
                <w:i/>
              </w:rPr>
            </w:pPr>
            <w:r w:rsidRPr="00437070">
              <w:rPr>
                <w:i/>
              </w:rPr>
              <w:t>Australian Government expenditure data (government and non-government schools):</w:t>
            </w:r>
          </w:p>
          <w:p w:rsidR="00476C1C" w:rsidRPr="00437070" w:rsidRDefault="00476C1C" w:rsidP="00B177B6">
            <w:pPr>
              <w:pStyle w:val="DQITableText"/>
            </w:pPr>
            <w:r w:rsidRPr="00437070">
              <w:t xml:space="preserve">Unpublished Australian Government data cannot be requested as the </w:t>
            </w:r>
            <w:proofErr w:type="spellStart"/>
            <w:r w:rsidRPr="00437070">
              <w:t>FBO</w:t>
            </w:r>
            <w:proofErr w:type="spellEnd"/>
            <w:r w:rsidRPr="00437070">
              <w:t xml:space="preserve"> is only produced upon the completion of the financial year, in this case the 201</w:t>
            </w:r>
            <w:r w:rsidR="0025682C">
              <w:t>3</w:t>
            </w:r>
            <w:r w:rsidRPr="00437070">
              <w:t>-1</w:t>
            </w:r>
            <w:r w:rsidR="0025682C">
              <w:t>4</w:t>
            </w:r>
            <w:r w:rsidRPr="00437070">
              <w:t xml:space="preserve"> financial year. The </w:t>
            </w:r>
            <w:proofErr w:type="spellStart"/>
            <w:r w:rsidRPr="00437070">
              <w:t>FBO</w:t>
            </w:r>
            <w:proofErr w:type="spellEnd"/>
            <w:r w:rsidRPr="00437070">
              <w:t xml:space="preserve"> report is produced in a PDF format. </w:t>
            </w:r>
            <w:r w:rsidRPr="00437070">
              <w:rPr>
                <w:rFonts w:cs="Arial"/>
              </w:rPr>
              <w:t xml:space="preserve">Contact details: Robyn </w:t>
            </w:r>
            <w:proofErr w:type="spellStart"/>
            <w:r w:rsidRPr="00437070">
              <w:rPr>
                <w:rFonts w:cs="Arial"/>
              </w:rPr>
              <w:t>Beutel</w:t>
            </w:r>
            <w:proofErr w:type="spellEnd"/>
            <w:r w:rsidRPr="00437070">
              <w:rPr>
                <w:rFonts w:cs="Arial"/>
              </w:rPr>
              <w:t xml:space="preserve"> (02) 6240 0993. </w:t>
            </w:r>
            <w:proofErr w:type="spellStart"/>
            <w:r w:rsidRPr="00437070">
              <w:t>DoF</w:t>
            </w:r>
            <w:proofErr w:type="spellEnd"/>
            <w:r w:rsidRPr="00437070">
              <w:t>/Treasury released the 201</w:t>
            </w:r>
            <w:r>
              <w:t>3</w:t>
            </w:r>
            <w:r w:rsidRPr="00437070">
              <w:t>-1</w:t>
            </w:r>
            <w:r>
              <w:t>4</w:t>
            </w:r>
            <w:r w:rsidRPr="00437070">
              <w:t xml:space="preserve"> </w:t>
            </w:r>
            <w:proofErr w:type="spellStart"/>
            <w:r w:rsidRPr="00437070">
              <w:t>FBO</w:t>
            </w:r>
            <w:proofErr w:type="spellEnd"/>
            <w:r w:rsidRPr="00437070">
              <w:t xml:space="preserve"> in September 201</w:t>
            </w:r>
            <w:r>
              <w:t>4</w:t>
            </w:r>
            <w:r w:rsidRPr="00437070">
              <w:t>.</w:t>
            </w:r>
          </w:p>
          <w:p w:rsidR="00476C1C" w:rsidRPr="00437070" w:rsidRDefault="00476C1C" w:rsidP="00B177B6">
            <w:pPr>
              <w:pStyle w:val="DQITableText"/>
              <w:rPr>
                <w:i/>
              </w:rPr>
            </w:pPr>
            <w:r w:rsidRPr="00437070">
              <w:rPr>
                <w:i/>
              </w:rPr>
              <w:t>State and territory expenditure data for non-government schools:</w:t>
            </w:r>
          </w:p>
          <w:p w:rsidR="00476C1C" w:rsidRPr="00437070" w:rsidRDefault="00476C1C" w:rsidP="00B177B6">
            <w:pPr>
              <w:pStyle w:val="DQITableText"/>
            </w:pPr>
            <w:r w:rsidRPr="00437070">
              <w:t xml:space="preserve">Data are unpublished and supplied by state and territory governments as one figure, not subdivided. There data are included in the </w:t>
            </w:r>
            <w:proofErr w:type="spellStart"/>
            <w:r w:rsidRPr="00437070">
              <w:t>RoGS</w:t>
            </w:r>
            <w:proofErr w:type="spellEnd"/>
            <w:r w:rsidRPr="00437070">
              <w:t xml:space="preserve"> in a time series and also in combination with ABS data as a measure of expenditure per Full Time Equivalent student.</w:t>
            </w:r>
          </w:p>
          <w:p w:rsidR="00476C1C" w:rsidRPr="00437070" w:rsidRDefault="00476C1C" w:rsidP="00B177B6">
            <w:pPr>
              <w:pStyle w:val="DQITableText"/>
              <w:rPr>
                <w:i/>
              </w:rPr>
            </w:pPr>
            <w:r w:rsidRPr="00437070">
              <w:rPr>
                <w:i/>
              </w:rPr>
              <w:t xml:space="preserve">Overall government school expenditure data (collected by </w:t>
            </w:r>
            <w:r w:rsidRPr="00150BC9">
              <w:rPr>
                <w:i/>
              </w:rPr>
              <w:t>Education Council</w:t>
            </w:r>
            <w:r w:rsidRPr="00437070">
              <w:rPr>
                <w:i/>
              </w:rPr>
              <w:t>:</w:t>
            </w:r>
          </w:p>
          <w:p w:rsidR="00476C1C" w:rsidRPr="00437070" w:rsidRDefault="00476C1C" w:rsidP="00B177B6">
            <w:pPr>
              <w:pStyle w:val="DQITableText"/>
            </w:pPr>
            <w:r w:rsidRPr="00437070">
              <w:t xml:space="preserve">Data are determined based on a derived nationally consistent basis and underpinning </w:t>
            </w:r>
            <w:r w:rsidR="0061062A">
              <w:lastRenderedPageBreak/>
              <w:t>data are</w:t>
            </w:r>
            <w:r w:rsidRPr="00437070">
              <w:t xml:space="preserve"> not directly available. </w:t>
            </w:r>
          </w:p>
          <w:p w:rsidR="00476C1C" w:rsidRPr="00476C1C" w:rsidRDefault="00476C1C" w:rsidP="00B177B6">
            <w:pPr>
              <w:pStyle w:val="DQITableText"/>
            </w:pPr>
            <w:r w:rsidRPr="00B177B6">
              <w:rPr>
                <w:u w:val="single"/>
              </w:rPr>
              <w:t>Denominator</w:t>
            </w:r>
            <w:r w:rsidRPr="00476C1C">
              <w:t xml:space="preserve">: </w:t>
            </w:r>
          </w:p>
          <w:p w:rsidR="00476C1C" w:rsidRPr="00437070" w:rsidRDefault="00476C1C" w:rsidP="00B177B6">
            <w:pPr>
              <w:pStyle w:val="DQITableText"/>
            </w:pPr>
            <w:r w:rsidRPr="00476C1C">
              <w:t xml:space="preserve">Results from the </w:t>
            </w:r>
            <w:proofErr w:type="spellStart"/>
            <w:r w:rsidRPr="00476C1C">
              <w:t>NSSC</w:t>
            </w:r>
            <w:proofErr w:type="spellEnd"/>
            <w:r w:rsidRPr="00476C1C">
              <w:t xml:space="preserve"> are presented on the ABS website in through data cubes (Excel spreadsheets including pivot tables). These tables offer a versatile source of data, enabling clients to tailor data to suit their information requirements.</w:t>
            </w:r>
          </w:p>
        </w:tc>
      </w:tr>
      <w:tr w:rsidR="00476C1C" w:rsidRPr="00437070" w:rsidTr="00972BB7">
        <w:tc>
          <w:tcPr>
            <w:tcW w:w="9108" w:type="dxa"/>
            <w:gridSpan w:val="3"/>
            <w:shd w:val="clear" w:color="auto" w:fill="auto"/>
          </w:tcPr>
          <w:p w:rsidR="00476C1C" w:rsidRPr="00437070" w:rsidRDefault="00476C1C" w:rsidP="00B177B6">
            <w:pPr>
              <w:pStyle w:val="DQIMainRowHeadings"/>
            </w:pPr>
            <w:r w:rsidRPr="00437070">
              <w:lastRenderedPageBreak/>
              <w:t>Data Gaps/Issues Analysis</w:t>
            </w:r>
          </w:p>
        </w:tc>
      </w:tr>
      <w:tr w:rsidR="00476C1C" w:rsidRPr="00437070" w:rsidTr="00972BB7">
        <w:tc>
          <w:tcPr>
            <w:tcW w:w="1609" w:type="dxa"/>
            <w:shd w:val="clear" w:color="auto" w:fill="auto"/>
          </w:tcPr>
          <w:p w:rsidR="00476C1C" w:rsidRPr="00437070" w:rsidRDefault="00476C1C" w:rsidP="00B177B6">
            <w:pPr>
              <w:pStyle w:val="DQIRowHeadings"/>
            </w:pPr>
            <w:r w:rsidRPr="00437070">
              <w:t>Key data gaps /issues</w:t>
            </w:r>
          </w:p>
        </w:tc>
        <w:tc>
          <w:tcPr>
            <w:tcW w:w="7499" w:type="dxa"/>
            <w:gridSpan w:val="2"/>
            <w:shd w:val="clear" w:color="auto" w:fill="auto"/>
          </w:tcPr>
          <w:p w:rsidR="00476C1C" w:rsidRPr="00437070" w:rsidRDefault="00476C1C" w:rsidP="00B177B6">
            <w:pPr>
              <w:pStyle w:val="DQITableText"/>
            </w:pPr>
            <w:r w:rsidRPr="00437070">
              <w:t>The Steering Committee notes the following issues:</w:t>
            </w:r>
          </w:p>
          <w:p w:rsidR="00476C1C" w:rsidRPr="002020A0" w:rsidRDefault="00476C1C" w:rsidP="002020A0">
            <w:pPr>
              <w:pStyle w:val="DQITableText"/>
              <w:shd w:val="clear" w:color="auto" w:fill="FFFFFF" w:themeFill="background1"/>
            </w:pPr>
            <w:r w:rsidRPr="00437070">
              <w:t xml:space="preserve">Care should be </w:t>
            </w:r>
            <w:r w:rsidRPr="002020A0">
              <w:t>taken in interpretation of efficiency data:</w:t>
            </w:r>
          </w:p>
          <w:p w:rsidR="00790BCB" w:rsidRPr="002020A0" w:rsidRDefault="00790BCB" w:rsidP="002020A0">
            <w:pPr>
              <w:pStyle w:val="DQITableBullet"/>
              <w:shd w:val="clear" w:color="auto" w:fill="FFFFFF" w:themeFill="background1"/>
            </w:pPr>
            <w:r w:rsidRPr="002020A0">
              <w:t xml:space="preserve">Government school data do include the </w:t>
            </w:r>
            <w:r w:rsidRPr="002020A0">
              <w:rPr>
                <w:shd w:val="clear" w:color="auto" w:fill="FFFFFF" w:themeFill="background1"/>
              </w:rPr>
              <w:t>user cost of capital. Non-government school data do not include the user cost of capital</w:t>
            </w:r>
            <w:r w:rsidRPr="002020A0">
              <w:t>.</w:t>
            </w:r>
          </w:p>
          <w:p w:rsidR="00476C1C" w:rsidRPr="00437070" w:rsidRDefault="00476C1C" w:rsidP="00B177B6">
            <w:pPr>
              <w:pStyle w:val="DQITableBullet"/>
            </w:pPr>
            <w:r w:rsidRPr="00437070">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476C1C" w:rsidRPr="00437070" w:rsidRDefault="00476C1C" w:rsidP="00B177B6">
            <w:pPr>
              <w:pStyle w:val="DQITableBullet"/>
            </w:pPr>
            <w:r w:rsidRPr="00437070">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r w:rsidR="00B177B6">
              <w:t>.</w:t>
            </w:r>
          </w:p>
        </w:tc>
      </w:tr>
    </w:tbl>
    <w:p w:rsidR="00476C1C" w:rsidRDefault="00476C1C" w:rsidP="00B177B6">
      <w:pPr>
        <w:pStyle w:val="BodyText"/>
      </w:pPr>
    </w:p>
    <w:p w:rsidR="00106A5E" w:rsidRDefault="00106A5E" w:rsidP="00B177B6">
      <w:pPr>
        <w:pStyle w:val="BodyText"/>
      </w:pPr>
      <w:r>
        <w:br w:type="page"/>
      </w:r>
    </w:p>
    <w:p w:rsidR="00C04CC9" w:rsidRPr="00D37799" w:rsidRDefault="00C04CC9" w:rsidP="00B177B6">
      <w:pPr>
        <w:pStyle w:val="Heading3"/>
      </w:pPr>
      <w:bookmarkStart w:id="36" w:name="_Toc401837433"/>
      <w:bookmarkStart w:id="37" w:name="_Toc439840524"/>
      <w:r w:rsidRPr="00D37799">
        <w:lastRenderedPageBreak/>
        <w:t>Recurrent expenditure per student – staff expenditure per student</w:t>
      </w:r>
      <w:bookmarkEnd w:id="36"/>
      <w:bookmarkEnd w:id="37"/>
      <w:r w:rsidRPr="00D37799">
        <w:t xml:space="preserve"> </w:t>
      </w:r>
    </w:p>
    <w:p w:rsidR="00476C1C" w:rsidRPr="00D37799" w:rsidRDefault="00476C1C" w:rsidP="00B177B6">
      <w:pPr>
        <w:pStyle w:val="Box"/>
      </w:pPr>
      <w:r w:rsidRPr="00D37799">
        <w:t xml:space="preserve">Data quality information for this indicator has been drafted by </w:t>
      </w:r>
      <w:r>
        <w:t>t</w:t>
      </w:r>
      <w:r w:rsidRPr="0009745F">
        <w:t xml:space="preserve">he Education Council </w:t>
      </w:r>
      <w:r w:rsidRPr="00D37799">
        <w:t xml:space="preserve">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476C1C" w:rsidRPr="00D37799" w:rsidTr="00972BB7">
        <w:tc>
          <w:tcPr>
            <w:tcW w:w="9108" w:type="dxa"/>
            <w:gridSpan w:val="3"/>
            <w:shd w:val="clear" w:color="auto" w:fill="auto"/>
          </w:tcPr>
          <w:p w:rsidR="00476C1C" w:rsidRPr="00D37799" w:rsidRDefault="00476C1C" w:rsidP="00B177B6">
            <w:pPr>
              <w:pStyle w:val="DQIMainRowHeadings"/>
            </w:pPr>
            <w:r w:rsidRPr="00D37799">
              <w:t>Indicator definition and description</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Element</w:t>
            </w:r>
          </w:p>
        </w:tc>
        <w:tc>
          <w:tcPr>
            <w:tcW w:w="7200" w:type="dxa"/>
            <w:shd w:val="clear" w:color="auto" w:fill="auto"/>
          </w:tcPr>
          <w:p w:rsidR="00476C1C" w:rsidRPr="00D37799" w:rsidRDefault="00476C1C" w:rsidP="00972BB7">
            <w:pPr>
              <w:keepNext/>
              <w:keepLines/>
              <w:spacing w:after="40" w:line="220" w:lineRule="atLeast"/>
              <w:ind w:left="6" w:right="113"/>
              <w:jc w:val="both"/>
              <w:rPr>
                <w:rFonts w:ascii="Arial" w:hAnsi="Arial"/>
                <w:sz w:val="20"/>
                <w:szCs w:val="20"/>
              </w:rPr>
            </w:pPr>
            <w:r w:rsidRPr="00D37799">
              <w:rPr>
                <w:rFonts w:ascii="Arial" w:hAnsi="Arial"/>
                <w:sz w:val="20"/>
                <w:szCs w:val="20"/>
              </w:rPr>
              <w:t>Efficiency</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Indicator</w:t>
            </w:r>
          </w:p>
        </w:tc>
        <w:tc>
          <w:tcPr>
            <w:tcW w:w="7200" w:type="dxa"/>
            <w:shd w:val="clear" w:color="auto" w:fill="auto"/>
          </w:tcPr>
          <w:p w:rsidR="00476C1C" w:rsidRPr="00D37799" w:rsidRDefault="00476C1C" w:rsidP="00B177B6">
            <w:pPr>
              <w:pStyle w:val="DQITableText"/>
            </w:pPr>
            <w:r w:rsidRPr="00D37799">
              <w:t>Staff expenditure per student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Measure (computation)</w:t>
            </w:r>
          </w:p>
        </w:tc>
        <w:tc>
          <w:tcPr>
            <w:tcW w:w="7200" w:type="dxa"/>
            <w:shd w:val="clear" w:color="auto" w:fill="auto"/>
          </w:tcPr>
          <w:p w:rsidR="00476C1C" w:rsidRPr="00D37799" w:rsidRDefault="00476C1C" w:rsidP="00B177B6">
            <w:pPr>
              <w:pStyle w:val="DQITableText"/>
            </w:pPr>
            <w:r w:rsidRPr="00D37799">
              <w:rPr>
                <w:u w:val="single"/>
              </w:rPr>
              <w:t>Definition</w:t>
            </w:r>
          </w:p>
          <w:p w:rsidR="00476C1C" w:rsidRPr="00D37799" w:rsidRDefault="00476C1C" w:rsidP="00B177B6">
            <w:pPr>
              <w:pStyle w:val="DQITableText"/>
            </w:pPr>
            <w:r w:rsidRPr="00D37799">
              <w:t xml:space="preserve">Staff expenditure per student is defined as government recurrent expenditure on staff per FTE student in government schools. </w:t>
            </w:r>
          </w:p>
          <w:p w:rsidR="00476C1C" w:rsidRPr="00D37799" w:rsidRDefault="00476C1C" w:rsidP="00B177B6">
            <w:pPr>
              <w:pStyle w:val="DQITableText"/>
            </w:pPr>
            <w:r w:rsidRPr="00D37799">
              <w:t>It is reported for government schools by in-school primary, in-school secondary, out-of-school services and aggregations</w:t>
            </w:r>
          </w:p>
          <w:p w:rsidR="00476C1C" w:rsidRPr="00D37799" w:rsidRDefault="00476C1C" w:rsidP="00B177B6">
            <w:pPr>
              <w:pStyle w:val="DQITableText"/>
            </w:pPr>
            <w:r w:rsidRPr="00D37799">
              <w:rPr>
                <w:u w:val="single"/>
              </w:rPr>
              <w:t>Numerator</w:t>
            </w:r>
            <w:r w:rsidRPr="00D37799">
              <w:t xml:space="preserve"> – expenditure on staff in government schools by categories identified in ‘definition’ above </w:t>
            </w:r>
          </w:p>
          <w:p w:rsidR="00476C1C" w:rsidRPr="00D37799" w:rsidRDefault="00476C1C" w:rsidP="00B177B6">
            <w:pPr>
              <w:pStyle w:val="DQITableText"/>
            </w:pPr>
            <w:r w:rsidRPr="00D37799">
              <w:rPr>
                <w:u w:val="single"/>
              </w:rPr>
              <w:t>Denominator</w:t>
            </w:r>
            <w:r w:rsidRPr="00D37799">
              <w:t xml:space="preserve"> – </w:t>
            </w:r>
            <w:r>
              <w:t>F</w:t>
            </w:r>
            <w:r w:rsidRPr="00D37799">
              <w:t xml:space="preserve">ull-time equivalent </w:t>
            </w:r>
            <w:r>
              <w:t xml:space="preserve">(FTE) </w:t>
            </w:r>
            <w:r w:rsidRPr="00D37799">
              <w:t>students in government schools.</w:t>
            </w:r>
          </w:p>
          <w:p w:rsidR="00476C1C" w:rsidRPr="00D37799" w:rsidRDefault="00476C1C" w:rsidP="00B177B6">
            <w:pPr>
              <w:pStyle w:val="DQITableText"/>
            </w:pPr>
            <w:r w:rsidRPr="00D37799">
              <w:rPr>
                <w:u w:val="single"/>
              </w:rPr>
              <w:t>Computation</w:t>
            </w:r>
            <w:r w:rsidRPr="00D37799">
              <w:t>/s:</w:t>
            </w:r>
          </w:p>
          <w:p w:rsidR="00476C1C" w:rsidRPr="00D37799" w:rsidRDefault="00476C1C" w:rsidP="00B177B6">
            <w:pPr>
              <w:pStyle w:val="DQITableText"/>
            </w:pPr>
            <w:r w:rsidRPr="00D37799">
              <w:t xml:space="preserve">The expenditure per student </w:t>
            </w:r>
            <w:r>
              <w:t xml:space="preserve">(FTE) </w:t>
            </w:r>
            <w:r w:rsidRPr="00D37799">
              <w:t xml:space="preserve">in the categories identified above. </w:t>
            </w:r>
          </w:p>
          <w:p w:rsidR="00476C1C" w:rsidRPr="00D37799" w:rsidRDefault="00476C1C" w:rsidP="00B177B6">
            <w:pPr>
              <w:pStyle w:val="DQITableText"/>
            </w:pPr>
            <w:r w:rsidRPr="00D37799">
              <w:t>The four previous year’s data are deflated using the GDP Price deflator to provide real expenditure, that can be compared with the current year.</w:t>
            </w:r>
          </w:p>
        </w:tc>
      </w:tr>
      <w:tr w:rsidR="00476C1C" w:rsidRPr="00D37799" w:rsidTr="00972BB7">
        <w:tc>
          <w:tcPr>
            <w:tcW w:w="1908" w:type="dxa"/>
            <w:gridSpan w:val="2"/>
            <w:shd w:val="clear" w:color="auto" w:fill="auto"/>
          </w:tcPr>
          <w:p w:rsidR="00476C1C" w:rsidRPr="004D60AF" w:rsidRDefault="00476C1C" w:rsidP="00B177B6">
            <w:pPr>
              <w:pStyle w:val="DQIRowHeadings"/>
            </w:pPr>
            <w:r w:rsidRPr="004D60AF">
              <w:t>Data source/s</w:t>
            </w:r>
          </w:p>
        </w:tc>
        <w:tc>
          <w:tcPr>
            <w:tcW w:w="7200" w:type="dxa"/>
            <w:shd w:val="clear" w:color="auto" w:fill="auto"/>
          </w:tcPr>
          <w:p w:rsidR="00476C1C" w:rsidRPr="004D60AF" w:rsidRDefault="00476C1C" w:rsidP="00790BCB">
            <w:pPr>
              <w:pStyle w:val="DQITableText"/>
            </w:pPr>
            <w:r w:rsidRPr="004D60AF">
              <w:t xml:space="preserve">Finance data are collected and quality assured by the </w:t>
            </w:r>
            <w:r>
              <w:t>Education</w:t>
            </w:r>
            <w:r w:rsidRPr="004D60AF">
              <w:t xml:space="preserve"> Council National Schools Statistics Collection (</w:t>
            </w:r>
            <w:proofErr w:type="spellStart"/>
            <w:r w:rsidRPr="004D60AF">
              <w:t>NSSC</w:t>
            </w:r>
            <w:proofErr w:type="spellEnd"/>
            <w:r w:rsidRPr="004D60AF">
              <w:t>) School Finance Statistics Group (</w:t>
            </w:r>
            <w:proofErr w:type="spellStart"/>
            <w:r w:rsidRPr="004D60AF">
              <w:t>SFSG</w:t>
            </w:r>
            <w:proofErr w:type="spellEnd"/>
            <w:r w:rsidRPr="004D60AF">
              <w:t xml:space="preserve">); Student and staff data are collected from jurisdictions by the Australian Bureau of Statistics (ABS) on behalf of </w:t>
            </w:r>
            <w:r>
              <w:t>t</w:t>
            </w:r>
            <w:r w:rsidRPr="0009745F">
              <w:t xml:space="preserve">he Education </w:t>
            </w:r>
            <w:r w:rsidR="00035643">
              <w:rPr>
                <w:szCs w:val="18"/>
              </w:rPr>
              <w:t xml:space="preserve">Council </w:t>
            </w:r>
            <w:r w:rsidRPr="009479BD">
              <w:rPr>
                <w:szCs w:val="18"/>
              </w:rPr>
              <w:t xml:space="preserve">as part of the </w:t>
            </w:r>
            <w:proofErr w:type="spellStart"/>
            <w:r w:rsidRPr="009479BD">
              <w:rPr>
                <w:szCs w:val="18"/>
              </w:rPr>
              <w:t>NSSC</w:t>
            </w:r>
            <w:proofErr w:type="spellEnd"/>
            <w:r w:rsidRPr="009479BD">
              <w:rPr>
                <w:szCs w:val="18"/>
              </w:rPr>
              <w:t xml:space="preserve">; unpublished finance data from Australian and State and territory governments; Finance data are published in the </w:t>
            </w:r>
            <w:r w:rsidR="00035643">
              <w:rPr>
                <w:szCs w:val="18"/>
              </w:rPr>
              <w:t>Education Council’s</w:t>
            </w:r>
            <w:r w:rsidRPr="009479BD">
              <w:rPr>
                <w:szCs w:val="18"/>
              </w:rPr>
              <w:t xml:space="preserve"> National Report on Schooling; Data from the non-finance </w:t>
            </w:r>
            <w:proofErr w:type="spellStart"/>
            <w:r w:rsidRPr="009479BD">
              <w:rPr>
                <w:szCs w:val="18"/>
              </w:rPr>
              <w:t>NSSC</w:t>
            </w:r>
            <w:proofErr w:type="spellEnd"/>
            <w:r w:rsidRPr="009479BD">
              <w:rPr>
                <w:szCs w:val="18"/>
              </w:rPr>
              <w:t xml:space="preserve"> is disseminated by the ABS through </w:t>
            </w:r>
            <w:r w:rsidRPr="009479BD">
              <w:rPr>
                <w:i/>
                <w:szCs w:val="18"/>
              </w:rPr>
              <w:t>Schools, Australia, 201</w:t>
            </w:r>
            <w:r w:rsidR="00035643">
              <w:rPr>
                <w:i/>
                <w:szCs w:val="18"/>
              </w:rPr>
              <w:t>4</w:t>
            </w:r>
            <w:r w:rsidRPr="009479BD">
              <w:rPr>
                <w:i/>
                <w:szCs w:val="18"/>
              </w:rPr>
              <w:t xml:space="preserve"> </w:t>
            </w:r>
            <w:r w:rsidRPr="009479BD">
              <w:rPr>
                <w:szCs w:val="18"/>
              </w:rPr>
              <w:t>,cat. no. 4221.0, '</w:t>
            </w:r>
            <w:proofErr w:type="spellStart"/>
            <w:r w:rsidRPr="009479BD">
              <w:rPr>
                <w:szCs w:val="18"/>
              </w:rPr>
              <w:t>NSSC</w:t>
            </w:r>
            <w:proofErr w:type="spellEnd"/>
            <w:r w:rsidRPr="009479BD">
              <w:rPr>
                <w:szCs w:val="18"/>
              </w:rPr>
              <w:t xml:space="preserve"> Table </w:t>
            </w:r>
            <w:proofErr w:type="spellStart"/>
            <w:r w:rsidRPr="009479BD">
              <w:rPr>
                <w:szCs w:val="18"/>
              </w:rPr>
              <w:t>43a</w:t>
            </w:r>
            <w:proofErr w:type="spellEnd"/>
            <w:r w:rsidRPr="009479BD">
              <w:rPr>
                <w:szCs w:val="18"/>
              </w:rPr>
              <w:t>: Full-time equivalent students 1999-201</w:t>
            </w:r>
            <w:r w:rsidR="00035643">
              <w:rPr>
                <w:szCs w:val="18"/>
              </w:rPr>
              <w:t>4</w:t>
            </w:r>
            <w:r w:rsidRPr="009479BD">
              <w:rPr>
                <w:szCs w:val="18"/>
              </w:rPr>
              <w:t>’ data cube: Excel spreadsheet, cat. no. 4221.0, &lt;</w:t>
            </w:r>
            <w:r w:rsidR="00790BCB" w:rsidRPr="00111D1B">
              <w:rPr>
                <w:szCs w:val="18"/>
              </w:rPr>
              <w:t>http://</w:t>
            </w:r>
            <w:proofErr w:type="spellStart"/>
            <w:r w:rsidR="00790BCB" w:rsidRPr="00111D1B">
              <w:rPr>
                <w:szCs w:val="18"/>
              </w:rPr>
              <w:t>www.abs.gov.au</w:t>
            </w:r>
            <w:proofErr w:type="spellEnd"/>
            <w:r w:rsidR="00790BCB" w:rsidRPr="00111D1B">
              <w:rPr>
                <w:szCs w:val="18"/>
              </w:rPr>
              <w:t>/</w:t>
            </w:r>
            <w:proofErr w:type="spellStart"/>
            <w:r w:rsidR="00790BCB" w:rsidRPr="00111D1B">
              <w:rPr>
                <w:szCs w:val="18"/>
              </w:rPr>
              <w:t>AUSSTATS</w:t>
            </w:r>
            <w:proofErr w:type="spellEnd"/>
            <w:r w:rsidR="00790BCB" w:rsidRPr="00111D1B">
              <w:rPr>
                <w:szCs w:val="18"/>
              </w:rPr>
              <w:t>/abs</w:t>
            </w:r>
            <w:r w:rsidR="00790BCB" w:rsidRPr="00111D1B">
              <w:rPr>
                <w:szCs w:val="18"/>
              </w:rPr>
              <w:br/>
              <w:t>@.</w:t>
            </w:r>
            <w:proofErr w:type="spellStart"/>
            <w:r w:rsidR="00790BCB" w:rsidRPr="00111D1B">
              <w:rPr>
                <w:szCs w:val="18"/>
              </w:rPr>
              <w:t>nsf</w:t>
            </w:r>
            <w:proofErr w:type="spellEnd"/>
            <w:r w:rsidR="00790BCB" w:rsidRPr="00111D1B">
              <w:rPr>
                <w:szCs w:val="18"/>
              </w:rPr>
              <w:t>/</w:t>
            </w:r>
            <w:proofErr w:type="spellStart"/>
            <w:r w:rsidR="00790BCB" w:rsidRPr="00111D1B">
              <w:rPr>
                <w:szCs w:val="18"/>
              </w:rPr>
              <w:t>DetailsPage</w:t>
            </w:r>
            <w:proofErr w:type="spellEnd"/>
            <w:r w:rsidR="00790BCB" w:rsidRPr="00111D1B">
              <w:rPr>
                <w:szCs w:val="18"/>
              </w:rPr>
              <w:t>/</w:t>
            </w:r>
            <w:proofErr w:type="spellStart"/>
            <w:r w:rsidR="00790BCB" w:rsidRPr="00111D1B">
              <w:rPr>
                <w:szCs w:val="18"/>
              </w:rPr>
              <w:t>4221.02014?OpenDocument</w:t>
            </w:r>
            <w:proofErr w:type="spellEnd"/>
          </w:p>
        </w:tc>
      </w:tr>
      <w:tr w:rsidR="00476C1C" w:rsidRPr="00D37799" w:rsidTr="00972BB7">
        <w:tc>
          <w:tcPr>
            <w:tcW w:w="9108" w:type="dxa"/>
            <w:gridSpan w:val="3"/>
            <w:shd w:val="clear" w:color="auto" w:fill="auto"/>
          </w:tcPr>
          <w:p w:rsidR="00476C1C" w:rsidRPr="00D37799" w:rsidRDefault="00476C1C" w:rsidP="00B177B6">
            <w:pPr>
              <w:pStyle w:val="DQIMainRowHeadings"/>
            </w:pPr>
            <w:r w:rsidRPr="00D37799">
              <w:t>Data Quality Framework Dimensions</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Institutional environment</w:t>
            </w: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The Education Council  collects Government schools recurrent and capital expenditure data on behalf of Government schools for reporting purposes.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For information on the institutional environment of the ABS, including the</w:t>
            </w:r>
            <w:r w:rsidRPr="00476C1C">
              <w:br/>
              <w:t xml:space="preserve"> legislative obligations of the ABS which cover this collection, please see </w:t>
            </w:r>
            <w:r w:rsidRPr="00476C1C">
              <w:rPr>
                <w:rFonts w:cs="Arial"/>
                <w:u w:val="single"/>
              </w:rPr>
              <w:t>ABS Institutional Environment.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Relevance</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relate to major expenditure categories provided both as total expenditure and as cost per student.</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476C1C">
              <w:t>NSSC</w:t>
            </w:r>
            <w:proofErr w:type="spellEnd"/>
            <w:r w:rsidRPr="00476C1C">
              <w:t xml:space="preserve"> student data includes students undertaking additional study where this is in conjunction with </w:t>
            </w:r>
            <w:proofErr w:type="spellStart"/>
            <w:r w:rsidRPr="00476C1C">
              <w:t>NSSC</w:t>
            </w:r>
            <w:proofErr w:type="spellEnd"/>
            <w:r w:rsidRPr="00476C1C">
              <w:t xml:space="preserve"> in-scope schooling. This additional study is included as part of the student’s workload and includes </w:t>
            </w:r>
            <w:r w:rsidRPr="00476C1C">
              <w:rPr>
                <w:rFonts w:eastAsia="Calibri" w:cs="Arial"/>
                <w:color w:val="000000"/>
              </w:rPr>
              <w:t>educational</w:t>
            </w:r>
            <w:r w:rsidRPr="00476C1C">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lastRenderedPageBreak/>
              <w:t>Timeliness</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are collected annually on a financial year basis which accords with state and territory financial reporting processes.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The </w:t>
            </w:r>
            <w:proofErr w:type="spellStart"/>
            <w:r w:rsidRPr="00476C1C">
              <w:t>NSSC</w:t>
            </w:r>
            <w:proofErr w:type="spellEnd"/>
            <w:r w:rsidRPr="00476C1C">
              <w:t xml:space="preserve"> is an annual collection as at the first Friday in August of each year and provided to the ABS during November of the same year. Student FTE data are published between January and March the following year.</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Accuracy</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are derived from jurisdiction’s audited annual accounts.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rPr>
                <w:rFonts w:cs="Arial"/>
                <w:color w:val="000000"/>
              </w:rPr>
              <w:t xml:space="preserve">Data on government and non-government schools are collected from administrative school enrolment databases, collated by the ABS through the non-finance </w:t>
            </w:r>
            <w:proofErr w:type="spellStart"/>
            <w:r w:rsidRPr="00476C1C">
              <w:rPr>
                <w:rFonts w:cs="Arial"/>
                <w:color w:val="000000"/>
              </w:rPr>
              <w:t>NSSC</w:t>
            </w:r>
            <w:proofErr w:type="spellEnd"/>
            <w:r w:rsidRPr="00476C1C">
              <w:rPr>
                <w:rFonts w:cs="Arial"/>
                <w:color w:val="000000"/>
              </w:rPr>
              <w:t>.</w:t>
            </w:r>
            <w:r w:rsidRPr="00476C1C">
              <w:rPr>
                <w:rFonts w:cs="Arial"/>
              </w:rPr>
              <w:t xml:space="preserve">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476C1C">
              <w:rPr>
                <w:rFonts w:cs="Arial"/>
              </w:rPr>
              <w:t>NSSC</w:t>
            </w:r>
            <w:proofErr w:type="spellEnd"/>
            <w:r w:rsidRPr="00476C1C">
              <w:rPr>
                <w:rFonts w:cs="Arial"/>
              </w:rPr>
              <w:t xml:space="preserve"> data to the ABS (or the Commonwealth Department of Education </w:t>
            </w:r>
            <w:r w:rsidR="00954AD3">
              <w:rPr>
                <w:rFonts w:cs="Arial"/>
              </w:rPr>
              <w:t xml:space="preserve">and Training </w:t>
            </w:r>
            <w:r w:rsidRPr="00476C1C">
              <w:rPr>
                <w:rFonts w:cs="Arial"/>
              </w:rPr>
              <w:t>for non-government schools who then provides this data to the ABS for the non-government contribution). The extent of over-reporting cannot be quantified, but the understanding of the extent that students might be legitimately enrolled in more than one school would suggest that the figure is small. Some revisions may occur year to year where providers resupply data post publication. The FTE values for students reported for this benchmark have a high degree of accuracy.</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Coherence</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are specialised in terms of established data standards and instructions.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954AD3">
            <w:pPr>
              <w:pStyle w:val="DQITableText"/>
            </w:pPr>
            <w:r w:rsidRPr="00476C1C">
              <w:t xml:space="preserve">Each state and territory government reports on school students, the Australian Curriculum Assessment &amp; Reporting Authority (ACARA) reports on school students and the five-yearly Census of Population and Housing includes information on children attending school. ABS </w:t>
            </w:r>
            <w:proofErr w:type="spellStart"/>
            <w:r w:rsidRPr="00476C1C">
              <w:t>NSSC</w:t>
            </w:r>
            <w:proofErr w:type="spellEnd"/>
            <w:r w:rsidRPr="00476C1C">
              <w:t xml:space="preserve"> </w:t>
            </w:r>
            <w:r w:rsidR="0061062A">
              <w:t>data are</w:t>
            </w:r>
            <w:r w:rsidRPr="00476C1C">
              <w:t xml:space="preserve"> sourced for national reporting mechanisms including the Report on Government Services and the National Report on Schooling in Australia.</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Interpretability</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Nationally consistent data that are used for the National Report on Schooling.</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Explanatory Notes and a Glossary accompany the data available on the ABS website, and include caveats and advice as appropriate.</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Accessibility</w:t>
            </w:r>
          </w:p>
          <w:p w:rsidR="00476C1C" w:rsidRPr="00D37799" w:rsidRDefault="00476C1C" w:rsidP="00B177B6">
            <w:pPr>
              <w:pStyle w:val="DQIRowHeadings"/>
            </w:pPr>
          </w:p>
        </w:tc>
        <w:tc>
          <w:tcPr>
            <w:tcW w:w="7200" w:type="dxa"/>
            <w:shd w:val="clear" w:color="auto" w:fill="auto"/>
          </w:tcPr>
          <w:p w:rsidR="00476C1C" w:rsidRPr="00D37799" w:rsidRDefault="00476C1C" w:rsidP="00B177B6">
            <w:pPr>
              <w:pStyle w:val="DQITableText"/>
            </w:pPr>
            <w:r w:rsidRPr="00B177B6">
              <w:rPr>
                <w:u w:val="single"/>
              </w:rPr>
              <w:t>Numerator</w:t>
            </w:r>
            <w:r w:rsidRPr="00D37799">
              <w:t xml:space="preserve">: </w:t>
            </w:r>
          </w:p>
          <w:p w:rsidR="00476C1C" w:rsidRPr="00476C1C" w:rsidRDefault="00476C1C" w:rsidP="00B177B6">
            <w:pPr>
              <w:pStyle w:val="DQITableText"/>
            </w:pPr>
            <w:r w:rsidRPr="00D37799">
              <w:t xml:space="preserve">Data are determined based on a derived nationally consistent basis and </w:t>
            </w:r>
            <w:r w:rsidRPr="00476C1C">
              <w:t xml:space="preserve">underpinning </w:t>
            </w:r>
            <w:r w:rsidR="0061062A">
              <w:t>data are</w:t>
            </w:r>
            <w:r w:rsidRPr="00476C1C">
              <w:t xml:space="preserve"> not directly available. </w:t>
            </w:r>
          </w:p>
          <w:p w:rsidR="00476C1C" w:rsidRPr="00476C1C" w:rsidRDefault="00476C1C" w:rsidP="00B177B6">
            <w:pPr>
              <w:pStyle w:val="DQITableText"/>
            </w:pPr>
            <w:r w:rsidRPr="00B177B6">
              <w:rPr>
                <w:u w:val="single"/>
              </w:rPr>
              <w:t>Denominator</w:t>
            </w:r>
            <w:r w:rsidRPr="00476C1C">
              <w:t xml:space="preserve">: </w:t>
            </w:r>
          </w:p>
          <w:p w:rsidR="00972BB7" w:rsidRPr="00D37799" w:rsidRDefault="00476C1C" w:rsidP="00B177B6">
            <w:pPr>
              <w:pStyle w:val="DQITableText"/>
            </w:pPr>
            <w:r w:rsidRPr="00476C1C">
              <w:t xml:space="preserve">Results from the </w:t>
            </w:r>
            <w:proofErr w:type="spellStart"/>
            <w:r w:rsidRPr="00476C1C">
              <w:t>NSSC</w:t>
            </w:r>
            <w:proofErr w:type="spellEnd"/>
            <w:r w:rsidRPr="00476C1C">
              <w:t xml:space="preserve"> are presented on the ABS website in data cubes (Excel spreadsheets including pivot tables). These tables offer a versatile source of data, enabling clients to tailor data to suit their information requirements.</w:t>
            </w:r>
          </w:p>
        </w:tc>
      </w:tr>
      <w:tr w:rsidR="00476C1C" w:rsidRPr="00D37799" w:rsidTr="00972BB7">
        <w:tc>
          <w:tcPr>
            <w:tcW w:w="9108" w:type="dxa"/>
            <w:gridSpan w:val="3"/>
            <w:shd w:val="clear" w:color="auto" w:fill="auto"/>
          </w:tcPr>
          <w:p w:rsidR="00476C1C" w:rsidRPr="00D37799" w:rsidRDefault="00476C1C" w:rsidP="00972BB7">
            <w:pPr>
              <w:keepNext/>
              <w:spacing w:before="120" w:after="120" w:line="280" w:lineRule="atLeast"/>
              <w:jc w:val="both"/>
              <w:rPr>
                <w:rFonts w:ascii="Arial" w:hAnsi="Arial"/>
                <w:sz w:val="22"/>
                <w:szCs w:val="20"/>
              </w:rPr>
            </w:pPr>
            <w:r w:rsidRPr="00D37799">
              <w:rPr>
                <w:rFonts w:ascii="Arial" w:hAnsi="Arial"/>
                <w:b/>
                <w:sz w:val="22"/>
                <w:szCs w:val="20"/>
                <w:u w:val="single"/>
              </w:rPr>
              <w:t>Data Gaps/Issues Analysis</w:t>
            </w:r>
          </w:p>
        </w:tc>
      </w:tr>
      <w:tr w:rsidR="00476C1C" w:rsidRPr="00D37799" w:rsidTr="00972BB7">
        <w:tc>
          <w:tcPr>
            <w:tcW w:w="1609" w:type="dxa"/>
            <w:shd w:val="clear" w:color="auto" w:fill="auto"/>
          </w:tcPr>
          <w:p w:rsidR="00476C1C" w:rsidRPr="00D37799" w:rsidRDefault="00476C1C" w:rsidP="00972BB7">
            <w:pPr>
              <w:keepNext/>
              <w:keepLines/>
              <w:spacing w:after="40" w:line="220" w:lineRule="atLeast"/>
              <w:ind w:left="6" w:right="113"/>
              <w:rPr>
                <w:rFonts w:ascii="Arial" w:hAnsi="Arial"/>
                <w:b/>
                <w:sz w:val="20"/>
                <w:szCs w:val="20"/>
              </w:rPr>
            </w:pPr>
            <w:r w:rsidRPr="00D37799">
              <w:rPr>
                <w:rFonts w:ascii="Arial" w:hAnsi="Arial"/>
                <w:b/>
                <w:sz w:val="20"/>
                <w:szCs w:val="20"/>
              </w:rPr>
              <w:t>Key data gaps /issues</w:t>
            </w:r>
          </w:p>
        </w:tc>
        <w:tc>
          <w:tcPr>
            <w:tcW w:w="7499" w:type="dxa"/>
            <w:gridSpan w:val="2"/>
            <w:shd w:val="clear" w:color="auto" w:fill="auto"/>
          </w:tcPr>
          <w:p w:rsidR="00476C1C" w:rsidRPr="00D37799" w:rsidRDefault="00476C1C" w:rsidP="00B177B6">
            <w:pPr>
              <w:pStyle w:val="DQITableText"/>
            </w:pPr>
            <w:r w:rsidRPr="00D37799">
              <w:t>The Steering Committee notes the following issues:</w:t>
            </w:r>
          </w:p>
          <w:p w:rsidR="00476C1C" w:rsidRPr="00D37799" w:rsidRDefault="00476C1C" w:rsidP="002020A0">
            <w:pPr>
              <w:pStyle w:val="DQITableText"/>
              <w:shd w:val="clear" w:color="auto" w:fill="FFFFFF" w:themeFill="background1"/>
            </w:pPr>
            <w:r w:rsidRPr="00D37799">
              <w:t>Care should be taken in interpretation of efficiency data:</w:t>
            </w:r>
          </w:p>
          <w:p w:rsidR="00790BCB" w:rsidRDefault="00790BCB" w:rsidP="002020A0">
            <w:pPr>
              <w:pStyle w:val="DQITableBullet"/>
              <w:shd w:val="clear" w:color="auto" w:fill="FFFFFF" w:themeFill="background1"/>
            </w:pPr>
            <w:r>
              <w:t>data include the user cost of capital</w:t>
            </w:r>
          </w:p>
          <w:p w:rsidR="00476C1C" w:rsidRPr="00D37799" w:rsidRDefault="00476C1C" w:rsidP="00B177B6">
            <w:pPr>
              <w:pStyle w:val="DQITableBullet"/>
            </w:pPr>
            <w:r w:rsidRPr="00D37799">
              <w:t xml:space="preserve">a number of factors beyond the control of governments, such as economies of scale, a </w:t>
            </w:r>
            <w:r w:rsidRPr="00D37799">
              <w:lastRenderedPageBreak/>
              <w:t xml:space="preserve">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476C1C" w:rsidRPr="00D37799" w:rsidRDefault="00476C1C" w:rsidP="00B177B6">
            <w:pPr>
              <w:pStyle w:val="DQITableBullet"/>
            </w:pPr>
            <w:r w:rsidRPr="00D37799">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p>
          <w:p w:rsidR="00476C1C" w:rsidRPr="00D37799" w:rsidRDefault="00476C1C" w:rsidP="00B177B6">
            <w:pPr>
              <w:pStyle w:val="DQITableBullet"/>
              <w:rPr>
                <w:sz w:val="20"/>
              </w:rPr>
            </w:pPr>
            <w:r w:rsidRPr="00D37799">
              <w:t xml:space="preserve">the ‘staff expenditure per student’ measure is partial in nature, as it does not reflect the full cost per student. While high or increasing government expenditure on staff per student may reflect lower efficiency, it may also reflect improvements in teacher quality. </w:t>
            </w:r>
          </w:p>
        </w:tc>
      </w:tr>
    </w:tbl>
    <w:p w:rsidR="00696CC5" w:rsidRPr="00D37799" w:rsidRDefault="00696CC5" w:rsidP="00B177B6">
      <w:pPr>
        <w:pStyle w:val="BodyText"/>
      </w:pPr>
    </w:p>
    <w:p w:rsidR="00DD4808" w:rsidRPr="00D37799" w:rsidRDefault="00DD4808" w:rsidP="00B177B6">
      <w:pPr>
        <w:pStyle w:val="Heading3"/>
      </w:pPr>
      <w:bookmarkStart w:id="38" w:name="_Toc401837434"/>
      <w:bookmarkStart w:id="39" w:name="_Toc439840525"/>
      <w:r w:rsidRPr="00D37799">
        <w:lastRenderedPageBreak/>
        <w:t>User cost of capital per student</w:t>
      </w:r>
      <w:bookmarkEnd w:id="38"/>
      <w:bookmarkEnd w:id="39"/>
      <w:r w:rsidRPr="00D37799">
        <w:t xml:space="preserve"> </w:t>
      </w:r>
    </w:p>
    <w:p w:rsidR="00DD4808" w:rsidRPr="00D37799" w:rsidRDefault="00DD4808" w:rsidP="00B177B6">
      <w:pPr>
        <w:pStyle w:val="Box"/>
      </w:pPr>
      <w:r w:rsidRPr="00D37799">
        <w:t xml:space="preserve">Data quality information for this indicator has been drafted by the </w:t>
      </w:r>
      <w:r w:rsidR="00954AD3">
        <w:t>Education Council</w:t>
      </w:r>
      <w:r w:rsidRPr="00D37799">
        <w:t xml:space="preserve"> and the ABS, in consultation with the School Education Working Group, with additional Steering Committee comments.</w:t>
      </w:r>
    </w:p>
    <w:tbl>
      <w:tblPr>
        <w:tblW w:w="8901" w:type="dxa"/>
        <w:jc w:val="center"/>
        <w:tblInd w:w="208" w:type="dxa"/>
        <w:tblLook w:val="01E0" w:firstRow="1" w:lastRow="1" w:firstColumn="1" w:lastColumn="1" w:noHBand="0" w:noVBand="0"/>
      </w:tblPr>
      <w:tblGrid>
        <w:gridCol w:w="1586"/>
        <w:gridCol w:w="7443"/>
      </w:tblGrid>
      <w:tr w:rsidR="00D37799" w:rsidRPr="00D37799" w:rsidTr="00954AD3">
        <w:trPr>
          <w:jc w:val="center"/>
        </w:trPr>
        <w:tc>
          <w:tcPr>
            <w:tcW w:w="8901" w:type="dxa"/>
            <w:gridSpan w:val="2"/>
          </w:tcPr>
          <w:p w:rsidR="00DD4808" w:rsidRPr="00D37799" w:rsidRDefault="00DD4808" w:rsidP="00B177B6">
            <w:pPr>
              <w:pStyle w:val="DQIMainRowHeadings"/>
              <w:rPr>
                <w:rFonts w:cs="Arial"/>
                <w:sz w:val="22"/>
                <w:szCs w:val="22"/>
              </w:rPr>
            </w:pPr>
            <w:r w:rsidRPr="00D37799">
              <w:t>.</w:t>
            </w:r>
            <w:r w:rsidRPr="00D37799">
              <w:br w:type="page"/>
              <w:t xml:space="preserve">Indicator definition and description </w:t>
            </w:r>
          </w:p>
        </w:tc>
      </w:tr>
      <w:tr w:rsidR="00D37799" w:rsidRPr="00D37799" w:rsidTr="00954AD3">
        <w:trPr>
          <w:jc w:val="center"/>
        </w:trPr>
        <w:tc>
          <w:tcPr>
            <w:tcW w:w="1653" w:type="dxa"/>
          </w:tcPr>
          <w:p w:rsidR="00DD4808" w:rsidRPr="00D37799" w:rsidRDefault="00DD4808" w:rsidP="00B177B6">
            <w:pPr>
              <w:pStyle w:val="DQIRowHeadings"/>
            </w:pPr>
            <w:r w:rsidRPr="00D37799">
              <w:t>Element</w:t>
            </w:r>
          </w:p>
        </w:tc>
        <w:tc>
          <w:tcPr>
            <w:tcW w:w="7248" w:type="dxa"/>
          </w:tcPr>
          <w:p w:rsidR="00DD4808" w:rsidRPr="00D37799" w:rsidRDefault="00DD4808" w:rsidP="00B177B6">
            <w:pPr>
              <w:pStyle w:val="DQITableText"/>
            </w:pPr>
            <w:r w:rsidRPr="00D37799">
              <w:t>Efficiency</w:t>
            </w:r>
          </w:p>
        </w:tc>
      </w:tr>
      <w:tr w:rsidR="00D37799" w:rsidRPr="00D37799" w:rsidTr="00954AD3">
        <w:trPr>
          <w:jc w:val="center"/>
        </w:trPr>
        <w:tc>
          <w:tcPr>
            <w:tcW w:w="1653" w:type="dxa"/>
          </w:tcPr>
          <w:p w:rsidR="00DD4808" w:rsidRPr="00D37799" w:rsidRDefault="00DD4808" w:rsidP="00B177B6">
            <w:pPr>
              <w:pStyle w:val="DQIRowHeadings"/>
            </w:pPr>
            <w:r w:rsidRPr="00D37799">
              <w:t>Indicator</w:t>
            </w:r>
          </w:p>
        </w:tc>
        <w:tc>
          <w:tcPr>
            <w:tcW w:w="7248" w:type="dxa"/>
          </w:tcPr>
          <w:p w:rsidR="00DD4808" w:rsidRPr="00D37799" w:rsidRDefault="00DD4808" w:rsidP="00B177B6">
            <w:pPr>
              <w:pStyle w:val="DQITableText"/>
            </w:pPr>
            <w:r w:rsidRPr="00D37799">
              <w:t>User cost of capital per student</w:t>
            </w:r>
          </w:p>
        </w:tc>
      </w:tr>
      <w:tr w:rsidR="00D37799" w:rsidRPr="00D37799" w:rsidTr="00954AD3">
        <w:trPr>
          <w:jc w:val="center"/>
        </w:trPr>
        <w:tc>
          <w:tcPr>
            <w:tcW w:w="1653" w:type="dxa"/>
          </w:tcPr>
          <w:p w:rsidR="00DD4808" w:rsidRPr="00D37799" w:rsidRDefault="00DD4808" w:rsidP="00B177B6">
            <w:pPr>
              <w:pStyle w:val="DQIRowHeadings"/>
            </w:pPr>
            <w:r w:rsidRPr="00D37799">
              <w:t>Measure (computation)</w:t>
            </w:r>
          </w:p>
        </w:tc>
        <w:tc>
          <w:tcPr>
            <w:tcW w:w="7248" w:type="dxa"/>
          </w:tcPr>
          <w:p w:rsidR="00DD4808" w:rsidRPr="00D37799" w:rsidRDefault="00DD4808" w:rsidP="00B177B6">
            <w:pPr>
              <w:pStyle w:val="DQITableText"/>
            </w:pPr>
            <w:r w:rsidRPr="00D37799">
              <w:rPr>
                <w:u w:val="single"/>
              </w:rPr>
              <w:t>Definition</w:t>
            </w:r>
          </w:p>
          <w:p w:rsidR="00DD4808" w:rsidRPr="00D37799" w:rsidRDefault="00DD4808" w:rsidP="00B177B6">
            <w:pPr>
              <w:pStyle w:val="DQITableText"/>
            </w:pPr>
            <w:r w:rsidRPr="00D37799">
              <w:t xml:space="preserve">The notional costs to governments of the funds tied up in capital used to produce services (for example, land and buildings owned by government schools) per FTE student </w:t>
            </w:r>
          </w:p>
          <w:p w:rsidR="00DD4808" w:rsidRPr="00D37799" w:rsidRDefault="00DD4808" w:rsidP="00B177B6">
            <w:pPr>
              <w:pStyle w:val="DQITableText"/>
            </w:pPr>
            <w:r w:rsidRPr="00D37799">
              <w:rPr>
                <w:u w:val="single"/>
              </w:rPr>
              <w:t>Numerator</w:t>
            </w:r>
            <w:r w:rsidRPr="00D37799">
              <w:t xml:space="preserve"> – 8 per cent of the value of non-current physical assets of government schools (for example, land, buildings, plant and equipment) which are re-valued over time.</w:t>
            </w:r>
          </w:p>
          <w:p w:rsidR="00DD4808" w:rsidRPr="00D37799" w:rsidRDefault="00DD4808" w:rsidP="00B177B6">
            <w:pPr>
              <w:pStyle w:val="DQITableText"/>
            </w:pPr>
            <w:r w:rsidRPr="00D37799">
              <w:rPr>
                <w:u w:val="single"/>
              </w:rPr>
              <w:t>Denominator</w:t>
            </w:r>
            <w:r w:rsidRPr="00D37799">
              <w:t xml:space="preserve"> – number of full time equivalent students in government schools.</w:t>
            </w:r>
          </w:p>
          <w:p w:rsidR="00DD4808" w:rsidRPr="00D37799" w:rsidRDefault="00DD4808" w:rsidP="00B177B6">
            <w:pPr>
              <w:pStyle w:val="DQITableText"/>
            </w:pPr>
            <w:r w:rsidRPr="00D37799">
              <w:rPr>
                <w:u w:val="single"/>
              </w:rPr>
              <w:t>Computation</w:t>
            </w:r>
            <w:r w:rsidRPr="00D37799">
              <w:t>/s:</w:t>
            </w:r>
          </w:p>
          <w:p w:rsidR="00DD4808" w:rsidRPr="00D37799" w:rsidRDefault="00DD4808" w:rsidP="00B177B6">
            <w:pPr>
              <w:pStyle w:val="DQITableText"/>
            </w:pPr>
            <w:r w:rsidRPr="00D37799">
              <w:t>The numerator divided by the denominator (above).</w:t>
            </w:r>
          </w:p>
        </w:tc>
      </w:tr>
      <w:tr w:rsidR="00D37799" w:rsidRPr="00D37799" w:rsidTr="00954AD3">
        <w:trPr>
          <w:jc w:val="center"/>
        </w:trPr>
        <w:tc>
          <w:tcPr>
            <w:tcW w:w="1653" w:type="dxa"/>
          </w:tcPr>
          <w:p w:rsidR="00DD4808" w:rsidRPr="00D37799" w:rsidRDefault="00DD4808" w:rsidP="00B177B6">
            <w:pPr>
              <w:pStyle w:val="DQIRowHeadings"/>
            </w:pPr>
            <w:r w:rsidRPr="00D37799">
              <w:t>Data source/s</w:t>
            </w:r>
          </w:p>
        </w:tc>
        <w:tc>
          <w:tcPr>
            <w:tcW w:w="7248" w:type="dxa"/>
          </w:tcPr>
          <w:p w:rsidR="00DD4808" w:rsidRPr="00D37799" w:rsidRDefault="004D60AF" w:rsidP="00954AD3">
            <w:pPr>
              <w:pStyle w:val="DQITableText"/>
            </w:pPr>
            <w:r w:rsidRPr="004D60AF">
              <w:t>Finance data are collected and quality assured by the Standing Council on School Education and Early Childhood (</w:t>
            </w:r>
            <w:proofErr w:type="spellStart"/>
            <w:r w:rsidRPr="004D60AF">
              <w:t>SCSEEC</w:t>
            </w:r>
            <w:proofErr w:type="spellEnd"/>
            <w:r w:rsidRPr="004D60AF">
              <w:t>) National Schools Statistics Collection (</w:t>
            </w:r>
            <w:proofErr w:type="spellStart"/>
            <w:r w:rsidRPr="004D60AF">
              <w:t>NSSC</w:t>
            </w:r>
            <w:proofErr w:type="spellEnd"/>
            <w:r w:rsidRPr="004D60AF">
              <w:t>) School Finance Statistics Group (</w:t>
            </w:r>
            <w:proofErr w:type="spellStart"/>
            <w:r w:rsidRPr="004D60AF">
              <w:t>SFSG</w:t>
            </w:r>
            <w:proofErr w:type="spellEnd"/>
            <w:r w:rsidRPr="004D60AF">
              <w:t xml:space="preserve">); Student and staff data are collected from jurisdictions by the Australian Bureau of Statistics (ABS) on behalf of </w:t>
            </w:r>
            <w:proofErr w:type="spellStart"/>
            <w:r w:rsidRPr="004D60AF">
              <w:t>SCSEEC</w:t>
            </w:r>
            <w:proofErr w:type="spellEnd"/>
            <w:r w:rsidRPr="004D60AF">
              <w:t xml:space="preserve"> as part of the </w:t>
            </w:r>
            <w:proofErr w:type="spellStart"/>
            <w:r w:rsidRPr="004D60AF">
              <w:t>NSSC</w:t>
            </w:r>
            <w:proofErr w:type="spellEnd"/>
            <w:r w:rsidRPr="004D60AF">
              <w:t xml:space="preserve">; unpublished finance data from Australian and State and territory governments; Finance data are published in the </w:t>
            </w:r>
            <w:proofErr w:type="spellStart"/>
            <w:r w:rsidRPr="004D60AF">
              <w:t>SCSEEC</w:t>
            </w:r>
            <w:proofErr w:type="spellEnd"/>
            <w:r w:rsidRPr="004D60AF">
              <w:t xml:space="preserve"> National Report on Schooling; Data from the non-finance </w:t>
            </w:r>
            <w:proofErr w:type="spellStart"/>
            <w:r w:rsidRPr="004D60AF">
              <w:t>NSSC</w:t>
            </w:r>
            <w:proofErr w:type="spellEnd"/>
            <w:r w:rsidRPr="004D60AF">
              <w:t xml:space="preserve"> are</w:t>
            </w:r>
            <w:r>
              <w:t xml:space="preserve"> </w:t>
            </w:r>
            <w:r w:rsidRPr="009479BD">
              <w:rPr>
                <w:szCs w:val="18"/>
              </w:rPr>
              <w:t xml:space="preserve">disseminated by the ABS through </w:t>
            </w:r>
            <w:r w:rsidRPr="009479BD">
              <w:rPr>
                <w:i/>
                <w:szCs w:val="18"/>
              </w:rPr>
              <w:t>Schools, Australia, 201</w:t>
            </w:r>
            <w:r w:rsidR="00954AD3">
              <w:rPr>
                <w:i/>
                <w:szCs w:val="18"/>
              </w:rPr>
              <w:t>4</w:t>
            </w:r>
            <w:r w:rsidRPr="009479BD">
              <w:rPr>
                <w:szCs w:val="18"/>
              </w:rPr>
              <w:t>, cat. no. 4221.0, '</w:t>
            </w:r>
            <w:proofErr w:type="spellStart"/>
            <w:r w:rsidRPr="009479BD">
              <w:rPr>
                <w:szCs w:val="18"/>
              </w:rPr>
              <w:t>NSSC</w:t>
            </w:r>
            <w:proofErr w:type="spellEnd"/>
            <w:r w:rsidRPr="009479BD">
              <w:rPr>
                <w:szCs w:val="18"/>
              </w:rPr>
              <w:t xml:space="preserve"> Table </w:t>
            </w:r>
            <w:proofErr w:type="spellStart"/>
            <w:r w:rsidRPr="009479BD">
              <w:rPr>
                <w:szCs w:val="18"/>
              </w:rPr>
              <w:t>43a</w:t>
            </w:r>
            <w:proofErr w:type="spellEnd"/>
            <w:r w:rsidRPr="009479BD">
              <w:rPr>
                <w:szCs w:val="18"/>
              </w:rPr>
              <w:t>: Full-time equivalent students 1996-201</w:t>
            </w:r>
            <w:r w:rsidR="00954AD3">
              <w:rPr>
                <w:szCs w:val="18"/>
              </w:rPr>
              <w:t>4</w:t>
            </w:r>
            <w:r w:rsidRPr="009479BD">
              <w:rPr>
                <w:szCs w:val="18"/>
              </w:rPr>
              <w:t>’ data cube: Excel spreadsheet, cat. no. 4221.0, &lt;</w:t>
            </w:r>
            <w:r w:rsidR="00790BCB" w:rsidRPr="00111D1B">
              <w:rPr>
                <w:szCs w:val="18"/>
              </w:rPr>
              <w:t>http://www.abs.gov.au/AUSSTATS/abs@.nsf/DetailsPage/4221.02014?OpenDocument</w:t>
            </w:r>
            <w:r w:rsidRPr="009479BD">
              <w:rPr>
                <w:szCs w:val="18"/>
              </w:rPr>
              <w:t>&gt;.</w:t>
            </w:r>
          </w:p>
        </w:tc>
      </w:tr>
      <w:tr w:rsidR="00D37799" w:rsidRPr="00D37799" w:rsidTr="00954AD3">
        <w:trPr>
          <w:jc w:val="center"/>
        </w:trPr>
        <w:tc>
          <w:tcPr>
            <w:tcW w:w="8901" w:type="dxa"/>
            <w:gridSpan w:val="2"/>
            <w:shd w:val="clear" w:color="auto" w:fill="auto"/>
          </w:tcPr>
          <w:p w:rsidR="00DD4808" w:rsidRPr="00D37799" w:rsidRDefault="00DD4808" w:rsidP="00B177B6">
            <w:pPr>
              <w:pStyle w:val="DQIMainRowHeadings"/>
            </w:pPr>
            <w:r w:rsidRPr="00D37799">
              <w:t>Data Quality Framework Dimensions</w:t>
            </w:r>
          </w:p>
        </w:tc>
      </w:tr>
      <w:tr w:rsidR="00D37799" w:rsidRPr="00D37799" w:rsidTr="00954AD3">
        <w:trPr>
          <w:jc w:val="center"/>
        </w:trPr>
        <w:tc>
          <w:tcPr>
            <w:tcW w:w="1653" w:type="dxa"/>
            <w:shd w:val="clear" w:color="auto" w:fill="auto"/>
          </w:tcPr>
          <w:p w:rsidR="00DD4808" w:rsidRPr="00D37799" w:rsidRDefault="00DD4808" w:rsidP="00B177B6">
            <w:pPr>
              <w:pStyle w:val="DQIRowHeadings"/>
            </w:pPr>
            <w:r w:rsidRPr="00D37799">
              <w:t>Institutional environment</w:t>
            </w:r>
          </w:p>
        </w:tc>
        <w:tc>
          <w:tcPr>
            <w:tcW w:w="7248" w:type="dxa"/>
            <w:shd w:val="clear" w:color="auto" w:fill="auto"/>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proofErr w:type="spellStart"/>
            <w:r w:rsidRPr="00D37799">
              <w:t>SCSEEC</w:t>
            </w:r>
            <w:proofErr w:type="spellEnd"/>
            <w:r w:rsidRPr="00D37799">
              <w:t xml:space="preserve"> collects Government schools recurrent and capital expenditure data on behalf of Government schools for reporting purposes.</w:t>
            </w:r>
          </w:p>
          <w:p w:rsidR="00DD4808" w:rsidRPr="00D37799" w:rsidRDefault="00DD4808" w:rsidP="00B177B6">
            <w:pPr>
              <w:pStyle w:val="DQITableText"/>
            </w:pPr>
            <w:r w:rsidRPr="00B177B6">
              <w:rPr>
                <w:u w:val="single"/>
              </w:rPr>
              <w:t>Denominator</w:t>
            </w:r>
            <w:r w:rsidRPr="00D37799">
              <w:t xml:space="preserve">: </w:t>
            </w:r>
          </w:p>
          <w:p w:rsidR="00DD4808" w:rsidRPr="00D37799" w:rsidRDefault="00E4348C" w:rsidP="00B177B6">
            <w:pPr>
              <w:pStyle w:val="DQITableText"/>
            </w:pPr>
            <w:r w:rsidRPr="00D37799">
              <w:t xml:space="preserve">For information on the institutional environment of the ABS, </w:t>
            </w:r>
            <w:r w:rsidRPr="009479BD">
              <w:rPr>
                <w:szCs w:val="18"/>
              </w:rPr>
              <w:t xml:space="preserve">including the legislative obligations of the ABS which cover this collection, please see </w:t>
            </w:r>
            <w:r w:rsidRPr="00111D1B">
              <w:rPr>
                <w:szCs w:val="18"/>
              </w:rPr>
              <w:t>ABS Institutional Environment.</w:t>
            </w:r>
          </w:p>
        </w:tc>
      </w:tr>
      <w:tr w:rsidR="00D37799" w:rsidRPr="00D37799" w:rsidTr="00954AD3">
        <w:trPr>
          <w:jc w:val="center"/>
        </w:trPr>
        <w:tc>
          <w:tcPr>
            <w:tcW w:w="1653" w:type="dxa"/>
          </w:tcPr>
          <w:p w:rsidR="00DD4808" w:rsidRPr="00D37799" w:rsidRDefault="00DD4808" w:rsidP="00B177B6">
            <w:pPr>
              <w:pStyle w:val="DQIRowHeadings"/>
            </w:pPr>
            <w:r w:rsidRPr="00D37799">
              <w:t>Relevance</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relate to major expenditure categories provided both as total expenditure and in terms of cost per student</w:t>
            </w:r>
            <w:r w:rsidR="00E4348C" w:rsidRPr="00D37799">
              <w:t xml:space="preserve"> (FTE)</w:t>
            </w:r>
            <w:r w:rsidRPr="00D37799">
              <w:t>.</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 xml:space="preserve">The data supplied matches the scope and definitions specified through the Notes, Instructions and Tabulations (NIT) document available on request from the ABS. Comparable statistics are provided for each of the states and territories and nationally. </w:t>
            </w:r>
            <w:proofErr w:type="spellStart"/>
            <w:r w:rsidRPr="00D37799">
              <w:t>NSSC</w:t>
            </w:r>
            <w:proofErr w:type="spellEnd"/>
            <w:r w:rsidRPr="00D37799">
              <w:t xml:space="preserve"> student data includes students undertaking </w:t>
            </w:r>
            <w:r w:rsidR="009F2B54">
              <w:rPr>
                <w:rFonts w:eastAsia="Calibri" w:cs="Arial"/>
                <w:color w:val="000000"/>
              </w:rPr>
              <w:t>additional educational</w:t>
            </w:r>
            <w:r w:rsidR="009F2B54">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D37799" w:rsidRPr="00D37799" w:rsidTr="00954AD3">
        <w:trPr>
          <w:jc w:val="center"/>
        </w:trPr>
        <w:tc>
          <w:tcPr>
            <w:tcW w:w="1653" w:type="dxa"/>
          </w:tcPr>
          <w:p w:rsidR="00DD4808" w:rsidRPr="00D37799" w:rsidRDefault="00DD4808" w:rsidP="00B177B6">
            <w:pPr>
              <w:pStyle w:val="DQIRowHeadings"/>
            </w:pPr>
            <w:r w:rsidRPr="00D37799">
              <w:t>Timeliness</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collected annually on a financial year basis which accords with State and Territory financial reporting processes. The most recent available data are used.</w:t>
            </w:r>
          </w:p>
          <w:p w:rsidR="00DD4808" w:rsidRPr="00D37799" w:rsidRDefault="00DD4808" w:rsidP="00B177B6">
            <w:pPr>
              <w:pStyle w:val="DQITableText"/>
            </w:pPr>
            <w:r w:rsidRPr="00B177B6">
              <w:rPr>
                <w:u w:val="single"/>
              </w:rPr>
              <w:t>Denominator</w:t>
            </w:r>
            <w:r w:rsidRPr="00D37799">
              <w:t xml:space="preserve">: </w:t>
            </w:r>
          </w:p>
          <w:p w:rsidR="00DD4808" w:rsidRPr="00D37799" w:rsidRDefault="00E4348C" w:rsidP="00B177B6">
            <w:pPr>
              <w:pStyle w:val="DQITableText"/>
            </w:pPr>
            <w:r w:rsidRPr="00D37799">
              <w:t xml:space="preserve">The </w:t>
            </w:r>
            <w:proofErr w:type="spellStart"/>
            <w:r w:rsidRPr="00D37799">
              <w:t>NSSC</w:t>
            </w:r>
            <w:proofErr w:type="spellEnd"/>
            <w:r w:rsidRPr="00D37799">
              <w:t xml:space="preserve"> is an annual collection as at the first Friday in August of each year and </w:t>
            </w:r>
            <w:r w:rsidRPr="00D37799">
              <w:lastRenderedPageBreak/>
              <w:t xml:space="preserve">provided to the ABS during November of the same year. Student FTE </w:t>
            </w:r>
            <w:r w:rsidR="0061062A">
              <w:t>data are</w:t>
            </w:r>
            <w:r w:rsidRPr="00D37799">
              <w:t xml:space="preserve"> made available between January and March the following year.</w:t>
            </w:r>
          </w:p>
        </w:tc>
      </w:tr>
      <w:tr w:rsidR="00D37799" w:rsidRPr="00D37799" w:rsidTr="00954AD3">
        <w:trPr>
          <w:jc w:val="center"/>
        </w:trPr>
        <w:tc>
          <w:tcPr>
            <w:tcW w:w="1653" w:type="dxa"/>
          </w:tcPr>
          <w:p w:rsidR="00DD4808" w:rsidRPr="00D37799" w:rsidRDefault="00DD4808" w:rsidP="00B177B6">
            <w:pPr>
              <w:pStyle w:val="DQIRowHeadings"/>
            </w:pPr>
            <w:r w:rsidRPr="00D37799">
              <w:lastRenderedPageBreak/>
              <w:t>Accuracy</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derived from jurisdictions’ audited annual accounts.</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954AD3">
            <w:pPr>
              <w:pStyle w:val="DQITableText"/>
            </w:pPr>
            <w:r w:rsidRPr="00D37799">
              <w:rPr>
                <w:rFonts w:cs="Arial"/>
              </w:rPr>
              <w:t xml:space="preserve">The </w:t>
            </w:r>
            <w:proofErr w:type="spellStart"/>
            <w:r w:rsidRPr="00D37799">
              <w:rPr>
                <w:rFonts w:cs="Arial"/>
              </w:rPr>
              <w:t>NSSC</w:t>
            </w:r>
            <w:proofErr w:type="spellEnd"/>
            <w:r w:rsidRPr="00D37799">
              <w:rPr>
                <w:rFonts w:cs="Arial"/>
              </w:rPr>
              <w:t xml:space="preserve"> is an administrative </w:t>
            </w:r>
            <w:proofErr w:type="spellStart"/>
            <w:r w:rsidRPr="00D37799">
              <w:rPr>
                <w:rFonts w:cs="Arial"/>
              </w:rPr>
              <w:t>by-product</w:t>
            </w:r>
            <w:proofErr w:type="spellEnd"/>
            <w:r w:rsidRPr="00D37799">
              <w:rPr>
                <w:rFonts w:cs="Arial"/>
              </w:rPr>
              <w:t xml:space="preserve"> collection from data collected from enrolment forms. 201</w:t>
            </w:r>
            <w:r w:rsidR="00954AD3">
              <w:rPr>
                <w:rFonts w:cs="Arial"/>
              </w:rPr>
              <w:t>3</w:t>
            </w:r>
            <w:r w:rsidR="00996373">
              <w:rPr>
                <w:rFonts w:cs="Arial"/>
              </w:rPr>
              <w:t xml:space="preserve"> and 201</w:t>
            </w:r>
            <w:r w:rsidR="00954AD3">
              <w:rPr>
                <w:rFonts w:cs="Arial"/>
              </w:rPr>
              <w:t>4</w:t>
            </w:r>
            <w:r w:rsidRPr="00D37799">
              <w:rPr>
                <w:rFonts w:cs="Arial"/>
              </w:rPr>
              <w:t xml:space="preserve">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D37799">
              <w:rPr>
                <w:rFonts w:cs="Arial"/>
              </w:rPr>
              <w:t>NSSC</w:t>
            </w:r>
            <w:proofErr w:type="spellEnd"/>
            <w:r w:rsidRPr="00D37799">
              <w:rPr>
                <w:rFonts w:cs="Arial"/>
              </w:rPr>
              <w:t xml:space="preserve"> data to the ABS (or the Australian Government Department of Education</w:t>
            </w:r>
            <w:r w:rsidR="00954AD3">
              <w:rPr>
                <w:rFonts w:cs="Arial"/>
              </w:rPr>
              <w:t xml:space="preserve"> and Training</w:t>
            </w:r>
            <w:r w:rsidRPr="00D37799">
              <w:rPr>
                <w:rFonts w:cs="Arial"/>
              </w:rPr>
              <w:t xml:space="preserve">, for non-government schools who then provides this data to the ABS for the non-government contribution). The extent of over-reporting cannot be quantified, </w:t>
            </w:r>
            <w:r w:rsidR="00375C9D">
              <w:rPr>
                <w:rFonts w:cs="Arial"/>
              </w:rPr>
              <w:t xml:space="preserve">but </w:t>
            </w:r>
            <w:r w:rsidRPr="00D37799">
              <w:rPr>
                <w:rFonts w:cs="Arial"/>
              </w:rPr>
              <w:t>the understanding of the extent that students might be legitimately enrolled in more than one school would suggest that the figure is small. Some revisions may occur year to year where providers resupply data post publication. The FTE values for students reported for this indicator have a high degree of accuracy.</w:t>
            </w:r>
          </w:p>
        </w:tc>
      </w:tr>
      <w:tr w:rsidR="00D37799" w:rsidRPr="00D37799" w:rsidTr="00954AD3">
        <w:trPr>
          <w:jc w:val="center"/>
        </w:trPr>
        <w:tc>
          <w:tcPr>
            <w:tcW w:w="1653" w:type="dxa"/>
          </w:tcPr>
          <w:p w:rsidR="00DD4808" w:rsidRPr="00D37799" w:rsidRDefault="00DD4808" w:rsidP="00B177B6">
            <w:pPr>
              <w:pStyle w:val="DQIRowHeadings"/>
            </w:pPr>
            <w:r w:rsidRPr="00D37799">
              <w:t>Coherence</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specialised in terms of established data standards and instructions.</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Each state and territory government</w:t>
            </w:r>
            <w:r w:rsidR="009F2B54">
              <w:t xml:space="preserve"> and</w:t>
            </w:r>
            <w:r w:rsidRPr="00D37799">
              <w:t xml:space="preserve"> the Australian Curriculum Assessment &amp; Reporting Authority (ACARA) reports on school students</w:t>
            </w:r>
            <w:r w:rsidR="009F2B54">
              <w:t>.</w:t>
            </w:r>
            <w:r w:rsidRPr="00D37799">
              <w:t xml:space="preserve"> ABS </w:t>
            </w:r>
            <w:proofErr w:type="spellStart"/>
            <w:r w:rsidRPr="00D37799">
              <w:t>NSSC</w:t>
            </w:r>
            <w:proofErr w:type="spellEnd"/>
            <w:r w:rsidRPr="00D37799">
              <w:t xml:space="preserve"> </w:t>
            </w:r>
            <w:r w:rsidR="0061062A">
              <w:t>data are</w:t>
            </w:r>
            <w:r w:rsidRPr="00D37799">
              <w:t xml:space="preserve"> sourced for national reporting mechanisms including the National Education Agreement, Report on Government Services and the National Report on Schooling in Australia.</w:t>
            </w:r>
          </w:p>
        </w:tc>
      </w:tr>
      <w:tr w:rsidR="00D37799" w:rsidRPr="00D37799" w:rsidTr="00954AD3">
        <w:trPr>
          <w:jc w:val="center"/>
        </w:trPr>
        <w:tc>
          <w:tcPr>
            <w:tcW w:w="1653" w:type="dxa"/>
          </w:tcPr>
          <w:p w:rsidR="00DD4808" w:rsidRPr="00D37799" w:rsidRDefault="00DD4808" w:rsidP="00B177B6">
            <w:pPr>
              <w:pStyle w:val="DQIRowHeadings"/>
            </w:pPr>
            <w:r w:rsidRPr="00D37799">
              <w:t>Interpretability</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nationally consistent and used for the National Report on Schooling.</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Explanatory Notes and a Glossary accompany the data available on the ABS website, and include caveats and advice as appropriate.</w:t>
            </w:r>
          </w:p>
        </w:tc>
      </w:tr>
      <w:tr w:rsidR="00D37799" w:rsidRPr="00D37799" w:rsidTr="00954AD3">
        <w:trPr>
          <w:jc w:val="center"/>
        </w:trPr>
        <w:tc>
          <w:tcPr>
            <w:tcW w:w="1653" w:type="dxa"/>
          </w:tcPr>
          <w:p w:rsidR="00DD4808" w:rsidRPr="00D37799" w:rsidRDefault="00DD4808" w:rsidP="00B177B6">
            <w:pPr>
              <w:pStyle w:val="DQIRowHeadings"/>
            </w:pPr>
            <w:r w:rsidRPr="00D37799">
              <w:t>Accessibility</w:t>
            </w:r>
          </w:p>
          <w:p w:rsidR="00DD4808" w:rsidRPr="00D37799" w:rsidRDefault="00DD4808" w:rsidP="00B177B6">
            <w:pPr>
              <w:pStyle w:val="DQIRowHeadings"/>
            </w:pPr>
          </w:p>
        </w:tc>
        <w:tc>
          <w:tcPr>
            <w:tcW w:w="7248"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 xml:space="preserve">Data are determined based on a derived nationally consistent basis and underpinning </w:t>
            </w:r>
            <w:r w:rsidR="0061062A">
              <w:t>data are</w:t>
            </w:r>
            <w:r w:rsidRPr="00D37799">
              <w:t xml:space="preserve"> not directly available. </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 xml:space="preserve">Results from the </w:t>
            </w:r>
            <w:proofErr w:type="spellStart"/>
            <w:r w:rsidRPr="00D37799">
              <w:t>NSSC</w:t>
            </w:r>
            <w:proofErr w:type="spellEnd"/>
            <w:r w:rsidRPr="00D37799">
              <w:t xml:space="preserve"> are presented on the ABS website in data cubes (Excel spreadsheets including pivot tables). These tables offer a versatile source of data, enabling clients to tailor data to suit their information requirements.</w:t>
            </w:r>
          </w:p>
        </w:tc>
      </w:tr>
      <w:tr w:rsidR="00D37799" w:rsidRPr="00D37799" w:rsidTr="00954AD3">
        <w:trPr>
          <w:jc w:val="center"/>
        </w:trPr>
        <w:tc>
          <w:tcPr>
            <w:tcW w:w="8901" w:type="dxa"/>
            <w:gridSpan w:val="2"/>
          </w:tcPr>
          <w:p w:rsidR="00DD4808" w:rsidRPr="00D37799" w:rsidRDefault="00DD4808" w:rsidP="00B177B6">
            <w:pPr>
              <w:pStyle w:val="DQIMainRowHeadings"/>
            </w:pPr>
            <w:r w:rsidRPr="00D37799">
              <w:t>Data Gaps/Issues Analysis</w:t>
            </w:r>
          </w:p>
        </w:tc>
      </w:tr>
      <w:tr w:rsidR="00D37799" w:rsidRPr="00D37799" w:rsidTr="00954AD3">
        <w:trPr>
          <w:jc w:val="center"/>
        </w:trPr>
        <w:tc>
          <w:tcPr>
            <w:tcW w:w="1653" w:type="dxa"/>
          </w:tcPr>
          <w:p w:rsidR="00DD4808" w:rsidRPr="00D37799" w:rsidRDefault="00DD4808" w:rsidP="00B177B6">
            <w:pPr>
              <w:pStyle w:val="DQIRowHeadings"/>
            </w:pPr>
            <w:r w:rsidRPr="00D37799">
              <w:t>Key data gaps /issues</w:t>
            </w:r>
          </w:p>
        </w:tc>
        <w:tc>
          <w:tcPr>
            <w:tcW w:w="7248" w:type="dxa"/>
          </w:tcPr>
          <w:p w:rsidR="00DD4808" w:rsidRPr="00D37799" w:rsidRDefault="00DD4808" w:rsidP="00B177B6">
            <w:pPr>
              <w:pStyle w:val="DQITableText"/>
            </w:pPr>
            <w:r w:rsidRPr="00D37799">
              <w:t>The Steering Committee notes the following issues:</w:t>
            </w:r>
          </w:p>
          <w:p w:rsidR="00DD4808" w:rsidRPr="00D37799" w:rsidRDefault="00DD4808" w:rsidP="00B177B6">
            <w:pPr>
              <w:pStyle w:val="DQITableText"/>
            </w:pPr>
            <w:r w:rsidRPr="00D37799">
              <w:t xml:space="preserve">The notional </w:t>
            </w:r>
            <w:proofErr w:type="spellStart"/>
            <w:r w:rsidRPr="00D37799">
              <w:t>UCC</w:t>
            </w:r>
            <w:proofErr w:type="spellEnd"/>
            <w:r w:rsidRPr="00D37799">
              <w:t xml:space="preserve"> makes explicit the opportunity cost of using the funds to provide services rather than investing elsewhere or retiring debt. When comparing the costs of government services, it is important to account for the notional </w:t>
            </w:r>
            <w:proofErr w:type="spellStart"/>
            <w:r w:rsidRPr="00D37799">
              <w:t>UCC</w:t>
            </w:r>
            <w:proofErr w:type="spellEnd"/>
            <w:r w:rsidRPr="00D37799">
              <w:t xml:space="preserve"> because it is:</w:t>
            </w:r>
          </w:p>
          <w:p w:rsidR="00DD4808" w:rsidRPr="00D37799" w:rsidRDefault="00DD4808" w:rsidP="00B177B6">
            <w:pPr>
              <w:pStyle w:val="DQITableBullet"/>
            </w:pPr>
            <w:r w:rsidRPr="00D37799">
              <w:t>often a significant component of the cost of services</w:t>
            </w:r>
          </w:p>
          <w:p w:rsidR="00DD4808" w:rsidRPr="00D37799" w:rsidRDefault="00DD4808" w:rsidP="00B177B6">
            <w:pPr>
              <w:pStyle w:val="DQITableBullet"/>
            </w:pPr>
            <w:r w:rsidRPr="00D37799">
              <w:t xml:space="preserve">often treated inconsistently (that is, included in the costs of services delivered by most non-government service providers, but effectively costed at zero for many government service providers). </w:t>
            </w:r>
          </w:p>
          <w:p w:rsidR="00DD4808" w:rsidRPr="00D37799" w:rsidRDefault="00DD4808" w:rsidP="00B177B6">
            <w:pPr>
              <w:pStyle w:val="DQITableText"/>
            </w:pPr>
            <w:r w:rsidRPr="00D37799">
              <w:t xml:space="preserve">Notional </w:t>
            </w:r>
            <w:proofErr w:type="spellStart"/>
            <w:r w:rsidRPr="00D37799">
              <w:t>UCC</w:t>
            </w:r>
            <w:proofErr w:type="spellEnd"/>
            <w:r w:rsidRPr="00D37799">
              <w:t xml:space="preserve"> reflects the annual </w:t>
            </w:r>
            <w:proofErr w:type="spellStart"/>
            <w:r w:rsidRPr="00D37799">
              <w:t>UCC</w:t>
            </w:r>
            <w:proofErr w:type="spellEnd"/>
            <w:r w:rsidRPr="00D37799">
              <w:t xml:space="preserve"> per FTE student, and is set at 8 per cent of the value of non-current physical assets (for example, land, buildings, plant and equipment) which are re-valued over time.</w:t>
            </w:r>
          </w:p>
          <w:p w:rsidR="00DD4808" w:rsidRPr="00D37799" w:rsidRDefault="00DD4808" w:rsidP="00B177B6">
            <w:pPr>
              <w:pStyle w:val="DQITableText"/>
            </w:pPr>
            <w:r w:rsidRPr="00D37799">
              <w:t xml:space="preserve">Holding other factors constant, a low or decreasing </w:t>
            </w:r>
            <w:proofErr w:type="spellStart"/>
            <w:r w:rsidRPr="00D37799">
              <w:t>UCC</w:t>
            </w:r>
            <w:proofErr w:type="spellEnd"/>
            <w:r w:rsidRPr="00D37799">
              <w:t xml:space="preserve"> per student may represent better or improved efficiency. </w:t>
            </w:r>
          </w:p>
          <w:p w:rsidR="00DD4808" w:rsidRPr="00D37799" w:rsidRDefault="00DD4808" w:rsidP="00B177B6">
            <w:pPr>
              <w:pStyle w:val="DQITableText"/>
              <w:rPr>
                <w:sz w:val="20"/>
              </w:rPr>
            </w:pPr>
            <w:r w:rsidRPr="00D37799">
              <w:t xml:space="preserve">Efficiency data are difficult to interpret and this indicator in particular is only partial in </w:t>
            </w:r>
            <w:r w:rsidRPr="00D37799">
              <w:lastRenderedPageBreak/>
              <w:t xml:space="preserve">nature, as it does not reflect the full cost per student. While high or increasing </w:t>
            </w:r>
            <w:proofErr w:type="spellStart"/>
            <w:r w:rsidRPr="00D37799">
              <w:t>UCC</w:t>
            </w:r>
            <w:proofErr w:type="spellEnd"/>
            <w:r w:rsidRPr="00D37799">
              <w:t xml:space="preserve">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w:t>
            </w:r>
            <w:proofErr w:type="spellStart"/>
            <w:r w:rsidRPr="00D37799">
              <w:t>UCC</w:t>
            </w:r>
            <w:proofErr w:type="spellEnd"/>
            <w:r w:rsidRPr="00D37799">
              <w:t xml:space="preserve"> per student may reflect improving efficiency or lower quality (less effective education) or fewer facilities or reduced capital maintenance. Efficiency data need to be interpreted within the context of the effectiveness and equity indicators to derive an holistic view of performance.</w:t>
            </w:r>
          </w:p>
        </w:tc>
      </w:tr>
    </w:tbl>
    <w:p w:rsidR="00DD4808" w:rsidRPr="00D37799" w:rsidRDefault="00DD4808" w:rsidP="00B177B6">
      <w:pPr>
        <w:pStyle w:val="BodyText"/>
      </w:pPr>
    </w:p>
    <w:p w:rsidR="00DD4808" w:rsidRPr="00D37799" w:rsidRDefault="00DD4808" w:rsidP="00B177B6">
      <w:pPr>
        <w:pStyle w:val="BodyText"/>
      </w:pPr>
    </w:p>
    <w:p w:rsidR="00E30947" w:rsidRPr="00D37799" w:rsidRDefault="00E30947" w:rsidP="00B177B6">
      <w:pPr>
        <w:pStyle w:val="BodyText"/>
      </w:pPr>
    </w:p>
    <w:p w:rsidR="00E30947" w:rsidRPr="00D37799" w:rsidRDefault="00E30947" w:rsidP="00B177B6">
      <w:pPr>
        <w:pStyle w:val="BodyText"/>
      </w:pPr>
    </w:p>
    <w:p w:rsidR="00D37799" w:rsidRPr="00D37799" w:rsidRDefault="00D37799" w:rsidP="00B177B6">
      <w:pPr>
        <w:pStyle w:val="Heading3"/>
      </w:pPr>
      <w:bookmarkStart w:id="40" w:name="_Toc401837435"/>
      <w:bookmarkStart w:id="41" w:name="_Toc439840526"/>
      <w:r w:rsidRPr="00D37799">
        <w:lastRenderedPageBreak/>
        <w:t>Student-to-staff ratio</w:t>
      </w:r>
      <w:bookmarkEnd w:id="40"/>
      <w:bookmarkEnd w:id="41"/>
    </w:p>
    <w:p w:rsidR="00476C1C" w:rsidRPr="00D37799" w:rsidRDefault="00476C1C" w:rsidP="00B177B6">
      <w:pPr>
        <w:pStyle w:val="Box"/>
      </w:pPr>
      <w:r w:rsidRPr="00D37799">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800"/>
        <w:gridCol w:w="7064"/>
      </w:tblGrid>
      <w:tr w:rsidR="00476C1C" w:rsidRPr="00D37799" w:rsidTr="00972BB7">
        <w:trPr>
          <w:jc w:val="center"/>
        </w:trPr>
        <w:tc>
          <w:tcPr>
            <w:tcW w:w="8864" w:type="dxa"/>
            <w:gridSpan w:val="2"/>
          </w:tcPr>
          <w:p w:rsidR="00476C1C" w:rsidRPr="00D37799" w:rsidRDefault="00476C1C" w:rsidP="00B177B6">
            <w:pPr>
              <w:pStyle w:val="DQIMainRowHeadings"/>
              <w:rPr>
                <w:rFonts w:cs="Arial"/>
              </w:rPr>
            </w:pPr>
            <w:r w:rsidRPr="00D37799">
              <w:t>Indicator definition and description</w:t>
            </w:r>
          </w:p>
        </w:tc>
      </w:tr>
      <w:tr w:rsidR="00476C1C" w:rsidRPr="00D37799" w:rsidTr="00972BB7">
        <w:trPr>
          <w:jc w:val="center"/>
        </w:trPr>
        <w:tc>
          <w:tcPr>
            <w:tcW w:w="1800" w:type="dxa"/>
          </w:tcPr>
          <w:p w:rsidR="00476C1C" w:rsidRPr="00D37799" w:rsidRDefault="00476C1C" w:rsidP="00B177B6">
            <w:pPr>
              <w:pStyle w:val="DQIRowHeadings"/>
            </w:pPr>
            <w:r w:rsidRPr="00D37799">
              <w:t>Element</w:t>
            </w:r>
          </w:p>
        </w:tc>
        <w:tc>
          <w:tcPr>
            <w:tcW w:w="7064" w:type="dxa"/>
          </w:tcPr>
          <w:p w:rsidR="00476C1C" w:rsidRPr="00D37799" w:rsidRDefault="00476C1C" w:rsidP="00B177B6">
            <w:pPr>
              <w:pStyle w:val="DQITableText"/>
            </w:pPr>
            <w:r w:rsidRPr="00D37799">
              <w:t>Efficiency</w:t>
            </w:r>
          </w:p>
        </w:tc>
      </w:tr>
      <w:tr w:rsidR="00476C1C" w:rsidRPr="00D37799" w:rsidTr="00972BB7">
        <w:trPr>
          <w:jc w:val="center"/>
        </w:trPr>
        <w:tc>
          <w:tcPr>
            <w:tcW w:w="1800" w:type="dxa"/>
          </w:tcPr>
          <w:p w:rsidR="00476C1C" w:rsidRPr="00D37799" w:rsidRDefault="00476C1C" w:rsidP="00B177B6">
            <w:pPr>
              <w:pStyle w:val="DQIRowHeadings"/>
            </w:pPr>
            <w:r w:rsidRPr="00D37799">
              <w:t>Indicator</w:t>
            </w:r>
          </w:p>
        </w:tc>
        <w:tc>
          <w:tcPr>
            <w:tcW w:w="7064" w:type="dxa"/>
          </w:tcPr>
          <w:p w:rsidR="00476C1C" w:rsidRPr="00D37799" w:rsidRDefault="00476C1C" w:rsidP="00B177B6">
            <w:pPr>
              <w:pStyle w:val="DQITableText"/>
            </w:pPr>
            <w:r w:rsidRPr="00D37799">
              <w:t>Student-to-staff ratio</w:t>
            </w:r>
          </w:p>
        </w:tc>
      </w:tr>
      <w:tr w:rsidR="00476C1C" w:rsidRPr="00D37799" w:rsidTr="00972BB7">
        <w:trPr>
          <w:jc w:val="center"/>
        </w:trPr>
        <w:tc>
          <w:tcPr>
            <w:tcW w:w="1800" w:type="dxa"/>
          </w:tcPr>
          <w:p w:rsidR="00476C1C" w:rsidRPr="00D37799" w:rsidRDefault="00476C1C" w:rsidP="00B177B6">
            <w:pPr>
              <w:pStyle w:val="DQIRowHeadings"/>
            </w:pPr>
            <w:r w:rsidRPr="00D37799">
              <w:t>Measure (computation)</w:t>
            </w:r>
          </w:p>
        </w:tc>
        <w:tc>
          <w:tcPr>
            <w:tcW w:w="7064" w:type="dxa"/>
          </w:tcPr>
          <w:p w:rsidR="00476C1C" w:rsidRPr="00D37799" w:rsidRDefault="00476C1C" w:rsidP="00B177B6">
            <w:pPr>
              <w:pStyle w:val="DQITableText"/>
              <w:rPr>
                <w:u w:val="single"/>
              </w:rPr>
            </w:pPr>
            <w:r w:rsidRPr="00D37799">
              <w:rPr>
                <w:u w:val="single"/>
              </w:rPr>
              <w:t>Definition</w:t>
            </w:r>
          </w:p>
          <w:p w:rsidR="00476C1C" w:rsidRPr="00D37799" w:rsidRDefault="00476C1C" w:rsidP="00B177B6">
            <w:pPr>
              <w:pStyle w:val="DQITableText"/>
            </w:pPr>
            <w:r w:rsidRPr="00D37799">
              <w:t>The FTE (full-time equivalent) of students per FTE of staff. Data are reported for primary, secondary and all schools, and for teaching and non-teaching staff.</w:t>
            </w:r>
          </w:p>
          <w:p w:rsidR="00476C1C" w:rsidRPr="00D37799" w:rsidRDefault="00476C1C" w:rsidP="00B177B6">
            <w:pPr>
              <w:pStyle w:val="DQITableText"/>
              <w:rPr>
                <w:u w:val="single"/>
              </w:rPr>
            </w:pPr>
            <w:r w:rsidRPr="00D37799">
              <w:rPr>
                <w:u w:val="single"/>
              </w:rPr>
              <w:t>Numerator/s</w:t>
            </w:r>
          </w:p>
          <w:p w:rsidR="00476C1C" w:rsidRPr="00D37799" w:rsidRDefault="00476C1C" w:rsidP="00B177B6">
            <w:pPr>
              <w:pStyle w:val="DQITableText"/>
            </w:pPr>
            <w:r w:rsidRPr="00D37799">
              <w:t xml:space="preserve">The FTE of students </w:t>
            </w:r>
          </w:p>
          <w:p w:rsidR="00476C1C" w:rsidRPr="00D37799" w:rsidRDefault="00476C1C" w:rsidP="00B177B6">
            <w:pPr>
              <w:pStyle w:val="DQITableText"/>
              <w:rPr>
                <w:u w:val="single"/>
              </w:rPr>
            </w:pPr>
            <w:r w:rsidRPr="00D37799">
              <w:rPr>
                <w:u w:val="single"/>
              </w:rPr>
              <w:t>Denominator/s</w:t>
            </w:r>
          </w:p>
          <w:p w:rsidR="00476C1C" w:rsidRPr="00D37799" w:rsidRDefault="00476C1C" w:rsidP="00B177B6">
            <w:pPr>
              <w:pStyle w:val="DQITableText"/>
            </w:pPr>
            <w:r w:rsidRPr="00D37799">
              <w:t xml:space="preserve">The FTE of staff. </w:t>
            </w:r>
          </w:p>
          <w:p w:rsidR="00476C1C" w:rsidRPr="00D37799" w:rsidRDefault="00476C1C" w:rsidP="00B177B6">
            <w:pPr>
              <w:pStyle w:val="DQITableText"/>
              <w:rPr>
                <w:u w:val="single"/>
              </w:rPr>
            </w:pPr>
            <w:r w:rsidRPr="00D37799">
              <w:rPr>
                <w:u w:val="single"/>
              </w:rPr>
              <w:t>Computation/s:</w:t>
            </w:r>
          </w:p>
          <w:p w:rsidR="00476C1C" w:rsidRPr="00D37799" w:rsidRDefault="00476C1C" w:rsidP="00B177B6">
            <w:pPr>
              <w:pStyle w:val="DQITableText"/>
              <w:rPr>
                <w:rFonts w:cs="Arial"/>
              </w:rPr>
            </w:pPr>
            <w:r w:rsidRPr="00D32780">
              <w:rPr>
                <w:rFonts w:cs="Arial"/>
              </w:rPr>
              <w:t xml:space="preserve">The numerator (above) divided by the denominator (above) </w:t>
            </w:r>
            <w:r w:rsidRPr="00D32780">
              <w:t>Data are</w:t>
            </w:r>
            <w:r w:rsidRPr="00D37799">
              <w:t xml:space="preserve"> reported for primary, secondary and all schools, and for teaching and non-teaching staff, by jurisdiction</w:t>
            </w:r>
          </w:p>
        </w:tc>
      </w:tr>
      <w:tr w:rsidR="00476C1C" w:rsidRPr="00D37799" w:rsidTr="00972BB7">
        <w:trPr>
          <w:jc w:val="center"/>
        </w:trPr>
        <w:tc>
          <w:tcPr>
            <w:tcW w:w="1800" w:type="dxa"/>
          </w:tcPr>
          <w:p w:rsidR="00476C1C" w:rsidRPr="00D37799" w:rsidRDefault="00476C1C" w:rsidP="00B177B6">
            <w:pPr>
              <w:pStyle w:val="DQIRowHeadings"/>
            </w:pPr>
            <w:r w:rsidRPr="00D37799">
              <w:t>Data source/s</w:t>
            </w:r>
          </w:p>
        </w:tc>
        <w:tc>
          <w:tcPr>
            <w:tcW w:w="7064" w:type="dxa"/>
          </w:tcPr>
          <w:p w:rsidR="00476C1C" w:rsidRPr="00D37799" w:rsidRDefault="00476C1C" w:rsidP="00B177B6">
            <w:pPr>
              <w:pStyle w:val="DQITableText"/>
              <w:rPr>
                <w:u w:val="single"/>
              </w:rPr>
            </w:pPr>
            <w:r w:rsidRPr="00D37799">
              <w:rPr>
                <w:u w:val="single"/>
              </w:rPr>
              <w:t xml:space="preserve">Numerator and Denominator </w:t>
            </w:r>
          </w:p>
          <w:p w:rsidR="00476C1C" w:rsidRPr="00D37799" w:rsidRDefault="00476C1C" w:rsidP="00B177B6">
            <w:pPr>
              <w:pStyle w:val="DQITableText"/>
            </w:pPr>
            <w:r w:rsidRPr="00D37799">
              <w:t>Numerator: National Schools Statistics Collection (</w:t>
            </w:r>
            <w:proofErr w:type="spellStart"/>
            <w:r w:rsidRPr="00D37799">
              <w:t>NSSC</w:t>
            </w:r>
            <w:proofErr w:type="spellEnd"/>
            <w:r w:rsidRPr="00D37799">
              <w:t xml:space="preserve">) data; and unpublished data from </w:t>
            </w:r>
            <w:r w:rsidRPr="00D37799">
              <w:rPr>
                <w:i/>
              </w:rPr>
              <w:t>Schools, Australia</w:t>
            </w:r>
            <w:r w:rsidR="00954AD3">
              <w:t xml:space="preserve"> </w:t>
            </w:r>
            <w:r>
              <w:t>(</w:t>
            </w:r>
            <w:r w:rsidRPr="00D37799">
              <w:t xml:space="preserve"> cat. no. 4221.0</w:t>
            </w:r>
            <w:r>
              <w:t>)</w:t>
            </w:r>
            <w:r w:rsidRPr="00D37799">
              <w:t>.</w:t>
            </w:r>
          </w:p>
          <w:p w:rsidR="00476C1C" w:rsidRPr="00D37799" w:rsidRDefault="00476C1C" w:rsidP="00B177B6">
            <w:pPr>
              <w:pStyle w:val="DQITableText"/>
            </w:pPr>
            <w:r w:rsidRPr="00D37799">
              <w:t xml:space="preserve">The student to staff ratios for teaching staff are available directly from published data. The ratios for non-teaching staff and all staff are derived from a range of published </w:t>
            </w:r>
            <w:proofErr w:type="spellStart"/>
            <w:r w:rsidRPr="00D37799">
              <w:t>NSSC</w:t>
            </w:r>
            <w:proofErr w:type="spellEnd"/>
            <w:r w:rsidRPr="00D37799">
              <w:t xml:space="preserve"> data.</w:t>
            </w:r>
          </w:p>
          <w:p w:rsidR="00476C1C" w:rsidRPr="00D37799" w:rsidRDefault="00476C1C" w:rsidP="00B177B6">
            <w:pPr>
              <w:pStyle w:val="DQITableText"/>
            </w:pPr>
            <w:r w:rsidRPr="00D37799">
              <w:t>All data are available annually.</w:t>
            </w:r>
          </w:p>
        </w:tc>
      </w:tr>
      <w:tr w:rsidR="00476C1C" w:rsidRPr="00D37799" w:rsidTr="00972BB7">
        <w:trPr>
          <w:jc w:val="center"/>
        </w:trPr>
        <w:tc>
          <w:tcPr>
            <w:tcW w:w="8864" w:type="dxa"/>
            <w:gridSpan w:val="2"/>
          </w:tcPr>
          <w:p w:rsidR="00476C1C" w:rsidRPr="00D37799" w:rsidRDefault="00476C1C" w:rsidP="00B177B6">
            <w:pPr>
              <w:pStyle w:val="DQIMainRowHeadings"/>
              <w:rPr>
                <w:rFonts w:cs="Arial"/>
              </w:rPr>
            </w:pPr>
            <w:r w:rsidRPr="00D37799">
              <w:t>Data Quality Framework Dimensions</w:t>
            </w:r>
          </w:p>
        </w:tc>
      </w:tr>
      <w:tr w:rsidR="00476C1C" w:rsidRPr="00D37799" w:rsidTr="00972BB7">
        <w:trPr>
          <w:jc w:val="center"/>
        </w:trPr>
        <w:tc>
          <w:tcPr>
            <w:tcW w:w="1800" w:type="dxa"/>
          </w:tcPr>
          <w:p w:rsidR="00476C1C" w:rsidRPr="00D37799" w:rsidRDefault="00476C1C" w:rsidP="00B177B6">
            <w:pPr>
              <w:pStyle w:val="DQIRowHeadings"/>
            </w:pPr>
            <w:r w:rsidRPr="00D37799">
              <w:t>Institutional environment</w:t>
            </w:r>
          </w:p>
        </w:tc>
        <w:tc>
          <w:tcPr>
            <w:tcW w:w="7064" w:type="dxa"/>
          </w:tcPr>
          <w:p w:rsidR="00476C1C" w:rsidRPr="00D37799" w:rsidRDefault="00476C1C" w:rsidP="00B177B6">
            <w:pPr>
              <w:pStyle w:val="DQITableText"/>
            </w:pPr>
            <w:r w:rsidRPr="00D37799">
              <w:t>Data on government and non-government schools are collected from administrative school enrolment databases and collated by the ABS through the National Schools Statistics Collection (</w:t>
            </w:r>
            <w:proofErr w:type="spellStart"/>
            <w:r w:rsidRPr="00D37799">
              <w:t>NSSC</w:t>
            </w:r>
            <w:proofErr w:type="spellEnd"/>
            <w:r w:rsidRPr="00D37799">
              <w:t xml:space="preserve">) (non-finance) and are based on the annual School census. This collection was established through the work of the former </w:t>
            </w:r>
            <w:r>
              <w:t xml:space="preserve">Australian Education Council, later the Ministerial Council on Education, Employment and Youth Affairs, </w:t>
            </w:r>
            <w:r w:rsidRPr="00D37799">
              <w:rPr>
                <w:rFonts w:cs="Arial"/>
              </w:rPr>
              <w:t xml:space="preserve">now the </w:t>
            </w:r>
            <w:r>
              <w:rPr>
                <w:rFonts w:cs="Arial"/>
              </w:rPr>
              <w:t>Education</w:t>
            </w:r>
            <w:r w:rsidRPr="00D37799">
              <w:rPr>
                <w:rFonts w:cs="Arial"/>
              </w:rPr>
              <w:t xml:space="preserve"> Council.</w:t>
            </w:r>
            <w:r w:rsidRPr="00D37799">
              <w:t xml:space="preserve"> </w:t>
            </w:r>
          </w:p>
          <w:p w:rsidR="00476C1C" w:rsidRPr="00D37799" w:rsidRDefault="00476C1C" w:rsidP="00B177B6">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r w:rsidRPr="00D37799">
              <w:t xml:space="preserve"> </w:t>
            </w:r>
          </w:p>
        </w:tc>
      </w:tr>
      <w:tr w:rsidR="00476C1C" w:rsidRPr="00D37799" w:rsidTr="00972BB7">
        <w:trPr>
          <w:jc w:val="center"/>
        </w:trPr>
        <w:tc>
          <w:tcPr>
            <w:tcW w:w="1800" w:type="dxa"/>
          </w:tcPr>
          <w:p w:rsidR="00476C1C" w:rsidRPr="00D37799" w:rsidRDefault="00476C1C" w:rsidP="00B177B6">
            <w:pPr>
              <w:pStyle w:val="DQIRowHeadings"/>
            </w:pPr>
            <w:r w:rsidRPr="00D37799">
              <w:t>Relevance</w:t>
            </w:r>
          </w:p>
        </w:tc>
        <w:tc>
          <w:tcPr>
            <w:tcW w:w="7064" w:type="dxa"/>
          </w:tcPr>
          <w:p w:rsidR="00476C1C" w:rsidRPr="00D37799" w:rsidRDefault="00476C1C" w:rsidP="00B177B6">
            <w:pPr>
              <w:pStyle w:val="DQITableText"/>
            </w:pPr>
            <w:r w:rsidRPr="00D37799">
              <w:t xml:space="preserve">School student data are available by state/territory and for full-time students and full plus part-time students. Rates are based on FTE school students and FTE staff. </w:t>
            </w:r>
          </w:p>
          <w:p w:rsidR="00476C1C" w:rsidRPr="00D37799" w:rsidRDefault="00476C1C" w:rsidP="00B177B6">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Data covers all students enrolled in school, some of whom may be taking </w:t>
            </w:r>
            <w:r>
              <w:rPr>
                <w:rFonts w:eastAsia="Calibri" w:cs="Arial"/>
                <w:color w:val="000000"/>
              </w:rPr>
              <w:t>additional educational</w:t>
            </w:r>
            <w:r>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 </w:t>
            </w:r>
          </w:p>
        </w:tc>
      </w:tr>
      <w:tr w:rsidR="00476C1C" w:rsidRPr="00D37799" w:rsidTr="00972BB7">
        <w:trPr>
          <w:jc w:val="center"/>
        </w:trPr>
        <w:tc>
          <w:tcPr>
            <w:tcW w:w="1800" w:type="dxa"/>
          </w:tcPr>
          <w:p w:rsidR="00476C1C" w:rsidRPr="00D37799" w:rsidRDefault="00476C1C" w:rsidP="00B177B6">
            <w:pPr>
              <w:pStyle w:val="DQIRowHeadings"/>
            </w:pPr>
            <w:r w:rsidRPr="00D37799">
              <w:t>Timeliness</w:t>
            </w:r>
          </w:p>
        </w:tc>
        <w:tc>
          <w:tcPr>
            <w:tcW w:w="7064" w:type="dxa"/>
          </w:tcPr>
          <w:p w:rsidR="00476C1C" w:rsidRPr="00D37799" w:rsidRDefault="00476C1C" w:rsidP="00C7799F">
            <w:pPr>
              <w:pStyle w:val="DQITableText"/>
            </w:pPr>
            <w:r w:rsidRPr="00D37799">
              <w:t xml:space="preserve">The </w:t>
            </w:r>
            <w:proofErr w:type="spellStart"/>
            <w:r w:rsidRPr="00D37799">
              <w:t>NSSC</w:t>
            </w:r>
            <w:proofErr w:type="spellEnd"/>
            <w:r w:rsidRPr="00D37799">
              <w:t xml:space="preserve"> is based on the school census that is conducted annually on the first Friday in August each year by state and territory departments of education. The results from the 201</w:t>
            </w:r>
            <w:r w:rsidR="00C7799F">
              <w:t>4</w:t>
            </w:r>
            <w:r w:rsidRPr="00D37799">
              <w:t xml:space="preserve"> </w:t>
            </w:r>
            <w:proofErr w:type="spellStart"/>
            <w:r w:rsidRPr="00D37799">
              <w:t>NSSC</w:t>
            </w:r>
            <w:proofErr w:type="spellEnd"/>
            <w:r w:rsidRPr="00D37799">
              <w:t xml:space="preserve"> were released in March 201</w:t>
            </w:r>
            <w:r w:rsidR="00C7799F">
              <w:t>5</w:t>
            </w:r>
            <w:r w:rsidRPr="00D37799">
              <w:t>.</w:t>
            </w:r>
          </w:p>
        </w:tc>
      </w:tr>
      <w:tr w:rsidR="00476C1C" w:rsidRPr="00D37799" w:rsidTr="00972BB7">
        <w:trPr>
          <w:jc w:val="center"/>
        </w:trPr>
        <w:tc>
          <w:tcPr>
            <w:tcW w:w="1800" w:type="dxa"/>
          </w:tcPr>
          <w:p w:rsidR="00476C1C" w:rsidRPr="00D37799" w:rsidRDefault="00476C1C" w:rsidP="00B177B6">
            <w:pPr>
              <w:pStyle w:val="DQIRowHeadings"/>
            </w:pPr>
            <w:r w:rsidRPr="00D37799">
              <w:t>Accuracy</w:t>
            </w:r>
          </w:p>
        </w:tc>
        <w:tc>
          <w:tcPr>
            <w:tcW w:w="7064" w:type="dxa"/>
          </w:tcPr>
          <w:p w:rsidR="00476C1C" w:rsidRPr="00D37799" w:rsidRDefault="00476C1C" w:rsidP="00B177B6">
            <w:pPr>
              <w:pStyle w:val="DQITableText"/>
            </w:pPr>
            <w:r w:rsidRPr="00D37799">
              <w:t xml:space="preserve">Each school provides information on their enrolments to the relevant state education department, which then forwards aggregate data to the ABS. The collection of data on students in non-government schools is coordinated through the </w:t>
            </w:r>
            <w:r>
              <w:t>Australian Government</w:t>
            </w:r>
            <w:r w:rsidRPr="00D37799">
              <w:t xml:space="preserve"> Department of Education</w:t>
            </w:r>
            <w:r w:rsidR="00C7799F">
              <w:t xml:space="preserve"> and Training</w:t>
            </w:r>
            <w:r w:rsidRPr="00D37799">
              <w:t xml:space="preserve">. </w:t>
            </w:r>
          </w:p>
          <w:p w:rsidR="00476C1C" w:rsidRPr="00D37799" w:rsidRDefault="00476C1C" w:rsidP="00B177B6">
            <w:pPr>
              <w:pStyle w:val="DQITableText"/>
            </w:pPr>
            <w:r w:rsidRPr="00D37799">
              <w:lastRenderedPageBreak/>
              <w:t xml:space="preserve">The </w:t>
            </w:r>
            <w:proofErr w:type="spellStart"/>
            <w:r w:rsidRPr="00D37799">
              <w:t>NSSC</w:t>
            </w:r>
            <w:proofErr w:type="spellEnd"/>
            <w:r w:rsidRPr="00D37799">
              <w:t xml:space="preserve"> is based on information on each student enrolled at the time of the school census.</w:t>
            </w:r>
          </w:p>
        </w:tc>
      </w:tr>
      <w:tr w:rsidR="00476C1C" w:rsidRPr="00D37799" w:rsidTr="00972BB7">
        <w:trPr>
          <w:jc w:val="center"/>
        </w:trPr>
        <w:tc>
          <w:tcPr>
            <w:tcW w:w="1800" w:type="dxa"/>
          </w:tcPr>
          <w:p w:rsidR="00476C1C" w:rsidRPr="00D37799" w:rsidRDefault="00476C1C" w:rsidP="00B177B6">
            <w:pPr>
              <w:pStyle w:val="DQIRowHeadings"/>
            </w:pPr>
            <w:r w:rsidRPr="00D37799">
              <w:lastRenderedPageBreak/>
              <w:t>Coherence</w:t>
            </w:r>
          </w:p>
        </w:tc>
        <w:tc>
          <w:tcPr>
            <w:tcW w:w="7064" w:type="dxa"/>
          </w:tcPr>
          <w:p w:rsidR="00476C1C" w:rsidRPr="00D37799" w:rsidRDefault="00476C1C" w:rsidP="00B177B6">
            <w:pPr>
              <w:pStyle w:val="DQITableText"/>
            </w:pPr>
            <w:r w:rsidRPr="00D37799">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476C1C" w:rsidRPr="00D37799" w:rsidRDefault="00476C1C" w:rsidP="00B177B6">
            <w:pPr>
              <w:pStyle w:val="DQITableText"/>
            </w:pPr>
            <w:r w:rsidRPr="00D37799">
              <w:t>Cross boarder enrolments may affect consistency between the populations at the numerator and denominator.</w:t>
            </w:r>
          </w:p>
          <w:p w:rsidR="00476C1C" w:rsidRPr="00D37799" w:rsidRDefault="00476C1C" w:rsidP="00B177B6">
            <w:pPr>
              <w:pStyle w:val="DQITableText"/>
            </w:pPr>
            <w:r w:rsidRPr="00D37799">
              <w:t>Each state and territory government reports on school students. The Australian Curriculum Assessment &amp; Reporting Authority (ACARA) also reports on school students and the five-yearly ABS Census of Population and Housing includes information on children attending school.</w:t>
            </w:r>
          </w:p>
        </w:tc>
      </w:tr>
      <w:tr w:rsidR="00476C1C" w:rsidRPr="00D37799" w:rsidTr="00972BB7">
        <w:trPr>
          <w:jc w:val="center"/>
        </w:trPr>
        <w:tc>
          <w:tcPr>
            <w:tcW w:w="1800" w:type="dxa"/>
          </w:tcPr>
          <w:p w:rsidR="00476C1C" w:rsidRPr="00D37799" w:rsidRDefault="00476C1C" w:rsidP="00B177B6">
            <w:pPr>
              <w:pStyle w:val="DQIRowHeadings"/>
            </w:pPr>
            <w:r w:rsidRPr="00D37799">
              <w:t>Accessibility</w:t>
            </w:r>
          </w:p>
        </w:tc>
        <w:tc>
          <w:tcPr>
            <w:tcW w:w="7064" w:type="dxa"/>
          </w:tcPr>
          <w:p w:rsidR="00476C1C" w:rsidRPr="00D37799" w:rsidRDefault="00476C1C" w:rsidP="00B177B6">
            <w:pPr>
              <w:pStyle w:val="DQITableText"/>
            </w:pPr>
            <w:r w:rsidRPr="00D37799">
              <w:rPr>
                <w:rFonts w:cs="Arial"/>
                <w:i/>
                <w:u w:val="single"/>
              </w:rPr>
              <w:t>Schools, Australia</w:t>
            </w:r>
            <w:r w:rsidRPr="00D37799">
              <w:t xml:space="preserve"> (cat. no. 4221.0) includes explanatory notes and a glossary available on the ABS website. </w:t>
            </w:r>
          </w:p>
        </w:tc>
      </w:tr>
      <w:tr w:rsidR="00476C1C" w:rsidRPr="00D37799" w:rsidTr="00972BB7">
        <w:trPr>
          <w:jc w:val="center"/>
        </w:trPr>
        <w:tc>
          <w:tcPr>
            <w:tcW w:w="1800" w:type="dxa"/>
          </w:tcPr>
          <w:p w:rsidR="00476C1C" w:rsidRPr="00D37799" w:rsidRDefault="00476C1C" w:rsidP="00B177B6">
            <w:pPr>
              <w:pStyle w:val="DQIRowHeadings"/>
            </w:pPr>
            <w:r w:rsidRPr="00D37799">
              <w:t>Interpretability</w:t>
            </w:r>
          </w:p>
        </w:tc>
        <w:tc>
          <w:tcPr>
            <w:tcW w:w="7064" w:type="dxa"/>
          </w:tcPr>
          <w:p w:rsidR="00476C1C" w:rsidRPr="00D37799" w:rsidRDefault="00476C1C" w:rsidP="00B177B6">
            <w:pPr>
              <w:pStyle w:val="DQITableText"/>
            </w:pPr>
            <w:r w:rsidRPr="00D37799">
              <w:t xml:space="preserve">Published information is included in </w:t>
            </w:r>
            <w:r w:rsidRPr="00D37799">
              <w:rPr>
                <w:rFonts w:cs="Arial"/>
                <w:i/>
                <w:u w:val="single"/>
              </w:rPr>
              <w:t>Schools, Australia</w:t>
            </w:r>
            <w:r w:rsidRPr="00D37799">
              <w:t xml:space="preserve"> (cat. no. 4221.0) on the ABS website. A range of time series data cubes, with a focus on state/territory level information, is also available on the ABS website.</w:t>
            </w:r>
          </w:p>
        </w:tc>
      </w:tr>
      <w:tr w:rsidR="00476C1C" w:rsidRPr="00D37799" w:rsidTr="00972BB7">
        <w:trPr>
          <w:jc w:val="center"/>
        </w:trPr>
        <w:tc>
          <w:tcPr>
            <w:tcW w:w="8864" w:type="dxa"/>
            <w:gridSpan w:val="2"/>
          </w:tcPr>
          <w:p w:rsidR="00476C1C" w:rsidRPr="00D37799" w:rsidRDefault="00476C1C" w:rsidP="00B177B6">
            <w:pPr>
              <w:pStyle w:val="DQIMainRowHeadings"/>
            </w:pPr>
            <w:r w:rsidRPr="00D37799">
              <w:t>Data Gaps/Issues Analysis</w:t>
            </w:r>
          </w:p>
        </w:tc>
      </w:tr>
      <w:tr w:rsidR="00476C1C" w:rsidRPr="00D37799" w:rsidTr="00972BB7">
        <w:trPr>
          <w:jc w:val="center"/>
        </w:trPr>
        <w:tc>
          <w:tcPr>
            <w:tcW w:w="1800" w:type="dxa"/>
          </w:tcPr>
          <w:p w:rsidR="00476C1C" w:rsidRPr="00D37799" w:rsidRDefault="00476C1C" w:rsidP="00B177B6">
            <w:pPr>
              <w:pStyle w:val="DQIRowHeadings"/>
            </w:pPr>
            <w:r w:rsidRPr="00D37799">
              <w:t>Key data gaps/issues</w:t>
            </w:r>
          </w:p>
        </w:tc>
        <w:tc>
          <w:tcPr>
            <w:tcW w:w="7064" w:type="dxa"/>
          </w:tcPr>
          <w:p w:rsidR="00476C1C" w:rsidRPr="00D37799" w:rsidRDefault="00476C1C" w:rsidP="00B177B6">
            <w:pPr>
              <w:pStyle w:val="DQITableText"/>
            </w:pPr>
            <w:r w:rsidRPr="00D37799">
              <w:t xml:space="preserve">The Steering Committee notes the following issues: </w:t>
            </w:r>
          </w:p>
          <w:p w:rsidR="00476C1C" w:rsidRPr="00D37799" w:rsidRDefault="00476C1C" w:rsidP="00B177B6">
            <w:pPr>
              <w:pStyle w:val="DQITableBullet"/>
            </w:pPr>
            <w:r w:rsidRPr="00D37799">
              <w:t xml:space="preserve">efficiency data should be interpreted within the context of the effectiveness and equity indicators to derive an holistic view of performance. While a low or decreasing student-to-teacher ratio may reflect decreasing efficiency, it may also reflect a higher quality education system, if a lower ratio leads to better student outcomes </w:t>
            </w:r>
          </w:p>
          <w:p w:rsidR="00476C1C" w:rsidRPr="00D37799" w:rsidRDefault="00476C1C" w:rsidP="00B177B6">
            <w:pPr>
              <w:pStyle w:val="DQITableBullet"/>
            </w:pPr>
            <w:r w:rsidRPr="00D37799">
              <w:t>the student-to-staff ratio is aggregated across all subjects and Year levels, and does not distinguish between subjects and/or Year levels where different ratios may be appropriate</w:t>
            </w:r>
          </w:p>
          <w:p w:rsidR="00476C1C" w:rsidRPr="00D37799" w:rsidRDefault="00476C1C" w:rsidP="00B177B6">
            <w:pPr>
              <w:pStyle w:val="DQITableBullet"/>
              <w:rPr>
                <w:sz w:val="20"/>
              </w:rPr>
            </w:pPr>
            <w:r w:rsidRPr="00D37799">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non-teaching staff, computers, books and laboratory equipment).</w:t>
            </w:r>
          </w:p>
        </w:tc>
      </w:tr>
    </w:tbl>
    <w:p w:rsidR="00476C1C" w:rsidRPr="00D37799" w:rsidRDefault="00476C1C" w:rsidP="00B177B6">
      <w:pPr>
        <w:pStyle w:val="BodyText"/>
      </w:pPr>
    </w:p>
    <w:p w:rsidR="00D37799" w:rsidRPr="00D37799" w:rsidRDefault="00D37799" w:rsidP="00B177B6">
      <w:pPr>
        <w:pStyle w:val="BodyText"/>
      </w:pPr>
    </w:p>
    <w:p w:rsidR="00D37799" w:rsidRDefault="00D37799" w:rsidP="00B177B6">
      <w:pPr>
        <w:pStyle w:val="BodyText"/>
      </w:pPr>
      <w:r>
        <w:br w:type="page"/>
      </w:r>
    </w:p>
    <w:p w:rsidR="009B5886" w:rsidRDefault="000820FE" w:rsidP="00B177B6">
      <w:pPr>
        <w:pStyle w:val="Heading3"/>
      </w:pPr>
      <w:bookmarkStart w:id="42" w:name="_Toc401837436"/>
      <w:bookmarkStart w:id="43" w:name="_Toc439840527"/>
      <w:r w:rsidRPr="00D37799">
        <w:lastRenderedPageBreak/>
        <w:t xml:space="preserve">Learning outcomes – </w:t>
      </w:r>
      <w:r w:rsidR="009B5886" w:rsidRPr="00D37799">
        <w:t>Reading performance, writing performance, numeracy performance</w:t>
      </w:r>
      <w:bookmarkEnd w:id="34"/>
      <w:r w:rsidRPr="00D37799">
        <w:t xml:space="preserve"> (</w:t>
      </w:r>
      <w:proofErr w:type="spellStart"/>
      <w:r w:rsidRPr="00B177B6">
        <w:t>NAPLAN</w:t>
      </w:r>
      <w:proofErr w:type="spellEnd"/>
      <w:r w:rsidRPr="00D37799">
        <w:t>)</w:t>
      </w:r>
      <w:bookmarkEnd w:id="42"/>
      <w:bookmarkEnd w:id="43"/>
    </w:p>
    <w:p w:rsidR="00C7799F" w:rsidRPr="00D37799" w:rsidRDefault="00C7799F" w:rsidP="00C7799F">
      <w:pPr>
        <w:pStyle w:val="Box"/>
      </w:pPr>
      <w:r w:rsidRPr="00D37799">
        <w:t>Data quality information for this indicator has been drafted by the Secretariat in consultation with A</w:t>
      </w:r>
      <w:r>
        <w:t>CARA</w:t>
      </w:r>
      <w:r w:rsidRPr="00D37799">
        <w:t>, with additional Steering Committee comments.</w:t>
      </w:r>
    </w:p>
    <w:tbl>
      <w:tblPr>
        <w:tblW w:w="9006" w:type="dxa"/>
        <w:jc w:val="center"/>
        <w:tblLook w:val="01E0" w:firstRow="1" w:lastRow="1" w:firstColumn="1" w:lastColumn="1" w:noHBand="0" w:noVBand="0"/>
      </w:tblPr>
      <w:tblGrid>
        <w:gridCol w:w="1744"/>
        <w:gridCol w:w="7262"/>
      </w:tblGrid>
      <w:tr w:rsidR="00476C1C" w:rsidRPr="00D37799" w:rsidTr="00972BB7">
        <w:trPr>
          <w:jc w:val="center"/>
        </w:trPr>
        <w:tc>
          <w:tcPr>
            <w:tcW w:w="9006" w:type="dxa"/>
            <w:gridSpan w:val="2"/>
          </w:tcPr>
          <w:p w:rsidR="00476C1C" w:rsidRPr="00D37799" w:rsidRDefault="00476C1C" w:rsidP="00B177B6">
            <w:pPr>
              <w:pStyle w:val="DQIMainRowHeadings"/>
            </w:pPr>
            <w:r w:rsidRPr="00D37799">
              <w:br w:type="page"/>
              <w:t>Indicator definition and description</w:t>
            </w:r>
          </w:p>
        </w:tc>
      </w:tr>
      <w:tr w:rsidR="00476C1C" w:rsidRPr="00D37799" w:rsidTr="00972BB7">
        <w:trPr>
          <w:jc w:val="center"/>
        </w:trPr>
        <w:tc>
          <w:tcPr>
            <w:tcW w:w="1744" w:type="dxa"/>
          </w:tcPr>
          <w:p w:rsidR="00476C1C" w:rsidRPr="00D37799" w:rsidRDefault="00476C1C" w:rsidP="00D87704">
            <w:pPr>
              <w:pStyle w:val="DQIRowHeadings"/>
            </w:pPr>
            <w:r w:rsidRPr="00D37799">
              <w:t>Element</w:t>
            </w:r>
          </w:p>
        </w:tc>
        <w:tc>
          <w:tcPr>
            <w:tcW w:w="7262" w:type="dxa"/>
          </w:tcPr>
          <w:p w:rsidR="00476C1C" w:rsidRPr="00D37799" w:rsidRDefault="00476C1C" w:rsidP="00D87704">
            <w:pPr>
              <w:pStyle w:val="DQITableText"/>
            </w:pPr>
            <w:r w:rsidRPr="00D37799">
              <w:t>Outcome</w:t>
            </w:r>
          </w:p>
        </w:tc>
      </w:tr>
      <w:tr w:rsidR="00476C1C" w:rsidRPr="00D37799" w:rsidTr="00972BB7">
        <w:trPr>
          <w:jc w:val="center"/>
        </w:trPr>
        <w:tc>
          <w:tcPr>
            <w:tcW w:w="1744" w:type="dxa"/>
          </w:tcPr>
          <w:p w:rsidR="00476C1C" w:rsidRPr="00D37799" w:rsidRDefault="00476C1C" w:rsidP="00D87704">
            <w:pPr>
              <w:pStyle w:val="DQIRowHeadings"/>
            </w:pPr>
            <w:r w:rsidRPr="00D37799">
              <w:t>Indicator</w:t>
            </w:r>
          </w:p>
        </w:tc>
        <w:tc>
          <w:tcPr>
            <w:tcW w:w="7262" w:type="dxa"/>
          </w:tcPr>
          <w:p w:rsidR="00476C1C" w:rsidRPr="00D37799" w:rsidRDefault="00476C1C" w:rsidP="00D87704">
            <w:pPr>
              <w:pStyle w:val="DQITableText"/>
            </w:pPr>
            <w:r w:rsidRPr="00D37799">
              <w:t>‘Learning outcomes’ (reading performance, writing performance, numeracy performance)</w:t>
            </w:r>
          </w:p>
        </w:tc>
      </w:tr>
      <w:tr w:rsidR="00476C1C" w:rsidRPr="00D37799" w:rsidTr="00972BB7">
        <w:trPr>
          <w:jc w:val="center"/>
        </w:trPr>
        <w:tc>
          <w:tcPr>
            <w:tcW w:w="1744" w:type="dxa"/>
          </w:tcPr>
          <w:p w:rsidR="00476C1C" w:rsidRPr="00D37799" w:rsidRDefault="00476C1C" w:rsidP="00D87704">
            <w:pPr>
              <w:pStyle w:val="DQIRowHeadings"/>
            </w:pPr>
            <w:r w:rsidRPr="00D37799">
              <w:t>Measure (computation)</w:t>
            </w:r>
          </w:p>
        </w:tc>
        <w:tc>
          <w:tcPr>
            <w:tcW w:w="7262" w:type="dxa"/>
          </w:tcPr>
          <w:p w:rsidR="00476C1C" w:rsidRPr="00D87704" w:rsidRDefault="00476C1C" w:rsidP="00D87704">
            <w:pPr>
              <w:pStyle w:val="DQITableText"/>
              <w:rPr>
                <w:u w:val="single"/>
              </w:rPr>
            </w:pPr>
            <w:r w:rsidRPr="00D87704">
              <w:rPr>
                <w:u w:val="single"/>
              </w:rPr>
              <w:t>Definition</w:t>
            </w:r>
          </w:p>
          <w:p w:rsidR="00476C1C" w:rsidRPr="00D87704" w:rsidRDefault="00476C1C" w:rsidP="00D87704">
            <w:pPr>
              <w:pStyle w:val="DQITableText"/>
              <w:rPr>
                <w:u w:val="single"/>
              </w:rPr>
            </w:pPr>
            <w:r w:rsidRPr="00D87704">
              <w:rPr>
                <w:u w:val="single"/>
              </w:rPr>
              <w:t>Measures</w:t>
            </w:r>
          </w:p>
          <w:p w:rsidR="00476C1C" w:rsidRPr="00D37799" w:rsidRDefault="00476C1C" w:rsidP="00D87704">
            <w:pPr>
              <w:pStyle w:val="DQITableBullet"/>
            </w:pPr>
            <w:r w:rsidRPr="00D37799">
              <w:t>Proportion of students who achieved at or above the national minimum standard (for reading, writing and numeracy, in years 3, 5, 7 and 9)</w:t>
            </w:r>
          </w:p>
          <w:p w:rsidR="00476C1C" w:rsidRPr="00D37799" w:rsidRDefault="00476C1C" w:rsidP="00D87704">
            <w:pPr>
              <w:pStyle w:val="DQITableBullet"/>
            </w:pPr>
            <w:proofErr w:type="spellStart"/>
            <w:r w:rsidRPr="00D37799">
              <w:t>NAPLAN</w:t>
            </w:r>
            <w:proofErr w:type="spellEnd"/>
            <w:r w:rsidRPr="00D37799">
              <w:t xml:space="preserve"> mean scale scores for students (for reading, writing and numeracy in years 3, 5, 7 and 9)</w:t>
            </w:r>
          </w:p>
          <w:p w:rsidR="00476C1C" w:rsidRPr="00D87704" w:rsidRDefault="00476C1C" w:rsidP="00D87704">
            <w:pPr>
              <w:pStyle w:val="DQITableText"/>
              <w:rPr>
                <w:u w:val="single"/>
              </w:rPr>
            </w:pPr>
            <w:r w:rsidRPr="00D87704">
              <w:rPr>
                <w:u w:val="single"/>
              </w:rPr>
              <w:t xml:space="preserve">Computation </w:t>
            </w:r>
          </w:p>
          <w:p w:rsidR="00476C1C" w:rsidRPr="00FF0B0B" w:rsidRDefault="00476C1C" w:rsidP="00D87704">
            <w:pPr>
              <w:pStyle w:val="DQITableText"/>
            </w:pPr>
            <w:r>
              <w:t>The m</w:t>
            </w:r>
            <w:r w:rsidRPr="00FF0B0B">
              <w:t xml:space="preserve">ean scale score is calculated as the average of the </w:t>
            </w:r>
            <w:proofErr w:type="spellStart"/>
            <w:r w:rsidRPr="00FF0B0B">
              <w:t>NAPLAN</w:t>
            </w:r>
            <w:proofErr w:type="spellEnd"/>
            <w:r w:rsidRPr="00FF0B0B">
              <w:t xml:space="preserve"> scale score</w:t>
            </w:r>
            <w:r>
              <w:t>s</w:t>
            </w:r>
            <w:r w:rsidRPr="00FF0B0B">
              <w:t xml:space="preserve"> </w:t>
            </w:r>
            <w:r>
              <w:t>across all non-exempt</w:t>
            </w:r>
            <w:r w:rsidRPr="00FF0B0B">
              <w:t xml:space="preserve"> student</w:t>
            </w:r>
            <w:r>
              <w:t>s</w:t>
            </w:r>
            <w:r w:rsidRPr="00FF0B0B">
              <w:t>.</w:t>
            </w:r>
          </w:p>
          <w:p w:rsidR="00476C1C" w:rsidRPr="00FF0B0B" w:rsidRDefault="00476C1C" w:rsidP="00D87704">
            <w:pPr>
              <w:pStyle w:val="DQITableText"/>
            </w:pPr>
            <w:r w:rsidRPr="00FF0B0B">
              <w:t xml:space="preserve">The proportion of students at or above the minimum standard is also calculated using </w:t>
            </w:r>
            <w:proofErr w:type="spellStart"/>
            <w:r w:rsidRPr="00FF0B0B">
              <w:t>NAPLAN</w:t>
            </w:r>
            <w:proofErr w:type="spellEnd"/>
            <w:r w:rsidRPr="00FF0B0B">
              <w:t xml:space="preserve"> scale scores. </w:t>
            </w:r>
          </w:p>
          <w:p w:rsidR="00476C1C" w:rsidRPr="00D37799" w:rsidRDefault="00476C1C" w:rsidP="00D87704">
            <w:pPr>
              <w:pStyle w:val="DQITableText"/>
            </w:pPr>
            <w:r>
              <w:t>Confidence intervals:</w:t>
            </w:r>
          </w:p>
          <w:p w:rsidR="00476C1C" w:rsidRPr="00D37799" w:rsidRDefault="00476C1C" w:rsidP="00D87704">
            <w:pPr>
              <w:pStyle w:val="DQITableBullet"/>
            </w:pPr>
            <w:r w:rsidRPr="00D37799">
              <w:rPr>
                <w:u w:val="single"/>
              </w:rPr>
              <w:t xml:space="preserve">Reading </w:t>
            </w:r>
            <w:proofErr w:type="spellStart"/>
            <w:r w:rsidRPr="00D37799">
              <w:rPr>
                <w:u w:val="single"/>
              </w:rPr>
              <w:t>CIs</w:t>
            </w:r>
            <w:proofErr w:type="spellEnd"/>
            <w:r w:rsidRPr="00D37799">
              <w:t xml:space="preserve">: </w:t>
            </w:r>
            <w:r>
              <w:t>C</w:t>
            </w:r>
            <w:r w:rsidRPr="00D37799">
              <w:t>onfidence interval data for the “proportion of students who achieved at or above the national minimum standard” and “mean scale scores” in reading for Years 3, 5, 7 and 9</w:t>
            </w:r>
          </w:p>
          <w:p w:rsidR="00476C1C" w:rsidRPr="00D37799" w:rsidRDefault="00476C1C" w:rsidP="00D87704">
            <w:pPr>
              <w:pStyle w:val="DQITableBullet"/>
            </w:pPr>
            <w:r>
              <w:rPr>
                <w:u w:val="single"/>
              </w:rPr>
              <w:t xml:space="preserve">Persuasive </w:t>
            </w:r>
            <w:r w:rsidRPr="00D37799">
              <w:rPr>
                <w:u w:val="single"/>
              </w:rPr>
              <w:t xml:space="preserve">Writing </w:t>
            </w:r>
            <w:proofErr w:type="spellStart"/>
            <w:r w:rsidRPr="00D37799">
              <w:rPr>
                <w:u w:val="single"/>
              </w:rPr>
              <w:t>CIs</w:t>
            </w:r>
            <w:proofErr w:type="spellEnd"/>
            <w:r w:rsidRPr="00D37799">
              <w:t xml:space="preserve">: </w:t>
            </w:r>
            <w:r>
              <w:t>C</w:t>
            </w:r>
            <w:r w:rsidRPr="00D37799">
              <w:t xml:space="preserve">onfidence interval data for the “proportion of students who achieved at or above the national minimum standard” and “mean scale scores” in </w:t>
            </w:r>
            <w:r>
              <w:t xml:space="preserve">persuasive </w:t>
            </w:r>
            <w:r w:rsidRPr="00D37799">
              <w:t>writing for Years 3, 5, 7 and 9</w:t>
            </w:r>
          </w:p>
          <w:p w:rsidR="00476C1C" w:rsidRPr="00D37799" w:rsidRDefault="00476C1C" w:rsidP="00D87704">
            <w:pPr>
              <w:pStyle w:val="DQITableBullet"/>
            </w:pPr>
            <w:r w:rsidRPr="00D37799">
              <w:rPr>
                <w:u w:val="single"/>
              </w:rPr>
              <w:t xml:space="preserve">Numeracy </w:t>
            </w:r>
            <w:proofErr w:type="spellStart"/>
            <w:r w:rsidRPr="00D37799">
              <w:rPr>
                <w:u w:val="single"/>
              </w:rPr>
              <w:t>CIs</w:t>
            </w:r>
            <w:proofErr w:type="spellEnd"/>
            <w:r w:rsidRPr="00D37799">
              <w:rPr>
                <w:u w:val="single"/>
              </w:rPr>
              <w:t>:</w:t>
            </w:r>
            <w:r w:rsidRPr="00D37799">
              <w:t xml:space="preserve"> </w:t>
            </w:r>
            <w:r>
              <w:t>C</w:t>
            </w:r>
            <w:r w:rsidRPr="00D37799">
              <w:t>onfidence interval data for the “proportion of students who achieved at or above the national minimum standard” and “mean scale scores” in numeracy for Years 3, 5, 7 and 9</w:t>
            </w:r>
          </w:p>
        </w:tc>
      </w:tr>
      <w:tr w:rsidR="00476C1C" w:rsidRPr="00D37799" w:rsidTr="00972BB7">
        <w:trPr>
          <w:jc w:val="center"/>
        </w:trPr>
        <w:tc>
          <w:tcPr>
            <w:tcW w:w="1744" w:type="dxa"/>
          </w:tcPr>
          <w:p w:rsidR="00476C1C" w:rsidRPr="00D37799" w:rsidRDefault="00476C1C" w:rsidP="00D87704">
            <w:pPr>
              <w:pStyle w:val="DQIRowHeadings"/>
            </w:pPr>
            <w:r w:rsidRPr="00D37799">
              <w:t>Data source/s</w:t>
            </w:r>
          </w:p>
        </w:tc>
        <w:tc>
          <w:tcPr>
            <w:tcW w:w="7262" w:type="dxa"/>
          </w:tcPr>
          <w:p w:rsidR="00476C1C" w:rsidRPr="00D37799" w:rsidRDefault="00476C1C" w:rsidP="00E51EB3">
            <w:pPr>
              <w:pStyle w:val="DQITableText"/>
            </w:pPr>
            <w:r w:rsidRPr="00F54B20">
              <w:t xml:space="preserve">Student-level data includes </w:t>
            </w:r>
            <w:proofErr w:type="spellStart"/>
            <w:r w:rsidRPr="00F54B20">
              <w:t>NAPLAN</w:t>
            </w:r>
            <w:proofErr w:type="spellEnd"/>
            <w:r w:rsidRPr="00F54B20">
              <w:t xml:space="preserve"> test responses, some of which are scored by contractors, and student background variables which are provided by the schools. This </w:t>
            </w:r>
            <w:r w:rsidR="0061062A">
              <w:t>data are</w:t>
            </w:r>
            <w:r w:rsidRPr="00F54B20">
              <w:t xml:space="preserve"> collected at school–level and checked by Test Administration Authorities (</w:t>
            </w:r>
            <w:proofErr w:type="spellStart"/>
            <w:r w:rsidRPr="00F54B20">
              <w:t>TAAs</w:t>
            </w:r>
            <w:proofErr w:type="spellEnd"/>
            <w:r w:rsidRPr="00F54B20">
              <w:t xml:space="preserve">). Student-level </w:t>
            </w:r>
            <w:r w:rsidR="0061062A">
              <w:t>data are</w:t>
            </w:r>
            <w:r w:rsidRPr="00F54B20">
              <w:t xml:space="preserve"> provided to </w:t>
            </w:r>
            <w:proofErr w:type="spellStart"/>
            <w:r w:rsidRPr="00F54B20">
              <w:t>ACARA</w:t>
            </w:r>
            <w:proofErr w:type="spellEnd"/>
            <w:r w:rsidRPr="00F54B20">
              <w:t xml:space="preserve"> by </w:t>
            </w:r>
            <w:proofErr w:type="spellStart"/>
            <w:r w:rsidRPr="00F54B20">
              <w:t>TAAs</w:t>
            </w:r>
            <w:proofErr w:type="spellEnd"/>
            <w:r w:rsidRPr="00F54B20">
              <w:t xml:space="preserve">. A contractor uses this data to generate </w:t>
            </w:r>
            <w:proofErr w:type="spellStart"/>
            <w:r w:rsidRPr="00F54B20">
              <w:t>NAPLAN</w:t>
            </w:r>
            <w:proofErr w:type="spellEnd"/>
            <w:r w:rsidRPr="00F54B20">
              <w:t xml:space="preserve"> scale scores for all non-exempt students. That contractor performs the analyses for the National Report. </w:t>
            </w:r>
            <w:r w:rsidRPr="00D37799">
              <w:t>.</w:t>
            </w:r>
          </w:p>
        </w:tc>
      </w:tr>
      <w:tr w:rsidR="00476C1C" w:rsidRPr="00D37799" w:rsidTr="00972BB7">
        <w:trPr>
          <w:jc w:val="center"/>
        </w:trPr>
        <w:tc>
          <w:tcPr>
            <w:tcW w:w="9006"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44" w:type="dxa"/>
          </w:tcPr>
          <w:p w:rsidR="00476C1C" w:rsidRPr="00D37799" w:rsidRDefault="00476C1C" w:rsidP="00E51EB3">
            <w:pPr>
              <w:pStyle w:val="DQIRowHeadings"/>
            </w:pPr>
            <w:r w:rsidRPr="00D37799">
              <w:t>Institutional environment</w:t>
            </w:r>
          </w:p>
        </w:tc>
        <w:tc>
          <w:tcPr>
            <w:tcW w:w="7262" w:type="dxa"/>
          </w:tcPr>
          <w:p w:rsidR="00476C1C" w:rsidRPr="00D37799" w:rsidRDefault="00476C1C" w:rsidP="00E51EB3">
            <w:pPr>
              <w:pStyle w:val="DQITableText"/>
            </w:pPr>
            <w:r w:rsidRPr="00D37799">
              <w:t>Data Collector(s): Individual schools send this data under a set of protocols to the Test Administration Authorities for the states and territories</w:t>
            </w:r>
          </w:p>
          <w:p w:rsidR="00476C1C" w:rsidRPr="00D37799" w:rsidRDefault="00476C1C" w:rsidP="00E51EB3">
            <w:pPr>
              <w:pStyle w:val="DQITableText"/>
            </w:pPr>
            <w:r w:rsidRPr="00D37799">
              <w:t>Collection authority: ACARA Act</w:t>
            </w:r>
            <w:r>
              <w:t xml:space="preserve"> 2008</w:t>
            </w:r>
          </w:p>
          <w:p w:rsidR="00476C1C" w:rsidRPr="00D37799" w:rsidRDefault="00476C1C" w:rsidP="00E51EB3">
            <w:pPr>
              <w:pStyle w:val="DQITableText"/>
              <w:rPr>
                <w:sz w:val="24"/>
                <w:szCs w:val="24"/>
              </w:rPr>
            </w:pPr>
            <w:r w:rsidRPr="00D37799">
              <w:t xml:space="preserve">Data Compiler(s): </w:t>
            </w:r>
            <w:proofErr w:type="spellStart"/>
            <w:r>
              <w:t>ACARA's</w:t>
            </w:r>
            <w:proofErr w:type="spellEnd"/>
            <w:r>
              <w:t xml:space="preserve"> contractor</w:t>
            </w:r>
          </w:p>
        </w:tc>
      </w:tr>
      <w:tr w:rsidR="00476C1C" w:rsidRPr="00D37799" w:rsidTr="00972BB7">
        <w:trPr>
          <w:jc w:val="center"/>
        </w:trPr>
        <w:tc>
          <w:tcPr>
            <w:tcW w:w="1744"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7262" w:type="dxa"/>
          </w:tcPr>
          <w:p w:rsidR="00476C1C" w:rsidRPr="009479BD" w:rsidRDefault="00476C1C" w:rsidP="00E51EB3">
            <w:pPr>
              <w:pStyle w:val="DQITableText"/>
              <w:rPr>
                <w:szCs w:val="18"/>
              </w:rPr>
            </w:pPr>
            <w:r w:rsidRPr="009479BD">
              <w:rPr>
                <w:i/>
                <w:szCs w:val="18"/>
              </w:rPr>
              <w:t xml:space="preserve">Level of geography: </w:t>
            </w:r>
            <w:r w:rsidRPr="009479BD">
              <w:rPr>
                <w:szCs w:val="18"/>
              </w:rPr>
              <w:t>Data are available at National and State/Territory levels, by general population, language background other than English, male and female, indigenous and non-indigenous, geographic location, indigenous and non-indigenous by geographic location, and parental education and parental occupation.</w:t>
            </w:r>
          </w:p>
          <w:p w:rsidR="00476C1C" w:rsidRPr="009479BD" w:rsidRDefault="00476C1C" w:rsidP="00E51EB3">
            <w:pPr>
              <w:pStyle w:val="DQITableText"/>
              <w:rPr>
                <w:szCs w:val="18"/>
              </w:rPr>
            </w:pPr>
            <w:r w:rsidRPr="009479BD">
              <w:rPr>
                <w:i/>
                <w:szCs w:val="18"/>
              </w:rPr>
              <w:t xml:space="preserve">Data completeness: </w:t>
            </w:r>
            <w:r w:rsidRPr="009479BD">
              <w:rPr>
                <w:szCs w:val="18"/>
              </w:rPr>
              <w:t xml:space="preserve">Yes. </w:t>
            </w:r>
          </w:p>
          <w:p w:rsidR="00476C1C" w:rsidRPr="009479BD" w:rsidRDefault="00476C1C" w:rsidP="00E51EB3">
            <w:pPr>
              <w:pStyle w:val="DQITableText"/>
              <w:rPr>
                <w:szCs w:val="18"/>
              </w:rPr>
            </w:pPr>
            <w:r w:rsidRPr="009479BD">
              <w:rPr>
                <w:i/>
                <w:szCs w:val="18"/>
              </w:rPr>
              <w:t xml:space="preserve">Numerator/Denominator source: </w:t>
            </w:r>
            <w:r w:rsidRPr="009479BD">
              <w:rPr>
                <w:szCs w:val="18"/>
              </w:rPr>
              <w:t xml:space="preserve">The numerator and denominator are compiled from a single source, with the exception of the national report aggregated data provided by </w:t>
            </w:r>
            <w:proofErr w:type="spellStart"/>
            <w:r w:rsidRPr="009479BD">
              <w:rPr>
                <w:szCs w:val="18"/>
              </w:rPr>
              <w:t>ACARA's</w:t>
            </w:r>
            <w:proofErr w:type="spellEnd"/>
            <w:r w:rsidRPr="009479BD">
              <w:rPr>
                <w:szCs w:val="18"/>
              </w:rPr>
              <w:t xml:space="preserve"> contractor.</w:t>
            </w:r>
          </w:p>
          <w:p w:rsidR="00476C1C" w:rsidRPr="009479BD" w:rsidRDefault="00476C1C" w:rsidP="00E51EB3">
            <w:pPr>
              <w:pStyle w:val="DQITableText"/>
              <w:rPr>
                <w:rFonts w:cs="Arial"/>
                <w:szCs w:val="18"/>
              </w:rPr>
            </w:pPr>
            <w:r w:rsidRPr="009479BD">
              <w:rPr>
                <w:i/>
                <w:szCs w:val="18"/>
              </w:rPr>
              <w:t>For</w:t>
            </w:r>
            <w:r w:rsidRPr="009479BD">
              <w:rPr>
                <w:szCs w:val="18"/>
              </w:rPr>
              <w:t xml:space="preserve"> </w:t>
            </w:r>
            <w:r w:rsidRPr="009479BD">
              <w:rPr>
                <w:i/>
                <w:szCs w:val="18"/>
              </w:rPr>
              <w:t>Education indicators, are all types of schools, universities, technical colleges/</w:t>
            </w:r>
            <w:proofErr w:type="spellStart"/>
            <w:r w:rsidRPr="009479BD">
              <w:rPr>
                <w:i/>
                <w:szCs w:val="18"/>
              </w:rPr>
              <w:t>TAFEs</w:t>
            </w:r>
            <w:proofErr w:type="spellEnd"/>
            <w:r w:rsidRPr="009479BD">
              <w:rPr>
                <w:i/>
                <w:szCs w:val="18"/>
              </w:rPr>
              <w:t xml:space="preserve"> and correspondence schools included? </w:t>
            </w:r>
            <w:r w:rsidRPr="009479BD">
              <w:rPr>
                <w:szCs w:val="18"/>
              </w:rPr>
              <w:t xml:space="preserve">Schools included are those whose students sit </w:t>
            </w:r>
            <w:proofErr w:type="spellStart"/>
            <w:r w:rsidRPr="009479BD">
              <w:rPr>
                <w:szCs w:val="18"/>
              </w:rPr>
              <w:t>NAPLAN</w:t>
            </w:r>
            <w:proofErr w:type="spellEnd"/>
            <w:r w:rsidRPr="009479BD">
              <w:rPr>
                <w:szCs w:val="18"/>
              </w:rPr>
              <w:t xml:space="preserve"> tests.</w:t>
            </w:r>
          </w:p>
          <w:p w:rsidR="00476C1C" w:rsidRPr="00D37799" w:rsidRDefault="00476C1C" w:rsidP="00E51EB3">
            <w:pPr>
              <w:pStyle w:val="DQITableText"/>
              <w:rPr>
                <w:sz w:val="24"/>
                <w:szCs w:val="24"/>
              </w:rPr>
            </w:pPr>
            <w:r w:rsidRPr="00996373">
              <w:rPr>
                <w:rFonts w:cs="Arial"/>
                <w:i/>
              </w:rPr>
              <w:lastRenderedPageBreak/>
              <w:t>Have standard classifications been used?</w:t>
            </w:r>
            <w:r w:rsidRPr="00996373">
              <w:rPr>
                <w:rFonts w:cs="Arial"/>
              </w:rPr>
              <w:t xml:space="preserve"> Yes.</w:t>
            </w:r>
          </w:p>
        </w:tc>
      </w:tr>
      <w:tr w:rsidR="00476C1C" w:rsidRPr="00D37799" w:rsidTr="00972BB7">
        <w:trPr>
          <w:jc w:val="center"/>
        </w:trPr>
        <w:tc>
          <w:tcPr>
            <w:tcW w:w="1744"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Collection interval/s: The </w:t>
            </w:r>
            <w:proofErr w:type="spellStart"/>
            <w:r w:rsidRPr="00D37799">
              <w:t>NAPLAN</w:t>
            </w:r>
            <w:proofErr w:type="spellEnd"/>
            <w:r w:rsidRPr="00D37799">
              <w:t xml:space="preserve"> tests are conducted annually.</w:t>
            </w:r>
          </w:p>
          <w:p w:rsidR="00476C1C" w:rsidRPr="004D60AF" w:rsidRDefault="00476C1C" w:rsidP="00954AD3">
            <w:pPr>
              <w:pStyle w:val="DQITableText"/>
            </w:pPr>
            <w:r w:rsidRPr="00D37799">
              <w:t>Data available: The National Report: Achievement in Reading, Writing, Language Conventions and Numeracy 201</w:t>
            </w:r>
            <w:r w:rsidR="00C7799F">
              <w:t>5</w:t>
            </w:r>
            <w:r w:rsidRPr="00D37799">
              <w:t xml:space="preserve"> was </w:t>
            </w:r>
            <w:r>
              <w:t>publish</w:t>
            </w:r>
            <w:r w:rsidRPr="00D37799">
              <w:t xml:space="preserve">ed by ACARA </w:t>
            </w:r>
            <w:r w:rsidRPr="002020A0">
              <w:rPr>
                <w:shd w:val="clear" w:color="auto" w:fill="FFFFFF" w:themeFill="background1"/>
              </w:rPr>
              <w:t xml:space="preserve">on </w:t>
            </w:r>
            <w:r w:rsidR="00954AD3" w:rsidRPr="002020A0">
              <w:rPr>
                <w:shd w:val="clear" w:color="auto" w:fill="FFFFFF" w:themeFill="background1"/>
              </w:rPr>
              <w:t>3</w:t>
            </w:r>
            <w:r w:rsidRPr="002020A0">
              <w:rPr>
                <w:shd w:val="clear" w:color="auto" w:fill="FFFFFF" w:themeFill="background1"/>
              </w:rPr>
              <w:t xml:space="preserve"> December 201</w:t>
            </w:r>
            <w:r w:rsidR="00C7799F" w:rsidRPr="002020A0">
              <w:rPr>
                <w:shd w:val="clear" w:color="auto" w:fill="FFFFFF" w:themeFill="background1"/>
              </w:rPr>
              <w:t>5</w:t>
            </w:r>
            <w:r w:rsidRPr="002020A0">
              <w:rPr>
                <w:shd w:val="clear" w:color="auto" w:fill="FFFFFF" w:themeFill="background1"/>
              </w:rPr>
              <w:t>.</w:t>
            </w:r>
          </w:p>
        </w:tc>
      </w:tr>
      <w:tr w:rsidR="00476C1C" w:rsidRPr="00D37799" w:rsidTr="00BF1B1D">
        <w:trPr>
          <w:jc w:val="center"/>
        </w:trPr>
        <w:tc>
          <w:tcPr>
            <w:tcW w:w="1744"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Method of Collection: </w:t>
            </w:r>
            <w:r>
              <w:t>Test Administration Authorities provide the data to ACARA. ACARA then provides the data to the National Report Contractor to generate the scale scores.</w:t>
            </w:r>
          </w:p>
          <w:p w:rsidR="00476C1C" w:rsidRPr="00D37799" w:rsidRDefault="00476C1C" w:rsidP="00E51EB3">
            <w:pPr>
              <w:pStyle w:val="DQITableText"/>
            </w:pPr>
            <w:r w:rsidRPr="00D37799">
              <w:t xml:space="preserve">Data Adjustments: Raw </w:t>
            </w:r>
            <w:proofErr w:type="spellStart"/>
            <w:r w:rsidRPr="00D37799">
              <w:t>NAPLAN</w:t>
            </w:r>
            <w:proofErr w:type="spellEnd"/>
            <w:r w:rsidRPr="00D37799">
              <w:t xml:space="preserve"> scores are converted to scaled scores</w:t>
            </w:r>
          </w:p>
          <w:p w:rsidR="00476C1C" w:rsidRPr="00D37799" w:rsidRDefault="00476C1C" w:rsidP="00E51EB3">
            <w:pPr>
              <w:pStyle w:val="DQITableText"/>
            </w:pPr>
            <w:r w:rsidRPr="00D37799">
              <w:t xml:space="preserve">Sample/Collection size: The collection size is a census of </w:t>
            </w:r>
            <w:proofErr w:type="spellStart"/>
            <w:r w:rsidRPr="00D37799">
              <w:t>NAPLAN</w:t>
            </w:r>
            <w:proofErr w:type="spellEnd"/>
            <w:r w:rsidRPr="00D37799">
              <w:t xml:space="preserve"> participating years (3,5,7,9)</w:t>
            </w:r>
          </w:p>
          <w:p w:rsidR="00476C1C" w:rsidRPr="00D37799" w:rsidRDefault="00476C1C" w:rsidP="00E51EB3">
            <w:pPr>
              <w:pStyle w:val="DQITableText"/>
            </w:pPr>
            <w:r w:rsidRPr="00D37799">
              <w:t>Known Issues: Confidence intervals should be considered when ranking jurisdictions. The confidence intervals used to compare jurisdictions within a calendar year are not the same confidence intervals used to compare across calendar years</w:t>
            </w:r>
          </w:p>
          <w:p w:rsidR="00476C1C" w:rsidRPr="00D37799" w:rsidRDefault="00476C1C" w:rsidP="00E51EB3">
            <w:pPr>
              <w:pStyle w:val="DQITableText"/>
            </w:pPr>
            <w:r w:rsidRPr="00D37799">
              <w:t>Year to year change: Caution should be exercised when using the data to measure small changes from year to year; 95 per cent confidence intervals have been provided to the Steering Committee</w:t>
            </w:r>
          </w:p>
          <w:p w:rsidR="00476C1C" w:rsidRPr="00D37799" w:rsidRDefault="00476C1C" w:rsidP="00E51EB3">
            <w:pPr>
              <w:pStyle w:val="DQITableText"/>
            </w:pPr>
            <w:r w:rsidRPr="00D37799">
              <w:t>Is the data being used attitudinal or data? - Data</w:t>
            </w:r>
          </w:p>
          <w:p w:rsidR="00476C1C" w:rsidRDefault="00476C1C" w:rsidP="00E51EB3">
            <w:pPr>
              <w:pStyle w:val="DQITableText"/>
            </w:pPr>
            <w:r>
              <w:t>The abbreviation ‘</w:t>
            </w:r>
            <w:proofErr w:type="spellStart"/>
            <w:r w:rsidRPr="00B417A7">
              <w:rPr>
                <w:b/>
              </w:rPr>
              <w:t>n</w:t>
            </w:r>
            <w:r>
              <w:rPr>
                <w:b/>
              </w:rPr>
              <w:t>.</w:t>
            </w:r>
            <w:r w:rsidRPr="00B417A7">
              <w:rPr>
                <w:b/>
              </w:rPr>
              <w:t>p</w:t>
            </w:r>
            <w:proofErr w:type="spellEnd"/>
            <w:r>
              <w:rPr>
                <w:b/>
              </w:rPr>
              <w:t>.</w:t>
            </w:r>
            <w:r>
              <w:t>’ indicates data not published as there were no students tested or the number of students tested was less than 30.</w:t>
            </w:r>
          </w:p>
          <w:p w:rsidR="00476C1C" w:rsidRPr="00D37799" w:rsidRDefault="00476C1C" w:rsidP="00954AD3">
            <w:pPr>
              <w:pStyle w:val="DQITableText"/>
            </w:pPr>
            <w:r>
              <w:t>The abbreviation</w:t>
            </w:r>
            <w:r w:rsidRPr="000C0B31">
              <w:t xml:space="preserve"> ‘</w:t>
            </w:r>
            <w:r w:rsidR="00954AD3">
              <w:t>..</w:t>
            </w:r>
            <w:r w:rsidRPr="000C0B31">
              <w:t xml:space="preserve">’ indicates that the </w:t>
            </w:r>
            <w:r>
              <w:t>g</w:t>
            </w:r>
            <w:r w:rsidRPr="00FC663A">
              <w:t>eographic location</w:t>
            </w:r>
            <w:r w:rsidRPr="000C0B31">
              <w:t xml:space="preserve"> code does not apply within this State/Territory or for this year level</w:t>
            </w:r>
            <w:r>
              <w:t>.</w:t>
            </w:r>
          </w:p>
        </w:tc>
      </w:tr>
      <w:tr w:rsidR="00476C1C" w:rsidRPr="00D37799" w:rsidTr="00BF1B1D">
        <w:trPr>
          <w:jc w:val="center"/>
        </w:trPr>
        <w:tc>
          <w:tcPr>
            <w:tcW w:w="1744"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Consistency over time: </w:t>
            </w:r>
            <w:proofErr w:type="spellStart"/>
            <w:r w:rsidRPr="00D37799">
              <w:t>NAPLAN</w:t>
            </w:r>
            <w:proofErr w:type="spellEnd"/>
            <w:r w:rsidRPr="00D37799">
              <w:t xml:space="preserve"> results are collected in a consistent manner annually</w:t>
            </w:r>
          </w:p>
          <w:p w:rsidR="00476C1C" w:rsidRPr="00D37799" w:rsidRDefault="00476C1C" w:rsidP="00E51EB3">
            <w:pPr>
              <w:pStyle w:val="DQITableText"/>
            </w:pPr>
            <w:r w:rsidRPr="00D37799">
              <w:t xml:space="preserve">The numerator and denominator are compiled from a single source, with the exception of </w:t>
            </w:r>
            <w:r>
              <w:t>the national report</w:t>
            </w:r>
            <w:r w:rsidRPr="00D37799">
              <w:t xml:space="preserve"> aggregated data provided by </w:t>
            </w:r>
            <w:proofErr w:type="spellStart"/>
            <w:r>
              <w:t>ACARA's</w:t>
            </w:r>
            <w:proofErr w:type="spellEnd"/>
            <w:r>
              <w:t xml:space="preserve"> contractor</w:t>
            </w:r>
          </w:p>
          <w:p w:rsidR="00476C1C" w:rsidRPr="00D37799" w:rsidRDefault="00476C1C" w:rsidP="00E51EB3">
            <w:pPr>
              <w:pStyle w:val="DQITableText"/>
            </w:pPr>
            <w:r w:rsidRPr="00D37799">
              <w:t xml:space="preserve">The data </w:t>
            </w:r>
            <w:r>
              <w:t>are</w:t>
            </w:r>
            <w:r w:rsidRPr="00D37799">
              <w:t xml:space="preserve"> consistent with data supplied in previous reporting round</w:t>
            </w:r>
            <w:r>
              <w:t>s</w:t>
            </w:r>
            <w:r w:rsidRPr="00D37799">
              <w:t>.</w:t>
            </w:r>
          </w:p>
          <w:p w:rsidR="003D69CF" w:rsidRPr="004D60AF" w:rsidRDefault="00476C1C" w:rsidP="00E51EB3">
            <w:pPr>
              <w:pStyle w:val="DQITableText"/>
            </w:pPr>
            <w:r w:rsidRPr="00D37799">
              <w:t>Jurisdiction estimate calculation: Yes</w:t>
            </w:r>
          </w:p>
        </w:tc>
      </w:tr>
      <w:tr w:rsidR="00476C1C" w:rsidRPr="00D37799" w:rsidTr="00972BB7">
        <w:trPr>
          <w:jc w:val="center"/>
        </w:trPr>
        <w:tc>
          <w:tcPr>
            <w:tcW w:w="1744" w:type="dxa"/>
          </w:tcPr>
          <w:p w:rsidR="00476C1C" w:rsidRPr="00D37799" w:rsidRDefault="00476C1C" w:rsidP="00E51EB3">
            <w:pPr>
              <w:pStyle w:val="DQIRowHeadings"/>
            </w:pPr>
            <w:r w:rsidRPr="00D37799">
              <w:t>Accessibility:</w:t>
            </w:r>
          </w:p>
        </w:tc>
        <w:tc>
          <w:tcPr>
            <w:tcW w:w="7262" w:type="dxa"/>
          </w:tcPr>
          <w:p w:rsidR="00476C1C" w:rsidRPr="00D37799" w:rsidRDefault="00476C1C" w:rsidP="00E51EB3">
            <w:pPr>
              <w:pStyle w:val="DQITableText"/>
            </w:pPr>
            <w:r w:rsidRPr="00560FFF">
              <w:rPr>
                <w:rFonts w:cs="Arial"/>
              </w:rPr>
              <w:t xml:space="preserve">The data are available in PDF format at </w:t>
            </w:r>
            <w:r w:rsidRPr="00DE6EBF">
              <w:t>http://</w:t>
            </w:r>
            <w:proofErr w:type="spellStart"/>
            <w:r w:rsidRPr="00DE6EBF">
              <w:t>www.nap.edu.au</w:t>
            </w:r>
            <w:proofErr w:type="spellEnd"/>
            <w:r w:rsidRPr="00DE6EBF">
              <w:t>/results-and-reports/national-</w:t>
            </w:r>
            <w:proofErr w:type="spellStart"/>
            <w:r w:rsidRPr="00DE6EBF">
              <w:t>reports.html</w:t>
            </w:r>
            <w:proofErr w:type="spellEnd"/>
            <w:r w:rsidRPr="00560FFF">
              <w:t>.</w:t>
            </w:r>
          </w:p>
        </w:tc>
      </w:tr>
      <w:tr w:rsidR="00476C1C" w:rsidRPr="00D37799" w:rsidTr="00972BB7">
        <w:trPr>
          <w:jc w:val="center"/>
        </w:trPr>
        <w:tc>
          <w:tcPr>
            <w:tcW w:w="1744" w:type="dxa"/>
          </w:tcPr>
          <w:p w:rsidR="00476C1C" w:rsidRPr="00D37799" w:rsidRDefault="00476C1C" w:rsidP="00E51EB3">
            <w:pPr>
              <w:pStyle w:val="DQIRowHeadings"/>
            </w:pPr>
            <w:r w:rsidRPr="00D37799">
              <w:t>Interpretability</w:t>
            </w:r>
          </w:p>
        </w:tc>
        <w:tc>
          <w:tcPr>
            <w:tcW w:w="7262" w:type="dxa"/>
          </w:tcPr>
          <w:p w:rsidR="00476C1C" w:rsidRPr="009479BD" w:rsidRDefault="00476C1C" w:rsidP="00E51EB3">
            <w:pPr>
              <w:pStyle w:val="DQITableText"/>
              <w:rPr>
                <w:szCs w:val="18"/>
              </w:rPr>
            </w:pPr>
            <w:r w:rsidRPr="009479BD">
              <w:rPr>
                <w:szCs w:val="18"/>
              </w:rPr>
              <w:t xml:space="preserve">Other Supporting information: </w:t>
            </w:r>
            <w:proofErr w:type="spellStart"/>
            <w:r w:rsidRPr="009479BD">
              <w:rPr>
                <w:szCs w:val="18"/>
              </w:rPr>
              <w:t>FAQs</w:t>
            </w:r>
            <w:proofErr w:type="spellEnd"/>
            <w:r w:rsidRPr="009479BD">
              <w:rPr>
                <w:szCs w:val="18"/>
              </w:rPr>
              <w:t xml:space="preserve"> on (</w:t>
            </w:r>
            <w:r w:rsidRPr="009479BD">
              <w:rPr>
                <w:szCs w:val="18"/>
                <w:u w:val="single"/>
              </w:rPr>
              <w:t>http://</w:t>
            </w:r>
            <w:proofErr w:type="spellStart"/>
            <w:r w:rsidRPr="009479BD">
              <w:rPr>
                <w:szCs w:val="18"/>
                <w:u w:val="single"/>
              </w:rPr>
              <w:t>www.nap.edu.au</w:t>
            </w:r>
            <w:proofErr w:type="spellEnd"/>
            <w:r w:rsidRPr="009479BD">
              <w:rPr>
                <w:szCs w:val="18"/>
                <w:u w:val="single"/>
              </w:rPr>
              <w:t>/information/</w:t>
            </w:r>
            <w:proofErr w:type="spellStart"/>
            <w:r w:rsidRPr="009479BD">
              <w:rPr>
                <w:szCs w:val="18"/>
                <w:u w:val="single"/>
              </w:rPr>
              <w:t>faqs</w:t>
            </w:r>
            <w:proofErr w:type="spellEnd"/>
            <w:r w:rsidRPr="009479BD">
              <w:rPr>
                <w:szCs w:val="18"/>
                <w:u w:val="single"/>
              </w:rPr>
              <w:t>/</w:t>
            </w:r>
            <w:proofErr w:type="spellStart"/>
            <w:r w:rsidRPr="009479BD">
              <w:rPr>
                <w:szCs w:val="18"/>
                <w:u w:val="single"/>
              </w:rPr>
              <w:t>faqs.html</w:t>
            </w:r>
            <w:proofErr w:type="spellEnd"/>
            <w:r w:rsidRPr="009479BD">
              <w:rPr>
                <w:szCs w:val="18"/>
              </w:rPr>
              <w:t xml:space="preserve">). </w:t>
            </w:r>
          </w:p>
          <w:p w:rsidR="00476C1C" w:rsidRPr="00560FFF" w:rsidRDefault="00476C1C" w:rsidP="00E51EB3">
            <w:pPr>
              <w:pStyle w:val="DQITableText"/>
              <w:rPr>
                <w:sz w:val="20"/>
              </w:rPr>
            </w:pPr>
            <w:r w:rsidRPr="00560FFF">
              <w:rPr>
                <w:sz w:val="20"/>
              </w:rPr>
              <w:t>Socioeconomic status derivation: NA</w:t>
            </w:r>
          </w:p>
          <w:p w:rsidR="00476C1C" w:rsidRPr="00D37799" w:rsidRDefault="00476C1C" w:rsidP="00E51EB3">
            <w:pPr>
              <w:pStyle w:val="DQITableText"/>
              <w:rPr>
                <w:sz w:val="24"/>
                <w:szCs w:val="24"/>
              </w:rPr>
            </w:pPr>
            <w:r w:rsidRPr="00560FFF">
              <w:rPr>
                <w:rFonts w:cs="Arial"/>
              </w:rPr>
              <w:t>Socioeconomic status quintiles derivation: NA</w:t>
            </w:r>
            <w:r w:rsidRPr="00D37799" w:rsidDel="00560FFF">
              <w:t xml:space="preserve"> </w:t>
            </w:r>
            <w:r w:rsidRPr="00D37799">
              <w:t xml:space="preserve">The </w:t>
            </w:r>
            <w:r w:rsidR="0061062A">
              <w:t>data are</w:t>
            </w:r>
            <w:r w:rsidRPr="00D37799">
              <w:t xml:space="preserve"> available in PDF format at (</w:t>
            </w:r>
            <w:r w:rsidRPr="00DE6EBF">
              <w:t>http://www.nap.edu.au/results-and-reports/national-reports.html</w:t>
            </w:r>
            <w:r w:rsidRPr="00D37799">
              <w:t>).</w:t>
            </w:r>
          </w:p>
        </w:tc>
      </w:tr>
      <w:tr w:rsidR="00476C1C" w:rsidRPr="00D37799" w:rsidTr="00972BB7">
        <w:trPr>
          <w:jc w:val="center"/>
        </w:trPr>
        <w:tc>
          <w:tcPr>
            <w:tcW w:w="9006" w:type="dxa"/>
            <w:gridSpan w:val="2"/>
          </w:tcPr>
          <w:p w:rsidR="00476C1C" w:rsidRPr="00D37799" w:rsidRDefault="00476C1C" w:rsidP="00E51EB3">
            <w:pPr>
              <w:pStyle w:val="DQIMainRowHeadings"/>
              <w:rPr>
                <w:rFonts w:cs="Arial"/>
                <w:bCs/>
              </w:rPr>
            </w:pPr>
            <w:r w:rsidRPr="00D37799">
              <w:t>Data Gaps/Issues Analysis</w:t>
            </w:r>
          </w:p>
        </w:tc>
      </w:tr>
      <w:tr w:rsidR="00476C1C" w:rsidRPr="00D37799" w:rsidTr="00972BB7">
        <w:trPr>
          <w:jc w:val="center"/>
        </w:trPr>
        <w:tc>
          <w:tcPr>
            <w:tcW w:w="1744" w:type="dxa"/>
          </w:tcPr>
          <w:p w:rsidR="00476C1C" w:rsidRPr="00D37799" w:rsidRDefault="00476C1C" w:rsidP="00E51EB3">
            <w:pPr>
              <w:pStyle w:val="DQIRowHeadings"/>
            </w:pPr>
            <w:r w:rsidRPr="00D37799">
              <w:t>Key data gaps/issues</w:t>
            </w:r>
          </w:p>
        </w:tc>
        <w:tc>
          <w:tcPr>
            <w:tcW w:w="7262" w:type="dxa"/>
          </w:tcPr>
          <w:p w:rsidR="00476C1C" w:rsidRPr="00D37799" w:rsidRDefault="00476C1C" w:rsidP="00E51EB3">
            <w:pPr>
              <w:pStyle w:val="DQITableText"/>
            </w:pPr>
            <w:r w:rsidRPr="00D37799">
              <w:t>The Steering Committee notes the following issues:</w:t>
            </w:r>
          </w:p>
          <w:p w:rsidR="00476C1C" w:rsidRPr="00D37799" w:rsidRDefault="00476C1C" w:rsidP="00C7799F">
            <w:pPr>
              <w:pStyle w:val="DQITableBullet"/>
            </w:pPr>
            <w:r w:rsidRPr="00D37799">
              <w:t xml:space="preserve">Students are classified in four ways: </w:t>
            </w:r>
            <w:r>
              <w:t>present</w:t>
            </w:r>
            <w:r w:rsidRPr="00D37799">
              <w:t>, exempt, absent, withdrawn. Exempt students are deemed not to have met</w:t>
            </w:r>
            <w:r w:rsidR="00C7799F">
              <w:t xml:space="preserve"> the national minimum standard</w:t>
            </w:r>
          </w:p>
        </w:tc>
      </w:tr>
    </w:tbl>
    <w:p w:rsidR="00476C1C" w:rsidRPr="00476C1C" w:rsidRDefault="00476C1C" w:rsidP="00E51EB3">
      <w:pPr>
        <w:pStyle w:val="BodyText"/>
      </w:pPr>
    </w:p>
    <w:p w:rsidR="00EE049E" w:rsidRDefault="000820FE" w:rsidP="00E51EB3">
      <w:pPr>
        <w:pStyle w:val="Heading3"/>
      </w:pPr>
      <w:bookmarkStart w:id="44" w:name="_Toc401837437"/>
      <w:bookmarkStart w:id="45" w:name="_Toc439840528"/>
      <w:bookmarkStart w:id="46" w:name="_Toc282606992"/>
      <w:bookmarkStart w:id="47" w:name="_Toc282094186"/>
      <w:r w:rsidRPr="00D37799">
        <w:lastRenderedPageBreak/>
        <w:t xml:space="preserve">Learning outcomes – </w:t>
      </w:r>
      <w:r w:rsidR="00EE049E" w:rsidRPr="00D37799">
        <w:t>Science literacy performance - NAP</w:t>
      </w:r>
      <w:bookmarkEnd w:id="44"/>
      <w:bookmarkEnd w:id="45"/>
      <w:r w:rsidR="00EE049E" w:rsidRPr="00D37799">
        <w:t xml:space="preserve"> </w:t>
      </w:r>
    </w:p>
    <w:p w:rsidR="00476C1C" w:rsidRPr="00D37799" w:rsidRDefault="00476C1C" w:rsidP="00E51EB3">
      <w:pPr>
        <w:pStyle w:val="Box"/>
      </w:pPr>
      <w:r w:rsidRPr="00D37799">
        <w:t xml:space="preserve">Data quality information for this indicator has been drafted by the ACARA, in consultation with the School Education </w:t>
      </w:r>
      <w:r w:rsidRPr="00E51EB3">
        <w:t>Working</w:t>
      </w:r>
      <w:r w:rsidRPr="00D37799">
        <w:t xml:space="preserve"> Group, with additional Steering Committee comments.</w:t>
      </w:r>
    </w:p>
    <w:tbl>
      <w:tblPr>
        <w:tblW w:w="8732" w:type="dxa"/>
        <w:jc w:val="center"/>
        <w:tblLook w:val="01E0" w:firstRow="1" w:lastRow="1" w:firstColumn="1" w:lastColumn="1" w:noHBand="0" w:noVBand="0"/>
      </w:tblPr>
      <w:tblGrid>
        <w:gridCol w:w="1772"/>
        <w:gridCol w:w="6960"/>
      </w:tblGrid>
      <w:tr w:rsidR="00476C1C" w:rsidRPr="00D37799" w:rsidTr="00972BB7">
        <w:trPr>
          <w:trHeight w:val="210"/>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 xml:space="preserve">‘Learning outcomes’ – science literacy performance </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rPr>
                <w:u w:val="single"/>
              </w:rPr>
              <w:t>Definition</w:t>
            </w:r>
          </w:p>
          <w:p w:rsidR="00476C1C" w:rsidRPr="00D37799" w:rsidRDefault="00476C1C" w:rsidP="00E51EB3">
            <w:pPr>
              <w:pStyle w:val="DQITableText"/>
            </w:pPr>
            <w:r w:rsidRPr="00D37799">
              <w:t xml:space="preserve">Percentage of students achieving at or above the proficient standard on the scientific literacy scale by jurisdiction. These data are also reported by sex, Indigenous status, and </w:t>
            </w:r>
            <w:proofErr w:type="spellStart"/>
            <w:r w:rsidRPr="00D37799">
              <w:t>geolocation</w:t>
            </w:r>
            <w:proofErr w:type="spellEnd"/>
            <w:r w:rsidRPr="00D37799">
              <w:t xml:space="preserve"> for </w:t>
            </w:r>
            <w:r>
              <w:t xml:space="preserve">2003, </w:t>
            </w:r>
            <w:r w:rsidRPr="00D37799">
              <w:t>2006</w:t>
            </w:r>
            <w:r>
              <w:t>,</w:t>
            </w:r>
            <w:r w:rsidRPr="002020E5">
              <w:rPr>
                <w:shd w:val="clear" w:color="auto" w:fill="FFFFFF" w:themeFill="background1"/>
              </w:rPr>
              <w:t xml:space="preserve"> 2009</w:t>
            </w:r>
            <w:r>
              <w:rPr>
                <w:shd w:val="clear" w:color="auto" w:fill="FFFFFF" w:themeFill="background1"/>
              </w:rPr>
              <w:t xml:space="preserve"> and 2012</w:t>
            </w:r>
            <w:r w:rsidRPr="002020E5">
              <w:rPr>
                <w:shd w:val="clear" w:color="auto" w:fill="FFFFFF" w:themeFill="background1"/>
              </w:rPr>
              <w:t xml:space="preserve">, and by </w:t>
            </w:r>
            <w:proofErr w:type="spellStart"/>
            <w:r w:rsidRPr="002020E5">
              <w:rPr>
                <w:shd w:val="clear" w:color="auto" w:fill="FFFFFF" w:themeFill="background1"/>
              </w:rPr>
              <w:t>LBOTE</w:t>
            </w:r>
            <w:proofErr w:type="spellEnd"/>
            <w:r w:rsidRPr="002020E5">
              <w:rPr>
                <w:shd w:val="clear" w:color="auto" w:fill="FFFFFF" w:themeFill="background1"/>
              </w:rPr>
              <w:t xml:space="preserve"> status for </w:t>
            </w:r>
            <w:r>
              <w:rPr>
                <w:shd w:val="clear" w:color="auto" w:fill="FFFFFF" w:themeFill="background1"/>
              </w:rPr>
              <w:t xml:space="preserve">2003, </w:t>
            </w:r>
            <w:r w:rsidRPr="002020E5">
              <w:rPr>
                <w:shd w:val="clear" w:color="auto" w:fill="FFFFFF" w:themeFill="background1"/>
              </w:rPr>
              <w:t>2009</w:t>
            </w:r>
            <w:r>
              <w:rPr>
                <w:shd w:val="clear" w:color="auto" w:fill="FFFFFF" w:themeFill="background1"/>
              </w:rPr>
              <w:t xml:space="preserve"> and 2012</w:t>
            </w:r>
            <w:r w:rsidRPr="002020E5">
              <w:rPr>
                <w:shd w:val="clear" w:color="auto" w:fill="FFFFFF" w:themeFill="background1"/>
              </w:rPr>
              <w:t xml:space="preserve">. The </w:t>
            </w:r>
            <w:r w:rsidRPr="00D37799">
              <w:t xml:space="preserve">proficient standard for performance in scientific literacy is set at proficiency level 3.2 (of </w:t>
            </w:r>
            <w:r>
              <w:t>L</w:t>
            </w:r>
            <w:r w:rsidRPr="00D37799">
              <w:t xml:space="preserve">evel </w:t>
            </w:r>
            <w:r>
              <w:t>2 and below</w:t>
            </w:r>
            <w:r w:rsidRPr="00D37799">
              <w:t xml:space="preserve"> to </w:t>
            </w:r>
            <w:r>
              <w:t xml:space="preserve">Level </w:t>
            </w:r>
            <w:r w:rsidRPr="00D37799">
              <w:t xml:space="preserve">4 </w:t>
            </w:r>
            <w:r>
              <w:t>and</w:t>
            </w:r>
            <w:r w:rsidRPr="00D37799">
              <w:t xml:space="preserve"> above) for year 6.</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Number of year 6 students assessed achieving at or above proficiency level 3.2 on the scientific literacy scale</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students assessed on scientific literacy</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The proportion of assessed year 6 students who achieve at or above the proficient standard for scientific literacy.</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E51EB3">
            <w:pPr>
              <w:pStyle w:val="DQITableText"/>
            </w:pPr>
            <w:r w:rsidRPr="00D37799">
              <w:t>Published report by ACARA (201</w:t>
            </w:r>
            <w:r>
              <w:t>3</w:t>
            </w:r>
            <w:r w:rsidRPr="00D37799">
              <w: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t>T</w:t>
            </w:r>
            <w:r w:rsidRPr="00D37799">
              <w:t xml:space="preserve">he Contractor/Data Compiler </w:t>
            </w:r>
            <w:r>
              <w:t>collects</w:t>
            </w:r>
            <w:r w:rsidRPr="00D37799">
              <w:t xml:space="preserve"> data under a set of protocols </w:t>
            </w:r>
            <w:r>
              <w:t>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Collection authority: ACARA Act</w:t>
            </w:r>
          </w:p>
          <w:p w:rsidR="00476C1C" w:rsidRPr="00D37799" w:rsidRDefault="00476C1C" w:rsidP="00E51EB3">
            <w:pPr>
              <w:pStyle w:val="DQITableText"/>
              <w:rPr>
                <w:b/>
              </w:rPr>
            </w:pPr>
            <w:r w:rsidRPr="00D37799">
              <w:t>Data Compiler(s): the contractor (in 20</w:t>
            </w:r>
            <w:r>
              <w:t>12</w:t>
            </w:r>
            <w:r w:rsidRPr="00D37799">
              <w:t xml:space="preserve">, the contractor was Educational Assessment Australia, </w:t>
            </w:r>
            <w:proofErr w:type="spellStart"/>
            <w:r w:rsidRPr="00D37799">
              <w:t>EAA</w:t>
            </w:r>
            <w:proofErr w:type="spellEnd"/>
            <w:r w:rsidRPr="00D37799">
              <w:t xml:space="preserve">) </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893DAB"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rPr>
                <w:b/>
              </w:rPr>
            </w:pPr>
            <w:r w:rsidRPr="00D37799">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Science Literacy test is conducted every three years.</w:t>
            </w:r>
          </w:p>
          <w:p w:rsidR="00476C1C" w:rsidRPr="00D37799" w:rsidRDefault="00476C1C" w:rsidP="00E51EB3">
            <w:pPr>
              <w:pStyle w:val="DQITableText"/>
            </w:pPr>
            <w:r w:rsidRPr="00D37799">
              <w:t xml:space="preserve">Data available: (for most recent data – </w:t>
            </w:r>
            <w:r>
              <w:t>2012</w:t>
            </w:r>
            <w:r w:rsidRPr="00D37799">
              <w:t>) The 20</w:t>
            </w:r>
            <w:r>
              <w:t>12</w:t>
            </w:r>
            <w:r w:rsidRPr="00D37799">
              <w:t xml:space="preserve"> National Assessment </w:t>
            </w:r>
            <w:r w:rsidRPr="00D37799">
              <w:lastRenderedPageBreak/>
              <w:t>Program – Science Literacy (NAP-SL) Public Report and the 20</w:t>
            </w:r>
            <w:r>
              <w:t>12</w:t>
            </w:r>
            <w:r w:rsidRPr="00D37799">
              <w:t xml:space="preserve"> NAP-SL Technical Report were both released by ACARA in </w:t>
            </w:r>
            <w:r>
              <w:t>2013</w:t>
            </w:r>
            <w:r w:rsidRPr="00D37799">
              <w:t>.</w:t>
            </w:r>
          </w:p>
          <w:p w:rsidR="00476C1C" w:rsidRPr="00D37799" w:rsidRDefault="00476C1C" w:rsidP="00E51EB3">
            <w:pPr>
              <w:pStyle w:val="DQITableText"/>
              <w:rPr>
                <w:b/>
              </w:rPr>
            </w:pPr>
            <w:r w:rsidRPr="00D37799">
              <w:t>Updates to the data after its release are not likely.</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Is collected at school level b</w:t>
            </w:r>
            <w:r w:rsidRPr="00D37799">
              <w:t xml:space="preserve">y </w:t>
            </w:r>
            <w:proofErr w:type="spellStart"/>
            <w:r>
              <w:t>ACARA's</w:t>
            </w:r>
            <w:proofErr w:type="spellEnd"/>
            <w:r>
              <w:t xml:space="preserve"> contractor</w:t>
            </w:r>
            <w:r w:rsidRPr="00D37799">
              <w:t xml:space="preserve">, who </w:t>
            </w:r>
            <w:r>
              <w:t xml:space="preserve">then </w:t>
            </w:r>
            <w:r w:rsidRPr="00D37799">
              <w:t>provide</w:t>
            </w:r>
            <w:r>
              <w:t>s the</w:t>
            </w:r>
            <w:r w:rsidRPr="00D37799">
              <w:t xml:space="preserve"> </w:t>
            </w:r>
            <w:r>
              <w:t xml:space="preserve">data </w:t>
            </w:r>
            <w:r w:rsidRPr="00D37799">
              <w:t>to ACARA.</w:t>
            </w:r>
          </w:p>
          <w:p w:rsidR="00476C1C" w:rsidRPr="00D37799" w:rsidRDefault="00476C1C" w:rsidP="00E51EB3">
            <w:pPr>
              <w:pStyle w:val="DQITableText"/>
            </w:pPr>
            <w:r w:rsidRPr="00D37799">
              <w:t>Data Adjustments: Raw NAP-SL scores are converted to scaled scores.</w:t>
            </w:r>
          </w:p>
          <w:p w:rsidR="00476C1C" w:rsidRPr="00D37799" w:rsidRDefault="00476C1C" w:rsidP="00E51EB3">
            <w:pPr>
              <w:pStyle w:val="DQITableText"/>
            </w:pPr>
            <w:r w:rsidRPr="00D37799">
              <w:t>Sample/Collection size: The collection size is a nationally representative sample of Year 6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pPr>
            <w:r w:rsidRPr="00D37799">
              <w:t>Changes between cycles: Caution should be exercised when using the data to measure small changes from one cycle to the next; 95 per cent confidence intervals have been provided.</w:t>
            </w:r>
          </w:p>
          <w:p w:rsidR="00476C1C" w:rsidRPr="00D37799" w:rsidRDefault="00476C1C" w:rsidP="00E51EB3">
            <w:pPr>
              <w:pStyle w:val="DQITableText"/>
            </w:pPr>
            <w:r w:rsidRPr="00D37799">
              <w:t>The following quality control measures were undertaken:</w:t>
            </w:r>
          </w:p>
          <w:p w:rsidR="00476C1C" w:rsidRPr="00D37799" w:rsidRDefault="00476C1C" w:rsidP="00E51EB3">
            <w:pPr>
              <w:pStyle w:val="DQITableBullet"/>
            </w:pPr>
            <w:r w:rsidRPr="00D37799">
              <w:t>Student responses/scores were entered separately by two trained operators and a program compared the scores from each entry and identified any discrepancies.  Any discrepancy was highlighted and checked by the supervisor and the correct response/score recorded. Range check validations were also conducted.</w:t>
            </w:r>
          </w:p>
          <w:p w:rsidR="00476C1C" w:rsidRPr="00D37799" w:rsidRDefault="00476C1C" w:rsidP="00E51EB3">
            <w:pPr>
              <w:pStyle w:val="DQITableBullet"/>
              <w:rPr>
                <w:b/>
              </w:rPr>
            </w:pPr>
            <w:r w:rsidRPr="00D37799">
              <w:t xml:space="preserve">Parallel processing: Procedures undertaken for the conduct of the sampling, data analysis and equating were carried out by the contractor and a subcontractor independently, with results from each cross-checked for accuracy.  </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NAP-SL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r>
              <w:t>.</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rPr>
                <w:b/>
              </w:rPr>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rFonts w:cs="Arial"/>
                <w:bCs/>
              </w:rPr>
            </w:pPr>
            <w:r w:rsidRPr="00D37799">
              <w:rPr>
                <w:rFonts w:cs="Arial"/>
                <w:bCs/>
              </w:rPr>
              <w:t>Context: Yes, this is within the context of the NAP-SL testing and reporting environment.</w:t>
            </w:r>
          </w:p>
          <w:p w:rsidR="00476C1C" w:rsidRPr="00D37799" w:rsidRDefault="00476C1C" w:rsidP="00E51EB3">
            <w:pPr>
              <w:pStyle w:val="DQITableText"/>
              <w:rPr>
                <w:rFonts w:cs="Arial"/>
                <w:bCs/>
              </w:rPr>
            </w:pPr>
            <w:r w:rsidRPr="00D37799">
              <w:rPr>
                <w:rFonts w:cs="Arial"/>
                <w:bCs/>
              </w:rPr>
              <w:t xml:space="preserve">Other Supporting information: </w:t>
            </w:r>
            <w:proofErr w:type="spellStart"/>
            <w:r w:rsidRPr="00D37799">
              <w:rPr>
                <w:rFonts w:cs="Arial"/>
                <w:bCs/>
              </w:rPr>
              <w:t>FAQs</w:t>
            </w:r>
            <w:proofErr w:type="spellEnd"/>
            <w:r w:rsidRPr="00D37799">
              <w:rPr>
                <w:rFonts w:cs="Arial"/>
                <w:bCs/>
              </w:rPr>
              <w:t xml:space="preserve"> and Glossary on </w:t>
            </w:r>
            <w:proofErr w:type="spellStart"/>
            <w:r w:rsidRPr="00D37799">
              <w:rPr>
                <w:rFonts w:cs="Arial"/>
                <w:bCs/>
              </w:rPr>
              <w:t>www.nap.edu.au</w:t>
            </w:r>
            <w:proofErr w:type="spellEnd"/>
          </w:p>
          <w:p w:rsidR="00476C1C" w:rsidRPr="00D37799" w:rsidRDefault="00476C1C" w:rsidP="00E51EB3">
            <w:pPr>
              <w:pStyle w:val="DQITableText"/>
              <w:rPr>
                <w:rFonts w:cs="Arial"/>
                <w:bCs/>
              </w:rPr>
            </w:pPr>
            <w:r w:rsidRPr="00D37799">
              <w:rPr>
                <w:rFonts w:cs="Arial"/>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rFonts w:cs="Arial"/>
                <w:bCs/>
              </w:rPr>
            </w:pPr>
            <w:r w:rsidRPr="00D37799">
              <w:rPr>
                <w:rFonts w:cs="Arial"/>
                <w:bCs/>
              </w:rPr>
              <w:t>Socioeconomic status derivation: Not available</w:t>
            </w:r>
          </w:p>
          <w:p w:rsidR="00476C1C" w:rsidRPr="00D37799" w:rsidRDefault="00476C1C" w:rsidP="00E51EB3">
            <w:pPr>
              <w:pStyle w:val="DQITableText"/>
              <w:rPr>
                <w:b/>
              </w:rPr>
            </w:pPr>
            <w:r w:rsidRPr="00D37799">
              <w:rPr>
                <w:rFonts w:cs="Arial"/>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D37799" w:rsidRDefault="00476C1C" w:rsidP="00E51EB3">
            <w:pPr>
              <w:pStyle w:val="DQITableText"/>
              <w:rPr>
                <w:b/>
              </w:rPr>
            </w:pPr>
            <w:r w:rsidRPr="00D37799">
              <w:t>The data are available in PDF format.</w:t>
            </w:r>
          </w:p>
        </w:tc>
      </w:tr>
    </w:tbl>
    <w:p w:rsidR="00E51EB3" w:rsidRPr="00E51EB3" w:rsidRDefault="00E51EB3" w:rsidP="00E51EB3">
      <w:pPr>
        <w:pStyle w:val="BodyText"/>
        <w:rPr>
          <w:color w:val="FF0000"/>
        </w:rPr>
      </w:pPr>
    </w:p>
    <w:tbl>
      <w:tblPr>
        <w:tblW w:w="9006" w:type="dxa"/>
        <w:jc w:val="center"/>
        <w:tblLook w:val="01E0" w:firstRow="1" w:lastRow="1" w:firstColumn="1" w:lastColumn="1" w:noHBand="0" w:noVBand="0"/>
      </w:tblPr>
      <w:tblGrid>
        <w:gridCol w:w="1744"/>
        <w:gridCol w:w="7262"/>
      </w:tblGrid>
      <w:tr w:rsidR="00E51EB3" w:rsidRPr="00E51EB3" w:rsidTr="00BF1B1D">
        <w:trPr>
          <w:jc w:val="center"/>
        </w:trPr>
        <w:tc>
          <w:tcPr>
            <w:tcW w:w="1744" w:type="dxa"/>
            <w:shd w:val="clear" w:color="auto" w:fill="FFFFFF" w:themeFill="background1"/>
          </w:tcPr>
          <w:p w:rsidR="00E51EB3" w:rsidRPr="003312B2" w:rsidRDefault="00E51EB3" w:rsidP="00E51EB3">
            <w:pPr>
              <w:pStyle w:val="DQIRowHeadings"/>
            </w:pPr>
            <w:r w:rsidRPr="003312B2">
              <w:lastRenderedPageBreak/>
              <w:t>Interpretability</w:t>
            </w:r>
          </w:p>
        </w:tc>
        <w:tc>
          <w:tcPr>
            <w:tcW w:w="7262" w:type="dxa"/>
            <w:shd w:val="clear" w:color="auto" w:fill="FFFFFF" w:themeFill="background1"/>
          </w:tcPr>
          <w:p w:rsidR="003D69CF" w:rsidRPr="009479BD" w:rsidRDefault="003D69CF" w:rsidP="003D69CF">
            <w:pPr>
              <w:pStyle w:val="DQITableText"/>
              <w:rPr>
                <w:bCs/>
                <w:szCs w:val="18"/>
              </w:rPr>
            </w:pPr>
            <w:r w:rsidRPr="009479BD">
              <w:rPr>
                <w:bCs/>
                <w:szCs w:val="18"/>
              </w:rPr>
              <w:t>Context: Yes, this is within the context of the NAP-SL testing and reporting environment.</w:t>
            </w:r>
          </w:p>
          <w:p w:rsidR="003D69CF" w:rsidRPr="009479BD" w:rsidRDefault="003D69CF" w:rsidP="003D69CF">
            <w:pPr>
              <w:pStyle w:val="DQITableText"/>
              <w:rPr>
                <w:bCs/>
                <w:szCs w:val="18"/>
              </w:rPr>
            </w:pPr>
            <w:r w:rsidRPr="009479BD">
              <w:rPr>
                <w:bCs/>
                <w:szCs w:val="18"/>
              </w:rPr>
              <w:t xml:space="preserve">Other Supporting information: </w:t>
            </w:r>
            <w:proofErr w:type="spellStart"/>
            <w:r w:rsidRPr="009479BD">
              <w:rPr>
                <w:bCs/>
                <w:szCs w:val="18"/>
              </w:rPr>
              <w:t>FAQs</w:t>
            </w:r>
            <w:proofErr w:type="spellEnd"/>
            <w:r w:rsidRPr="009479BD">
              <w:rPr>
                <w:bCs/>
                <w:szCs w:val="18"/>
              </w:rPr>
              <w:t xml:space="preserve"> and Glossary on </w:t>
            </w:r>
            <w:proofErr w:type="spellStart"/>
            <w:r w:rsidRPr="009479BD">
              <w:rPr>
                <w:bCs/>
                <w:szCs w:val="18"/>
              </w:rPr>
              <w:t>www.nap.edu.au</w:t>
            </w:r>
            <w:proofErr w:type="spellEnd"/>
          </w:p>
          <w:p w:rsidR="003D69CF" w:rsidRPr="009479BD" w:rsidRDefault="003D69CF" w:rsidP="003D69CF">
            <w:pPr>
              <w:pStyle w:val="DQITableText"/>
              <w:rPr>
                <w:bCs/>
                <w:szCs w:val="18"/>
              </w:rPr>
            </w:pPr>
            <w:r w:rsidRPr="009479BD">
              <w:rPr>
                <w:bCs/>
                <w:szCs w:val="18"/>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3D69CF" w:rsidRPr="009479BD" w:rsidRDefault="003D69CF" w:rsidP="003D69CF">
            <w:pPr>
              <w:pStyle w:val="DQITableText"/>
              <w:rPr>
                <w:bCs/>
                <w:szCs w:val="18"/>
              </w:rPr>
            </w:pPr>
            <w:r w:rsidRPr="009479BD">
              <w:rPr>
                <w:bCs/>
                <w:szCs w:val="18"/>
              </w:rPr>
              <w:t>Socioeconomic status derivation: Not available</w:t>
            </w:r>
          </w:p>
          <w:p w:rsidR="00E51EB3" w:rsidRPr="009479BD" w:rsidRDefault="003D69CF" w:rsidP="003D69CF">
            <w:pPr>
              <w:pStyle w:val="DQITableText"/>
              <w:rPr>
                <w:szCs w:val="18"/>
              </w:rPr>
            </w:pPr>
            <w:r w:rsidRPr="009479BD">
              <w:rPr>
                <w:bCs/>
                <w:szCs w:val="18"/>
              </w:rPr>
              <w:t>Socioeconomic status quintiles derivation: Not available</w:t>
            </w:r>
          </w:p>
        </w:tc>
      </w:tr>
      <w:tr w:rsidR="00E51EB3" w:rsidRPr="00E51EB3" w:rsidTr="00BF1B1D">
        <w:trPr>
          <w:jc w:val="center"/>
        </w:trPr>
        <w:tc>
          <w:tcPr>
            <w:tcW w:w="9006" w:type="dxa"/>
            <w:gridSpan w:val="2"/>
            <w:shd w:val="clear" w:color="auto" w:fill="FFFFFF" w:themeFill="background1"/>
          </w:tcPr>
          <w:p w:rsidR="00E51EB3" w:rsidRPr="003312B2" w:rsidRDefault="00E51EB3" w:rsidP="00E51EB3">
            <w:pPr>
              <w:pStyle w:val="DQIMainRowHeadings"/>
              <w:rPr>
                <w:rFonts w:cs="Arial"/>
                <w:bCs/>
              </w:rPr>
            </w:pPr>
            <w:r w:rsidRPr="003312B2">
              <w:t>Data Gaps/Issues Analysis</w:t>
            </w:r>
          </w:p>
        </w:tc>
      </w:tr>
      <w:tr w:rsidR="00E51EB3" w:rsidRPr="00E51EB3" w:rsidTr="00BF1B1D">
        <w:trPr>
          <w:jc w:val="center"/>
        </w:trPr>
        <w:tc>
          <w:tcPr>
            <w:tcW w:w="1744" w:type="dxa"/>
            <w:shd w:val="clear" w:color="auto" w:fill="FFFFFF" w:themeFill="background1"/>
          </w:tcPr>
          <w:p w:rsidR="00E51EB3" w:rsidRPr="003312B2" w:rsidRDefault="00E51EB3" w:rsidP="00E51EB3">
            <w:pPr>
              <w:pStyle w:val="DQIRowHeadings"/>
            </w:pPr>
            <w:r w:rsidRPr="003312B2">
              <w:t>Key data gaps/issues</w:t>
            </w:r>
          </w:p>
        </w:tc>
        <w:tc>
          <w:tcPr>
            <w:tcW w:w="7262" w:type="dxa"/>
            <w:shd w:val="clear" w:color="auto" w:fill="FFFFFF" w:themeFill="background1"/>
          </w:tcPr>
          <w:p w:rsidR="003D69CF" w:rsidRPr="003312B2" w:rsidRDefault="003D69CF" w:rsidP="003D69CF">
            <w:pPr>
              <w:pStyle w:val="DQITableText"/>
            </w:pPr>
            <w:r w:rsidRPr="003312B2">
              <w:t>The Steering Committee notes the following issues:</w:t>
            </w:r>
          </w:p>
          <w:p w:rsidR="00E51EB3" w:rsidRPr="003312B2" w:rsidRDefault="003D69CF" w:rsidP="003D69CF">
            <w:pPr>
              <w:pStyle w:val="DQITableBullet"/>
            </w:pPr>
            <w:r w:rsidRPr="003312B2">
              <w:t>•This is a three yearly sample assessment and therefore may not necessarily represent the outcomes were all students tested. Confidence intervals are provided.</w:t>
            </w:r>
          </w:p>
        </w:tc>
      </w:tr>
    </w:tbl>
    <w:p w:rsidR="00E51EB3" w:rsidRPr="00E51EB3" w:rsidRDefault="00E51EB3" w:rsidP="00E51EB3">
      <w:pPr>
        <w:pStyle w:val="BodyText"/>
        <w:rPr>
          <w:color w:val="FF0000"/>
        </w:rPr>
      </w:pPr>
    </w:p>
    <w:p w:rsidR="00E51EB3" w:rsidRDefault="00E51EB3" w:rsidP="00E51EB3">
      <w:pPr>
        <w:pStyle w:val="BodyText"/>
      </w:pPr>
    </w:p>
    <w:p w:rsidR="00E51EB3" w:rsidRDefault="00E51EB3" w:rsidP="00E51EB3">
      <w:pPr>
        <w:pStyle w:val="BodyText"/>
      </w:pPr>
    </w:p>
    <w:p w:rsidR="00EE049E" w:rsidRDefault="000820FE" w:rsidP="00D20318">
      <w:pPr>
        <w:pStyle w:val="Heading3"/>
        <w:spacing w:before="240"/>
      </w:pPr>
      <w:bookmarkStart w:id="48" w:name="_Toc401837438"/>
      <w:bookmarkStart w:id="49" w:name="_Toc439840529"/>
      <w:r w:rsidRPr="00D37799">
        <w:lastRenderedPageBreak/>
        <w:t xml:space="preserve">Learning outcomes – </w:t>
      </w:r>
      <w:r w:rsidR="00EE049E" w:rsidRPr="00D37799">
        <w:t xml:space="preserve">Civics and citizenship performance </w:t>
      </w:r>
      <w:r w:rsidR="00476C1C">
        <w:t>–</w:t>
      </w:r>
      <w:r w:rsidR="00EE049E" w:rsidRPr="00D37799">
        <w:t xml:space="preserve"> NAP</w:t>
      </w:r>
      <w:bookmarkEnd w:id="48"/>
      <w:bookmarkEnd w:id="49"/>
    </w:p>
    <w:p w:rsidR="00476C1C" w:rsidRPr="00D37799" w:rsidRDefault="00476C1C" w:rsidP="00E51EB3">
      <w:pPr>
        <w:pStyle w:val="Box"/>
      </w:pPr>
      <w:r w:rsidRPr="00D37799">
        <w:t xml:space="preserve">Data quality information for this indicator has been drafted by the ACARA, in consultation with the School Education Working Group, with additional Steering </w:t>
      </w:r>
      <w:r w:rsidRPr="00E51EB3">
        <w:t>Committee</w:t>
      </w:r>
      <w:r w:rsidRPr="00D37799">
        <w:t xml:space="preserve"> comments.</w:t>
      </w:r>
    </w:p>
    <w:tbl>
      <w:tblPr>
        <w:tblW w:w="8732" w:type="dxa"/>
        <w:jc w:val="center"/>
        <w:tblLook w:val="01E0" w:firstRow="1" w:lastRow="1" w:firstColumn="1" w:lastColumn="1" w:noHBand="0" w:noVBand="0"/>
      </w:tblPr>
      <w:tblGrid>
        <w:gridCol w:w="1772"/>
        <w:gridCol w:w="6960"/>
      </w:tblGrid>
      <w:tr w:rsidR="00476C1C" w:rsidRPr="00D37799" w:rsidTr="00972BB7">
        <w:trPr>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‘Learning outcomes’ – civics and citizenship performance (NAP)</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t>Proportion of sample of year 6 and year 10 students achieving at or above the proficient standard for civics and citizenship</w:t>
            </w:r>
            <w:r>
              <w:t xml:space="preserve"> by jurisdiction</w:t>
            </w:r>
            <w:r w:rsidRPr="00D37799">
              <w:t>. These data are also reported by sex, Indigenous st</w:t>
            </w:r>
            <w:r w:rsidRPr="002020E5">
              <w:rPr>
                <w:shd w:val="clear" w:color="auto" w:fill="FFFFFF" w:themeFill="background1"/>
              </w:rPr>
              <w:t xml:space="preserve">atus, </w:t>
            </w:r>
            <w:proofErr w:type="spellStart"/>
            <w:r w:rsidRPr="002020E5">
              <w:rPr>
                <w:shd w:val="clear" w:color="auto" w:fill="FFFFFF" w:themeFill="background1"/>
              </w:rPr>
              <w:t>LBOTE</w:t>
            </w:r>
            <w:proofErr w:type="spellEnd"/>
            <w:r w:rsidRPr="002020E5">
              <w:rPr>
                <w:shd w:val="clear" w:color="auto" w:fill="FFFFFF" w:themeFill="background1"/>
              </w:rPr>
              <w:t xml:space="preserve"> status, </w:t>
            </w:r>
            <w:r>
              <w:rPr>
                <w:shd w:val="clear" w:color="auto" w:fill="FFFFFF" w:themeFill="background1"/>
              </w:rPr>
              <w:t xml:space="preserve">country of birth, </w:t>
            </w:r>
            <w:r w:rsidRPr="002020E5">
              <w:rPr>
                <w:shd w:val="clear" w:color="auto" w:fill="FFFFFF" w:themeFill="background1"/>
              </w:rPr>
              <w:t xml:space="preserve">socioeconomic status and </w:t>
            </w:r>
            <w:proofErr w:type="spellStart"/>
            <w:r w:rsidRPr="002020E5">
              <w:rPr>
                <w:shd w:val="clear" w:color="auto" w:fill="FFFFFF" w:themeFill="background1"/>
              </w:rPr>
              <w:t>geolocation</w:t>
            </w:r>
            <w:proofErr w:type="spellEnd"/>
            <w:r w:rsidRPr="002020E5">
              <w:rPr>
                <w:shd w:val="clear" w:color="auto" w:fill="FFFFFF" w:themeFill="background1"/>
              </w:rPr>
              <w:t xml:space="preserve"> (national data </w:t>
            </w:r>
            <w:r w:rsidRPr="00D37799">
              <w:t>only for subgroups). The proficient standard for civics and citizenship performance is set at proficiency level 2 for year 6, and at level 3 for year 10, (</w:t>
            </w:r>
            <w:r>
              <w:t>of below level 1 to level 5</w:t>
            </w:r>
            <w:r w:rsidRPr="00D37799">
              <w:t>).</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 xml:space="preserve">Number of year 6 and year 10 students assessed achieving proficiency level 2 </w:t>
            </w:r>
            <w:r>
              <w:t xml:space="preserve">or above </w:t>
            </w:r>
            <w:r w:rsidRPr="00D37799">
              <w:t>for year 6, and at level 3</w:t>
            </w:r>
            <w:r>
              <w:t xml:space="preserve"> or above</w:t>
            </w:r>
            <w:r w:rsidRPr="00D37799">
              <w:t xml:space="preserve"> for year 10 for civics and citizenship performance</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and year 10 students assessed on civics and citizenship knowledge and understanding</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 xml:space="preserve">The proportion of assessed year 6 and year 10 students who achieve at or above proficiency level 2 for year 6, and at </w:t>
            </w:r>
            <w:r>
              <w:t xml:space="preserve">or above </w:t>
            </w:r>
            <w:r w:rsidRPr="00D37799">
              <w:t>level 3 for year 10 for civics and citizenship perfo</w:t>
            </w:r>
            <w:r>
              <w:t>r</w:t>
            </w:r>
            <w:r w:rsidRPr="00D37799">
              <w:t>mance</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E51EB3">
            <w:pPr>
              <w:pStyle w:val="DQITableText"/>
            </w:pPr>
            <w:r w:rsidRPr="00D37799">
              <w:t>Published report by ACARA (201</w:t>
            </w:r>
            <w:r>
              <w:t>4</w:t>
            </w:r>
            <w:r w:rsidRPr="00D37799">
              <w: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t>T</w:t>
            </w:r>
            <w:r w:rsidRPr="00D37799">
              <w:t xml:space="preserve">he Contractor/Data Compiler </w:t>
            </w:r>
            <w:r>
              <w:t>collects</w:t>
            </w:r>
            <w:r w:rsidRPr="00D37799">
              <w:t xml:space="preserve"> data under a set of protocols </w:t>
            </w:r>
            <w:r>
              <w:t>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Collection authority: ACARA Act</w:t>
            </w:r>
          </w:p>
          <w:p w:rsidR="00476C1C" w:rsidRPr="00D37799" w:rsidRDefault="00476C1C" w:rsidP="00E51EB3">
            <w:pPr>
              <w:pStyle w:val="DQITableText"/>
              <w:rPr>
                <w:b/>
              </w:rPr>
            </w:pPr>
            <w:r w:rsidRPr="00D37799">
              <w:t>Data Compiler(s): the contractor (in 201</w:t>
            </w:r>
            <w:r>
              <w:t>3</w:t>
            </w:r>
            <w:r w:rsidRPr="00D37799">
              <w:t>, the contractor was the Australian Council for Educational Research, ACER)</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476C1C" w:rsidRPr="00D37799"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rPr>
                <w:b/>
              </w:rPr>
            </w:pPr>
            <w:r w:rsidRPr="00D37799">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Civics and Citizenship test is conducted every three years.</w:t>
            </w:r>
          </w:p>
          <w:p w:rsidR="00476C1C" w:rsidRPr="00D37799" w:rsidRDefault="00476C1C" w:rsidP="00E51EB3">
            <w:pPr>
              <w:pStyle w:val="DQITableText"/>
            </w:pPr>
            <w:r w:rsidRPr="00D37799">
              <w:t>Data available: (for most recent data – 201</w:t>
            </w:r>
            <w:r>
              <w:t>3</w:t>
            </w:r>
            <w:r w:rsidRPr="00D37799">
              <w:t>) The 201</w:t>
            </w:r>
            <w:r>
              <w:t>3</w:t>
            </w:r>
            <w:r w:rsidRPr="00D37799">
              <w:t xml:space="preserve"> NAP Civics and citizenship Year 6 and Year 10 Report and the 201</w:t>
            </w:r>
            <w:r>
              <w:t>3</w:t>
            </w:r>
            <w:r w:rsidRPr="00D37799">
              <w:t xml:space="preserve"> NAP Civics and citizenship Technical Report were released by ACARA in </w:t>
            </w:r>
            <w:r>
              <w:t>(month)</w:t>
            </w:r>
            <w:r w:rsidRPr="00D37799">
              <w:t xml:space="preserve"> 201</w:t>
            </w:r>
            <w:r>
              <w:t>4</w:t>
            </w:r>
            <w:r w:rsidRPr="00D37799">
              <w:t>.</w:t>
            </w:r>
          </w:p>
          <w:p w:rsidR="00476C1C" w:rsidRPr="00D37799" w:rsidRDefault="00476C1C" w:rsidP="00E51EB3">
            <w:pPr>
              <w:pStyle w:val="DQITableText"/>
              <w:rPr>
                <w:b/>
              </w:rPr>
            </w:pPr>
            <w:r w:rsidRPr="00D37799">
              <w:t xml:space="preserve">Updates to the data after its release are not likely. </w:t>
            </w:r>
          </w:p>
        </w:tc>
      </w:tr>
      <w:tr w:rsidR="00476C1C" w:rsidRPr="00D37799" w:rsidTr="00972BB7">
        <w:trPr>
          <w:jc w:val="center"/>
        </w:trPr>
        <w:tc>
          <w:tcPr>
            <w:tcW w:w="1772"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is collected</w:t>
            </w:r>
            <w:r w:rsidRPr="00D37799">
              <w:t xml:space="preserve"> </w:t>
            </w:r>
            <w:r>
              <w:t xml:space="preserve">at </w:t>
            </w:r>
            <w:r w:rsidRPr="00D37799">
              <w:t>school</w:t>
            </w:r>
            <w:r>
              <w:t>-level</w:t>
            </w:r>
            <w:r w:rsidRPr="00D37799">
              <w:t xml:space="preserve"> </w:t>
            </w:r>
            <w:r>
              <w:t>by</w:t>
            </w:r>
            <w:r w:rsidRPr="00D37799">
              <w:t xml:space="preserve"> </w:t>
            </w:r>
            <w:proofErr w:type="spellStart"/>
            <w:r>
              <w:t>ACARA's</w:t>
            </w:r>
            <w:proofErr w:type="spellEnd"/>
            <w:r>
              <w:t xml:space="preserve"> contractor</w:t>
            </w:r>
            <w:r w:rsidRPr="00D37799">
              <w:t xml:space="preserve">, who </w:t>
            </w:r>
            <w:r>
              <w:t xml:space="preserve">then </w:t>
            </w:r>
            <w:r w:rsidRPr="00D37799">
              <w:t>provide</w:t>
            </w:r>
            <w:r>
              <w:t>s the data</w:t>
            </w:r>
            <w:r w:rsidRPr="00D37799">
              <w:t xml:space="preserve"> to ACARA.</w:t>
            </w:r>
          </w:p>
          <w:p w:rsidR="00476C1C" w:rsidRPr="00D37799" w:rsidRDefault="00476C1C" w:rsidP="00E51EB3">
            <w:pPr>
              <w:pStyle w:val="DQITableText"/>
            </w:pPr>
            <w:r w:rsidRPr="00D37799">
              <w:t>Data Adjustments: Raw NAP CC scores are converted to scaled scores.</w:t>
            </w:r>
          </w:p>
          <w:p w:rsidR="00476C1C" w:rsidRPr="00D37799" w:rsidRDefault="00476C1C" w:rsidP="00E51EB3">
            <w:pPr>
              <w:pStyle w:val="DQITableText"/>
            </w:pPr>
            <w:r w:rsidRPr="00D37799">
              <w:t>Sample/Collection size: The collection size is a nationally representative sample of Year 6 and Year 10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rPr>
                <w:b/>
              </w:rPr>
            </w:pPr>
            <w:r w:rsidRPr="00D37799">
              <w:t>Changes between cycles: Caution should be exercised when using the data to measure small changes from one cycle to the next.</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 CC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rPr>
                <w:b/>
              </w:rPr>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bCs/>
              </w:rPr>
            </w:pPr>
            <w:r w:rsidRPr="00D37799">
              <w:rPr>
                <w:bCs/>
              </w:rPr>
              <w:t>Context: Yes, this is within the context of the NAP CC testing and reporting environment.</w:t>
            </w:r>
          </w:p>
          <w:p w:rsidR="00476C1C" w:rsidRPr="00D37799" w:rsidRDefault="00476C1C" w:rsidP="00E51EB3">
            <w:pPr>
              <w:pStyle w:val="DQITableText"/>
              <w:rPr>
                <w:bCs/>
              </w:rPr>
            </w:pPr>
            <w:r w:rsidRPr="00D37799">
              <w:rPr>
                <w:bCs/>
              </w:rPr>
              <w:t xml:space="preserve">Other Supporting information: </w:t>
            </w:r>
            <w:proofErr w:type="spellStart"/>
            <w:r w:rsidRPr="00D37799">
              <w:rPr>
                <w:bCs/>
              </w:rPr>
              <w:t>FAQs</w:t>
            </w:r>
            <w:proofErr w:type="spellEnd"/>
            <w:r w:rsidRPr="00D37799">
              <w:rPr>
                <w:bCs/>
              </w:rPr>
              <w:t xml:space="preserve"> and Glossary on </w:t>
            </w:r>
            <w:proofErr w:type="spellStart"/>
            <w:r w:rsidRPr="00D37799">
              <w:rPr>
                <w:bCs/>
              </w:rPr>
              <w:t>www.nap.edu.au</w:t>
            </w:r>
            <w:proofErr w:type="spellEnd"/>
          </w:p>
          <w:p w:rsidR="00476C1C" w:rsidRPr="00D37799" w:rsidRDefault="00476C1C" w:rsidP="00E51EB3">
            <w:pPr>
              <w:pStyle w:val="DQITableText"/>
              <w:rPr>
                <w:bCs/>
              </w:rPr>
            </w:pPr>
            <w:r w:rsidRPr="00D37799">
              <w:rPr>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bCs/>
              </w:rPr>
            </w:pPr>
            <w:r w:rsidRPr="00D37799">
              <w:rPr>
                <w:bCs/>
              </w:rPr>
              <w:t>Socioeconomic status derivation: Not available</w:t>
            </w:r>
          </w:p>
          <w:p w:rsidR="00476C1C" w:rsidRPr="00D37799" w:rsidRDefault="00476C1C" w:rsidP="00E51EB3">
            <w:pPr>
              <w:pStyle w:val="DQITableText"/>
              <w:rPr>
                <w:b/>
              </w:rPr>
            </w:pPr>
            <w:r w:rsidRPr="00D37799">
              <w:rPr>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D37799" w:rsidRDefault="00476C1C" w:rsidP="00E51EB3">
            <w:pPr>
              <w:pStyle w:val="DQITableText"/>
              <w:rPr>
                <w:b/>
              </w:rPr>
            </w:pPr>
            <w:r w:rsidRPr="00D37799">
              <w:t xml:space="preserve">The </w:t>
            </w:r>
            <w:r w:rsidR="0061062A">
              <w:t>data are</w:t>
            </w:r>
            <w:r w:rsidRPr="00D37799">
              <w:t xml:space="preserve"> available in PDF format.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Gaps/Issues Analysis</w:t>
            </w:r>
          </w:p>
        </w:tc>
      </w:tr>
      <w:tr w:rsidR="00476C1C" w:rsidRPr="00D37799" w:rsidTr="00972BB7">
        <w:trPr>
          <w:jc w:val="center"/>
        </w:trPr>
        <w:tc>
          <w:tcPr>
            <w:tcW w:w="1772" w:type="dxa"/>
          </w:tcPr>
          <w:p w:rsidR="00476C1C" w:rsidRPr="00D37799" w:rsidRDefault="00476C1C" w:rsidP="00E51EB3">
            <w:pPr>
              <w:pStyle w:val="DQIRowHeadings"/>
              <w:keepNext w:val="0"/>
            </w:pPr>
            <w:r w:rsidRPr="00D37799">
              <w:t>Key data gaps /issues</w:t>
            </w:r>
          </w:p>
        </w:tc>
        <w:tc>
          <w:tcPr>
            <w:tcW w:w="6960" w:type="dxa"/>
            <w:shd w:val="clear" w:color="auto" w:fill="FFFFFF" w:themeFill="background1"/>
          </w:tcPr>
          <w:p w:rsidR="00476C1C" w:rsidRPr="00D37799" w:rsidRDefault="00476C1C" w:rsidP="00E51EB3">
            <w:pPr>
              <w:pStyle w:val="DQITableText"/>
              <w:keepNext w:val="0"/>
            </w:pPr>
            <w:r w:rsidRPr="00D37799">
              <w:t>The Steering Committee notes the following issues:</w:t>
            </w:r>
          </w:p>
          <w:p w:rsidR="00476C1C" w:rsidRPr="00D37799" w:rsidRDefault="00476C1C" w:rsidP="00E51EB3">
            <w:pPr>
              <w:pStyle w:val="DQITableBullet"/>
              <w:keepNext w:val="0"/>
            </w:pPr>
            <w:r w:rsidRPr="002020E5">
              <w:rPr>
                <w:shd w:val="clear" w:color="auto" w:fill="FFFFFF" w:themeFill="background1"/>
              </w:rPr>
              <w:t>This is a three yearly sample assessment and therefore may not necessarily represent the outcomes were all students tested. Confidence intervals are provided.</w:t>
            </w:r>
          </w:p>
        </w:tc>
      </w:tr>
    </w:tbl>
    <w:p w:rsidR="00E51EB3" w:rsidRDefault="00E51EB3" w:rsidP="00E51EB3">
      <w:pPr>
        <w:pStyle w:val="BodyText"/>
      </w:pPr>
      <w:bookmarkStart w:id="50" w:name="_Toc401837439"/>
      <w:bookmarkEnd w:id="46"/>
    </w:p>
    <w:p w:rsidR="00FB084C" w:rsidRDefault="00FB084C" w:rsidP="00E51EB3">
      <w:pPr>
        <w:pStyle w:val="Heading3"/>
      </w:pPr>
      <w:bookmarkStart w:id="51" w:name="_Toc439840530"/>
      <w:r w:rsidRPr="00D37799">
        <w:lastRenderedPageBreak/>
        <w:t xml:space="preserve">Learning </w:t>
      </w:r>
      <w:r w:rsidRPr="00E51EB3">
        <w:t>outcomes</w:t>
      </w:r>
      <w:r w:rsidRPr="00D37799">
        <w:t xml:space="preserve"> – ICT literacy performance </w:t>
      </w:r>
      <w:r w:rsidR="00476C1C">
        <w:t>–</w:t>
      </w:r>
      <w:r w:rsidRPr="00D37799">
        <w:t xml:space="preserve"> NAP</w:t>
      </w:r>
      <w:bookmarkEnd w:id="50"/>
      <w:bookmarkEnd w:id="51"/>
    </w:p>
    <w:p w:rsidR="00476C1C" w:rsidRPr="00D37799" w:rsidRDefault="00476C1C" w:rsidP="00E51EB3">
      <w:pPr>
        <w:pStyle w:val="Box"/>
      </w:pPr>
      <w:r w:rsidRPr="00D37799">
        <w:t xml:space="preserve">Data quality information for this indicator has been drafted by the ACARA, in consultation with the School Education </w:t>
      </w:r>
      <w:r w:rsidRPr="00E51EB3">
        <w:t>Working</w:t>
      </w:r>
      <w:r w:rsidRPr="00D37799">
        <w:t xml:space="preserve"> Group, with additional Steering Committee comments.</w:t>
      </w:r>
    </w:p>
    <w:tbl>
      <w:tblPr>
        <w:tblW w:w="8732" w:type="dxa"/>
        <w:jc w:val="center"/>
        <w:tblLook w:val="01E0" w:firstRow="1" w:lastRow="1" w:firstColumn="1" w:lastColumn="1" w:noHBand="0" w:noVBand="0"/>
      </w:tblPr>
      <w:tblGrid>
        <w:gridCol w:w="1772"/>
        <w:gridCol w:w="6960"/>
      </w:tblGrid>
      <w:tr w:rsidR="00476C1C" w:rsidRPr="00D37799" w:rsidTr="00972BB7">
        <w:trPr>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‘Learning outcomes’ – Information and communication technologies (ICT) literacy performance (NAP)</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t xml:space="preserve">Proportion of sample of year 6 and year 10 students achieving at or above the proficient standard in ICT literacy by jurisdiction. These data are also reported by </w:t>
            </w:r>
            <w:r w:rsidRPr="002020E5">
              <w:rPr>
                <w:shd w:val="clear" w:color="auto" w:fill="FFFFFF" w:themeFill="background1"/>
              </w:rPr>
              <w:t xml:space="preserve">sex, Indigenous status, </w:t>
            </w:r>
            <w:proofErr w:type="spellStart"/>
            <w:r w:rsidRPr="002020E5">
              <w:rPr>
                <w:shd w:val="clear" w:color="auto" w:fill="FFFFFF" w:themeFill="background1"/>
              </w:rPr>
              <w:t>LBOTE</w:t>
            </w:r>
            <w:proofErr w:type="spellEnd"/>
            <w:r w:rsidRPr="002020E5">
              <w:rPr>
                <w:shd w:val="clear" w:color="auto" w:fill="FFFFFF" w:themeFill="background1"/>
              </w:rPr>
              <w:t xml:space="preserve"> status, </w:t>
            </w:r>
            <w:r>
              <w:rPr>
                <w:shd w:val="clear" w:color="auto" w:fill="FFFFFF" w:themeFill="background1"/>
              </w:rPr>
              <w:t xml:space="preserve">country of birth, </w:t>
            </w:r>
            <w:r w:rsidRPr="002020E5">
              <w:rPr>
                <w:shd w:val="clear" w:color="auto" w:fill="FFFFFF" w:themeFill="background1"/>
              </w:rPr>
              <w:t xml:space="preserve">socioeconomic status and </w:t>
            </w:r>
            <w:proofErr w:type="spellStart"/>
            <w:r w:rsidRPr="002020E5">
              <w:rPr>
                <w:shd w:val="clear" w:color="auto" w:fill="FFFFFF" w:themeFill="background1"/>
              </w:rPr>
              <w:t>geolocation</w:t>
            </w:r>
            <w:proofErr w:type="spellEnd"/>
            <w:r w:rsidRPr="002020E5">
              <w:rPr>
                <w:shd w:val="clear" w:color="auto" w:fill="FFFFFF" w:themeFill="background1"/>
              </w:rPr>
              <w:t xml:space="preserve"> (national data only for subgroups). The proficient standard for ICT literacy</w:t>
            </w:r>
            <w:r w:rsidRPr="00D37799">
              <w:t xml:space="preserve"> performance is set at the boundary between proficiency </w:t>
            </w:r>
            <w:r>
              <w:t>l</w:t>
            </w:r>
            <w:r w:rsidRPr="00D37799">
              <w:t>evels 2 and 3</w:t>
            </w:r>
            <w:r>
              <w:t xml:space="preserve"> </w:t>
            </w:r>
            <w:r w:rsidRPr="00D37799">
              <w:t xml:space="preserve">for year 6, and at the boundary between </w:t>
            </w:r>
            <w:r>
              <w:t>p</w:t>
            </w:r>
            <w:r w:rsidRPr="00D37799">
              <w:t xml:space="preserve">roficiency </w:t>
            </w:r>
            <w:r>
              <w:t>l</w:t>
            </w:r>
            <w:r w:rsidRPr="00D37799">
              <w:t>evels 3 and 4 for year 10, (of levels 1 to 6). Data are reported for 2005, 2008</w:t>
            </w:r>
            <w:r w:rsidR="00C7799F">
              <w:t xml:space="preserve">, </w:t>
            </w:r>
            <w:r w:rsidR="00C7799F" w:rsidRPr="002020A0">
              <w:rPr>
                <w:shd w:val="clear" w:color="auto" w:fill="FFFFFF" w:themeFill="background1"/>
              </w:rPr>
              <w:t>2011 and 2014</w:t>
            </w:r>
            <w:r w:rsidRPr="002020A0">
              <w:rPr>
                <w:shd w:val="clear" w:color="auto" w:fill="FFFFFF" w:themeFill="background1"/>
              </w:rPr>
              <w:t>.</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Number of year 6 and year 10 students assessed achieving proficiency level 3</w:t>
            </w:r>
            <w:r>
              <w:t xml:space="preserve"> or above</w:t>
            </w:r>
            <w:r w:rsidRPr="00D37799">
              <w:t xml:space="preserve"> for year 6, and at level 4 </w:t>
            </w:r>
            <w:r>
              <w:t xml:space="preserve">or above </w:t>
            </w:r>
            <w:r w:rsidRPr="00D37799">
              <w:t>for year 10 on ICT literacy knowledge and understanding</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and year 10 students assessed on the ICT literacy knowledge and understanding</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The proportion of assessed year 6 and year 10 students who achieve at or above proficiency level 3 for year 6, and at level 4</w:t>
            </w:r>
            <w:r>
              <w:t xml:space="preserve"> or above</w:t>
            </w:r>
            <w:r w:rsidRPr="00D37799">
              <w:t xml:space="preserve"> for year 10 on the ICT literacy performance.</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C7799F">
            <w:pPr>
              <w:pStyle w:val="DQITableText"/>
            </w:pPr>
            <w:r w:rsidRPr="00D37799">
              <w:t xml:space="preserve">Published reports by </w:t>
            </w:r>
            <w:proofErr w:type="spellStart"/>
            <w:r w:rsidRPr="00D37799">
              <w:t>MCEECDYA</w:t>
            </w:r>
            <w:proofErr w:type="spellEnd"/>
            <w:r w:rsidRPr="00D37799">
              <w:t xml:space="preserve"> (2010) </w:t>
            </w:r>
            <w:proofErr w:type="spellStart"/>
            <w:r w:rsidR="00C7799F" w:rsidRPr="002020A0">
              <w:rPr>
                <w:shd w:val="clear" w:color="auto" w:fill="FFFFFF" w:themeFill="background1"/>
              </w:rPr>
              <w:t>ACARA</w:t>
            </w:r>
            <w:proofErr w:type="spellEnd"/>
            <w:r w:rsidR="00C7799F" w:rsidRPr="002020A0">
              <w:rPr>
                <w:shd w:val="clear" w:color="auto" w:fill="FFFFFF" w:themeFill="background1"/>
              </w:rPr>
              <w:t xml:space="preserve"> (2012) and ACARA (2015)</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rsidRPr="005B60C4">
              <w:t>The Contractor/Data Compiler collects data under a set of protocols 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Collection authority: ACARA Act</w:t>
            </w:r>
          </w:p>
          <w:p w:rsidR="00476C1C" w:rsidRPr="00D37799" w:rsidRDefault="00476C1C" w:rsidP="00E51EB3">
            <w:pPr>
              <w:pStyle w:val="DQITableText"/>
              <w:rPr>
                <w:b/>
              </w:rPr>
            </w:pPr>
            <w:r w:rsidRPr="00D37799">
              <w:t>Data Compiler(s): the contractor (in 2011, the contractor was the Australian Council for Educational Research, ACER))</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476C1C" w:rsidRPr="00D37799"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measures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pPr>
            <w:r w:rsidRPr="00D37799">
              <w:lastRenderedPageBreak/>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ICT Literacy test is conducted every three years.</w:t>
            </w:r>
          </w:p>
          <w:p w:rsidR="00476C1C" w:rsidRPr="00D37799" w:rsidRDefault="00476C1C" w:rsidP="00E51EB3">
            <w:pPr>
              <w:pStyle w:val="DQITableText"/>
            </w:pPr>
            <w:r w:rsidRPr="00D37799">
              <w:t>Data available: (for most recent data – 201</w:t>
            </w:r>
            <w:r w:rsidR="00C7799F">
              <w:t>4</w:t>
            </w:r>
            <w:r w:rsidRPr="00D37799">
              <w:t>) The 201</w:t>
            </w:r>
            <w:r w:rsidR="00C7799F">
              <w:t>4</w:t>
            </w:r>
            <w:r w:rsidRPr="00D37799">
              <w:t xml:space="preserve"> NAP ICT Literacy Year 6 and Year 10 Report and the 201</w:t>
            </w:r>
            <w:r w:rsidR="00C7799F">
              <w:t>4</w:t>
            </w:r>
            <w:r w:rsidRPr="00D37799">
              <w:t xml:space="preserve"> NAP ICT Literacy Technical Report were both released by ACARA in 201</w:t>
            </w:r>
            <w:r w:rsidR="00C7799F">
              <w:t>5</w:t>
            </w:r>
            <w:r w:rsidRPr="00D37799">
              <w:t>.</w:t>
            </w:r>
          </w:p>
          <w:p w:rsidR="00476C1C" w:rsidRPr="00D37799" w:rsidRDefault="00476C1C" w:rsidP="00E51EB3">
            <w:pPr>
              <w:pStyle w:val="DQITableText"/>
            </w:pPr>
            <w:r w:rsidRPr="00D37799">
              <w:t>Updates to the data after its release are not likely.</w:t>
            </w:r>
          </w:p>
        </w:tc>
      </w:tr>
      <w:tr w:rsidR="00476C1C" w:rsidRPr="00D37799" w:rsidTr="00972BB7">
        <w:trPr>
          <w:jc w:val="center"/>
        </w:trPr>
        <w:tc>
          <w:tcPr>
            <w:tcW w:w="1772"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Is collected at the school-level by</w:t>
            </w:r>
            <w:r w:rsidR="00C7799F">
              <w:t xml:space="preserve"> </w:t>
            </w:r>
            <w:proofErr w:type="spellStart"/>
            <w:r>
              <w:t>ACARA's</w:t>
            </w:r>
            <w:proofErr w:type="spellEnd"/>
            <w:r>
              <w:t xml:space="preserve"> contractor </w:t>
            </w:r>
            <w:r w:rsidRPr="00D37799">
              <w:t xml:space="preserve">who </w:t>
            </w:r>
            <w:r>
              <w:t xml:space="preserve">then </w:t>
            </w:r>
            <w:r w:rsidRPr="00D37799">
              <w:t>provide</w:t>
            </w:r>
            <w:r>
              <w:t>s the data</w:t>
            </w:r>
            <w:r w:rsidRPr="00D37799">
              <w:t xml:space="preserve"> to ACARA.</w:t>
            </w:r>
          </w:p>
          <w:p w:rsidR="00476C1C" w:rsidRPr="00D37799" w:rsidRDefault="00476C1C" w:rsidP="00E51EB3">
            <w:pPr>
              <w:pStyle w:val="DQITableText"/>
            </w:pPr>
            <w:r w:rsidRPr="00D37799">
              <w:t>Data Adjustments: Raw NAP ICT Literacy scores are converted to scaled scores.</w:t>
            </w:r>
          </w:p>
          <w:p w:rsidR="00476C1C" w:rsidRPr="00D37799" w:rsidRDefault="00476C1C" w:rsidP="00E51EB3">
            <w:pPr>
              <w:pStyle w:val="DQITableText"/>
            </w:pPr>
            <w:r w:rsidRPr="00D37799">
              <w:t>Sample/Collection size: The collection size is a nationally representative sample of Year 6 and Year 10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rPr>
                <w:b/>
              </w:rPr>
            </w:pPr>
            <w:r w:rsidRPr="00D37799">
              <w:t xml:space="preserve">Changes between cycles: Caution should be exercised when using the data to measure small changes from one cycle to the next. </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 ICT Literacy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bCs/>
              </w:rPr>
            </w:pPr>
            <w:r w:rsidRPr="00D37799">
              <w:rPr>
                <w:bCs/>
              </w:rPr>
              <w:t>Context: Yes, this is within the context of the NAP ICT Literacy testing and reporting environment.</w:t>
            </w:r>
          </w:p>
          <w:p w:rsidR="00476C1C" w:rsidRPr="00D37799" w:rsidRDefault="00476C1C" w:rsidP="00E51EB3">
            <w:pPr>
              <w:pStyle w:val="DQITableText"/>
              <w:rPr>
                <w:bCs/>
              </w:rPr>
            </w:pPr>
            <w:r w:rsidRPr="00D37799">
              <w:rPr>
                <w:bCs/>
              </w:rPr>
              <w:t xml:space="preserve">Other Supporting information: </w:t>
            </w:r>
            <w:proofErr w:type="spellStart"/>
            <w:r w:rsidRPr="00D37799">
              <w:rPr>
                <w:bCs/>
              </w:rPr>
              <w:t>FAQs</w:t>
            </w:r>
            <w:proofErr w:type="spellEnd"/>
            <w:r w:rsidRPr="00D37799">
              <w:rPr>
                <w:bCs/>
              </w:rPr>
              <w:t xml:space="preserve"> and Glossary on </w:t>
            </w:r>
            <w:proofErr w:type="spellStart"/>
            <w:r w:rsidRPr="00D37799">
              <w:rPr>
                <w:bCs/>
              </w:rPr>
              <w:t>www.nap.edu.au</w:t>
            </w:r>
            <w:proofErr w:type="spellEnd"/>
          </w:p>
          <w:p w:rsidR="00476C1C" w:rsidRPr="00D37799" w:rsidRDefault="00476C1C" w:rsidP="00E51EB3">
            <w:pPr>
              <w:pStyle w:val="DQITableText"/>
              <w:rPr>
                <w:bCs/>
              </w:rPr>
            </w:pPr>
            <w:r w:rsidRPr="00D37799">
              <w:rPr>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bCs/>
              </w:rPr>
            </w:pPr>
            <w:r w:rsidRPr="00D37799">
              <w:rPr>
                <w:bCs/>
              </w:rPr>
              <w:t>Socioeconomic status derivation: Not available</w:t>
            </w:r>
          </w:p>
          <w:p w:rsidR="00476C1C" w:rsidRPr="00D37799" w:rsidRDefault="00476C1C" w:rsidP="00E51EB3">
            <w:pPr>
              <w:pStyle w:val="DQITableText"/>
              <w:rPr>
                <w:b/>
              </w:rPr>
            </w:pPr>
            <w:r w:rsidRPr="00D37799">
              <w:rPr>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476C1C" w:rsidRDefault="00476C1C" w:rsidP="00E51EB3">
            <w:pPr>
              <w:pStyle w:val="DQITableText"/>
            </w:pPr>
            <w:r w:rsidRPr="00D37799">
              <w:t xml:space="preserve">The </w:t>
            </w:r>
            <w:r w:rsidR="0061062A">
              <w:t>data are</w:t>
            </w:r>
            <w:r w:rsidRPr="00D37799">
              <w:t xml:space="preserve"> available in PDF format.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Gaps/Issues Analysis</w:t>
            </w:r>
          </w:p>
        </w:tc>
      </w:tr>
      <w:tr w:rsidR="00476C1C" w:rsidRPr="00D37799" w:rsidTr="00972BB7">
        <w:trPr>
          <w:jc w:val="center"/>
        </w:trPr>
        <w:tc>
          <w:tcPr>
            <w:tcW w:w="1772" w:type="dxa"/>
          </w:tcPr>
          <w:p w:rsidR="00476C1C" w:rsidRPr="00D37799" w:rsidRDefault="00476C1C" w:rsidP="00E51EB3">
            <w:pPr>
              <w:pStyle w:val="DQIRowHeadings"/>
            </w:pPr>
            <w:r w:rsidRPr="00D37799">
              <w:t>Key data gaps /issues</w:t>
            </w:r>
          </w:p>
        </w:tc>
        <w:tc>
          <w:tcPr>
            <w:tcW w:w="6960" w:type="dxa"/>
          </w:tcPr>
          <w:p w:rsidR="00476C1C" w:rsidRPr="00D37799" w:rsidRDefault="00476C1C" w:rsidP="00E51EB3">
            <w:pPr>
              <w:pStyle w:val="DQITableText"/>
            </w:pPr>
            <w:r w:rsidRPr="00D37799">
              <w:t>The Steering Committee notes the following issues:</w:t>
            </w:r>
          </w:p>
          <w:p w:rsidR="00476C1C" w:rsidRPr="00D37799" w:rsidRDefault="00476C1C" w:rsidP="00E51EB3">
            <w:pPr>
              <w:pStyle w:val="DQITableBullet"/>
            </w:pPr>
            <w:r w:rsidRPr="002020E5">
              <w:rPr>
                <w:shd w:val="clear" w:color="auto" w:fill="FFFFFF" w:themeFill="background1"/>
              </w:rPr>
              <w:t>This is a three yearly sample assessment and therefore may not necessarily represent the outcomes were all students tested. Confidence intervals are provided.</w:t>
            </w:r>
          </w:p>
        </w:tc>
      </w:tr>
    </w:tbl>
    <w:p w:rsidR="00E51EB3" w:rsidRDefault="00E51EB3" w:rsidP="00E51EB3">
      <w:pPr>
        <w:pStyle w:val="BodyText"/>
      </w:pPr>
    </w:p>
    <w:p w:rsidR="00CB1FD9" w:rsidRPr="00CB1FD9" w:rsidRDefault="00CB1FD9" w:rsidP="00E51EB3">
      <w:pPr>
        <w:pStyle w:val="Heading3"/>
      </w:pPr>
      <w:bookmarkStart w:id="52" w:name="_Toc345658350"/>
      <w:bookmarkStart w:id="53" w:name="_Toc401837440"/>
      <w:bookmarkStart w:id="54" w:name="_Toc439840531"/>
      <w:r w:rsidRPr="00CB1FD9">
        <w:lastRenderedPageBreak/>
        <w:t>Learning outcomes – The proportion of students in the achieving at or above the proficient standard</w:t>
      </w:r>
      <w:r w:rsidR="00B901C9">
        <w:t>,</w:t>
      </w:r>
      <w:r w:rsidRPr="00CB1FD9">
        <w:t xml:space="preserve"> and in bottom and top levels of performance in international testing </w:t>
      </w:r>
      <w:bookmarkEnd w:id="52"/>
      <w:r w:rsidR="0085245C">
        <w:t xml:space="preserve">(PISA 2012, </w:t>
      </w:r>
      <w:proofErr w:type="spellStart"/>
      <w:r w:rsidR="0085245C">
        <w:t>TIMSS</w:t>
      </w:r>
      <w:proofErr w:type="spellEnd"/>
      <w:r w:rsidR="0085245C">
        <w:t xml:space="preserve"> 2011 and </w:t>
      </w:r>
      <w:proofErr w:type="spellStart"/>
      <w:r w:rsidR="0085245C">
        <w:t>PIRLS</w:t>
      </w:r>
      <w:proofErr w:type="spellEnd"/>
      <w:r w:rsidR="0085245C">
        <w:t xml:space="preserve"> 2011).</w:t>
      </w:r>
      <w:bookmarkEnd w:id="53"/>
      <w:bookmarkEnd w:id="54"/>
    </w:p>
    <w:p w:rsidR="00CB1FD9" w:rsidRPr="00CB1FD9" w:rsidRDefault="00CB1FD9" w:rsidP="00E51EB3">
      <w:pPr>
        <w:pStyle w:val="Box"/>
      </w:pPr>
      <w:r w:rsidRPr="00CB1FD9">
        <w:t xml:space="preserve">Data quality information for this indicator has been has been drafted by the School Education Working Group, (data supplied by ACER), with additional </w:t>
      </w:r>
      <w:r w:rsidR="00C67AD8">
        <w:t xml:space="preserve">material </w:t>
      </w:r>
      <w:r w:rsidR="0085245C">
        <w:t>supplied by</w:t>
      </w:r>
      <w:r w:rsidR="00C67AD8">
        <w:t xml:space="preserve"> ACER and </w:t>
      </w:r>
      <w:r w:rsidRPr="00CB1FD9">
        <w:t xml:space="preserve">Steering Committee comments. </w:t>
      </w:r>
    </w:p>
    <w:tbl>
      <w:tblPr>
        <w:tblW w:w="8981" w:type="dxa"/>
        <w:tblInd w:w="-53" w:type="dxa"/>
        <w:tblLook w:val="01E0" w:firstRow="1" w:lastRow="1" w:firstColumn="1" w:lastColumn="1" w:noHBand="0" w:noVBand="0"/>
      </w:tblPr>
      <w:tblGrid>
        <w:gridCol w:w="159"/>
        <w:gridCol w:w="1725"/>
        <w:gridCol w:w="6641"/>
        <w:gridCol w:w="297"/>
        <w:gridCol w:w="159"/>
      </w:tblGrid>
      <w:tr w:rsidR="00CB1FD9" w:rsidRPr="00CB1FD9" w:rsidTr="00F80BE7">
        <w:trPr>
          <w:gridBefore w:val="1"/>
          <w:wBefore w:w="159" w:type="dxa"/>
        </w:trPr>
        <w:tc>
          <w:tcPr>
            <w:tcW w:w="8822" w:type="dxa"/>
            <w:gridSpan w:val="4"/>
          </w:tcPr>
          <w:p w:rsidR="00CB1FD9" w:rsidRPr="00CB1FD9" w:rsidRDefault="00CB1FD9" w:rsidP="00E51EB3">
            <w:pPr>
              <w:pStyle w:val="DQIMainRowHeadings"/>
            </w:pPr>
            <w:r w:rsidRPr="00CB1FD9">
              <w:t>Indicator definition and description</w:t>
            </w:r>
          </w:p>
        </w:tc>
      </w:tr>
      <w:tr w:rsidR="00CB1FD9" w:rsidRPr="00CB1FD9" w:rsidTr="00F80BE7">
        <w:trPr>
          <w:gridBefore w:val="1"/>
          <w:wBefore w:w="159" w:type="dxa"/>
        </w:trPr>
        <w:tc>
          <w:tcPr>
            <w:tcW w:w="1725" w:type="dxa"/>
          </w:tcPr>
          <w:p w:rsidR="00CB1FD9" w:rsidRPr="00CB1FD9" w:rsidRDefault="00CB1FD9" w:rsidP="00E51EB3">
            <w:pPr>
              <w:pStyle w:val="DQIRowHeadings"/>
            </w:pPr>
            <w:r w:rsidRPr="00CB1FD9">
              <w:t>Element</w:t>
            </w:r>
          </w:p>
        </w:tc>
        <w:tc>
          <w:tcPr>
            <w:tcW w:w="7097" w:type="dxa"/>
            <w:gridSpan w:val="3"/>
          </w:tcPr>
          <w:p w:rsidR="00CB1FD9" w:rsidRPr="00CB1FD9" w:rsidRDefault="00CB1FD9" w:rsidP="00F80BE7">
            <w:pPr>
              <w:pStyle w:val="DQITableText"/>
            </w:pPr>
            <w:r w:rsidRPr="00CB1FD9">
              <w:t>Outcome</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Indicator</w:t>
            </w:r>
          </w:p>
        </w:tc>
        <w:tc>
          <w:tcPr>
            <w:tcW w:w="7097" w:type="dxa"/>
            <w:gridSpan w:val="3"/>
          </w:tcPr>
          <w:p w:rsidR="00CB1FD9" w:rsidRPr="00CB1FD9" w:rsidRDefault="00CB1FD9" w:rsidP="00F80BE7">
            <w:pPr>
              <w:pStyle w:val="DQITableText"/>
            </w:pPr>
            <w:r w:rsidRPr="00CB1FD9">
              <w:t>‘Learning outcomes’ – (reading literacy, scientific literacy, mathematical literacy</w:t>
            </w:r>
            <w:r w:rsidR="0085245C">
              <w:t xml:space="preserve"> </w:t>
            </w:r>
            <w:r w:rsidR="00F80BE7">
              <w:t>performance</w:t>
            </w:r>
            <w:r w:rsidRPr="00CB1FD9">
              <w:t>)</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Measure</w:t>
            </w:r>
          </w:p>
        </w:tc>
        <w:tc>
          <w:tcPr>
            <w:tcW w:w="7097" w:type="dxa"/>
            <w:gridSpan w:val="3"/>
            <w:shd w:val="clear" w:color="auto" w:fill="auto"/>
          </w:tcPr>
          <w:p w:rsidR="00CB1FD9" w:rsidRDefault="00CB1FD9" w:rsidP="00F80BE7">
            <w:pPr>
              <w:pStyle w:val="DQITableText"/>
            </w:pPr>
            <w:r w:rsidRPr="00CB1FD9">
              <w:t xml:space="preserve">Proportion of students that achieved at or above the nationally agreed proficiency level </w:t>
            </w:r>
          </w:p>
          <w:p w:rsidR="00901B20" w:rsidRDefault="00C67AD8" w:rsidP="00F80BE7">
            <w:pPr>
              <w:pStyle w:val="DQITableBullet"/>
            </w:pPr>
            <w:r w:rsidRPr="00F80BE7">
              <w:t>Numerator</w:t>
            </w:r>
            <w:r>
              <w:t xml:space="preserve">: </w:t>
            </w:r>
            <w:r w:rsidR="00CB1FD9" w:rsidRPr="00CB1FD9">
              <w:t xml:space="preserve">number of students who achieved at or above the nationally agreed proficiency level </w:t>
            </w:r>
          </w:p>
          <w:p w:rsidR="0072343D" w:rsidRDefault="00901B20" w:rsidP="00F80BE7">
            <w:pPr>
              <w:pStyle w:val="DQITableBullet2"/>
            </w:pPr>
            <w:r>
              <w:t>PISA: level 3</w:t>
            </w:r>
            <w:r w:rsidR="00CB1FD9" w:rsidRPr="00CB1FD9">
              <w:t xml:space="preserve"> for each of reading literacy, mathematical literacy and scientific literacy</w:t>
            </w:r>
            <w:r w:rsidR="0072343D">
              <w:t xml:space="preserve"> </w:t>
            </w:r>
          </w:p>
          <w:p w:rsidR="00C67AD8" w:rsidRDefault="00C67AD8" w:rsidP="00F80BE7">
            <w:pPr>
              <w:pStyle w:val="DQITableBullet2"/>
            </w:pPr>
            <w:proofErr w:type="spellStart"/>
            <w:r>
              <w:t>TIMSS</w:t>
            </w:r>
            <w:proofErr w:type="spellEnd"/>
            <w:r>
              <w:t>: intermediate and above (years 4 and 8 mathematic</w:t>
            </w:r>
            <w:r w:rsidR="00F128DD">
              <w:t>s achievement</w:t>
            </w:r>
            <w:r>
              <w:t xml:space="preserve"> and scien</w:t>
            </w:r>
            <w:r w:rsidR="00F128DD">
              <w:t>ce achievement</w:t>
            </w:r>
            <w:r>
              <w:t>)</w:t>
            </w:r>
          </w:p>
          <w:p w:rsidR="00C67AD8" w:rsidRDefault="00C67AD8" w:rsidP="00F80BE7">
            <w:pPr>
              <w:pStyle w:val="DQITableBullet2"/>
            </w:pPr>
            <w:proofErr w:type="spellStart"/>
            <w:r>
              <w:t>PIRLS</w:t>
            </w:r>
            <w:proofErr w:type="spellEnd"/>
            <w:r>
              <w:t>: intermediate and above (year 4 reading literacy</w:t>
            </w:r>
            <w:r w:rsidR="00F128DD">
              <w:t xml:space="preserve"> performance</w:t>
            </w:r>
            <w:r>
              <w:t>)</w:t>
            </w:r>
          </w:p>
          <w:p w:rsidR="00C67AD8" w:rsidRDefault="00C67AD8" w:rsidP="00F80BE7">
            <w:pPr>
              <w:pStyle w:val="DQITableBullet"/>
            </w:pPr>
            <w:r>
              <w:t>Denominator:</w:t>
            </w:r>
            <w:r w:rsidRPr="00CB1FD9">
              <w:t xml:space="preserve"> total population of all students (15 year old students participating in PISA</w:t>
            </w:r>
            <w:r w:rsidR="0049550B">
              <w:t>;</w:t>
            </w:r>
            <w:r>
              <w:t xml:space="preserve"> years 4 and 8 students participating in </w:t>
            </w:r>
            <w:proofErr w:type="spellStart"/>
            <w:r>
              <w:t>TIMSS</w:t>
            </w:r>
            <w:proofErr w:type="spellEnd"/>
            <w:r>
              <w:t xml:space="preserve"> and </w:t>
            </w:r>
            <w:proofErr w:type="spellStart"/>
            <w:r>
              <w:t>PIRLS</w:t>
            </w:r>
            <w:proofErr w:type="spellEnd"/>
            <w:r w:rsidRPr="00CB1FD9">
              <w:t>)</w:t>
            </w:r>
          </w:p>
          <w:p w:rsidR="00C67AD8" w:rsidRPr="00CB1FD9" w:rsidRDefault="00C67AD8" w:rsidP="00F80BE7">
            <w:pPr>
              <w:pStyle w:val="DQITableText"/>
            </w:pPr>
            <w:r w:rsidRPr="00CB1FD9">
              <w:t xml:space="preserve">Proportion of students in top and bottom levels of performance </w:t>
            </w:r>
          </w:p>
          <w:p w:rsidR="00C67AD8" w:rsidRDefault="00C67AD8" w:rsidP="00F80BE7">
            <w:pPr>
              <w:pStyle w:val="DQITableBullet"/>
            </w:pPr>
            <w:r w:rsidRPr="0049550B">
              <w:t>Numerator top level</w:t>
            </w:r>
            <w:r w:rsidRPr="00CB1FD9">
              <w:rPr>
                <w:i/>
              </w:rPr>
              <w:t>:</w:t>
            </w:r>
            <w:r w:rsidRPr="00CB1FD9">
              <w:t xml:space="preserve"> number of students who achieved</w:t>
            </w:r>
            <w:r>
              <w:t>:</w:t>
            </w:r>
          </w:p>
          <w:p w:rsidR="00C67AD8" w:rsidRDefault="00C67AD8" w:rsidP="00F80BE7">
            <w:pPr>
              <w:pStyle w:val="DQITableBullet2"/>
            </w:pPr>
            <w:r w:rsidRPr="00C67AD8">
              <w:t>PISA</w:t>
            </w:r>
            <w:r>
              <w:t>:</w:t>
            </w:r>
            <w:r w:rsidRPr="00C67AD8">
              <w:t xml:space="preserve"> </w:t>
            </w:r>
            <w:r w:rsidRPr="00CB1FD9">
              <w:t>at level 5 and level 6 on each of reading literacy, mathematical literacy and scientific literacy</w:t>
            </w:r>
          </w:p>
          <w:p w:rsidR="0049550B" w:rsidRPr="0049550B" w:rsidRDefault="00C67AD8" w:rsidP="00F80BE7">
            <w:pPr>
              <w:pStyle w:val="DQITableBullet2"/>
            </w:pPr>
            <w:proofErr w:type="spellStart"/>
            <w:r w:rsidRPr="0049550B">
              <w:t>TIMSS</w:t>
            </w:r>
            <w:proofErr w:type="spellEnd"/>
            <w:r w:rsidRPr="0049550B">
              <w:t xml:space="preserve"> and </w:t>
            </w:r>
            <w:proofErr w:type="spellStart"/>
            <w:r w:rsidRPr="0049550B">
              <w:t>PIRLS</w:t>
            </w:r>
            <w:proofErr w:type="spellEnd"/>
            <w:r w:rsidRPr="0049550B">
              <w:t>:</w:t>
            </w:r>
            <w:r w:rsidR="0049550B" w:rsidRPr="0049550B">
              <w:t xml:space="preserve"> above the Intermediate benchmark on each of reading </w:t>
            </w:r>
            <w:r w:rsidR="00F128DD">
              <w:t xml:space="preserve">literacy performance </w:t>
            </w:r>
            <w:r w:rsidR="0049550B" w:rsidRPr="0049550B">
              <w:t>(</w:t>
            </w:r>
            <w:proofErr w:type="spellStart"/>
            <w:r w:rsidR="0049550B">
              <w:t>PIRLS</w:t>
            </w:r>
            <w:proofErr w:type="spellEnd"/>
            <w:r w:rsidR="0049550B">
              <w:t xml:space="preserve"> Year 4);</w:t>
            </w:r>
            <w:r w:rsidR="0049550B" w:rsidRPr="0049550B">
              <w:t xml:space="preserve"> mathematics </w:t>
            </w:r>
            <w:r w:rsidR="00F128DD">
              <w:t xml:space="preserve">achievement </w:t>
            </w:r>
            <w:r w:rsidR="0049550B" w:rsidRPr="0049550B">
              <w:t>and science</w:t>
            </w:r>
            <w:r w:rsidR="0049550B">
              <w:t xml:space="preserve"> </w:t>
            </w:r>
            <w:r w:rsidR="00F128DD">
              <w:t xml:space="preserve">achievement </w:t>
            </w:r>
            <w:r w:rsidR="0049550B">
              <w:t>(</w:t>
            </w:r>
            <w:proofErr w:type="spellStart"/>
            <w:r w:rsidR="0049550B">
              <w:t>TIMSS</w:t>
            </w:r>
            <w:proofErr w:type="spellEnd"/>
            <w:r w:rsidR="0049550B">
              <w:t xml:space="preserve"> years 4 and 8)</w:t>
            </w:r>
            <w:r w:rsidR="0049550B" w:rsidRPr="0049550B">
              <w:t>.</w:t>
            </w:r>
          </w:p>
          <w:p w:rsidR="0049550B" w:rsidRDefault="00C67AD8" w:rsidP="00F80BE7">
            <w:pPr>
              <w:pStyle w:val="DQITableBullet"/>
            </w:pPr>
            <w:r w:rsidRPr="0049550B">
              <w:t>Numerator bottom level</w:t>
            </w:r>
            <w:r w:rsidRPr="0049550B">
              <w:rPr>
                <w:i/>
              </w:rPr>
              <w:t>:</w:t>
            </w:r>
            <w:r w:rsidRPr="0049550B">
              <w:t xml:space="preserve"> number</w:t>
            </w:r>
            <w:r w:rsidRPr="00CB1FD9">
              <w:t xml:space="preserve"> of students who achieved </w:t>
            </w:r>
          </w:p>
          <w:p w:rsidR="0049550B" w:rsidRDefault="0049550B" w:rsidP="00F80BE7">
            <w:pPr>
              <w:pStyle w:val="DQITableBullet2"/>
            </w:pPr>
            <w:r w:rsidRPr="00C67AD8">
              <w:t>PISA</w:t>
            </w:r>
            <w:r>
              <w:t>:</w:t>
            </w:r>
            <w:r w:rsidRPr="00C67AD8">
              <w:t xml:space="preserve"> </w:t>
            </w:r>
            <w:r w:rsidRPr="00CB1FD9">
              <w:t xml:space="preserve">at level </w:t>
            </w:r>
            <w:r>
              <w:t>1 or below</w:t>
            </w:r>
            <w:r w:rsidRPr="00CB1FD9">
              <w:t xml:space="preserve"> on each of reading literacy, mathematical literacy and scientific literacy</w:t>
            </w:r>
          </w:p>
          <w:p w:rsidR="0049550B" w:rsidRDefault="0049550B" w:rsidP="00F80BE7">
            <w:pPr>
              <w:pStyle w:val="DQITableBullet2"/>
            </w:pPr>
            <w:proofErr w:type="spellStart"/>
            <w:r w:rsidRPr="0049550B">
              <w:t>TIMSS</w:t>
            </w:r>
            <w:proofErr w:type="spellEnd"/>
            <w:r w:rsidRPr="0049550B">
              <w:t xml:space="preserve"> and </w:t>
            </w:r>
            <w:proofErr w:type="spellStart"/>
            <w:r w:rsidRPr="0049550B">
              <w:t>PIRLS</w:t>
            </w:r>
            <w:proofErr w:type="spellEnd"/>
            <w:r w:rsidRPr="0049550B">
              <w:t xml:space="preserve">: </w:t>
            </w:r>
            <w:r>
              <w:t>below</w:t>
            </w:r>
            <w:r w:rsidRPr="0049550B">
              <w:t xml:space="preserve"> the Intermediate benchmark on each of reading </w:t>
            </w:r>
            <w:r w:rsidR="00F128DD">
              <w:t xml:space="preserve">literacy performance </w:t>
            </w:r>
            <w:r w:rsidRPr="0049550B">
              <w:t>(</w:t>
            </w:r>
            <w:proofErr w:type="spellStart"/>
            <w:r>
              <w:t>PIRLS</w:t>
            </w:r>
            <w:proofErr w:type="spellEnd"/>
            <w:r>
              <w:t xml:space="preserve"> Year 4);</w:t>
            </w:r>
            <w:r w:rsidRPr="0049550B">
              <w:t xml:space="preserve"> </w:t>
            </w:r>
            <w:r w:rsidR="00F128DD" w:rsidRPr="0049550B">
              <w:t xml:space="preserve">mathematics </w:t>
            </w:r>
            <w:r w:rsidR="00F128DD">
              <w:t xml:space="preserve">achievement </w:t>
            </w:r>
            <w:r w:rsidR="00F128DD" w:rsidRPr="0049550B">
              <w:t>and science</w:t>
            </w:r>
            <w:r w:rsidR="00F128DD">
              <w:t xml:space="preserve"> achievement</w:t>
            </w:r>
            <w:r>
              <w:t xml:space="preserve"> (</w:t>
            </w:r>
            <w:proofErr w:type="spellStart"/>
            <w:r>
              <w:t>TIMSS</w:t>
            </w:r>
            <w:proofErr w:type="spellEnd"/>
            <w:r>
              <w:t xml:space="preserve"> years 4 and 8)</w:t>
            </w:r>
            <w:r w:rsidRPr="0049550B">
              <w:t>.</w:t>
            </w:r>
          </w:p>
          <w:p w:rsidR="00CB1FD9" w:rsidRPr="00DC0399" w:rsidRDefault="0049550B" w:rsidP="00F80BE7">
            <w:pPr>
              <w:pStyle w:val="DQITableBullet"/>
            </w:pPr>
            <w:r w:rsidRPr="00DC0399">
              <w:t xml:space="preserve">Denominator: total population of all students (15 year old students participating in PISA; years 4 and 8 students participating in </w:t>
            </w:r>
            <w:proofErr w:type="spellStart"/>
            <w:r w:rsidRPr="00DC0399">
              <w:t>TIMSS</w:t>
            </w:r>
            <w:proofErr w:type="spellEnd"/>
            <w:r w:rsidRPr="00DC0399">
              <w:t xml:space="preserve"> and </w:t>
            </w:r>
            <w:proofErr w:type="spellStart"/>
            <w:r w:rsidRPr="00DC0399">
              <w:t>PIRLS</w:t>
            </w:r>
            <w:proofErr w:type="spellEnd"/>
            <w:r w:rsidRPr="00DC0399">
              <w:t>)</w:t>
            </w:r>
            <w:r w:rsidR="0085245C">
              <w:t>.</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Data source</w:t>
            </w:r>
          </w:p>
        </w:tc>
        <w:tc>
          <w:tcPr>
            <w:tcW w:w="7097" w:type="dxa"/>
            <w:gridSpan w:val="3"/>
            <w:shd w:val="clear" w:color="auto" w:fill="auto"/>
          </w:tcPr>
          <w:p w:rsidR="00CB1FD9" w:rsidRPr="00CB1FD9" w:rsidRDefault="00CB1FD9" w:rsidP="00F80BE7">
            <w:pPr>
              <w:pStyle w:val="DQITableText"/>
            </w:pPr>
            <w:r w:rsidRPr="00CB1FD9">
              <w:t>PISA 20</w:t>
            </w:r>
            <w:r w:rsidR="00B901C9">
              <w:t xml:space="preserve">12 and earlier PISA cycles; </w:t>
            </w:r>
            <w:proofErr w:type="spellStart"/>
            <w:r w:rsidR="00B901C9">
              <w:t>TIMSS</w:t>
            </w:r>
            <w:proofErr w:type="spellEnd"/>
            <w:r w:rsidR="00B901C9">
              <w:t xml:space="preserve"> 2011 and earlier </w:t>
            </w:r>
            <w:proofErr w:type="spellStart"/>
            <w:r w:rsidR="00B901C9">
              <w:t>TIMSS</w:t>
            </w:r>
            <w:proofErr w:type="spellEnd"/>
            <w:r w:rsidR="00B901C9">
              <w:t xml:space="preserve"> cycles; </w:t>
            </w:r>
            <w:proofErr w:type="spellStart"/>
            <w:r w:rsidR="00B901C9">
              <w:t>PIRLS</w:t>
            </w:r>
            <w:proofErr w:type="spellEnd"/>
            <w:r w:rsidR="00B901C9">
              <w:t xml:space="preserve"> 2011</w:t>
            </w:r>
          </w:p>
        </w:tc>
      </w:tr>
      <w:tr w:rsidR="00E51EB3" w:rsidRPr="00D37799" w:rsidTr="00F80BE7">
        <w:tblPrEx>
          <w:jc w:val="center"/>
        </w:tblPrEx>
        <w:trPr>
          <w:gridAfter w:val="1"/>
          <w:wAfter w:w="159" w:type="dxa"/>
          <w:jc w:val="center"/>
        </w:trPr>
        <w:tc>
          <w:tcPr>
            <w:tcW w:w="8822" w:type="dxa"/>
            <w:gridSpan w:val="4"/>
          </w:tcPr>
          <w:p w:rsidR="00E51EB3" w:rsidRPr="00D37799" w:rsidRDefault="00E51EB3" w:rsidP="00E51EB3">
            <w:pPr>
              <w:pStyle w:val="DQIMainRowHeadings"/>
            </w:pPr>
            <w:r w:rsidRPr="00D37799">
              <w:t>Data Quality Framework Dimensions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Institutional Environment</w:t>
            </w:r>
          </w:p>
        </w:tc>
        <w:tc>
          <w:tcPr>
            <w:tcW w:w="7097" w:type="dxa"/>
            <w:gridSpan w:val="3"/>
            <w:shd w:val="clear" w:color="auto" w:fill="auto"/>
          </w:tcPr>
          <w:p w:rsidR="00CB1FD9" w:rsidRPr="00CB1FD9" w:rsidRDefault="00CB1FD9" w:rsidP="00F80BE7">
            <w:pPr>
              <w:pStyle w:val="DQITableText"/>
            </w:pPr>
            <w:r w:rsidRPr="00CB1FD9">
              <w:t>The data were collected by the Australian Council for Educational Research (ACER). ACER is an independent not for profit educational research company.</w:t>
            </w:r>
          </w:p>
          <w:p w:rsidR="00CB1FD9" w:rsidRPr="00CB1FD9" w:rsidRDefault="00CB1FD9" w:rsidP="00F80BE7">
            <w:pPr>
              <w:pStyle w:val="DQITableText"/>
            </w:pPr>
            <w:r w:rsidRPr="00CB1FD9">
              <w:t>ACER are contracted by the Australian and State and Territory Governments to manage PISA</w:t>
            </w:r>
            <w:r w:rsidR="00B901C9">
              <w:t xml:space="preserve">, </w:t>
            </w:r>
            <w:proofErr w:type="spellStart"/>
            <w:r w:rsidR="00B901C9" w:rsidRPr="0085245C">
              <w:t>TIMSS</w:t>
            </w:r>
            <w:proofErr w:type="spellEnd"/>
            <w:r w:rsidR="00B901C9" w:rsidRPr="0085245C">
              <w:t xml:space="preserve"> and </w:t>
            </w:r>
            <w:proofErr w:type="spellStart"/>
            <w:r w:rsidR="00B901C9" w:rsidRPr="0085245C">
              <w:t>PIRLS</w:t>
            </w:r>
            <w:proofErr w:type="spellEnd"/>
            <w:r w:rsidRPr="0085245C">
              <w:t xml:space="preserve"> </w:t>
            </w:r>
            <w:r w:rsidRPr="00CB1FD9">
              <w:t>in Australia</w:t>
            </w:r>
          </w:p>
          <w:p w:rsidR="00B901C9" w:rsidRPr="00B901C9" w:rsidRDefault="00B901C9" w:rsidP="00F80BE7">
            <w:pPr>
              <w:pStyle w:val="DQITableText"/>
            </w:pPr>
            <w:r w:rsidRPr="00B901C9">
              <w:t>Data are collected from students, teachers and schools directly by ACER. Statistical confidentiality is assured. All identifying data are removed from the data file prior to submission to the International Study Centre.</w:t>
            </w:r>
          </w:p>
          <w:p w:rsidR="00CB1FD9" w:rsidRPr="00CB1FD9" w:rsidRDefault="00B901C9" w:rsidP="00F80BE7">
            <w:pPr>
              <w:pStyle w:val="DQITableText"/>
            </w:pPr>
            <w:r w:rsidRPr="00B901C9">
              <w:t>The data are collected as part of the National Assessment Program. Participation of selected schools is mandatory, participation of students is voluntary.</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pPr>
            <w:r w:rsidRPr="00CB1FD9">
              <w:t>Relevance</w:t>
            </w:r>
          </w:p>
        </w:tc>
        <w:tc>
          <w:tcPr>
            <w:tcW w:w="7097" w:type="dxa"/>
            <w:gridSpan w:val="3"/>
            <w:shd w:val="clear" w:color="auto" w:fill="auto"/>
          </w:tcPr>
          <w:p w:rsidR="00CB1FD9" w:rsidRPr="00CB1FD9" w:rsidRDefault="00CB1FD9" w:rsidP="00F80BE7">
            <w:pPr>
              <w:pStyle w:val="DQITableText"/>
            </w:pPr>
            <w:r w:rsidRPr="00CB1FD9">
              <w:t xml:space="preserve">Level of Geography: State/Territory, Metropolitan, </w:t>
            </w:r>
            <w:r w:rsidR="001D5302" w:rsidRPr="00B901C9">
              <w:rPr>
                <w:shd w:val="clear" w:color="auto" w:fill="FFFFFF" w:themeFill="background1"/>
              </w:rPr>
              <w:t>Provincial</w:t>
            </w:r>
            <w:r w:rsidRPr="00B901C9">
              <w:rPr>
                <w:shd w:val="clear" w:color="auto" w:fill="FFFFFF" w:themeFill="background1"/>
              </w:rPr>
              <w:t xml:space="preserve"> a</w:t>
            </w:r>
            <w:r w:rsidRPr="00CB1FD9">
              <w:t>nd Remote</w:t>
            </w:r>
          </w:p>
          <w:p w:rsidR="00CB1FD9" w:rsidRPr="00CB1FD9" w:rsidRDefault="00CB1FD9" w:rsidP="00F80BE7">
            <w:pPr>
              <w:pStyle w:val="DQITableText"/>
            </w:pPr>
            <w:r w:rsidRPr="00CB1FD9">
              <w:t>Data Completeness: All data are available from this data source</w:t>
            </w:r>
          </w:p>
          <w:p w:rsidR="00CB1FD9" w:rsidRPr="00CB1FD9" w:rsidRDefault="00CB1FD9" w:rsidP="00F80BE7">
            <w:pPr>
              <w:pStyle w:val="DQITableText"/>
            </w:pPr>
            <w:r w:rsidRPr="00CB1FD9">
              <w:lastRenderedPageBreak/>
              <w:t>Indigenous Statistics: Indigenous status is obtained from students</w:t>
            </w:r>
          </w:p>
          <w:p w:rsidR="00CB1FD9" w:rsidRPr="00CB1FD9" w:rsidRDefault="00CB1FD9" w:rsidP="00F80BE7">
            <w:pPr>
              <w:pStyle w:val="DQITableText"/>
            </w:pPr>
            <w:r w:rsidRPr="00CB1FD9">
              <w:t>Socioeconomic status data: Socioeconomic status is available at all data levels</w:t>
            </w:r>
          </w:p>
          <w:p w:rsidR="00CB1FD9" w:rsidRPr="00B901C9" w:rsidRDefault="00CB1FD9" w:rsidP="00F80BE7">
            <w:pPr>
              <w:pStyle w:val="DQITableText"/>
            </w:pPr>
            <w:r w:rsidRPr="00CB1FD9">
              <w:t>Numerator/Denominator Source: Yes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lastRenderedPageBreak/>
              <w:t>Timeliness</w:t>
            </w:r>
          </w:p>
        </w:tc>
        <w:tc>
          <w:tcPr>
            <w:tcW w:w="7097" w:type="dxa"/>
            <w:gridSpan w:val="3"/>
            <w:shd w:val="clear" w:color="auto" w:fill="auto"/>
          </w:tcPr>
          <w:p w:rsidR="00CB1FD9" w:rsidRPr="00CB1FD9" w:rsidRDefault="00CB1FD9" w:rsidP="00F80BE7">
            <w:pPr>
              <w:pStyle w:val="DQITableText"/>
            </w:pPr>
            <w:r w:rsidRPr="00CB1FD9">
              <w:t xml:space="preserve">Collection interval/s: </w:t>
            </w:r>
            <w:r w:rsidRPr="0085245C">
              <w:t>every 3 years</w:t>
            </w:r>
            <w:r w:rsidR="0030109F" w:rsidRPr="0085245C">
              <w:t xml:space="preserve"> (PISA); every 4 years (</w:t>
            </w:r>
            <w:proofErr w:type="spellStart"/>
            <w:r w:rsidR="0030109F" w:rsidRPr="0085245C">
              <w:t>TIMSS</w:t>
            </w:r>
            <w:proofErr w:type="spellEnd"/>
            <w:r w:rsidR="0030109F" w:rsidRPr="0085245C">
              <w:t>); every 5 years (</w:t>
            </w:r>
            <w:proofErr w:type="spellStart"/>
            <w:r w:rsidR="0030109F" w:rsidRPr="0085245C">
              <w:t>PIRLS</w:t>
            </w:r>
            <w:proofErr w:type="spellEnd"/>
            <w:r w:rsidR="0030109F" w:rsidRPr="0085245C">
              <w:t>).</w:t>
            </w:r>
          </w:p>
          <w:p w:rsidR="00CB1FD9" w:rsidRPr="00CB1FD9" w:rsidRDefault="00CB1FD9" w:rsidP="00F80BE7">
            <w:pPr>
              <w:pStyle w:val="DQITableText"/>
            </w:pPr>
            <w:r w:rsidRPr="00CB1FD9">
              <w:t>Data available: December 201</w:t>
            </w:r>
            <w:r w:rsidR="0030109F">
              <w:t>3 (PISA 2012); December 2012 (</w:t>
            </w:r>
            <w:proofErr w:type="spellStart"/>
            <w:r w:rsidR="0030109F">
              <w:t>TIMSS</w:t>
            </w:r>
            <w:proofErr w:type="spellEnd"/>
            <w:r w:rsidR="0030109F">
              <w:t xml:space="preserve"> 2011; </w:t>
            </w:r>
            <w:proofErr w:type="spellStart"/>
            <w:r w:rsidR="0030109F">
              <w:t>PIRLS</w:t>
            </w:r>
            <w:proofErr w:type="spellEnd"/>
            <w:r w:rsidR="0030109F">
              <w:t xml:space="preserve"> 2011)</w:t>
            </w:r>
          </w:p>
          <w:p w:rsidR="00CB1FD9" w:rsidRPr="00CB1FD9" w:rsidRDefault="00CB1FD9" w:rsidP="00F80BE7">
            <w:pPr>
              <w:pStyle w:val="DQITableText"/>
            </w:pPr>
            <w:r w:rsidRPr="00CB1FD9">
              <w:t xml:space="preserve">Referenced Period: </w:t>
            </w:r>
            <w:r w:rsidRPr="0085245C">
              <w:t>The data are collected during the 20</w:t>
            </w:r>
            <w:r w:rsidR="0030109F" w:rsidRPr="0085245C">
              <w:t>12</w:t>
            </w:r>
            <w:r w:rsidRPr="0085245C">
              <w:t xml:space="preserve"> school year</w:t>
            </w:r>
            <w:r w:rsidR="0030109F" w:rsidRPr="0085245C">
              <w:t xml:space="preserve"> (PISA 2012); 201</w:t>
            </w:r>
            <w:r w:rsidR="005968C6">
              <w:t>0</w:t>
            </w:r>
            <w:r w:rsidR="0030109F" w:rsidRPr="0085245C">
              <w:t xml:space="preserve"> school year (</w:t>
            </w:r>
            <w:proofErr w:type="spellStart"/>
            <w:r w:rsidR="0030109F" w:rsidRPr="0085245C">
              <w:t>TIMSS</w:t>
            </w:r>
            <w:proofErr w:type="spellEnd"/>
            <w:r w:rsidR="0030109F" w:rsidRPr="0085245C">
              <w:t xml:space="preserve"> 2011; </w:t>
            </w:r>
            <w:proofErr w:type="spellStart"/>
            <w:r w:rsidR="0030109F" w:rsidRPr="0085245C">
              <w:t>PIRLS</w:t>
            </w:r>
            <w:proofErr w:type="spellEnd"/>
            <w:r w:rsidR="0030109F" w:rsidRPr="0085245C">
              <w:t xml:space="preserve"> 2011)</w:t>
            </w:r>
          </w:p>
          <w:p w:rsidR="00CB1FD9" w:rsidRPr="00CB1FD9" w:rsidRDefault="00CB1FD9" w:rsidP="00F80BE7">
            <w:pPr>
              <w:pStyle w:val="DQITableText"/>
            </w:pPr>
            <w:r w:rsidRPr="00CB1FD9">
              <w:t>No revisions likely</w:t>
            </w:r>
            <w:r w:rsidR="00901B20">
              <w:t>.</w:t>
            </w:r>
          </w:p>
          <w:p w:rsidR="00CB1FD9" w:rsidRPr="00CB1FD9" w:rsidRDefault="00CB1FD9" w:rsidP="00F80BE7">
            <w:pPr>
              <w:pStyle w:val="DQITableText"/>
            </w:pPr>
            <w:r w:rsidRPr="00CB1FD9">
              <w:t>Single data source only</w:t>
            </w:r>
          </w:p>
          <w:p w:rsidR="00CB1FD9" w:rsidRPr="00CB1FD9" w:rsidRDefault="00CB1FD9" w:rsidP="00F80BE7">
            <w:pPr>
              <w:pStyle w:val="DQITableText"/>
            </w:pPr>
            <w:r w:rsidRPr="00CB1FD9">
              <w:rPr>
                <w:szCs w:val="23"/>
              </w:rPr>
              <w:t>No other less frequent data sources that contain more detailed data can be used in other reporting years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Accuracy</w:t>
            </w:r>
          </w:p>
        </w:tc>
        <w:tc>
          <w:tcPr>
            <w:tcW w:w="7097" w:type="dxa"/>
            <w:gridSpan w:val="3"/>
            <w:shd w:val="clear" w:color="auto" w:fill="auto"/>
          </w:tcPr>
          <w:p w:rsidR="0030109F" w:rsidRPr="0030109F" w:rsidRDefault="0030109F" w:rsidP="00F80BE7">
            <w:pPr>
              <w:pStyle w:val="DQITableText"/>
              <w:rPr>
                <w:rFonts w:cs="Arial"/>
              </w:rPr>
            </w:pPr>
            <w:r w:rsidRPr="0030109F">
              <w:rPr>
                <w:rFonts w:cs="Arial"/>
              </w:rPr>
              <w:t xml:space="preserve">Method of Collection: </w:t>
            </w:r>
            <w:r w:rsidR="005968C6">
              <w:rPr>
                <w:rFonts w:cs="Arial"/>
              </w:rPr>
              <w:t xml:space="preserve">For PISA the test and questionnaires are administered to selected students in selected schools by independent test administrators who are employed by and trained by ACER. For </w:t>
            </w:r>
            <w:proofErr w:type="spellStart"/>
            <w:r w:rsidR="005968C6">
              <w:rPr>
                <w:rFonts w:cs="Arial"/>
              </w:rPr>
              <w:t>TIMSS</w:t>
            </w:r>
            <w:proofErr w:type="spellEnd"/>
            <w:r w:rsidR="005968C6">
              <w:rPr>
                <w:rFonts w:cs="Arial"/>
              </w:rPr>
              <w:t xml:space="preserve"> and </w:t>
            </w:r>
            <w:proofErr w:type="spellStart"/>
            <w:r w:rsidR="005968C6">
              <w:rPr>
                <w:rFonts w:cs="Arial"/>
              </w:rPr>
              <w:t>PIRLS</w:t>
            </w:r>
            <w:proofErr w:type="spellEnd"/>
            <w:r w:rsidR="005968C6">
              <w:rPr>
                <w:rFonts w:cs="Arial"/>
              </w:rPr>
              <w:t xml:space="preserve"> t</w:t>
            </w:r>
            <w:r w:rsidRPr="0030109F">
              <w:rPr>
                <w:rFonts w:cs="Arial"/>
              </w:rPr>
              <w:t xml:space="preserve">he test and questionnaires are administered to selected classes </w:t>
            </w:r>
            <w:r w:rsidR="005968C6">
              <w:rPr>
                <w:rFonts w:cs="Arial"/>
              </w:rPr>
              <w:t xml:space="preserve">in selected schools </w:t>
            </w:r>
            <w:r w:rsidRPr="0030109F">
              <w:rPr>
                <w:rFonts w:cs="Arial"/>
              </w:rPr>
              <w:t>by teachers at the school who are not teachers of the selected students.</w:t>
            </w:r>
          </w:p>
          <w:p w:rsidR="0030109F" w:rsidRPr="0030109F" w:rsidRDefault="0030109F" w:rsidP="00F80BE7">
            <w:pPr>
              <w:pStyle w:val="DQITableText"/>
              <w:rPr>
                <w:rFonts w:cs="Arial"/>
              </w:rPr>
            </w:pPr>
            <w:r w:rsidRPr="0030109F">
              <w:rPr>
                <w:rFonts w:cs="Arial"/>
              </w:rPr>
              <w:t>Data Adjustments: data are weighted only.</w:t>
            </w:r>
          </w:p>
          <w:p w:rsidR="0030109F" w:rsidRPr="0030109F" w:rsidRDefault="0030109F" w:rsidP="00F80BE7">
            <w:pPr>
              <w:pStyle w:val="DQITableText"/>
              <w:rPr>
                <w:rFonts w:cs="Arial"/>
              </w:rPr>
            </w:pPr>
            <w:r w:rsidRPr="0030109F">
              <w:rPr>
                <w:rFonts w:cs="Arial"/>
              </w:rPr>
              <w:t xml:space="preserve">Sample/Collection size: </w:t>
            </w:r>
            <w:r>
              <w:rPr>
                <w:rFonts w:cs="Arial"/>
              </w:rPr>
              <w:t xml:space="preserve">14 481 students aged </w:t>
            </w:r>
            <w:r w:rsidR="00761253" w:rsidRPr="00761253">
              <w:rPr>
                <w:rFonts w:cs="Arial"/>
              </w:rPr>
              <w:t xml:space="preserve">who are aged between 15 years and 3 months and 16 years and 2 months at the beginning of the testing period </w:t>
            </w:r>
            <w:r>
              <w:rPr>
                <w:rFonts w:cs="Arial"/>
              </w:rPr>
              <w:t>(PISA 2012)</w:t>
            </w:r>
            <w:r w:rsidR="00761253">
              <w:rPr>
                <w:rFonts w:cs="Arial"/>
              </w:rPr>
              <w:t xml:space="preserve">. </w:t>
            </w:r>
            <w:r w:rsidRPr="0030109F">
              <w:rPr>
                <w:rFonts w:cs="Arial"/>
              </w:rPr>
              <w:t xml:space="preserve">The </w:t>
            </w:r>
            <w:proofErr w:type="spellStart"/>
            <w:r w:rsidRPr="0030109F">
              <w:rPr>
                <w:rFonts w:cs="Arial"/>
              </w:rPr>
              <w:t>TIMSS</w:t>
            </w:r>
            <w:proofErr w:type="spellEnd"/>
            <w:r>
              <w:rPr>
                <w:rFonts w:cs="Arial"/>
              </w:rPr>
              <w:t xml:space="preserve"> 2011</w:t>
            </w:r>
            <w:r w:rsidRPr="0030109F">
              <w:rPr>
                <w:rFonts w:cs="Arial"/>
              </w:rPr>
              <w:t xml:space="preserve"> and </w:t>
            </w:r>
            <w:proofErr w:type="spellStart"/>
            <w:r w:rsidRPr="0030109F">
              <w:rPr>
                <w:rFonts w:cs="Arial"/>
              </w:rPr>
              <w:t>PIRLS</w:t>
            </w:r>
            <w:proofErr w:type="spellEnd"/>
            <w:r w:rsidRPr="0030109F">
              <w:rPr>
                <w:rFonts w:cs="Arial"/>
              </w:rPr>
              <w:t xml:space="preserve"> </w:t>
            </w:r>
            <w:r>
              <w:rPr>
                <w:rFonts w:cs="Arial"/>
              </w:rPr>
              <w:t xml:space="preserve">2011 </w:t>
            </w:r>
            <w:r w:rsidRPr="0030109F">
              <w:rPr>
                <w:rFonts w:cs="Arial"/>
              </w:rPr>
              <w:t xml:space="preserve">sample is about </w:t>
            </w:r>
            <w:r w:rsidR="005968C6">
              <w:rPr>
                <w:rFonts w:cs="Arial"/>
              </w:rPr>
              <w:t>6 150</w:t>
            </w:r>
            <w:r w:rsidRPr="0030109F">
              <w:rPr>
                <w:rFonts w:cs="Arial"/>
              </w:rPr>
              <w:t xml:space="preserve"> students at Year 4 and the </w:t>
            </w:r>
            <w:proofErr w:type="spellStart"/>
            <w:r w:rsidRPr="0030109F">
              <w:rPr>
                <w:rFonts w:cs="Arial"/>
              </w:rPr>
              <w:t>TIMSS</w:t>
            </w:r>
            <w:proofErr w:type="spellEnd"/>
            <w:r w:rsidRPr="0030109F">
              <w:rPr>
                <w:rFonts w:cs="Arial"/>
              </w:rPr>
              <w:t xml:space="preserve"> </w:t>
            </w:r>
            <w:r>
              <w:rPr>
                <w:rFonts w:cs="Arial"/>
              </w:rPr>
              <w:t xml:space="preserve">2011 </w:t>
            </w:r>
            <w:r w:rsidRPr="0030109F">
              <w:rPr>
                <w:rFonts w:cs="Arial"/>
              </w:rPr>
              <w:t xml:space="preserve">sample </w:t>
            </w:r>
            <w:r>
              <w:rPr>
                <w:rFonts w:cs="Arial"/>
              </w:rPr>
              <w:t xml:space="preserve">is about </w:t>
            </w:r>
            <w:r w:rsidRPr="0030109F">
              <w:rPr>
                <w:rFonts w:cs="Arial"/>
              </w:rPr>
              <w:t>7 500 students at Year 8.</w:t>
            </w:r>
          </w:p>
          <w:p w:rsidR="0030109F" w:rsidRPr="0030109F" w:rsidRDefault="0030109F" w:rsidP="00F80BE7">
            <w:pPr>
              <w:pStyle w:val="DQITableText"/>
              <w:rPr>
                <w:rFonts w:cs="Arial"/>
              </w:rPr>
            </w:pPr>
            <w:r w:rsidRPr="0030109F">
              <w:rPr>
                <w:rFonts w:cs="Arial"/>
              </w:rPr>
              <w:t>Response rate: Student response rate is about 95 per cent.</w:t>
            </w:r>
          </w:p>
          <w:p w:rsidR="0030109F" w:rsidRPr="0030109F" w:rsidRDefault="0030109F" w:rsidP="00F80BE7">
            <w:pPr>
              <w:pStyle w:val="DQITableText"/>
              <w:rPr>
                <w:rFonts w:cs="Arial"/>
              </w:rPr>
            </w:pPr>
            <w:r w:rsidRPr="0030109F">
              <w:rPr>
                <w:rFonts w:cs="Arial"/>
              </w:rPr>
              <w:t>Standard Errors: These vary but are included in tables where required.</w:t>
            </w:r>
          </w:p>
          <w:p w:rsidR="0030109F" w:rsidRPr="0030109F" w:rsidRDefault="0030109F" w:rsidP="00F80BE7">
            <w:pPr>
              <w:pStyle w:val="DQITableText"/>
              <w:rPr>
                <w:rFonts w:cs="Arial"/>
              </w:rPr>
            </w:pPr>
            <w:r w:rsidRPr="0030109F">
              <w:rPr>
                <w:rFonts w:cs="Arial"/>
              </w:rPr>
              <w:t>Data are test achievement data.</w:t>
            </w:r>
          </w:p>
          <w:p w:rsidR="0030109F" w:rsidRPr="0030109F" w:rsidRDefault="0030109F" w:rsidP="00F80BE7">
            <w:pPr>
              <w:pStyle w:val="DQITableText"/>
              <w:rPr>
                <w:rFonts w:cs="Arial"/>
              </w:rPr>
            </w:pPr>
            <w:r w:rsidRPr="0030109F">
              <w:rPr>
                <w:rFonts w:cs="Arial"/>
              </w:rPr>
              <w:t>There are no particular data tables for the performance indicator that require more detailed information or explanation.</w:t>
            </w:r>
          </w:p>
          <w:p w:rsidR="0030109F" w:rsidRPr="0030109F" w:rsidRDefault="0030109F" w:rsidP="00F80BE7">
            <w:pPr>
              <w:pStyle w:val="DQITableText"/>
              <w:rPr>
                <w:rFonts w:cs="Arial"/>
              </w:rPr>
            </w:pPr>
            <w:r w:rsidRPr="0030109F">
              <w:rPr>
                <w:rFonts w:cs="Arial"/>
              </w:rPr>
              <w:t>There are no external factors that may impact on the consistency of the data for the performance indicator.</w:t>
            </w:r>
          </w:p>
          <w:p w:rsidR="00CB1FD9" w:rsidRPr="00CB1FD9" w:rsidRDefault="0030109F" w:rsidP="00F80BE7">
            <w:pPr>
              <w:pStyle w:val="DQITableText"/>
              <w:rPr>
                <w:rFonts w:cs="Arial"/>
              </w:rPr>
            </w:pPr>
            <w:r w:rsidRPr="0030109F">
              <w:rPr>
                <w:rFonts w:cs="Arial"/>
              </w:rPr>
              <w:t>There are no revisions expected.</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Coherence</w:t>
            </w:r>
          </w:p>
        </w:tc>
        <w:tc>
          <w:tcPr>
            <w:tcW w:w="7097" w:type="dxa"/>
            <w:gridSpan w:val="3"/>
            <w:shd w:val="clear" w:color="auto" w:fill="auto"/>
          </w:tcPr>
          <w:p w:rsidR="0030109F" w:rsidRPr="0030109F" w:rsidRDefault="0030109F" w:rsidP="00F80BE7">
            <w:pPr>
              <w:pStyle w:val="DQITableText"/>
              <w:rPr>
                <w:rFonts w:cs="Arial"/>
              </w:rPr>
            </w:pPr>
            <w:r w:rsidRPr="0030109F">
              <w:rPr>
                <w:rFonts w:cs="Arial"/>
              </w:rPr>
              <w:t>The data are internally consistent.</w:t>
            </w:r>
          </w:p>
          <w:p w:rsidR="0030109F" w:rsidRPr="0030109F" w:rsidRDefault="0030109F" w:rsidP="00F80BE7">
            <w:pPr>
              <w:pStyle w:val="DQITableText"/>
              <w:rPr>
                <w:rFonts w:cs="Arial"/>
              </w:rPr>
            </w:pPr>
            <w:r w:rsidRPr="0030109F">
              <w:rPr>
                <w:rFonts w:cs="Arial"/>
              </w:rPr>
              <w:t>The numerator and denominator are compiled from a single source.</w:t>
            </w:r>
          </w:p>
          <w:p w:rsidR="0030109F" w:rsidRPr="0030109F" w:rsidRDefault="0030109F" w:rsidP="00F80BE7">
            <w:pPr>
              <w:pStyle w:val="DQITableText"/>
              <w:rPr>
                <w:rFonts w:cs="Arial"/>
              </w:rPr>
            </w:pPr>
            <w:r w:rsidRPr="0030109F">
              <w:rPr>
                <w:rFonts w:cs="Arial"/>
              </w:rPr>
              <w:t>The data are consistent with data supplied in previous reporting rounds.</w:t>
            </w:r>
          </w:p>
          <w:p w:rsidR="0030109F" w:rsidRPr="0030109F" w:rsidRDefault="0030109F" w:rsidP="00F80BE7">
            <w:pPr>
              <w:pStyle w:val="DQITableText"/>
              <w:rPr>
                <w:rFonts w:cs="Arial"/>
              </w:rPr>
            </w:pPr>
            <w:r w:rsidRPr="0030109F">
              <w:rPr>
                <w:rFonts w:cs="Arial"/>
              </w:rPr>
              <w:t>There have been no changes to the underlying data collection.</w:t>
            </w:r>
          </w:p>
          <w:p w:rsidR="0030109F" w:rsidRPr="0030109F" w:rsidRDefault="0030109F" w:rsidP="00F80BE7">
            <w:pPr>
              <w:pStyle w:val="DQITableText"/>
              <w:rPr>
                <w:rFonts w:cs="Arial"/>
              </w:rPr>
            </w:pPr>
            <w:r w:rsidRPr="0030109F">
              <w:rPr>
                <w:rFonts w:cs="Arial"/>
              </w:rPr>
              <w:t>No real world events have impacted on the data or its management.</w:t>
            </w:r>
          </w:p>
          <w:p w:rsidR="00CB1FD9" w:rsidRPr="00CB1FD9" w:rsidRDefault="0030109F" w:rsidP="00F80BE7">
            <w:pPr>
              <w:pStyle w:val="DQITableText"/>
              <w:rPr>
                <w:rFonts w:cs="Arial"/>
              </w:rPr>
            </w:pPr>
            <w:r w:rsidRPr="0030109F">
              <w:rPr>
                <w:rFonts w:cs="Arial"/>
              </w:rPr>
              <w:t>These data are not comparable with any other data sources.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Interpretability</w:t>
            </w:r>
          </w:p>
        </w:tc>
        <w:tc>
          <w:tcPr>
            <w:tcW w:w="7097" w:type="dxa"/>
            <w:gridSpan w:val="3"/>
            <w:shd w:val="clear" w:color="auto" w:fill="auto"/>
          </w:tcPr>
          <w:p w:rsidR="005968C6" w:rsidRPr="005968C6" w:rsidRDefault="0030109F" w:rsidP="00F80BE7">
            <w:pPr>
              <w:pStyle w:val="DQITableText"/>
              <w:rPr>
                <w:rFonts w:eastAsiaTheme="minorHAnsi" w:cs="Arial"/>
                <w:lang w:eastAsia="en-US"/>
              </w:rPr>
            </w:pPr>
            <w:r w:rsidRPr="005968C6">
              <w:rPr>
                <w:rFonts w:cs="Arial"/>
              </w:rPr>
              <w:t xml:space="preserve">All terms used in analysis are explained in the reports available from </w:t>
            </w:r>
            <w:proofErr w:type="spellStart"/>
            <w:r w:rsidR="005968C6" w:rsidRPr="005968C6">
              <w:rPr>
                <w:rFonts w:cs="Arial"/>
                <w:color w:val="0000FF"/>
                <w:u w:val="single"/>
              </w:rPr>
              <w:t>www.acer.edu.au</w:t>
            </w:r>
            <w:proofErr w:type="spellEnd"/>
            <w:r w:rsidR="005968C6" w:rsidRPr="005968C6">
              <w:rPr>
                <w:rFonts w:cs="Arial"/>
                <w:color w:val="0000FF"/>
                <w:u w:val="single"/>
              </w:rPr>
              <w:t>/</w:t>
            </w:r>
            <w:proofErr w:type="spellStart"/>
            <w:r w:rsidR="005968C6" w:rsidRPr="005968C6">
              <w:rPr>
                <w:rFonts w:cs="Arial"/>
                <w:color w:val="0000FF"/>
                <w:u w:val="single"/>
              </w:rPr>
              <w:t>timss</w:t>
            </w:r>
            <w:proofErr w:type="spellEnd"/>
            <w:r w:rsidR="005968C6" w:rsidRPr="005968C6">
              <w:rPr>
                <w:rFonts w:eastAsiaTheme="minorHAnsi" w:cs="Arial"/>
                <w:lang w:eastAsia="en-US"/>
              </w:rPr>
              <w:t xml:space="preserve"> and from </w:t>
            </w:r>
            <w:proofErr w:type="spellStart"/>
            <w:r w:rsidR="005968C6" w:rsidRPr="00111D1B">
              <w:rPr>
                <w:rFonts w:eastAsiaTheme="minorHAnsi" w:cs="Arial"/>
                <w:sz w:val="20"/>
                <w:lang w:eastAsia="en-US"/>
              </w:rPr>
              <w:t>www.acer.edu.au</w:t>
            </w:r>
            <w:proofErr w:type="spellEnd"/>
            <w:r w:rsidR="005968C6" w:rsidRPr="00111D1B">
              <w:rPr>
                <w:rFonts w:eastAsiaTheme="minorHAnsi" w:cs="Arial"/>
                <w:sz w:val="20"/>
                <w:lang w:eastAsia="en-US"/>
              </w:rPr>
              <w:t>/</w:t>
            </w:r>
            <w:proofErr w:type="spellStart"/>
            <w:r w:rsidR="005968C6" w:rsidRPr="00111D1B">
              <w:rPr>
                <w:rFonts w:eastAsiaTheme="minorHAnsi" w:cs="Arial"/>
                <w:sz w:val="20"/>
                <w:lang w:eastAsia="en-US"/>
              </w:rPr>
              <w:t>ozpisa</w:t>
            </w:r>
            <w:proofErr w:type="spellEnd"/>
          </w:p>
          <w:p w:rsidR="00CB1FD9" w:rsidRPr="005968C6" w:rsidRDefault="0030109F" w:rsidP="00F80BE7">
            <w:pPr>
              <w:pStyle w:val="DQITableText"/>
              <w:rPr>
                <w:rFonts w:cs="Arial"/>
              </w:rPr>
            </w:pPr>
            <w:r w:rsidRPr="005968C6">
              <w:rPr>
                <w:rFonts w:cs="Arial"/>
              </w:rPr>
              <w:t>There are no ambiguous terms</w:t>
            </w:r>
            <w:r w:rsidR="00901B20" w:rsidRPr="005968C6">
              <w:rPr>
                <w:rFonts w:cs="Arial"/>
              </w:rPr>
              <w:t>.</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Accessibility</w:t>
            </w:r>
          </w:p>
        </w:tc>
        <w:tc>
          <w:tcPr>
            <w:tcW w:w="7097" w:type="dxa"/>
            <w:gridSpan w:val="3"/>
            <w:shd w:val="clear" w:color="auto" w:fill="auto"/>
          </w:tcPr>
          <w:p w:rsidR="00CB1FD9" w:rsidRPr="005968C6" w:rsidRDefault="0030109F" w:rsidP="00F80BE7">
            <w:pPr>
              <w:pStyle w:val="DQITableText"/>
              <w:rPr>
                <w:rFonts w:cs="Arial"/>
              </w:rPr>
            </w:pPr>
            <w:r w:rsidRPr="005968C6">
              <w:rPr>
                <w:rFonts w:cs="Arial"/>
              </w:rPr>
              <w:t xml:space="preserve">Data are publicly available from </w:t>
            </w:r>
            <w:proofErr w:type="spellStart"/>
            <w:r w:rsidR="005968C6" w:rsidRPr="005968C6">
              <w:rPr>
                <w:rFonts w:cs="Arial"/>
              </w:rPr>
              <w:t>www.acer.edu.au</w:t>
            </w:r>
            <w:proofErr w:type="spellEnd"/>
            <w:r w:rsidR="005968C6" w:rsidRPr="005968C6">
              <w:rPr>
                <w:rFonts w:cs="Arial"/>
              </w:rPr>
              <w:t>/</w:t>
            </w:r>
            <w:proofErr w:type="spellStart"/>
            <w:r w:rsidR="005968C6" w:rsidRPr="005968C6">
              <w:rPr>
                <w:rFonts w:cs="Arial"/>
              </w:rPr>
              <w:t>timss</w:t>
            </w:r>
            <w:proofErr w:type="spellEnd"/>
            <w:r w:rsidR="005968C6" w:rsidRPr="005968C6">
              <w:rPr>
                <w:rFonts w:cs="Arial"/>
              </w:rPr>
              <w:t xml:space="preserve"> and from </w:t>
            </w:r>
            <w:proofErr w:type="spellStart"/>
            <w:r w:rsidR="005968C6" w:rsidRPr="005968C6">
              <w:rPr>
                <w:rFonts w:cs="Arial"/>
              </w:rPr>
              <w:t>www.acer.edu.au</w:t>
            </w:r>
            <w:proofErr w:type="spellEnd"/>
            <w:r w:rsidR="005968C6" w:rsidRPr="005968C6">
              <w:rPr>
                <w:rFonts w:cs="Arial"/>
              </w:rPr>
              <w:t>/</w:t>
            </w:r>
            <w:proofErr w:type="spellStart"/>
            <w:r w:rsidR="005968C6" w:rsidRPr="005968C6">
              <w:rPr>
                <w:rFonts w:cs="Arial"/>
              </w:rPr>
              <w:t>ozpisa</w:t>
            </w:r>
            <w:proofErr w:type="spellEnd"/>
            <w:r w:rsidR="005968C6">
              <w:rPr>
                <w:rFonts w:cs="Arial"/>
              </w:rPr>
              <w:t>.</w:t>
            </w:r>
            <w:r w:rsidRPr="005968C6">
              <w:rPr>
                <w:rFonts w:cs="Arial"/>
              </w:rPr>
              <w:t xml:space="preserve"> Some unpublished data have been provided by ACER for this report.</w:t>
            </w:r>
          </w:p>
        </w:tc>
      </w:tr>
      <w:tr w:rsidR="00F80BE7" w:rsidRPr="00CB1FD9" w:rsidTr="00F80BE7">
        <w:tblPrEx>
          <w:tblLook w:val="00A0" w:firstRow="1" w:lastRow="0" w:firstColumn="1" w:lastColumn="0" w:noHBand="0" w:noVBand="0"/>
        </w:tblPrEx>
        <w:trPr>
          <w:gridBefore w:val="1"/>
          <w:wBefore w:w="159" w:type="dxa"/>
        </w:trPr>
        <w:tc>
          <w:tcPr>
            <w:tcW w:w="8366" w:type="dxa"/>
            <w:gridSpan w:val="2"/>
          </w:tcPr>
          <w:p w:rsidR="00F80BE7" w:rsidRPr="00CB1FD9" w:rsidRDefault="00F80BE7" w:rsidP="00F80BE7">
            <w:pPr>
              <w:pStyle w:val="DQIMainRowHeadings"/>
            </w:pPr>
            <w:r w:rsidRPr="00CB1FD9">
              <w:t>Data Gaps/Issues Analysis</w:t>
            </w:r>
          </w:p>
        </w:tc>
        <w:tc>
          <w:tcPr>
            <w:tcW w:w="456" w:type="dxa"/>
            <w:gridSpan w:val="2"/>
            <w:shd w:val="clear" w:color="auto" w:fill="auto"/>
          </w:tcPr>
          <w:p w:rsidR="00F80BE7" w:rsidRPr="005968C6" w:rsidRDefault="00F80BE7" w:rsidP="00F80BE7">
            <w:pPr>
              <w:pStyle w:val="DQITableText"/>
              <w:rPr>
                <w:rFonts w:cs="Arial"/>
              </w:rPr>
            </w:pPr>
          </w:p>
        </w:tc>
      </w:tr>
      <w:tr w:rsidR="00F80BE7" w:rsidRPr="00CB1FD9" w:rsidTr="00F80BE7">
        <w:tblPrEx>
          <w:tblLook w:val="00A0" w:firstRow="1" w:lastRow="0" w:firstColumn="1" w:lastColumn="0" w:noHBand="0" w:noVBand="0"/>
        </w:tblPrEx>
        <w:trPr>
          <w:gridBefore w:val="1"/>
          <w:wBefore w:w="159" w:type="dxa"/>
        </w:trPr>
        <w:tc>
          <w:tcPr>
            <w:tcW w:w="1725" w:type="dxa"/>
          </w:tcPr>
          <w:p w:rsidR="00F80BE7" w:rsidRPr="00F80BE7" w:rsidRDefault="00F80BE7" w:rsidP="00F80BE7">
            <w:pPr>
              <w:pStyle w:val="DQIRowHeadings"/>
            </w:pPr>
            <w:r w:rsidRPr="00F80BE7">
              <w:t>Key data gaps/issues</w:t>
            </w:r>
          </w:p>
        </w:tc>
        <w:tc>
          <w:tcPr>
            <w:tcW w:w="7097" w:type="dxa"/>
            <w:gridSpan w:val="3"/>
            <w:shd w:val="clear" w:color="auto" w:fill="auto"/>
          </w:tcPr>
          <w:p w:rsidR="00F80BE7" w:rsidRPr="00CB1FD9" w:rsidRDefault="00F80BE7" w:rsidP="00F80BE7">
            <w:pPr>
              <w:pStyle w:val="DQITableText"/>
            </w:pPr>
            <w:r w:rsidRPr="00CB1FD9">
              <w:t>The Steering Committee notes the following issues:</w:t>
            </w:r>
          </w:p>
          <w:p w:rsidR="00F80BE7" w:rsidRPr="00CB1FD9" w:rsidRDefault="00F80BE7" w:rsidP="00F80BE7">
            <w:pPr>
              <w:pStyle w:val="DQITableBullet"/>
            </w:pPr>
            <w:r w:rsidRPr="00CB1FD9">
              <w:t xml:space="preserve">The population sample for this data collection does not support disaggregation at the State and Territory level by Indigenous status. Further analysis is required to determine whether an alternative data source is necessary and/or more refined </w:t>
            </w:r>
            <w:r w:rsidRPr="00CB1FD9">
              <w:lastRenderedPageBreak/>
              <w:t>indicators/measures developed.</w:t>
            </w:r>
          </w:p>
          <w:p w:rsidR="00F80BE7" w:rsidRPr="00CB1FD9" w:rsidRDefault="00F80BE7" w:rsidP="00F80BE7">
            <w:pPr>
              <w:pStyle w:val="DQITableBullet"/>
            </w:pPr>
            <w:r w:rsidRPr="00CB1FD9">
              <w:t xml:space="preserve">The disaggregation of data to report students in the ‘top’ and ‘bottom’ levels of performance has resulted in larger </w:t>
            </w:r>
            <w:proofErr w:type="spellStart"/>
            <w:r w:rsidRPr="00CB1FD9">
              <w:t>RSEs</w:t>
            </w:r>
            <w:proofErr w:type="spellEnd"/>
            <w:r w:rsidRPr="00CB1FD9">
              <w:t xml:space="preserve"> than for the disaggregation of data to report students ‘at or above the national minimum standard’. The size of the </w:t>
            </w:r>
            <w:proofErr w:type="spellStart"/>
            <w:r w:rsidRPr="00CB1FD9">
              <w:t>RSEs</w:t>
            </w:r>
            <w:proofErr w:type="spellEnd"/>
            <w:r w:rsidRPr="00CB1FD9">
              <w:t xml:space="preserve"> affects the ability to identify small movements over time.</w:t>
            </w:r>
          </w:p>
          <w:p w:rsidR="00F80BE7" w:rsidRPr="005968C6" w:rsidRDefault="00F80BE7" w:rsidP="00F80BE7">
            <w:pPr>
              <w:pStyle w:val="DQITableBullet"/>
            </w:pPr>
            <w:r w:rsidRPr="00CB1FD9">
              <w:t>PISA data do not account for the differences in school starting ages across states and territories — a 15 year old in one jurisdiction could be in year 9, while a 15 year old in another jurisdiction could be in year 11.</w:t>
            </w:r>
          </w:p>
        </w:tc>
      </w:tr>
    </w:tbl>
    <w:p w:rsidR="00893DAB" w:rsidRDefault="00893DAB" w:rsidP="00D20318">
      <w:pPr>
        <w:pStyle w:val="BodyText"/>
      </w:pPr>
    </w:p>
    <w:p w:rsidR="00F80BE7" w:rsidRDefault="00F80BE7" w:rsidP="00D20318">
      <w:pPr>
        <w:pStyle w:val="BodyText"/>
      </w:pPr>
    </w:p>
    <w:p w:rsidR="00D20318" w:rsidRPr="00F80BE7" w:rsidRDefault="00D20318" w:rsidP="00F80BE7">
      <w:pPr>
        <w:pStyle w:val="BodyText"/>
      </w:pPr>
      <w:r w:rsidRPr="00F80BE7">
        <w:br w:type="page"/>
      </w:r>
    </w:p>
    <w:p w:rsidR="006A7E57" w:rsidRPr="006A7E57" w:rsidRDefault="006A7E57" w:rsidP="006A7E57">
      <w:pPr>
        <w:pStyle w:val="Heading3"/>
      </w:pPr>
      <w:bookmarkStart w:id="55" w:name="_Toc439840532"/>
      <w:bookmarkStart w:id="56" w:name="_Toc401837441"/>
      <w:r w:rsidRPr="006A7E57">
        <w:lastRenderedPageBreak/>
        <w:t xml:space="preserve">Learning outcomes – The proportions of sampled students achieving at various proficiency levels, and mean scale scores on the </w:t>
      </w:r>
      <w:proofErr w:type="spellStart"/>
      <w:r w:rsidRPr="006A7E57">
        <w:t>ICILS</w:t>
      </w:r>
      <w:proofErr w:type="spellEnd"/>
      <w:r w:rsidRPr="006A7E57">
        <w:t>.</w:t>
      </w:r>
      <w:bookmarkEnd w:id="55"/>
    </w:p>
    <w:p w:rsidR="006A7E57" w:rsidRPr="006A7E57" w:rsidRDefault="006A7E57" w:rsidP="006A7E57">
      <w:pPr>
        <w:keepNext/>
        <w:spacing w:before="120" w:line="260" w:lineRule="atLeast"/>
        <w:jc w:val="both"/>
        <w:rPr>
          <w:rFonts w:ascii="Arial" w:hAnsi="Arial"/>
          <w:sz w:val="20"/>
          <w:szCs w:val="20"/>
        </w:rPr>
      </w:pPr>
      <w:r w:rsidRPr="006A7E57">
        <w:rPr>
          <w:rFonts w:ascii="Arial" w:hAnsi="Arial"/>
          <w:sz w:val="20"/>
          <w:szCs w:val="20"/>
        </w:rPr>
        <w:t xml:space="preserve">Data quality information for this indicator has been has been drafted by the School Education Working Group, with additional material supplied by ACER and Steering Committee comments. </w:t>
      </w:r>
    </w:p>
    <w:tbl>
      <w:tblPr>
        <w:tblW w:w="8981" w:type="dxa"/>
        <w:tblInd w:w="-53" w:type="dxa"/>
        <w:tblLook w:val="01E0" w:firstRow="1" w:lastRow="1" w:firstColumn="1" w:lastColumn="1" w:noHBand="0" w:noVBand="0"/>
      </w:tblPr>
      <w:tblGrid>
        <w:gridCol w:w="159"/>
        <w:gridCol w:w="1725"/>
        <w:gridCol w:w="6641"/>
        <w:gridCol w:w="297"/>
        <w:gridCol w:w="159"/>
      </w:tblGrid>
      <w:tr w:rsidR="006A7E57" w:rsidRPr="006A7E57" w:rsidTr="00D8022A">
        <w:trPr>
          <w:gridBefore w:val="1"/>
          <w:wBefore w:w="159" w:type="dxa"/>
        </w:trPr>
        <w:tc>
          <w:tcPr>
            <w:tcW w:w="8822" w:type="dxa"/>
            <w:gridSpan w:val="4"/>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Indicator definition and description</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Element</w:t>
            </w:r>
          </w:p>
        </w:tc>
        <w:tc>
          <w:tcPr>
            <w:tcW w:w="7097" w:type="dxa"/>
            <w:gridSpan w:val="3"/>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Outcome</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Indicator</w:t>
            </w:r>
          </w:p>
        </w:tc>
        <w:tc>
          <w:tcPr>
            <w:tcW w:w="7097" w:type="dxa"/>
            <w:gridSpan w:val="3"/>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‘Learning outcomes’ </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Measure</w:t>
            </w:r>
          </w:p>
        </w:tc>
        <w:tc>
          <w:tcPr>
            <w:tcW w:w="7097" w:type="dxa"/>
            <w:gridSpan w:val="3"/>
            <w:shd w:val="clear" w:color="auto" w:fill="auto"/>
          </w:tcPr>
          <w:p w:rsidR="006A7E57" w:rsidRPr="006A7E57" w:rsidRDefault="006A7E57" w:rsidP="006A7E57">
            <w:pPr>
              <w:keepNext/>
              <w:keepLines/>
              <w:spacing w:before="120" w:line="200" w:lineRule="atLeast"/>
              <w:ind w:left="154" w:hanging="142"/>
              <w:jc w:val="both"/>
              <w:rPr>
                <w:rFonts w:ascii="Arial" w:hAnsi="Arial"/>
                <w:sz w:val="18"/>
                <w:szCs w:val="20"/>
              </w:rPr>
            </w:pPr>
            <w:r w:rsidRPr="006A7E57">
              <w:rPr>
                <w:rFonts w:ascii="Arial" w:hAnsi="Arial"/>
                <w:sz w:val="18"/>
                <w:szCs w:val="20"/>
              </w:rPr>
              <w:t>1. Proportion of students that achieved at each proficiency level (there is no nationally agreed proficiency level)</w:t>
            </w:r>
          </w:p>
          <w:p w:rsidR="006A7E57" w:rsidRPr="006A7E57" w:rsidRDefault="006A7E57" w:rsidP="006A7E57">
            <w:pPr>
              <w:keepNext/>
              <w:keepLines/>
              <w:spacing w:before="40" w:line="200" w:lineRule="atLeast"/>
              <w:ind w:left="154" w:right="113"/>
              <w:jc w:val="both"/>
              <w:rPr>
                <w:rFonts w:ascii="Arial" w:hAnsi="Arial"/>
                <w:sz w:val="18"/>
                <w:szCs w:val="20"/>
              </w:rPr>
            </w:pPr>
            <w:r w:rsidRPr="006A7E57">
              <w:rPr>
                <w:rFonts w:ascii="Arial" w:hAnsi="Arial"/>
                <w:sz w:val="18"/>
                <w:szCs w:val="20"/>
              </w:rPr>
              <w:t xml:space="preserve">Numerator: number of students who achieved at each proficiency level </w:t>
            </w:r>
          </w:p>
          <w:p w:rsidR="006A7E57" w:rsidRPr="006A7E57" w:rsidRDefault="006A7E57" w:rsidP="006A7E57">
            <w:pPr>
              <w:keepNext/>
              <w:keepLines/>
              <w:spacing w:before="40" w:line="200" w:lineRule="atLeast"/>
              <w:ind w:left="170" w:right="113" w:hanging="16"/>
              <w:jc w:val="both"/>
              <w:rPr>
                <w:rFonts w:ascii="Arial" w:hAnsi="Arial"/>
                <w:sz w:val="18"/>
                <w:szCs w:val="20"/>
              </w:rPr>
            </w:pPr>
            <w:r w:rsidRPr="006A7E57">
              <w:rPr>
                <w:rFonts w:ascii="Arial" w:hAnsi="Arial"/>
                <w:sz w:val="18"/>
                <w:szCs w:val="20"/>
              </w:rPr>
              <w:t xml:space="preserve">Denominator: total population of year 8 students participating in </w:t>
            </w:r>
            <w:proofErr w:type="spellStart"/>
            <w:r w:rsidRPr="006A7E57">
              <w:rPr>
                <w:rFonts w:ascii="Arial" w:hAnsi="Arial"/>
                <w:sz w:val="18"/>
                <w:szCs w:val="20"/>
              </w:rPr>
              <w:t>ICILS</w:t>
            </w:r>
            <w:proofErr w:type="spellEnd"/>
          </w:p>
          <w:p w:rsidR="006A7E57" w:rsidRPr="006A7E57" w:rsidRDefault="006A7E57" w:rsidP="006A7E57">
            <w:pPr>
              <w:keepNext/>
              <w:keepLines/>
              <w:spacing w:before="120" w:line="200" w:lineRule="atLeast"/>
              <w:ind w:left="12"/>
              <w:jc w:val="both"/>
              <w:rPr>
                <w:rFonts w:ascii="Arial" w:hAnsi="Arial"/>
                <w:sz w:val="18"/>
                <w:szCs w:val="20"/>
              </w:rPr>
            </w:pPr>
            <w:r w:rsidRPr="006A7E57">
              <w:rPr>
                <w:rFonts w:ascii="Arial" w:hAnsi="Arial"/>
                <w:sz w:val="18"/>
                <w:szCs w:val="20"/>
              </w:rPr>
              <w:t>2. the mean score for students</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Data source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proofErr w:type="spellStart"/>
            <w:r w:rsidRPr="006A7E57">
              <w:rPr>
                <w:rFonts w:ascii="Arial" w:hAnsi="Arial"/>
                <w:sz w:val="18"/>
                <w:szCs w:val="20"/>
              </w:rPr>
              <w:t>ICILS</w:t>
            </w:r>
            <w:proofErr w:type="spellEnd"/>
            <w:r w:rsidRPr="006A7E57">
              <w:rPr>
                <w:rFonts w:ascii="Arial" w:hAnsi="Arial"/>
                <w:sz w:val="18"/>
                <w:szCs w:val="20"/>
              </w:rPr>
              <w:t xml:space="preserve"> 2013</w:t>
            </w:r>
          </w:p>
        </w:tc>
      </w:tr>
      <w:tr w:rsidR="006A7E57" w:rsidRPr="006A7E57" w:rsidTr="00D8022A">
        <w:tblPrEx>
          <w:jc w:val="center"/>
        </w:tblPrEx>
        <w:trPr>
          <w:gridAfter w:val="1"/>
          <w:wAfter w:w="159" w:type="dxa"/>
          <w:jc w:val="center"/>
        </w:trPr>
        <w:tc>
          <w:tcPr>
            <w:tcW w:w="8822" w:type="dxa"/>
            <w:gridSpan w:val="4"/>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Data Quality Framework Dimensions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Institutional Environment</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The data were collected by the Australian Council for Educational Research (ACER). ACER is an independent not for profit educational research company.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Data are collected from students, teachers and schools directly by ACER. Statistical confidentiality is assured.</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Participation of selected schools is voluntary.</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Relevance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Level of Geography: All students, geographically remote students</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Data Completeness: All data are available from this data source</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Indigenous Statistics: Indigenous status is obtained from students</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Socioeconomic status data: Socioeconomic status is available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Numerator/Denominator Source: Yes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Timeliness</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Collection interval/s: This is the first collection of </w:t>
            </w:r>
            <w:proofErr w:type="spellStart"/>
            <w:r w:rsidRPr="006A7E57">
              <w:rPr>
                <w:rFonts w:ascii="Arial" w:hAnsi="Arial"/>
                <w:sz w:val="18"/>
                <w:szCs w:val="20"/>
              </w:rPr>
              <w:t>ICILS</w:t>
            </w:r>
            <w:proofErr w:type="spellEnd"/>
            <w:r w:rsidRPr="006A7E57">
              <w:rPr>
                <w:rFonts w:ascii="Arial" w:hAnsi="Arial"/>
                <w:sz w:val="18"/>
                <w:szCs w:val="20"/>
              </w:rPr>
              <w:t xml:space="preserve"> data..</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Data available: November 2014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Referenced Period: Australian data are collected in November 2013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No revisions likely.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Single data source only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3"/>
              </w:rPr>
              <w:t>No other less frequent data sources that contain more detailed data can be used in other reporting years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Accuracy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 xml:space="preserve">Method of Collection: The test and questionnaires are administered to selected classes in selected schools by external Test Administrators. </w:t>
            </w:r>
            <w:r w:rsidRPr="006A7E57">
              <w:rPr>
                <w:rFonts w:ascii="Univers-Light" w:hAnsi="Univers-Light" w:cs="Univers-Light"/>
                <w:sz w:val="18"/>
                <w:szCs w:val="18"/>
                <w:lang w:eastAsia="en-US"/>
              </w:rPr>
              <w:t xml:space="preserve">The </w:t>
            </w:r>
            <w:proofErr w:type="spellStart"/>
            <w:r w:rsidRPr="006A7E57">
              <w:rPr>
                <w:rFonts w:ascii="Univers-Light" w:hAnsi="Univers-Light" w:cs="Univers-Light"/>
                <w:sz w:val="18"/>
                <w:szCs w:val="18"/>
                <w:lang w:eastAsia="en-US"/>
              </w:rPr>
              <w:t>ICILS</w:t>
            </w:r>
            <w:proofErr w:type="spellEnd"/>
            <w:r w:rsidRPr="006A7E57">
              <w:rPr>
                <w:rFonts w:ascii="Univers-Light" w:hAnsi="Univers-Light" w:cs="Univers-Light"/>
                <w:sz w:val="18"/>
                <w:szCs w:val="18"/>
                <w:lang w:eastAsia="en-US"/>
              </w:rPr>
              <w:t xml:space="preserve"> student assessment and questionnaire were administered solely on computer</w:t>
            </w:r>
            <w:r w:rsidRPr="006A7E57">
              <w:rPr>
                <w:rFonts w:ascii="Arial" w:hAnsi="Arial" w:cs="Arial"/>
                <w:sz w:val="18"/>
                <w:szCs w:val="20"/>
              </w:rPr>
              <w: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Adjustments: data are weighted.</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Sample/Collection size: 5326 students in Year 8.</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Response rate: Student response rate is about 88 per cent.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Standard Errors: These vary but are included in tables where required.</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are test achievement data.</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particular data tables for the performance indicator that require more detailed information or explanation.</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external factors that may impact on the consistency of the data for the performance indicator.</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revisions expected.</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lastRenderedPageBreak/>
              <w:t>Coherence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 data are internally consistent.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 numerator and denominator are compiled from a single source.</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 data are consistent with data supplied in previous reporting rounds.</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have been no changes to the underlying data collection.</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No real world events have impacted on the data or its management.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These data are not comparable with any other data sources.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Interpretability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eastAsiaTheme="minorHAnsi" w:hAnsi="Arial" w:cs="Arial"/>
                <w:sz w:val="18"/>
                <w:szCs w:val="20"/>
                <w:lang w:eastAsia="en-US"/>
              </w:rPr>
            </w:pPr>
            <w:r w:rsidRPr="006A7E57">
              <w:rPr>
                <w:rFonts w:ascii="Arial" w:hAnsi="Arial" w:cs="Arial"/>
                <w:sz w:val="18"/>
                <w:szCs w:val="20"/>
              </w:rPr>
              <w:t xml:space="preserve">All terms used in analysis are explained in the reports available from </w:t>
            </w:r>
            <w:r w:rsidRPr="006A7E57">
              <w:rPr>
                <w:rFonts w:ascii="Arial" w:eastAsiaTheme="minorHAnsi" w:hAnsi="Arial" w:cs="Arial"/>
                <w:sz w:val="18"/>
                <w:szCs w:val="20"/>
                <w:lang w:eastAsia="en-US"/>
              </w:rPr>
              <w:t>http://</w:t>
            </w:r>
            <w:proofErr w:type="spellStart"/>
            <w:r w:rsidRPr="006A7E57">
              <w:rPr>
                <w:rFonts w:ascii="Arial" w:eastAsiaTheme="minorHAnsi" w:hAnsi="Arial" w:cs="Arial"/>
                <w:sz w:val="18"/>
                <w:szCs w:val="20"/>
                <w:lang w:eastAsia="en-US"/>
              </w:rPr>
              <w:t>www.acer.edu.au</w:t>
            </w:r>
            <w:proofErr w:type="spellEnd"/>
            <w:r w:rsidRPr="006A7E57">
              <w:rPr>
                <w:rFonts w:ascii="Arial" w:eastAsiaTheme="minorHAnsi" w:hAnsi="Arial" w:cs="Arial"/>
                <w:sz w:val="18"/>
                <w:szCs w:val="20"/>
                <w:lang w:eastAsia="en-US"/>
              </w:rPr>
              <w:t>/</w:t>
            </w:r>
            <w:proofErr w:type="spellStart"/>
            <w:r w:rsidRPr="006A7E57">
              <w:rPr>
                <w:rFonts w:ascii="Arial" w:eastAsiaTheme="minorHAnsi" w:hAnsi="Arial" w:cs="Arial"/>
                <w:sz w:val="18"/>
                <w:szCs w:val="20"/>
                <w:lang w:eastAsia="en-US"/>
              </w:rPr>
              <w:t>aus-icils</w:t>
            </w:r>
            <w:proofErr w:type="spellEnd"/>
            <w:r w:rsidRPr="006A7E57">
              <w:rPr>
                <w:rFonts w:ascii="Arial" w:eastAsiaTheme="minorHAnsi" w:hAnsi="Arial" w:cs="Arial"/>
                <w:sz w:val="18"/>
                <w:szCs w:val="20"/>
                <w:lang w:eastAsia="en-US"/>
              </w:rPr>
              <w:t>/reports</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ambiguous terms.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Accessibility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will be publicly available from February 2015 at http://</w:t>
            </w:r>
            <w:proofErr w:type="spellStart"/>
            <w:r w:rsidRPr="006A7E57">
              <w:rPr>
                <w:rFonts w:ascii="Arial" w:hAnsi="Arial" w:cs="Arial"/>
                <w:sz w:val="18"/>
                <w:szCs w:val="20"/>
              </w:rPr>
              <w:t>www.acer.edu.au</w:t>
            </w:r>
            <w:proofErr w:type="spellEnd"/>
            <w:r w:rsidRPr="006A7E57">
              <w:rPr>
                <w:rFonts w:ascii="Arial" w:hAnsi="Arial" w:cs="Arial"/>
                <w:sz w:val="18"/>
                <w:szCs w:val="20"/>
              </w:rPr>
              <w:t>/</w:t>
            </w:r>
            <w:proofErr w:type="spellStart"/>
            <w:r w:rsidRPr="006A7E57">
              <w:rPr>
                <w:rFonts w:ascii="Arial" w:hAnsi="Arial" w:cs="Arial"/>
                <w:sz w:val="18"/>
                <w:szCs w:val="20"/>
              </w:rPr>
              <w:t>aus-icils</w:t>
            </w:r>
            <w:proofErr w:type="spellEnd"/>
            <w:r w:rsidRPr="006A7E57">
              <w:rPr>
                <w:rFonts w:ascii="Arial" w:hAnsi="Arial" w:cs="Arial"/>
                <w:sz w:val="18"/>
                <w:szCs w:val="20"/>
              </w:rPr>
              <w:t>/data</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Some unpublished data have been provided by ACER for this report.</w:t>
            </w:r>
          </w:p>
        </w:tc>
      </w:tr>
      <w:tr w:rsidR="006A7E57" w:rsidRPr="006A7E57" w:rsidTr="00D8022A">
        <w:tblPrEx>
          <w:tblLook w:val="00A0" w:firstRow="1" w:lastRow="0" w:firstColumn="1" w:lastColumn="0" w:noHBand="0" w:noVBand="0"/>
        </w:tblPrEx>
        <w:trPr>
          <w:gridBefore w:val="1"/>
          <w:wBefore w:w="159" w:type="dxa"/>
        </w:trPr>
        <w:tc>
          <w:tcPr>
            <w:tcW w:w="8366" w:type="dxa"/>
            <w:gridSpan w:val="2"/>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Data Gaps/Issues Analysis</w:t>
            </w:r>
          </w:p>
        </w:tc>
        <w:tc>
          <w:tcPr>
            <w:tcW w:w="456" w:type="dxa"/>
            <w:gridSpan w:val="2"/>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Key data gaps/issues</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The Steering Committee notes the following issues:</w:t>
            </w:r>
          </w:p>
          <w:p w:rsidR="006A7E57" w:rsidRPr="006A7E57" w:rsidRDefault="006A7E57" w:rsidP="006A7E57">
            <w:pPr>
              <w:keepNext/>
              <w:keepLines/>
              <w:spacing w:before="40" w:line="200" w:lineRule="atLeast"/>
              <w:ind w:left="12" w:right="113" w:hanging="12"/>
              <w:jc w:val="both"/>
              <w:rPr>
                <w:rFonts w:ascii="Arial" w:hAnsi="Arial"/>
                <w:sz w:val="18"/>
                <w:szCs w:val="20"/>
              </w:rPr>
            </w:pPr>
            <w:r w:rsidRPr="006A7E57">
              <w:rPr>
                <w:rFonts w:ascii="Arial" w:hAnsi="Arial"/>
                <w:sz w:val="18"/>
                <w:szCs w:val="20"/>
              </w:rPr>
              <w:t xml:space="preserve">The sample for this data collection does not support disaggregation at the State and Territory level by Indigenous status. </w:t>
            </w:r>
          </w:p>
          <w:p w:rsidR="006A7E57" w:rsidRPr="006A7E57" w:rsidRDefault="006A7E57" w:rsidP="006A7E57">
            <w:pPr>
              <w:keepNext/>
              <w:keepLines/>
              <w:spacing w:before="40" w:line="200" w:lineRule="atLeast"/>
              <w:ind w:left="170" w:right="113" w:hanging="170"/>
              <w:jc w:val="both"/>
              <w:rPr>
                <w:rFonts w:ascii="Arial" w:hAnsi="Arial"/>
                <w:sz w:val="18"/>
                <w:szCs w:val="20"/>
              </w:rPr>
            </w:pPr>
          </w:p>
        </w:tc>
      </w:tr>
    </w:tbl>
    <w:p w:rsidR="006A7E57" w:rsidRPr="006A7E57" w:rsidRDefault="006A7E57" w:rsidP="006A7E57"/>
    <w:p w:rsidR="009B5886" w:rsidRPr="00D37799" w:rsidRDefault="009B5886" w:rsidP="00F80BE7">
      <w:pPr>
        <w:pStyle w:val="Heading3"/>
      </w:pPr>
      <w:bookmarkStart w:id="57" w:name="_Toc439840533"/>
      <w:r w:rsidRPr="00D37799">
        <w:lastRenderedPageBreak/>
        <w:t>Completion</w:t>
      </w:r>
      <w:bookmarkEnd w:id="47"/>
      <w:r w:rsidR="00F57820" w:rsidRPr="00D37799">
        <w:t xml:space="preserve"> (year 12)</w:t>
      </w:r>
      <w:bookmarkEnd w:id="56"/>
      <w:bookmarkEnd w:id="57"/>
    </w:p>
    <w:p w:rsidR="00476C1C" w:rsidRPr="00D37799" w:rsidRDefault="00476C1C" w:rsidP="00F80BE7">
      <w:pPr>
        <w:pStyle w:val="Box"/>
      </w:pPr>
      <w:bookmarkStart w:id="58" w:name="_Toc282094187"/>
      <w:r w:rsidRPr="00D37799">
        <w:t xml:space="preserve">Data quality information for this indicator has been drafted by the Australian Government Department of Education </w:t>
      </w:r>
      <w:r w:rsidR="00954AD3">
        <w:t xml:space="preserve">and Training </w:t>
      </w:r>
      <w:r w:rsidRPr="00D37799">
        <w:t>with additional Steering Committee comments.</w:t>
      </w:r>
    </w:p>
    <w:tbl>
      <w:tblPr>
        <w:tblW w:w="8979" w:type="dxa"/>
        <w:jc w:val="center"/>
        <w:tblInd w:w="262" w:type="dxa"/>
        <w:tblLook w:val="01E0" w:firstRow="1" w:lastRow="1" w:firstColumn="1" w:lastColumn="1" w:noHBand="0" w:noVBand="0"/>
      </w:tblPr>
      <w:tblGrid>
        <w:gridCol w:w="1655"/>
        <w:gridCol w:w="7324"/>
      </w:tblGrid>
      <w:tr w:rsidR="00476C1C" w:rsidRPr="00D37799" w:rsidTr="00972BB7">
        <w:trPr>
          <w:jc w:val="center"/>
        </w:trPr>
        <w:tc>
          <w:tcPr>
            <w:tcW w:w="8979" w:type="dxa"/>
            <w:gridSpan w:val="2"/>
          </w:tcPr>
          <w:p w:rsidR="00476C1C" w:rsidRPr="00D37799" w:rsidRDefault="00476C1C" w:rsidP="00F80BE7">
            <w:pPr>
              <w:pStyle w:val="DQIMainRowHeadings"/>
              <w:rPr>
                <w:rFonts w:cs="Arial"/>
              </w:rPr>
            </w:pPr>
            <w:r w:rsidRPr="00D37799">
              <w:t>Indicator definition and description</w:t>
            </w:r>
          </w:p>
        </w:tc>
      </w:tr>
      <w:tr w:rsidR="00476C1C" w:rsidRPr="00D37799" w:rsidTr="00F80BE7">
        <w:trPr>
          <w:jc w:val="center"/>
        </w:trPr>
        <w:tc>
          <w:tcPr>
            <w:tcW w:w="1655" w:type="dxa"/>
          </w:tcPr>
          <w:p w:rsidR="00476C1C" w:rsidRPr="00D37799" w:rsidRDefault="00476C1C" w:rsidP="00F80BE7">
            <w:pPr>
              <w:pStyle w:val="DQIRowHeadings"/>
            </w:pPr>
            <w:r w:rsidRPr="00D37799">
              <w:t>Element</w:t>
            </w:r>
          </w:p>
        </w:tc>
        <w:tc>
          <w:tcPr>
            <w:tcW w:w="7324" w:type="dxa"/>
          </w:tcPr>
          <w:p w:rsidR="00476C1C" w:rsidRPr="00D37799" w:rsidRDefault="00476C1C" w:rsidP="00F80BE7">
            <w:pPr>
              <w:pStyle w:val="DQITableText"/>
            </w:pPr>
            <w:r w:rsidRPr="00D37799">
              <w:t>Outcome</w:t>
            </w:r>
          </w:p>
        </w:tc>
      </w:tr>
      <w:tr w:rsidR="00476C1C" w:rsidRPr="00D37799" w:rsidTr="00F80BE7">
        <w:trPr>
          <w:jc w:val="center"/>
        </w:trPr>
        <w:tc>
          <w:tcPr>
            <w:tcW w:w="1655" w:type="dxa"/>
          </w:tcPr>
          <w:p w:rsidR="00476C1C" w:rsidRPr="00D37799" w:rsidRDefault="00476C1C" w:rsidP="00F80BE7">
            <w:pPr>
              <w:pStyle w:val="DQIRowHeadings"/>
            </w:pPr>
            <w:r w:rsidRPr="00D37799">
              <w:t>Indicator</w:t>
            </w:r>
          </w:p>
        </w:tc>
        <w:tc>
          <w:tcPr>
            <w:tcW w:w="7324" w:type="dxa"/>
          </w:tcPr>
          <w:p w:rsidR="00476C1C" w:rsidRPr="00D37799" w:rsidRDefault="00476C1C" w:rsidP="00F80BE7">
            <w:pPr>
              <w:pStyle w:val="DQITableText"/>
            </w:pPr>
            <w:r w:rsidRPr="00D37799">
              <w:t>Completion</w:t>
            </w:r>
          </w:p>
        </w:tc>
      </w:tr>
      <w:tr w:rsidR="00476C1C" w:rsidRPr="00D37799" w:rsidTr="00F80BE7">
        <w:trPr>
          <w:jc w:val="center"/>
        </w:trPr>
        <w:tc>
          <w:tcPr>
            <w:tcW w:w="1655" w:type="dxa"/>
          </w:tcPr>
          <w:p w:rsidR="00476C1C" w:rsidRPr="00D37799" w:rsidRDefault="00476C1C" w:rsidP="00F80BE7">
            <w:pPr>
              <w:pStyle w:val="DQIRowHeadings"/>
            </w:pPr>
            <w:r w:rsidRPr="00D37799">
              <w:t>Measure (computation)</w:t>
            </w:r>
          </w:p>
        </w:tc>
        <w:tc>
          <w:tcPr>
            <w:tcW w:w="7324" w:type="dxa"/>
          </w:tcPr>
          <w:p w:rsidR="00476C1C" w:rsidRPr="00D37799" w:rsidRDefault="00476C1C" w:rsidP="00F80BE7">
            <w:pPr>
              <w:pStyle w:val="DQITableText"/>
              <w:rPr>
                <w:u w:val="single"/>
              </w:rPr>
            </w:pPr>
            <w:r w:rsidRPr="00D37799">
              <w:rPr>
                <w:u w:val="single"/>
              </w:rPr>
              <w:t>Definition</w:t>
            </w:r>
          </w:p>
          <w:p w:rsidR="00476C1C" w:rsidRPr="00D37799" w:rsidRDefault="00476C1C" w:rsidP="00F80BE7">
            <w:pPr>
              <w:pStyle w:val="DQITableText"/>
              <w:rPr>
                <w:rFonts w:cs="Arial"/>
              </w:rPr>
            </w:pPr>
            <w:r w:rsidRPr="00D37799">
              <w:rPr>
                <w:rFonts w:cs="Arial"/>
              </w:rPr>
              <w:t xml:space="preserve">The number of students who meet the requirements of a year 12 certificate or equivalent expressed as a percentage of the estimated potential year 12 population,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 xml:space="preserve">. </w:t>
            </w:r>
          </w:p>
          <w:p w:rsidR="00476C1C" w:rsidRPr="00D37799" w:rsidRDefault="00476C1C" w:rsidP="00F80BE7">
            <w:pPr>
              <w:pStyle w:val="DQITableText"/>
              <w:rPr>
                <w:u w:val="single"/>
              </w:rPr>
            </w:pPr>
            <w:r w:rsidRPr="00D37799">
              <w:rPr>
                <w:u w:val="single"/>
              </w:rPr>
              <w:t>Numerator/s</w:t>
            </w:r>
          </w:p>
          <w:p w:rsidR="00476C1C" w:rsidRPr="00D37799" w:rsidRDefault="00476C1C" w:rsidP="00F80BE7">
            <w:pPr>
              <w:pStyle w:val="DQITableText"/>
            </w:pPr>
            <w:r w:rsidRPr="00D37799">
              <w:rPr>
                <w:rFonts w:cs="Arial"/>
              </w:rPr>
              <w:t xml:space="preserve">The number of students who meet the requirements of a year 12 certificate or equivalent (these criteria vary across jurisdictions)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w:t>
            </w:r>
          </w:p>
          <w:p w:rsidR="00476C1C" w:rsidRPr="00D37799" w:rsidRDefault="00476C1C" w:rsidP="00F80BE7">
            <w:pPr>
              <w:pStyle w:val="DQITableText"/>
              <w:rPr>
                <w:u w:val="single"/>
              </w:rPr>
            </w:pPr>
            <w:r w:rsidRPr="00D37799">
              <w:rPr>
                <w:u w:val="single"/>
              </w:rPr>
              <w:t>Denominator/s</w:t>
            </w:r>
          </w:p>
          <w:p w:rsidR="00476C1C" w:rsidRPr="00D37799" w:rsidRDefault="00476C1C" w:rsidP="00F80BE7">
            <w:pPr>
              <w:pStyle w:val="DQITableText"/>
            </w:pPr>
            <w:r w:rsidRPr="00D37799">
              <w:rPr>
                <w:rFonts w:cs="Arial"/>
              </w:rPr>
              <w:t xml:space="preserve">The estimated potential year 12 population (an estimate of a single year age group which could have attended year 12 that year, calculated as the estimated resident population aged 15–19 divided by five)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w:t>
            </w:r>
          </w:p>
          <w:p w:rsidR="00476C1C" w:rsidRPr="00D37799" w:rsidRDefault="00476C1C" w:rsidP="00F80BE7">
            <w:pPr>
              <w:pStyle w:val="DQITableText"/>
            </w:pPr>
            <w:r w:rsidRPr="00D37799">
              <w:rPr>
                <w:u w:val="single"/>
              </w:rPr>
              <w:t>Computation/s</w:t>
            </w:r>
            <w:r w:rsidRPr="00D37799">
              <w:t>:</w:t>
            </w:r>
          </w:p>
          <w:p w:rsidR="00476C1C" w:rsidRPr="00D37799" w:rsidRDefault="00476C1C" w:rsidP="00F80BE7">
            <w:pPr>
              <w:pStyle w:val="DQITableText"/>
            </w:pPr>
            <w:r w:rsidRPr="00D37799">
              <w:rPr>
                <w:rFonts w:cs="Arial"/>
              </w:rPr>
              <w:t xml:space="preserve">The number of students who meet the requirements of a year 12 certificate or equivalent divided by the estimated potential year 12 population. These are provided as follows for </w:t>
            </w:r>
            <w:proofErr w:type="spellStart"/>
            <w:r w:rsidRPr="00D37799">
              <w:rPr>
                <w:rFonts w:cs="Arial"/>
              </w:rPr>
              <w:t>socio-economic</w:t>
            </w:r>
            <w:proofErr w:type="spellEnd"/>
            <w:r w:rsidRPr="00D37799">
              <w:rPr>
                <w:rFonts w:cs="Arial"/>
              </w:rPr>
              <w:t xml:space="preserve"> status (high, medium, low) and by </w:t>
            </w:r>
            <w:proofErr w:type="spellStart"/>
            <w:r w:rsidRPr="00D37799">
              <w:rPr>
                <w:rFonts w:cs="Arial"/>
              </w:rPr>
              <w:t>geolocation</w:t>
            </w:r>
            <w:proofErr w:type="spellEnd"/>
            <w:r w:rsidRPr="00D37799">
              <w:rPr>
                <w:rFonts w:cs="Arial"/>
              </w:rPr>
              <w:t xml:space="preserve"> (metropolitan, provincial, remote, very remote): </w:t>
            </w:r>
          </w:p>
          <w:p w:rsidR="00476C1C" w:rsidRPr="00D37799" w:rsidRDefault="00476C1C" w:rsidP="00F80BE7">
            <w:pPr>
              <w:pStyle w:val="DQITableText"/>
            </w:pPr>
            <w:r w:rsidRPr="00D37799">
              <w:t xml:space="preserve">Socio-economic status: The ABS Postal Area Index of Relative Socio-economic Disadvantage is used to calculate socioeconomic status on the basis of postcode of students’ home addresses. </w:t>
            </w:r>
          </w:p>
          <w:p w:rsidR="00476C1C" w:rsidRPr="00D37799" w:rsidRDefault="00476C1C" w:rsidP="00F80BE7">
            <w:pPr>
              <w:pStyle w:val="DQITableText"/>
            </w:pPr>
            <w:proofErr w:type="spellStart"/>
            <w:r w:rsidRPr="00D37799">
              <w:t>Geolocation</w:t>
            </w:r>
            <w:proofErr w:type="spellEnd"/>
            <w:r w:rsidRPr="00D37799">
              <w:t xml:space="preserve">: Definitions </w:t>
            </w:r>
            <w:r w:rsidRPr="001A4F1E">
              <w:t xml:space="preserve">for </w:t>
            </w:r>
            <w:proofErr w:type="spellStart"/>
            <w:r w:rsidRPr="001A4F1E">
              <w:t>geolocation</w:t>
            </w:r>
            <w:proofErr w:type="spellEnd"/>
            <w:r w:rsidRPr="001A4F1E">
              <w:t xml:space="preserve"> are based on the agreed </w:t>
            </w:r>
            <w:proofErr w:type="spellStart"/>
            <w:r w:rsidRPr="001A4F1E">
              <w:t>MCEECDYA</w:t>
            </w:r>
            <w:proofErr w:type="spellEnd"/>
            <w:r w:rsidRPr="001A4F1E">
              <w:t xml:space="preserve"> Geographic Location Classification adapted to the Australian Statistical Geography Standard (</w:t>
            </w:r>
            <w:proofErr w:type="spellStart"/>
            <w:r w:rsidRPr="001A4F1E">
              <w:t>ASGS</w:t>
            </w:r>
            <w:proofErr w:type="spellEnd"/>
            <w:r w:rsidRPr="001A4F1E">
              <w:t>) which was introduced in 2011.</w:t>
            </w:r>
          </w:p>
          <w:p w:rsidR="00476C1C" w:rsidRPr="00D37799" w:rsidRDefault="00476C1C" w:rsidP="00F80BE7">
            <w:pPr>
              <w:pStyle w:val="DQITableText"/>
            </w:pPr>
            <w:r w:rsidRPr="00D37799">
              <w:t xml:space="preserve">A common total for </w:t>
            </w:r>
            <w:proofErr w:type="spellStart"/>
            <w:r w:rsidRPr="00D37799">
              <w:t>socio-economic</w:t>
            </w:r>
            <w:proofErr w:type="spellEnd"/>
            <w:r w:rsidRPr="00D37799">
              <w:t xml:space="preserve"> status and </w:t>
            </w:r>
            <w:proofErr w:type="spellStart"/>
            <w:r w:rsidRPr="00D37799">
              <w:t>geolocation</w:t>
            </w:r>
            <w:proofErr w:type="spellEnd"/>
            <w:r w:rsidRPr="00D37799">
              <w:t xml:space="preserve"> is selected for reporting all students' rates and this may mean totals for socioeconomic status differ slightly to those in other publications.</w:t>
            </w:r>
          </w:p>
        </w:tc>
      </w:tr>
      <w:tr w:rsidR="00476C1C" w:rsidRPr="00D37799" w:rsidTr="00F80BE7">
        <w:trPr>
          <w:jc w:val="center"/>
        </w:trPr>
        <w:tc>
          <w:tcPr>
            <w:tcW w:w="1655" w:type="dxa"/>
          </w:tcPr>
          <w:p w:rsidR="00476C1C" w:rsidRPr="00D37799" w:rsidRDefault="00476C1C" w:rsidP="00F80BE7">
            <w:pPr>
              <w:pStyle w:val="DQIRowHeadings"/>
            </w:pPr>
            <w:r w:rsidRPr="00D37799">
              <w:t>Data source/s</w:t>
            </w:r>
          </w:p>
        </w:tc>
        <w:tc>
          <w:tcPr>
            <w:tcW w:w="7324" w:type="dxa"/>
          </w:tcPr>
          <w:p w:rsidR="00476C1C" w:rsidRPr="00D37799" w:rsidRDefault="00476C1C" w:rsidP="00F80BE7">
            <w:pPr>
              <w:pStyle w:val="DQITableText"/>
              <w:rPr>
                <w:u w:val="single"/>
              </w:rPr>
            </w:pPr>
            <w:r w:rsidRPr="00D37799">
              <w:rPr>
                <w:u w:val="single"/>
              </w:rPr>
              <w:t xml:space="preserve">Numerator/s: </w:t>
            </w:r>
          </w:p>
          <w:p w:rsidR="00476C1C" w:rsidRPr="004503B4" w:rsidRDefault="00476C1C" w:rsidP="00F80BE7">
            <w:pPr>
              <w:pStyle w:val="DQITableText"/>
            </w:pPr>
            <w:r w:rsidRPr="004503B4">
              <w:t>Australian Government Department of Education</w:t>
            </w:r>
            <w:r w:rsidR="00C7799F">
              <w:t xml:space="preserve"> and Training</w:t>
            </w:r>
            <w:r w:rsidRPr="004503B4">
              <w:t xml:space="preserve"> (unpublished) – sourced from states and territories qualification authorities.</w:t>
            </w:r>
          </w:p>
          <w:p w:rsidR="00476C1C" w:rsidRPr="004503B4" w:rsidRDefault="00476C1C" w:rsidP="00F80BE7">
            <w:pPr>
              <w:pStyle w:val="DQITableText"/>
              <w:rPr>
                <w:i/>
                <w:u w:val="single"/>
              </w:rPr>
            </w:pPr>
            <w:r w:rsidRPr="004503B4">
              <w:rPr>
                <w:u w:val="single"/>
              </w:rPr>
              <w:t>Denominator/s:</w:t>
            </w:r>
            <w:r w:rsidRPr="004503B4">
              <w:rPr>
                <w:i/>
                <w:u w:val="single"/>
              </w:rPr>
              <w:t xml:space="preserve"> </w:t>
            </w:r>
          </w:p>
          <w:p w:rsidR="00476C1C" w:rsidRPr="00D37799" w:rsidRDefault="00476C1C" w:rsidP="00F80BE7">
            <w:pPr>
              <w:pStyle w:val="DQITableText"/>
            </w:pPr>
            <w:r w:rsidRPr="004503B4">
              <w:t xml:space="preserve">Australian Government Department of Education </w:t>
            </w:r>
            <w:r w:rsidR="00C7799F">
              <w:t>and Training</w:t>
            </w:r>
            <w:r w:rsidRPr="004503B4">
              <w:t xml:space="preserve"> (unpublished</w:t>
            </w:r>
            <w:r w:rsidRPr="00D37799">
              <w:t xml:space="preserve">) – sourced from ABS population data based on the </w:t>
            </w:r>
            <w:r>
              <w:t xml:space="preserve">2011 </w:t>
            </w:r>
            <w:r w:rsidRPr="00D37799">
              <w:t>Census of Population and Housing</w:t>
            </w:r>
          </w:p>
        </w:tc>
      </w:tr>
      <w:tr w:rsidR="00476C1C" w:rsidRPr="00D37799" w:rsidTr="00972BB7">
        <w:trPr>
          <w:jc w:val="center"/>
        </w:trPr>
        <w:tc>
          <w:tcPr>
            <w:tcW w:w="8979" w:type="dxa"/>
            <w:gridSpan w:val="2"/>
          </w:tcPr>
          <w:p w:rsidR="00476C1C" w:rsidRPr="00D37799" w:rsidRDefault="00476C1C" w:rsidP="00F80BE7">
            <w:pPr>
              <w:pStyle w:val="DQIMainRowHeadings"/>
              <w:rPr>
                <w:rFonts w:cs="Arial"/>
              </w:rPr>
            </w:pPr>
            <w:r w:rsidRPr="00D37799">
              <w:t>Data Quality Framework Dimensions</w:t>
            </w:r>
          </w:p>
        </w:tc>
      </w:tr>
      <w:tr w:rsidR="00476C1C" w:rsidRPr="00D37799" w:rsidTr="00F80BE7">
        <w:trPr>
          <w:jc w:val="center"/>
        </w:trPr>
        <w:tc>
          <w:tcPr>
            <w:tcW w:w="1655" w:type="dxa"/>
          </w:tcPr>
          <w:p w:rsidR="00476C1C" w:rsidRPr="00D37799" w:rsidRDefault="00476C1C" w:rsidP="00F80BE7">
            <w:pPr>
              <w:pStyle w:val="DQIRowHeadings"/>
            </w:pPr>
            <w:r w:rsidRPr="00D37799">
              <w:t>Institutional environment</w:t>
            </w:r>
          </w:p>
        </w:tc>
        <w:tc>
          <w:tcPr>
            <w:tcW w:w="7324" w:type="dxa"/>
          </w:tcPr>
          <w:p w:rsidR="00476C1C" w:rsidRPr="00D37799" w:rsidRDefault="00476C1C" w:rsidP="00F80BE7">
            <w:pPr>
              <w:pStyle w:val="DQITableText"/>
            </w:pPr>
            <w:r w:rsidRPr="00D37799">
              <w:t>Data Collector(s): The data were collected by each of the eight state/territory Australian Curriculum, Assessment and Certification Authorities (</w:t>
            </w:r>
            <w:proofErr w:type="spellStart"/>
            <w:r w:rsidRPr="00D37799">
              <w:t>ACACA</w:t>
            </w:r>
            <w:proofErr w:type="spellEnd"/>
            <w:r w:rsidRPr="00D37799">
              <w:t>) boards.</w:t>
            </w:r>
          </w:p>
          <w:p w:rsidR="00476C1C" w:rsidRPr="00D37799" w:rsidRDefault="00476C1C" w:rsidP="00F80BE7">
            <w:pPr>
              <w:pStyle w:val="DQITableText"/>
            </w:pPr>
            <w:r w:rsidRPr="00D37799">
              <w:t xml:space="preserve">Collection authority: Collected at request of </w:t>
            </w:r>
            <w:r w:rsidR="00954AD3">
              <w:t>Education Council</w:t>
            </w:r>
            <w:r w:rsidRPr="00D37799">
              <w:t xml:space="preserve"> and Steering Committee for the Review of Government Service Provision</w:t>
            </w:r>
          </w:p>
          <w:p w:rsidR="00476C1C" w:rsidRPr="004503B4" w:rsidRDefault="00476C1C" w:rsidP="00F80BE7">
            <w:pPr>
              <w:pStyle w:val="DQITableText"/>
            </w:pPr>
            <w:r w:rsidRPr="00D37799">
              <w:t xml:space="preserve">Data Compiler(s): Compiled by </w:t>
            </w:r>
            <w:r w:rsidRPr="004503B4">
              <w:t>the Australian Government Department of Education</w:t>
            </w:r>
            <w:r w:rsidR="00C7799F">
              <w:t xml:space="preserve"> and Training</w:t>
            </w:r>
          </w:p>
          <w:p w:rsidR="00476C1C" w:rsidRPr="00D37799" w:rsidRDefault="00476C1C" w:rsidP="00F80BE7">
            <w:pPr>
              <w:pStyle w:val="DQITableText"/>
            </w:pPr>
            <w:r w:rsidRPr="004503B4">
              <w:t xml:space="preserve">Australian Government Department of Education </w:t>
            </w:r>
            <w:r w:rsidR="00C7799F">
              <w:t>and Training</w:t>
            </w:r>
            <w:r w:rsidR="00C7799F" w:rsidRPr="004503B4">
              <w:t xml:space="preserve"> </w:t>
            </w:r>
            <w:r w:rsidRPr="004503B4">
              <w:t>requests summary data</w:t>
            </w:r>
            <w:r w:rsidRPr="00D37799">
              <w:t xml:space="preserve"> at the postcode level. Significant errors picked up in subsequent report periods.</w:t>
            </w:r>
          </w:p>
        </w:tc>
      </w:tr>
      <w:tr w:rsidR="00476C1C" w:rsidRPr="00D37799" w:rsidTr="00F80BE7">
        <w:trPr>
          <w:jc w:val="center"/>
        </w:trPr>
        <w:tc>
          <w:tcPr>
            <w:tcW w:w="1655" w:type="dxa"/>
          </w:tcPr>
          <w:p w:rsidR="00476C1C" w:rsidRPr="00D37799" w:rsidRDefault="00476C1C" w:rsidP="00F80BE7">
            <w:pPr>
              <w:pStyle w:val="DQIRowHeadings"/>
            </w:pPr>
            <w:r w:rsidRPr="00D37799">
              <w:t>Relevance</w:t>
            </w:r>
          </w:p>
        </w:tc>
        <w:tc>
          <w:tcPr>
            <w:tcW w:w="7324" w:type="dxa"/>
          </w:tcPr>
          <w:p w:rsidR="00476C1C" w:rsidRPr="00D37799" w:rsidRDefault="00476C1C" w:rsidP="00F80BE7">
            <w:pPr>
              <w:pStyle w:val="DQITableText"/>
            </w:pPr>
            <w:r w:rsidRPr="00D37799">
              <w:t>Data topic: Students under 20 years of age, issued with Year 12 Certificates by sex and postcode. The certificates reported include:</w:t>
            </w:r>
          </w:p>
          <w:p w:rsidR="00476C1C" w:rsidRPr="001A4F1E" w:rsidRDefault="00476C1C" w:rsidP="00F80BE7">
            <w:pPr>
              <w:pStyle w:val="DQITableBullet"/>
            </w:pPr>
            <w:r w:rsidRPr="00D37799">
              <w:t xml:space="preserve">NSW - Year </w:t>
            </w:r>
            <w:r w:rsidRPr="001A4F1E">
              <w:t xml:space="preserve">12 Students Completing the Requirements of the High School Certificate </w:t>
            </w:r>
            <w:r w:rsidRPr="001A4F1E">
              <w:lastRenderedPageBreak/>
              <w:t>(HSC);</w:t>
            </w:r>
          </w:p>
          <w:p w:rsidR="00476C1C" w:rsidRPr="001A4F1E" w:rsidRDefault="00476C1C" w:rsidP="00F80BE7">
            <w:pPr>
              <w:pStyle w:val="DQITableBullet"/>
              <w:rPr>
                <w:strike/>
              </w:rPr>
            </w:pPr>
            <w:r w:rsidRPr="001A4F1E">
              <w:t>VIC - Year 12 Students Completing the Requirements of the Victorian Certificate of Education (</w:t>
            </w:r>
            <w:proofErr w:type="spellStart"/>
            <w:r w:rsidRPr="001A4F1E">
              <w:t>VCE</w:t>
            </w:r>
            <w:proofErr w:type="spellEnd"/>
            <w:r w:rsidRPr="001A4F1E">
              <w:t>) ) and Victorian Certificate of Applied Learning (</w:t>
            </w:r>
            <w:proofErr w:type="spellStart"/>
            <w:r w:rsidRPr="001A4F1E">
              <w:t>VCAL</w:t>
            </w:r>
            <w:proofErr w:type="spellEnd"/>
            <w:r w:rsidRPr="001A4F1E">
              <w:t>) - Intermediate and Senior levels;</w:t>
            </w:r>
          </w:p>
          <w:p w:rsidR="00476C1C" w:rsidRPr="001A4F1E" w:rsidRDefault="00476C1C" w:rsidP="00F80BE7">
            <w:pPr>
              <w:pStyle w:val="DQITableBullet"/>
            </w:pPr>
            <w:r w:rsidRPr="001A4F1E">
              <w:t>QLD - Year 12 Students who received a Senior Statement;</w:t>
            </w:r>
          </w:p>
          <w:p w:rsidR="00476C1C" w:rsidRPr="00D37799" w:rsidRDefault="00476C1C" w:rsidP="00F80BE7">
            <w:pPr>
              <w:pStyle w:val="DQITableBullet"/>
            </w:pPr>
            <w:r w:rsidRPr="00D37799">
              <w:t>WA - Year 12 Students Receiving a Statement of Results for Completing at least one full year Curriculum Council Subject;</w:t>
            </w:r>
          </w:p>
          <w:p w:rsidR="00476C1C" w:rsidRPr="005E1B04" w:rsidRDefault="00476C1C" w:rsidP="00F80BE7">
            <w:pPr>
              <w:pStyle w:val="DQITableBullet"/>
            </w:pPr>
            <w:r w:rsidRPr="00D37799">
              <w:t xml:space="preserve">SA - </w:t>
            </w:r>
            <w:r w:rsidRPr="005E1B04">
              <w:t xml:space="preserve">Students completing the </w:t>
            </w:r>
            <w:proofErr w:type="spellStart"/>
            <w:r w:rsidRPr="005E1B04">
              <w:t>SACE</w:t>
            </w:r>
            <w:proofErr w:type="spellEnd"/>
            <w:r w:rsidRPr="005E1B04">
              <w:t xml:space="preserve"> requirements and students receiving a Record of Achievement for completion of at least one full year (20 credit) Stage 2 </w:t>
            </w:r>
            <w:proofErr w:type="spellStart"/>
            <w:r w:rsidRPr="005E1B04">
              <w:t>SACE</w:t>
            </w:r>
            <w:proofErr w:type="spellEnd"/>
            <w:r w:rsidRPr="005E1B04">
              <w:t xml:space="preserve"> </w:t>
            </w:r>
            <w:proofErr w:type="spellStart"/>
            <w:r w:rsidRPr="005E1B04">
              <w:t>subject.In</w:t>
            </w:r>
            <w:proofErr w:type="spellEnd"/>
            <w:r w:rsidRPr="005E1B04">
              <w:t xml:space="preserve"> 2011 the </w:t>
            </w:r>
            <w:proofErr w:type="spellStart"/>
            <w:r w:rsidRPr="005E1B04">
              <w:t>SACE</w:t>
            </w:r>
            <w:proofErr w:type="spellEnd"/>
            <w:r w:rsidRPr="005E1B04">
              <w:t xml:space="preserve"> Board of South Australia introduced a new South Australian Certification of Education (</w:t>
            </w:r>
            <w:proofErr w:type="spellStart"/>
            <w:r w:rsidRPr="005E1B04">
              <w:t>SACE</w:t>
            </w:r>
            <w:proofErr w:type="spellEnd"/>
            <w:r w:rsidRPr="005E1B04">
              <w:t xml:space="preserve">).  2011 data for South Australia includes students completing the </w:t>
            </w:r>
            <w:proofErr w:type="spellStart"/>
            <w:r w:rsidRPr="005E1B04">
              <w:t>SACE</w:t>
            </w:r>
            <w:proofErr w:type="spellEnd"/>
            <w:r w:rsidRPr="005E1B04">
              <w:t xml:space="preserve"> requirements and students receiving a Record of Achievement for completion of at least one full year (20 credit) Stage 2 </w:t>
            </w:r>
            <w:proofErr w:type="spellStart"/>
            <w:r w:rsidRPr="005E1B04">
              <w:t>SACE</w:t>
            </w:r>
            <w:proofErr w:type="spellEnd"/>
            <w:r w:rsidRPr="005E1B04">
              <w:t xml:space="preserve"> subject. This constitutes a break in series for these data.</w:t>
            </w:r>
          </w:p>
          <w:p w:rsidR="00476C1C" w:rsidRPr="00D37799" w:rsidRDefault="00476C1C" w:rsidP="00F80BE7">
            <w:pPr>
              <w:pStyle w:val="DQITableBullet"/>
            </w:pPr>
            <w:r w:rsidRPr="00D37799">
              <w:t>TAS*- Year 12 Students Completing the Requirements of the Tasmanian Certificate of Education ;</w:t>
            </w:r>
          </w:p>
          <w:p w:rsidR="00476C1C" w:rsidRPr="00D37799" w:rsidRDefault="00476C1C" w:rsidP="00F80BE7">
            <w:pPr>
              <w:pStyle w:val="DQITableBullet"/>
            </w:pPr>
            <w:r w:rsidRPr="00D37799">
              <w:t>ACT - Year 12 Students Completing the Requirements of the ACT Year 12 Certificate.</w:t>
            </w:r>
          </w:p>
          <w:p w:rsidR="00476C1C" w:rsidRPr="00D37799" w:rsidRDefault="00476C1C" w:rsidP="00F80BE7">
            <w:pPr>
              <w:pStyle w:val="DQITableBullet"/>
            </w:pPr>
            <w:r w:rsidRPr="00D37799">
              <w:t xml:space="preserve">NT - Year 12 Students Completing the Requirements of the Northern Territory Certificate of Education; </w:t>
            </w:r>
          </w:p>
          <w:p w:rsidR="00476C1C" w:rsidRPr="00D37799" w:rsidRDefault="00476C1C" w:rsidP="00F80BE7">
            <w:pPr>
              <w:pStyle w:val="DQITableText"/>
            </w:pPr>
            <w:r w:rsidRPr="00D37799">
              <w:t>* In 2009 the Tasmanian Qualifications Authority introduced a new Tasmanian Certificate of Education (</w:t>
            </w:r>
            <w:proofErr w:type="spellStart"/>
            <w:r w:rsidRPr="00D37799">
              <w:t>TCE</w:t>
            </w:r>
            <w:proofErr w:type="spellEnd"/>
            <w:r w:rsidRPr="00D37799">
              <w:t xml:space="preserve">). This requires students to meet a set of standards for achievement, everyday adult reading, writing, mathematics and use of computers. In previous years the </w:t>
            </w:r>
            <w:proofErr w:type="spellStart"/>
            <w:r w:rsidRPr="00D37799">
              <w:t>TCE</w:t>
            </w:r>
            <w:proofErr w:type="spellEnd"/>
            <w:r w:rsidRPr="00D37799">
              <w:t xml:space="preserve"> was awarded to students completing at least one senior secondary course. This represents a break in the time series.</w:t>
            </w:r>
          </w:p>
          <w:p w:rsidR="00476C1C" w:rsidRPr="009479BD" w:rsidRDefault="00476C1C" w:rsidP="00F80BE7">
            <w:pPr>
              <w:pStyle w:val="DQITableText"/>
              <w:rPr>
                <w:szCs w:val="18"/>
              </w:rPr>
            </w:pPr>
            <w:r w:rsidRPr="00D37799">
              <w:t xml:space="preserve">Level of </w:t>
            </w:r>
            <w:r w:rsidRPr="009479BD">
              <w:rPr>
                <w:szCs w:val="18"/>
              </w:rPr>
              <w:t>geography: Data are collected at the postcode level.</w:t>
            </w:r>
          </w:p>
          <w:p w:rsidR="00476C1C" w:rsidRPr="009479BD" w:rsidRDefault="00476C1C" w:rsidP="00972BB7">
            <w:pPr>
              <w:keepNext/>
              <w:keepLines/>
              <w:spacing w:after="40" w:line="220" w:lineRule="atLeast"/>
              <w:ind w:left="6" w:right="113"/>
              <w:jc w:val="both"/>
              <w:rPr>
                <w:rFonts w:ascii="Arial" w:hAnsi="Arial"/>
                <w:sz w:val="18"/>
                <w:szCs w:val="18"/>
              </w:rPr>
            </w:pPr>
            <w:r w:rsidRPr="009479BD">
              <w:rPr>
                <w:rFonts w:ascii="Arial" w:hAnsi="Arial"/>
                <w:sz w:val="18"/>
                <w:szCs w:val="18"/>
              </w:rPr>
              <w:t xml:space="preserve">Key Data Items: Year 12 completion rates, by region and SES status, which are both calculated from postcode data. </w:t>
            </w:r>
          </w:p>
          <w:p w:rsidR="00476C1C" w:rsidRPr="00D37799" w:rsidRDefault="00476C1C" w:rsidP="00F80BE7">
            <w:pPr>
              <w:pStyle w:val="DQITableText"/>
            </w:pPr>
            <w:r w:rsidRPr="009479BD">
              <w:rPr>
                <w:szCs w:val="18"/>
              </w:rPr>
              <w:t>Numerator/Denominator Source: The numerator</w:t>
            </w:r>
            <w:r w:rsidRPr="00D37799">
              <w:t xml:space="preserve"> is calculated based on Year 12 certificate data supplied by the state/territory examination boards. The denominator is based on Estimated Resident Population data released by the ABS at the SLA level for 15 to 19 year olds by sex.</w:t>
            </w:r>
          </w:p>
          <w:p w:rsidR="00476C1C" w:rsidRPr="00D37799" w:rsidRDefault="00476C1C" w:rsidP="00F80BE7">
            <w:pPr>
              <w:pStyle w:val="DQITableText"/>
            </w:pPr>
            <w:r w:rsidRPr="00D37799">
              <w:t xml:space="preserve">Year 12 Completions data are collected to construct indicators showing the relative rates of young people completing senior secondary school education across different socio economic groups and across geographic regions by state. The collection has limited scope. The data refer </w:t>
            </w:r>
            <w:r>
              <w:t>predominantly</w:t>
            </w:r>
            <w:r w:rsidRPr="00D37799">
              <w:t xml:space="preserve"> to Year 12 Certificates issued from mainly academic streams, and so does not include completions from courses that have a large vocational component. The collection is therefore not suitable as a measure of Year 12 or equivalent attainment. Definitions of completions differ widely across states, so indicators are not comparable across states. Also, in three states, the completions numbers relate to students who have been issued certificates in at least one subject, whilst in other states the data refer to numbers of students who have successfully completed a Year 12 course over a number of subject areas.</w:t>
            </w:r>
          </w:p>
        </w:tc>
      </w:tr>
      <w:tr w:rsidR="00476C1C" w:rsidRPr="00D37799" w:rsidTr="00F80BE7">
        <w:trPr>
          <w:jc w:val="center"/>
        </w:trPr>
        <w:tc>
          <w:tcPr>
            <w:tcW w:w="1655" w:type="dxa"/>
          </w:tcPr>
          <w:p w:rsidR="00476C1C" w:rsidRPr="00D37799" w:rsidRDefault="00476C1C" w:rsidP="00F80BE7">
            <w:pPr>
              <w:pStyle w:val="DQIRowHeadings"/>
            </w:pPr>
            <w:r w:rsidRPr="00D37799">
              <w:lastRenderedPageBreak/>
              <w:t>Timeliness</w:t>
            </w:r>
          </w:p>
        </w:tc>
        <w:tc>
          <w:tcPr>
            <w:tcW w:w="7324" w:type="dxa"/>
          </w:tcPr>
          <w:p w:rsidR="00476C1C" w:rsidRPr="00D37799" w:rsidRDefault="00476C1C" w:rsidP="00F80BE7">
            <w:pPr>
              <w:pStyle w:val="DQITableText"/>
            </w:pPr>
            <w:r w:rsidRPr="00D37799">
              <w:t>Data collected: Annually. The Year 12 certificate data become available in January / February in the year following the reference year, whilst the estimated resident population data become available in July or August following the reference year.</w:t>
            </w:r>
          </w:p>
          <w:p w:rsidR="00476C1C" w:rsidRPr="00D37799" w:rsidRDefault="00476C1C" w:rsidP="00F80BE7">
            <w:pPr>
              <w:pStyle w:val="DQITableText"/>
            </w:pPr>
            <w:r w:rsidRPr="00D37799">
              <w:t>Data available: The indicators are generally available four weeks after the estimated resident population data become available.</w:t>
            </w:r>
          </w:p>
          <w:p w:rsidR="00476C1C" w:rsidRPr="00D37799" w:rsidRDefault="00476C1C" w:rsidP="00F80BE7">
            <w:pPr>
              <w:pStyle w:val="DQITableText"/>
            </w:pPr>
            <w:r w:rsidRPr="00D37799">
              <w:t xml:space="preserve">Referenced Period: The reference period for the Year 12 certificate </w:t>
            </w:r>
            <w:r w:rsidR="0061062A">
              <w:t>data are</w:t>
            </w:r>
            <w:r w:rsidRPr="00D37799">
              <w:t xml:space="preserve"> the school calendar year. The estimated resident population data refer to 30 June of the reference year.</w:t>
            </w:r>
          </w:p>
          <w:p w:rsidR="00476C1C" w:rsidRPr="00D37799" w:rsidRDefault="00476C1C" w:rsidP="00F80BE7">
            <w:pPr>
              <w:pStyle w:val="DQITableText"/>
            </w:pPr>
            <w:r w:rsidRPr="00D37799">
              <w:t xml:space="preserve">Data are unlikely to be updated after release, though the indicators are recalculated every five years as the ABS Estimated Resident Population series is rebased after each population census. In some years data have been revised, due to annual revisions in data becoming available. </w:t>
            </w:r>
          </w:p>
          <w:p w:rsidR="00476C1C" w:rsidRPr="00D37799" w:rsidRDefault="00476C1C" w:rsidP="00F80BE7">
            <w:pPr>
              <w:pStyle w:val="DQITableText"/>
            </w:pPr>
            <w:r w:rsidRPr="00D37799">
              <w:t>The only alternative data source, in relation to the socioeconomic status and geography of Year 12 completers, is from the ABS Census of Population and Housing.</w:t>
            </w:r>
          </w:p>
        </w:tc>
      </w:tr>
      <w:tr w:rsidR="00476C1C" w:rsidRPr="00D37799" w:rsidTr="00B67545">
        <w:trPr>
          <w:jc w:val="center"/>
        </w:trPr>
        <w:tc>
          <w:tcPr>
            <w:tcW w:w="1655" w:type="dxa"/>
          </w:tcPr>
          <w:p w:rsidR="00476C1C" w:rsidRPr="00D37799" w:rsidRDefault="00476C1C" w:rsidP="00F80BE7">
            <w:pPr>
              <w:pStyle w:val="DQIRowHeadings"/>
            </w:pPr>
            <w:r w:rsidRPr="00D37799">
              <w:t>Accuracy</w:t>
            </w:r>
          </w:p>
        </w:tc>
        <w:tc>
          <w:tcPr>
            <w:tcW w:w="7324" w:type="dxa"/>
          </w:tcPr>
          <w:p w:rsidR="00476C1C" w:rsidRDefault="00476C1C" w:rsidP="00F80BE7">
            <w:pPr>
              <w:pStyle w:val="DQITableText"/>
            </w:pPr>
            <w:r w:rsidRPr="00D37799">
              <w:t xml:space="preserve">Method of Collection: Year 12 Completions data </w:t>
            </w:r>
            <w:r w:rsidRPr="001A4F1E">
              <w:t xml:space="preserve">are supplied by the relevant </w:t>
            </w:r>
            <w:r w:rsidRPr="001A4F1E">
              <w:lastRenderedPageBreak/>
              <w:t>qualifications authorities in annual data submissions to the Australian Government Department of Education</w:t>
            </w:r>
            <w:r w:rsidR="00C5404B">
              <w:t xml:space="preserve"> and Training</w:t>
            </w:r>
            <w:r w:rsidRPr="001A4F1E">
              <w:t>.</w:t>
            </w:r>
          </w:p>
          <w:p w:rsidR="00476C1C" w:rsidRPr="00D37799" w:rsidRDefault="00476C1C" w:rsidP="00F80BE7">
            <w:pPr>
              <w:pStyle w:val="DQITableText"/>
            </w:pPr>
            <w:r w:rsidRPr="00D37799">
              <w:t>The population data are published by the ABS.</w:t>
            </w:r>
          </w:p>
          <w:p w:rsidR="00476C1C" w:rsidRPr="00D37799" w:rsidRDefault="00476C1C" w:rsidP="00F80BE7">
            <w:pPr>
              <w:pStyle w:val="DQITableText"/>
            </w:pPr>
            <w:r w:rsidRPr="00D37799">
              <w:t>Data Adjustments: The postcodes are mapped to Statistical Local Areas, as per the Australian Standard Geographical Classification, as published for the most recent census year. Where postcodes refer to post office boxes, these postcodes are mapped on to the delivery postcode that the post office box is located in. Newly created postcodes are mapped to the existing postcode that covers the new postcode area. Completions for student addresses that are postcodes allocated to military bases and universities are excluded.</w:t>
            </w:r>
          </w:p>
          <w:p w:rsidR="00476C1C" w:rsidRPr="00D37799" w:rsidRDefault="00476C1C" w:rsidP="00F80BE7">
            <w:pPr>
              <w:pStyle w:val="DQITableText"/>
            </w:pPr>
            <w:r w:rsidRPr="00D37799">
              <w:t>Sample size: Estimates are based on full counts of completions.</w:t>
            </w:r>
          </w:p>
          <w:p w:rsidR="00476C1C" w:rsidRPr="00D37799" w:rsidRDefault="00476C1C" w:rsidP="00F80BE7">
            <w:pPr>
              <w:pStyle w:val="DQITableText"/>
            </w:pPr>
            <w:r w:rsidRPr="00D37799">
              <w:t>Collection size: About 190,000.</w:t>
            </w:r>
          </w:p>
          <w:p w:rsidR="00476C1C" w:rsidRPr="00D37799" w:rsidRDefault="00476C1C" w:rsidP="00F80BE7">
            <w:pPr>
              <w:pStyle w:val="DQITableText"/>
            </w:pPr>
            <w:r w:rsidRPr="00D37799">
              <w:t>Standard errors: Not calculated.</w:t>
            </w:r>
          </w:p>
          <w:p w:rsidR="00476C1C" w:rsidRPr="00D37799" w:rsidRDefault="00476C1C" w:rsidP="00F80BE7">
            <w:pPr>
              <w:pStyle w:val="DQITableText"/>
            </w:pPr>
            <w:r w:rsidRPr="00D37799">
              <w:t>Under Counts: There are no known issues with under counts.</w:t>
            </w:r>
          </w:p>
          <w:p w:rsidR="00476C1C" w:rsidRPr="00D37799" w:rsidRDefault="00476C1C" w:rsidP="00F80BE7">
            <w:pPr>
              <w:pStyle w:val="DQITableText"/>
            </w:pPr>
            <w:r w:rsidRPr="00D37799">
              <w:t>Over Counts: Given that in some states, the completion count refers to numbers of students receiving a completion certificate for completing at least one Year 12 subject, it is likely that a number of these students will receive certificates over at least a two year period.</w:t>
            </w:r>
          </w:p>
          <w:p w:rsidR="00476C1C" w:rsidRPr="00D37799" w:rsidRDefault="00476C1C" w:rsidP="00F80BE7">
            <w:pPr>
              <w:pStyle w:val="DQITableText"/>
            </w:pPr>
            <w:r w:rsidRPr="00D37799">
              <w:t>As the indicator was not designed to be used to be a measure of completion levels, this is not considered to be a major issue.</w:t>
            </w:r>
          </w:p>
          <w:p w:rsidR="00476C1C" w:rsidRPr="00D37799" w:rsidRDefault="00476C1C" w:rsidP="00F80BE7">
            <w:pPr>
              <w:pStyle w:val="DQITableText"/>
            </w:pPr>
            <w:r w:rsidRPr="00D37799">
              <w:t>Sensitive Questions - Not applicable. Steps have been taken to minimise processing errors - incoming completions data are checked for reasonableness. Reporting rates - Not applicable. Coverage issues - none</w:t>
            </w:r>
          </w:p>
        </w:tc>
      </w:tr>
      <w:tr w:rsidR="00476C1C" w:rsidRPr="00D37799" w:rsidTr="00B67545">
        <w:trPr>
          <w:jc w:val="center"/>
        </w:trPr>
        <w:tc>
          <w:tcPr>
            <w:tcW w:w="1655" w:type="dxa"/>
          </w:tcPr>
          <w:p w:rsidR="00476C1C" w:rsidRPr="00D37799" w:rsidRDefault="00476C1C" w:rsidP="00F80BE7">
            <w:pPr>
              <w:pStyle w:val="DQIRowHeadings"/>
            </w:pPr>
            <w:r w:rsidRPr="00D37799">
              <w:lastRenderedPageBreak/>
              <w:t>Coherence</w:t>
            </w:r>
          </w:p>
        </w:tc>
        <w:tc>
          <w:tcPr>
            <w:tcW w:w="7324" w:type="dxa"/>
          </w:tcPr>
          <w:p w:rsidR="00476C1C" w:rsidRPr="00D37799" w:rsidRDefault="00476C1C" w:rsidP="00F80BE7">
            <w:pPr>
              <w:pStyle w:val="DQITableText"/>
            </w:pPr>
            <w:r w:rsidRPr="00D37799">
              <w:t>Consistency over time: The series has changed over time, as Year 12 qualifications have changed. For example, in 2009 the Tasmanian Qualifications Authority introduced a new Tasmanian Certificate of Education (</w:t>
            </w:r>
            <w:proofErr w:type="spellStart"/>
            <w:r w:rsidRPr="00D37799">
              <w:t>TCE</w:t>
            </w:r>
            <w:proofErr w:type="spellEnd"/>
            <w:r w:rsidRPr="00D37799">
              <w:t xml:space="preserve">). This requires students to meet a set of standards for achievement, everyday adult reading, writing, mathematics and use of computers. In previous years the </w:t>
            </w:r>
            <w:proofErr w:type="spellStart"/>
            <w:r w:rsidRPr="00D37799">
              <w:t>TCE</w:t>
            </w:r>
            <w:proofErr w:type="spellEnd"/>
            <w:r w:rsidRPr="00D37799">
              <w:t xml:space="preserve"> was awarded to students completing at least one senior secondary course. This represents a break in the time series.</w:t>
            </w:r>
          </w:p>
          <w:p w:rsidR="00A9447B" w:rsidRDefault="00A9447B" w:rsidP="002020A0">
            <w:pPr>
              <w:pStyle w:val="DQITableText"/>
              <w:shd w:val="clear" w:color="auto" w:fill="FFFFFF" w:themeFill="background1"/>
            </w:pPr>
            <w:r w:rsidRPr="00A9447B">
              <w:t xml:space="preserve">WA changed the pre-year one entry age in 2002 resulting in approximately half the normal intake of students for that year level. Therefore in 2014, Year 12 had significantly lower enrolments when compared to the population of the year 12 age group. For this reason, WA data for 2014 should not be compared with earlier years. </w:t>
            </w:r>
          </w:p>
          <w:p w:rsidR="00476C1C" w:rsidRPr="00D37799" w:rsidRDefault="00476C1C" w:rsidP="00F80BE7">
            <w:pPr>
              <w:pStyle w:val="DQITableText"/>
            </w:pPr>
            <w:r w:rsidRPr="00D37799">
              <w:t xml:space="preserve">The Northern Territory also had a similar break in series some </w:t>
            </w:r>
            <w:r w:rsidRPr="00B67545">
              <w:t>years ago</w:t>
            </w:r>
            <w:r w:rsidR="0054777D" w:rsidRPr="00B67545">
              <w:t>, whilst South Australia has also changed its definition, as stated in the relevance section</w:t>
            </w:r>
            <w:r w:rsidRPr="00B67545">
              <w:t>.</w:t>
            </w:r>
            <w:r w:rsidRPr="0054777D">
              <w:rPr>
                <w:shd w:val="clear" w:color="auto" w:fill="FFFF00"/>
              </w:rPr>
              <w:t xml:space="preserve"> </w:t>
            </w:r>
          </w:p>
          <w:p w:rsidR="00476C1C" w:rsidRPr="00D37799" w:rsidRDefault="00476C1C" w:rsidP="00F80BE7">
            <w:pPr>
              <w:pStyle w:val="DQITableText"/>
            </w:pPr>
            <w:r w:rsidRPr="00D37799">
              <w:t xml:space="preserve">Consistency of jurisdictions: Data are not comparable across states and territories. State and territory data submissions vary substantially. </w:t>
            </w:r>
          </w:p>
          <w:p w:rsidR="00476C1C" w:rsidRPr="00D37799" w:rsidRDefault="00476C1C" w:rsidP="00F80BE7">
            <w:pPr>
              <w:pStyle w:val="DQITableText"/>
            </w:pPr>
            <w:r w:rsidRPr="00D37799">
              <w:t>Numerator/denominator: The numerator is based on the numbers of Year 12 certificates issued to people who are either less than twenty year of age, or are in the 15-19 age group, as of December in the reference year. The difference in the definition of age group is not considered significant.</w:t>
            </w:r>
          </w:p>
          <w:p w:rsidR="00476C1C" w:rsidRPr="00D37799" w:rsidRDefault="00476C1C" w:rsidP="00F80BE7">
            <w:pPr>
              <w:pStyle w:val="DQITableText"/>
            </w:pPr>
            <w:r w:rsidRPr="00D37799">
              <w:t>The denominator is based on numbers of people in the 15 to 19 year age group. The difference in age groups is not considered significant.</w:t>
            </w:r>
          </w:p>
          <w:p w:rsidR="00476C1C" w:rsidRPr="00D37799" w:rsidRDefault="00476C1C" w:rsidP="00F80BE7">
            <w:pPr>
              <w:pStyle w:val="DQITableText"/>
            </w:pPr>
            <w:r w:rsidRPr="00D37799">
              <w:t xml:space="preserve">The data have been collected and processed consistently over time. In 2009 the Tasmanian Qualification Authority introduced a new Tasmanian Certificate of Education, which is based on students satisfactorily completing a number of senior secondary subjects before being eligible for the certificate. In previous years, the collection related to the numbers of students being issued a certificate for completing at </w:t>
            </w:r>
            <w:r w:rsidRPr="001A4F1E">
              <w:t xml:space="preserve">least one Year 12 subject. This break in series will be documented. There is no alternative annual data source for this collection but a nationally agreed measure is under development. Similar indicators could be published </w:t>
            </w:r>
            <w:proofErr w:type="spellStart"/>
            <w:r w:rsidRPr="001A4F1E">
              <w:t>quinquennially</w:t>
            </w:r>
            <w:proofErr w:type="spellEnd"/>
            <w:r w:rsidRPr="001A4F1E">
              <w:t xml:space="preserve"> from ABS Census of Population and Housing data.</w:t>
            </w:r>
          </w:p>
          <w:p w:rsidR="00476C1C" w:rsidRPr="00D37799" w:rsidRDefault="00476C1C" w:rsidP="00F80BE7">
            <w:pPr>
              <w:pStyle w:val="DQITableText"/>
            </w:pPr>
          </w:p>
        </w:tc>
      </w:tr>
      <w:tr w:rsidR="00476C1C" w:rsidRPr="00D37799" w:rsidTr="00F80BE7">
        <w:trPr>
          <w:jc w:val="center"/>
        </w:trPr>
        <w:tc>
          <w:tcPr>
            <w:tcW w:w="1655" w:type="dxa"/>
          </w:tcPr>
          <w:p w:rsidR="00476C1C" w:rsidRPr="00D37799" w:rsidRDefault="00476C1C" w:rsidP="00F80BE7">
            <w:pPr>
              <w:pStyle w:val="DQIRowHeadings"/>
            </w:pPr>
            <w:r w:rsidRPr="00D37799">
              <w:t>Accessibility</w:t>
            </w:r>
          </w:p>
        </w:tc>
        <w:tc>
          <w:tcPr>
            <w:tcW w:w="7324" w:type="dxa"/>
          </w:tcPr>
          <w:p w:rsidR="00476C1C" w:rsidRPr="00D37799" w:rsidRDefault="00476C1C" w:rsidP="00F80BE7">
            <w:pPr>
              <w:pStyle w:val="DQITableText"/>
            </w:pPr>
            <w:r w:rsidRPr="00D37799">
              <w:t>Contact details: (02) 6240 9281</w:t>
            </w:r>
          </w:p>
          <w:p w:rsidR="00476C1C" w:rsidRPr="00D37799" w:rsidRDefault="00476C1C" w:rsidP="00F80BE7">
            <w:pPr>
              <w:pStyle w:val="DQITableText"/>
            </w:pPr>
            <w:r w:rsidRPr="00D37799">
              <w:lastRenderedPageBreak/>
              <w:t>Data are available in Excel tables. Low level data are not released.</w:t>
            </w:r>
          </w:p>
        </w:tc>
      </w:tr>
      <w:tr w:rsidR="00476C1C" w:rsidRPr="00D37799" w:rsidTr="00F80BE7">
        <w:trPr>
          <w:jc w:val="center"/>
        </w:trPr>
        <w:tc>
          <w:tcPr>
            <w:tcW w:w="1655" w:type="dxa"/>
          </w:tcPr>
          <w:p w:rsidR="00476C1C" w:rsidRPr="00D37799" w:rsidRDefault="00476C1C" w:rsidP="00F80BE7">
            <w:pPr>
              <w:pStyle w:val="DQIRowHeadings"/>
            </w:pPr>
            <w:r w:rsidRPr="00D37799">
              <w:lastRenderedPageBreak/>
              <w:t>Interpretability</w:t>
            </w:r>
          </w:p>
        </w:tc>
        <w:tc>
          <w:tcPr>
            <w:tcW w:w="7324" w:type="dxa"/>
          </w:tcPr>
          <w:p w:rsidR="00476C1C" w:rsidRPr="00D37799" w:rsidRDefault="00476C1C" w:rsidP="00F80BE7">
            <w:pPr>
              <w:pStyle w:val="DQITableText"/>
            </w:pPr>
            <w:r w:rsidRPr="00D37799">
              <w:t>Context: As the Year 12 completions data are not strictly comparable across jurisdictions, care must be taken in making interstate comparisons.</w:t>
            </w:r>
          </w:p>
          <w:p w:rsidR="00476C1C" w:rsidRPr="00D37799" w:rsidRDefault="00476C1C" w:rsidP="00F80BE7">
            <w:pPr>
              <w:pStyle w:val="DQITableText"/>
            </w:pPr>
            <w:r w:rsidRPr="00D37799">
              <w:t xml:space="preserve">The coverage of Year 12 courses is limited, so the indicators are not suitable to be used to measure progress towards achieving the ‘Year 12 or equivalent’ </w:t>
            </w:r>
            <w:proofErr w:type="spellStart"/>
            <w:r w:rsidRPr="00D37799">
              <w:t>COAG</w:t>
            </w:r>
            <w:proofErr w:type="spellEnd"/>
            <w:r w:rsidRPr="00D37799">
              <w:t xml:space="preserve"> targets, though they can provide an indication of which socioeconomic and geographical groups are most in danger of not completing Year 12 level education.</w:t>
            </w:r>
          </w:p>
          <w:p w:rsidR="00476C1C" w:rsidRPr="00D37799" w:rsidRDefault="00476C1C" w:rsidP="00F80BE7">
            <w:pPr>
              <w:pStyle w:val="DQITableText"/>
            </w:pPr>
            <w:r w:rsidRPr="00D37799">
              <w:t xml:space="preserve">Other Supporting information: </w:t>
            </w:r>
          </w:p>
          <w:p w:rsidR="00476C1C" w:rsidRPr="00D37799" w:rsidRDefault="00476C1C" w:rsidP="00F80BE7">
            <w:pPr>
              <w:pStyle w:val="DQITableText"/>
            </w:pPr>
            <w:r w:rsidRPr="00D37799">
              <w:t xml:space="preserve">Information about Year 12 certificates can be found at the </w:t>
            </w:r>
            <w:proofErr w:type="spellStart"/>
            <w:r w:rsidRPr="00D37799">
              <w:t>ACACA</w:t>
            </w:r>
            <w:proofErr w:type="spellEnd"/>
            <w:r w:rsidRPr="00D37799">
              <w:t xml:space="preserve"> website at http://</w:t>
            </w:r>
            <w:proofErr w:type="spellStart"/>
            <w:r w:rsidRPr="00D37799">
              <w:t>acaca.bos.nsw.edu.au</w:t>
            </w:r>
            <w:proofErr w:type="spellEnd"/>
            <w:r w:rsidRPr="00D37799">
              <w:t xml:space="preserve">/. </w:t>
            </w:r>
          </w:p>
          <w:p w:rsidR="00476C1C" w:rsidRPr="00D37799" w:rsidRDefault="00476C1C" w:rsidP="00F80BE7">
            <w:pPr>
              <w:pStyle w:val="DQITableText"/>
            </w:pPr>
            <w:r w:rsidRPr="00D37799">
              <w:t>The ABS web site on the Socio-Economic Indexes for Areas (</w:t>
            </w:r>
            <w:proofErr w:type="spellStart"/>
            <w:r w:rsidRPr="00D37799">
              <w:t>SEIFA</w:t>
            </w:r>
            <w:proofErr w:type="spellEnd"/>
            <w:r w:rsidRPr="00D37799">
              <w:t>).</w:t>
            </w:r>
          </w:p>
          <w:p w:rsidR="00476C1C" w:rsidRPr="00D37799" w:rsidRDefault="00476C1C" w:rsidP="00F80BE7">
            <w:pPr>
              <w:pStyle w:val="DQITableText"/>
            </w:pPr>
            <w:r w:rsidRPr="00D37799">
              <w:t>The ABS publication, Schools Australia for information on numbers enrolled in Year 12.</w:t>
            </w:r>
          </w:p>
          <w:p w:rsidR="00476C1C" w:rsidRPr="00D37799" w:rsidRDefault="00476C1C" w:rsidP="00F80BE7">
            <w:pPr>
              <w:pStyle w:val="DQITableText"/>
            </w:pPr>
            <w:r w:rsidRPr="00D37799">
              <w:t>Technical documentation published by the ABS explaining the ABS Estimated Resident Population series.</w:t>
            </w:r>
          </w:p>
          <w:p w:rsidR="00476C1C" w:rsidRPr="00D37799" w:rsidRDefault="00476C1C" w:rsidP="00F80BE7">
            <w:pPr>
              <w:pStyle w:val="DQITableText"/>
            </w:pPr>
            <w:r w:rsidRPr="00D37799">
              <w:t>Year 12 completion refers to state Year 12 certificates. See ‘relevance’ section for names of these certificates.</w:t>
            </w:r>
          </w:p>
        </w:tc>
      </w:tr>
      <w:tr w:rsidR="00476C1C" w:rsidRPr="00D37799" w:rsidTr="00972BB7">
        <w:trPr>
          <w:jc w:val="center"/>
        </w:trPr>
        <w:tc>
          <w:tcPr>
            <w:tcW w:w="8979" w:type="dxa"/>
            <w:gridSpan w:val="2"/>
          </w:tcPr>
          <w:p w:rsidR="00476C1C" w:rsidRPr="00D37799" w:rsidRDefault="00476C1C" w:rsidP="00F80BE7">
            <w:pPr>
              <w:pStyle w:val="DQIMainRowHeadings"/>
            </w:pPr>
            <w:r w:rsidRPr="00D37799">
              <w:t>Data Gaps/Issues Analysis</w:t>
            </w:r>
          </w:p>
        </w:tc>
      </w:tr>
      <w:tr w:rsidR="00476C1C" w:rsidRPr="00D37799" w:rsidTr="00F80BE7">
        <w:trPr>
          <w:jc w:val="center"/>
        </w:trPr>
        <w:tc>
          <w:tcPr>
            <w:tcW w:w="1655" w:type="dxa"/>
          </w:tcPr>
          <w:p w:rsidR="00476C1C" w:rsidRPr="00D37799" w:rsidRDefault="00476C1C" w:rsidP="00F80BE7">
            <w:pPr>
              <w:pStyle w:val="DQIRowHeadings"/>
            </w:pPr>
            <w:r w:rsidRPr="00D37799">
              <w:t>Key data gaps/issues</w:t>
            </w:r>
          </w:p>
        </w:tc>
        <w:tc>
          <w:tcPr>
            <w:tcW w:w="7324" w:type="dxa"/>
          </w:tcPr>
          <w:p w:rsidR="00476C1C" w:rsidRPr="00D37799" w:rsidRDefault="00476C1C" w:rsidP="00F80BE7">
            <w:pPr>
              <w:pStyle w:val="DQITableText"/>
            </w:pPr>
            <w:r w:rsidRPr="00D37799">
              <w:t>The Steering Committee notes the following issues:</w:t>
            </w:r>
          </w:p>
          <w:p w:rsidR="00476C1C" w:rsidRPr="00D37799" w:rsidRDefault="00476C1C" w:rsidP="00F80BE7">
            <w:pPr>
              <w:pStyle w:val="DQITableBullet"/>
            </w:pPr>
            <w:r w:rsidRPr="00D37799">
              <w:t xml:space="preserve">The aggregation of all postcode locations into three socioeconomic status categories — high, medium and low — means there may be significant variation within the categories. Low </w:t>
            </w:r>
            <w:proofErr w:type="spellStart"/>
            <w:r w:rsidRPr="00D37799">
              <w:t>deciles</w:t>
            </w:r>
            <w:proofErr w:type="spellEnd"/>
            <w:r w:rsidRPr="00D37799">
              <w:t>, for example, will include locations ranging from those of extreme disadvantage to those of moderate disadvantage.</w:t>
            </w:r>
            <w:r>
              <w:t xml:space="preserve"> These data are not comparable as states and territories hold different requirements to achieve year 12 completion. Work is continuing to develop comparable measures.</w:t>
            </w:r>
          </w:p>
        </w:tc>
      </w:tr>
    </w:tbl>
    <w:p w:rsidR="00476C1C" w:rsidRDefault="00476C1C" w:rsidP="00F80BE7">
      <w:pPr>
        <w:pStyle w:val="BodyText"/>
      </w:pPr>
    </w:p>
    <w:p w:rsidR="00476C1C" w:rsidRDefault="00476C1C" w:rsidP="00D37799">
      <w:pPr>
        <w:pStyle w:val="BodyText"/>
      </w:pPr>
    </w:p>
    <w:p w:rsidR="00D37799" w:rsidRDefault="00D37799" w:rsidP="00D37799">
      <w:pPr>
        <w:pStyle w:val="BodyText"/>
      </w:pPr>
      <w:r>
        <w:br w:type="page"/>
      </w:r>
    </w:p>
    <w:p w:rsidR="009B5886" w:rsidRPr="00D37799" w:rsidRDefault="009B5886" w:rsidP="00B67545">
      <w:pPr>
        <w:pStyle w:val="Heading3"/>
        <w:shd w:val="clear" w:color="auto" w:fill="FFFFFF" w:themeFill="background1"/>
      </w:pPr>
      <w:bookmarkStart w:id="59" w:name="_Toc401837442"/>
      <w:bookmarkStart w:id="60" w:name="_Toc439840534"/>
      <w:r w:rsidRPr="00D37799">
        <w:lastRenderedPageBreak/>
        <w:t>Destination</w:t>
      </w:r>
      <w:bookmarkEnd w:id="58"/>
      <w:bookmarkEnd w:id="59"/>
      <w:bookmarkEnd w:id="60"/>
    </w:p>
    <w:p w:rsidR="009B5886" w:rsidRPr="00D37799" w:rsidRDefault="009B5886" w:rsidP="00B67545">
      <w:pPr>
        <w:pStyle w:val="Box"/>
        <w:shd w:val="clear" w:color="auto" w:fill="FFFFFF" w:themeFill="background1"/>
      </w:pPr>
      <w:r w:rsidRPr="00D37799">
        <w:t>Data quality information for this indicator has been drafted by the Secretariat in consultation with the ABS, with additional Steering Committee comments.</w:t>
      </w:r>
    </w:p>
    <w:tbl>
      <w:tblPr>
        <w:tblW w:w="0" w:type="auto"/>
        <w:tblInd w:w="108" w:type="dxa"/>
        <w:shd w:val="clear" w:color="auto" w:fill="FFFFFF" w:themeFill="background1"/>
        <w:tblLayout w:type="fixed"/>
        <w:tblLook w:val="01E0" w:firstRow="1" w:lastRow="1" w:firstColumn="1" w:lastColumn="1" w:noHBand="0" w:noVBand="0"/>
      </w:tblPr>
      <w:tblGrid>
        <w:gridCol w:w="8789"/>
      </w:tblGrid>
      <w:tr w:rsidR="00D37799" w:rsidRPr="00D37799" w:rsidTr="00111D1B">
        <w:tc>
          <w:tcPr>
            <w:tcW w:w="8789" w:type="dxa"/>
            <w:shd w:val="clear" w:color="auto" w:fill="FFFFFF" w:themeFill="background1"/>
          </w:tcPr>
          <w:p w:rsidR="00476C1C" w:rsidRPr="00D37799" w:rsidRDefault="00476C1C" w:rsidP="00993DC7">
            <w:pPr>
              <w:pStyle w:val="TableBodyText"/>
              <w:shd w:val="clear" w:color="auto" w:fill="FFFFFF" w:themeFill="background1"/>
              <w:jc w:val="left"/>
            </w:pPr>
          </w:p>
          <w:p w:rsidR="00E87C78" w:rsidRPr="00D37799" w:rsidRDefault="00E87C78" w:rsidP="00993DC7">
            <w:pPr>
              <w:pStyle w:val="DQIMainRowHeadings"/>
              <w:shd w:val="clear" w:color="auto" w:fill="FFFFFF" w:themeFill="background1"/>
            </w:pPr>
            <w:r w:rsidRPr="00D37799">
              <w:br w:type="page"/>
            </w:r>
            <w:r w:rsidRPr="00993DC7">
              <w:t>Indicator definition and description</w:t>
            </w:r>
          </w:p>
        </w:tc>
      </w:tr>
    </w:tbl>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2806"/>
        <w:gridCol w:w="4395"/>
      </w:tblGrid>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Indicator</w:t>
            </w:r>
          </w:p>
        </w:tc>
        <w:tc>
          <w:tcPr>
            <w:tcW w:w="7201" w:type="dxa"/>
            <w:gridSpan w:val="2"/>
          </w:tcPr>
          <w:p w:rsidR="00B67545" w:rsidRPr="00CF61EC" w:rsidRDefault="00B67545" w:rsidP="00993DC7">
            <w:pPr>
              <w:pStyle w:val="DQITableText"/>
              <w:shd w:val="clear" w:color="auto" w:fill="FFFFFF" w:themeFill="background1"/>
            </w:pPr>
            <w:r w:rsidRPr="00CF61EC">
              <w:t>Destination</w:t>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Measure/s (computation)</w:t>
            </w:r>
          </w:p>
          <w:p w:rsidR="00B67545" w:rsidRPr="00CF61EC" w:rsidRDefault="00B67545" w:rsidP="00993DC7">
            <w:pPr>
              <w:pStyle w:val="DQIRowHeadings"/>
              <w:shd w:val="clear" w:color="auto" w:fill="FFFFFF" w:themeFill="background1"/>
            </w:pPr>
          </w:p>
        </w:tc>
        <w:tc>
          <w:tcPr>
            <w:tcW w:w="7201" w:type="dxa"/>
            <w:gridSpan w:val="2"/>
          </w:tcPr>
          <w:p w:rsidR="00B67545" w:rsidRPr="00CF61EC" w:rsidRDefault="00B67545" w:rsidP="00993DC7">
            <w:pPr>
              <w:pStyle w:val="DQITableText"/>
              <w:shd w:val="clear" w:color="auto" w:fill="FFFFFF" w:themeFill="background1"/>
              <w:rPr>
                <w:u w:val="single"/>
              </w:rPr>
            </w:pPr>
            <w:r w:rsidRPr="00CF61EC">
              <w:rPr>
                <w:u w:val="single"/>
              </w:rPr>
              <w:t>Definition</w:t>
            </w:r>
          </w:p>
          <w:p w:rsidR="00B67545" w:rsidRPr="00CF61EC" w:rsidRDefault="00B67545" w:rsidP="00993DC7">
            <w:pPr>
              <w:pStyle w:val="DQITableText"/>
              <w:shd w:val="clear" w:color="auto" w:fill="FFFFFF" w:themeFill="background1"/>
            </w:pPr>
            <w:r w:rsidRPr="00CF61EC">
              <w:t xml:space="preserve">1. The proportion of school leavers aged 15–24 who left school at any time, who are fully participating in education and/or training, or employment. </w:t>
            </w:r>
          </w:p>
          <w:p w:rsidR="00B67545" w:rsidRPr="00CF61EC" w:rsidRDefault="00B67545" w:rsidP="00993DC7">
            <w:pPr>
              <w:pStyle w:val="DQITableText"/>
              <w:shd w:val="clear" w:color="auto" w:fill="FFFFFF" w:themeFill="background1"/>
            </w:pPr>
            <w:r w:rsidRPr="00CF61EC">
              <w:t>2. The proportion of school leavers aged 15–24 who left school in the previous year, who are participating in work or study.</w:t>
            </w:r>
          </w:p>
          <w:p w:rsidR="00B67545" w:rsidRPr="00CF61EC" w:rsidRDefault="00B67545" w:rsidP="00993DC7">
            <w:pPr>
              <w:pStyle w:val="DQITableText"/>
              <w:shd w:val="clear" w:color="auto" w:fill="FFFFFF" w:themeFill="background1"/>
              <w:rPr>
                <w:u w:val="single"/>
              </w:rPr>
            </w:pPr>
            <w:r w:rsidRPr="00CF61EC">
              <w:t>3 </w:t>
            </w:r>
            <w:r w:rsidRPr="00CF61EC">
              <w:rPr>
                <w:u w:val="single"/>
              </w:rPr>
              <w:t xml:space="preserve"> </w:t>
            </w:r>
            <w:r w:rsidRPr="00CF61EC">
              <w:t>The proportions of 15–19 and 20–24 year olds who are not in school, who are participating in full or part time study and full or part time work. Data are reported by highest level of qualification.</w:t>
            </w:r>
          </w:p>
          <w:p w:rsidR="00B67545" w:rsidRPr="00CF61EC" w:rsidRDefault="00B67545" w:rsidP="00993DC7">
            <w:pPr>
              <w:pStyle w:val="DQITableText"/>
              <w:shd w:val="clear" w:color="auto" w:fill="FFFFFF" w:themeFill="background1"/>
              <w:rPr>
                <w:u w:val="single"/>
              </w:rPr>
            </w:pPr>
            <w:r w:rsidRPr="00CF61EC">
              <w:rPr>
                <w:u w:val="single"/>
              </w:rPr>
              <w:t>Numerator</w:t>
            </w:r>
          </w:p>
          <w:p w:rsidR="00B67545" w:rsidRPr="00CF61EC" w:rsidRDefault="00B67545" w:rsidP="00993DC7">
            <w:pPr>
              <w:pStyle w:val="DQITableText"/>
              <w:shd w:val="clear" w:color="auto" w:fill="FFFFFF" w:themeFill="background1"/>
            </w:pPr>
            <w:r w:rsidRPr="00CF61EC">
              <w:t>1. Number of 15-24 year olds who left school at any time and are participating in work or study.</w:t>
            </w:r>
          </w:p>
          <w:p w:rsidR="00B67545" w:rsidRPr="00CF61EC" w:rsidRDefault="00B67545" w:rsidP="00993DC7">
            <w:pPr>
              <w:pStyle w:val="DQITableText"/>
              <w:shd w:val="clear" w:color="auto" w:fill="FFFFFF" w:themeFill="background1"/>
            </w:pPr>
            <w:r w:rsidRPr="00CF61EC">
              <w:t>2. The number of school leavers aged 15–24 who left school in the previous year, who are participating in work or study.</w:t>
            </w:r>
          </w:p>
          <w:p w:rsidR="00B67545" w:rsidRPr="00CF61EC" w:rsidRDefault="00B67545" w:rsidP="00993DC7">
            <w:pPr>
              <w:pStyle w:val="DQITableText"/>
              <w:shd w:val="clear" w:color="auto" w:fill="FFFFFF" w:themeFill="background1"/>
            </w:pPr>
            <w:r w:rsidRPr="00CF61EC">
              <w:t xml:space="preserve">3. The number of 15–19 and 20–24 year olds who are not in school, who are participating in full or part time study and full or part time work. </w:t>
            </w:r>
          </w:p>
          <w:p w:rsidR="00B67545" w:rsidRPr="00CF61EC" w:rsidRDefault="00B67545" w:rsidP="00993DC7">
            <w:pPr>
              <w:pStyle w:val="DQITableText"/>
              <w:shd w:val="clear" w:color="auto" w:fill="FFFFFF" w:themeFill="background1"/>
              <w:rPr>
                <w:u w:val="single"/>
              </w:rPr>
            </w:pPr>
            <w:r w:rsidRPr="00CF61EC">
              <w:rPr>
                <w:u w:val="single"/>
              </w:rPr>
              <w:t>Denominator</w:t>
            </w:r>
          </w:p>
          <w:p w:rsidR="00B67545" w:rsidRPr="00CF61EC" w:rsidRDefault="00B67545" w:rsidP="00993DC7">
            <w:pPr>
              <w:pStyle w:val="DQITableText"/>
              <w:shd w:val="clear" w:color="auto" w:fill="FFFFFF" w:themeFill="background1"/>
            </w:pPr>
            <w:r w:rsidRPr="00CF61EC">
              <w:t>1. Number of 15–24 year olds who have left school at any time.</w:t>
            </w:r>
          </w:p>
          <w:p w:rsidR="00B67545" w:rsidRPr="00CF61EC" w:rsidRDefault="00B67545" w:rsidP="00993DC7">
            <w:pPr>
              <w:pStyle w:val="DQITableText"/>
              <w:shd w:val="clear" w:color="auto" w:fill="FFFFFF" w:themeFill="background1"/>
            </w:pPr>
            <w:r w:rsidRPr="00CF61EC">
              <w:t>2. Number of 15–24 year olds who have left school in the last year</w:t>
            </w:r>
          </w:p>
          <w:p w:rsidR="00B67545" w:rsidRPr="00CF61EC" w:rsidRDefault="00B67545" w:rsidP="00993DC7">
            <w:pPr>
              <w:pStyle w:val="DQITableText"/>
              <w:shd w:val="clear" w:color="auto" w:fill="FFFFFF" w:themeFill="background1"/>
            </w:pPr>
            <w:r w:rsidRPr="00CF61EC">
              <w:t>3. The proportions of 15–19 and 20–24 year olds who are not in school,</w:t>
            </w:r>
          </w:p>
          <w:p w:rsidR="00B67545" w:rsidRPr="00CF61EC" w:rsidRDefault="00B67545" w:rsidP="00993DC7">
            <w:pPr>
              <w:pStyle w:val="DQITableText"/>
              <w:shd w:val="clear" w:color="auto" w:fill="FFFFFF" w:themeFill="background1"/>
              <w:rPr>
                <w:u w:val="single"/>
              </w:rPr>
            </w:pPr>
            <w:r w:rsidRPr="00CF61EC">
              <w:rPr>
                <w:u w:val="single"/>
              </w:rPr>
              <w:t xml:space="preserve">Computation </w:t>
            </w:r>
          </w:p>
          <w:p w:rsidR="00B67545" w:rsidRPr="00CF61EC" w:rsidRDefault="00B67545" w:rsidP="00993DC7">
            <w:pPr>
              <w:pStyle w:val="DQITableText"/>
              <w:shd w:val="clear" w:color="auto" w:fill="FFFFFF" w:themeFill="background1"/>
              <w:ind w:left="29"/>
            </w:pPr>
            <w:r w:rsidRPr="00CF61EC">
              <w:t xml:space="preserve">1. Numerator (1) divided by denominator (1). Data are reported for school leavers whose highest level of school completed was year 12, and year 11 and below </w:t>
            </w:r>
          </w:p>
          <w:p w:rsidR="00B67545" w:rsidRPr="00CF61EC" w:rsidRDefault="00B67545" w:rsidP="00993DC7">
            <w:pPr>
              <w:pStyle w:val="DQITableText"/>
              <w:shd w:val="clear" w:color="auto" w:fill="FFFFFF" w:themeFill="background1"/>
              <w:ind w:left="29"/>
            </w:pPr>
            <w:r w:rsidRPr="00CF61EC">
              <w:t>2. Numerator (2) divided by denominator (2). Data are reported for school leavers whose highest level of school completed was year 12, and year 11 and below</w:t>
            </w:r>
          </w:p>
          <w:p w:rsidR="00B67545" w:rsidRPr="00CF61EC" w:rsidRDefault="00B67545" w:rsidP="00993DC7">
            <w:pPr>
              <w:pStyle w:val="DQITableText"/>
              <w:shd w:val="clear" w:color="auto" w:fill="FFFFFF" w:themeFill="background1"/>
              <w:ind w:left="29"/>
            </w:pPr>
            <w:r w:rsidRPr="00CF61EC">
              <w:t>3. Numerator (3) divided by denominator (3). Data are reported by highest level of qualification.</w:t>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Data source/s</w:t>
            </w:r>
          </w:p>
        </w:tc>
        <w:tc>
          <w:tcPr>
            <w:tcW w:w="7201" w:type="dxa"/>
            <w:gridSpan w:val="2"/>
          </w:tcPr>
          <w:p w:rsidR="00B67545" w:rsidRPr="00CF61EC" w:rsidRDefault="00B67545" w:rsidP="00993DC7">
            <w:pPr>
              <w:pStyle w:val="DQITableText"/>
              <w:shd w:val="clear" w:color="auto" w:fill="FFFFFF" w:themeFill="background1"/>
              <w:rPr>
                <w:u w:val="single"/>
              </w:rPr>
            </w:pPr>
            <w:r w:rsidRPr="00CF61EC">
              <w:rPr>
                <w:u w:val="single"/>
              </w:rPr>
              <w:t>Numerator/Denominator</w:t>
            </w:r>
          </w:p>
          <w:p w:rsidR="00B67545" w:rsidRPr="00CF61EC" w:rsidRDefault="00B67545" w:rsidP="00993DC7">
            <w:pPr>
              <w:pStyle w:val="DQITableText"/>
              <w:shd w:val="clear" w:color="auto" w:fill="FFFFFF" w:themeFill="background1"/>
            </w:pPr>
            <w:r w:rsidRPr="00CF61EC">
              <w:t xml:space="preserve">(1) and (2): ABS (unpublished) </w:t>
            </w:r>
            <w:r w:rsidRPr="00CF61EC">
              <w:rPr>
                <w:i/>
              </w:rPr>
              <w:t>Education and Work, Australia, 201</w:t>
            </w:r>
            <w:r w:rsidR="00A9447B">
              <w:rPr>
                <w:i/>
              </w:rPr>
              <w:t>4</w:t>
            </w:r>
            <w:r w:rsidRPr="00CF61EC">
              <w:rPr>
                <w:i/>
              </w:rPr>
              <w:t xml:space="preserve">, </w:t>
            </w:r>
            <w:r w:rsidRPr="00CF61EC">
              <w:t>Cat. no. 4402.0,</w:t>
            </w:r>
            <w:r w:rsidRPr="00CF61EC">
              <w:rPr>
                <w:i/>
              </w:rPr>
              <w:t xml:space="preserve"> </w:t>
            </w:r>
            <w:r w:rsidRPr="00CF61EC">
              <w:t>Canberra.</w:t>
            </w:r>
          </w:p>
          <w:p w:rsidR="00B67545" w:rsidRPr="00CF61EC" w:rsidRDefault="00B67545" w:rsidP="00993DC7">
            <w:pPr>
              <w:pStyle w:val="DQITableText"/>
              <w:shd w:val="clear" w:color="auto" w:fill="FFFFFF" w:themeFill="background1"/>
            </w:pPr>
            <w:r w:rsidRPr="00CF61EC">
              <w:t xml:space="preserve">(3): ABS </w:t>
            </w:r>
            <w:r w:rsidRPr="00CF61EC">
              <w:rPr>
                <w:i/>
              </w:rPr>
              <w:t>Census of Population and Housing 2011</w:t>
            </w:r>
          </w:p>
        </w:tc>
      </w:tr>
      <w:tr w:rsidR="00B67545" w:rsidRPr="00CF61EC" w:rsidTr="00111D1B">
        <w:trPr>
          <w:jc w:val="center"/>
        </w:trPr>
        <w:tc>
          <w:tcPr>
            <w:tcW w:w="4394" w:type="dxa"/>
            <w:gridSpan w:val="2"/>
          </w:tcPr>
          <w:p w:rsidR="00B67545" w:rsidRPr="00CF61EC" w:rsidRDefault="00B67545" w:rsidP="00993DC7">
            <w:pPr>
              <w:pStyle w:val="DQIMainRowHeadings"/>
              <w:shd w:val="clear" w:color="auto" w:fill="FFFFFF" w:themeFill="background1"/>
            </w:pPr>
            <w:r w:rsidRPr="00CF61EC">
              <w:t>Data Quality Framework Dimensions</w:t>
            </w:r>
          </w:p>
        </w:tc>
        <w:tc>
          <w:tcPr>
            <w:tcW w:w="4395" w:type="dxa"/>
          </w:tcPr>
          <w:p w:rsidR="00B67545" w:rsidRPr="00CF61EC" w:rsidRDefault="00B67545" w:rsidP="00993DC7">
            <w:pPr>
              <w:pStyle w:val="DQITableText"/>
              <w:shd w:val="clear" w:color="auto" w:fill="FFFFFF" w:themeFill="background1"/>
            </w:pP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Institutional environment</w:t>
            </w:r>
          </w:p>
        </w:tc>
        <w:tc>
          <w:tcPr>
            <w:tcW w:w="7201" w:type="dxa"/>
            <w:gridSpan w:val="2"/>
          </w:tcPr>
          <w:p w:rsidR="00B67545" w:rsidRPr="00CF61EC" w:rsidRDefault="00B67545" w:rsidP="00993DC7">
            <w:pPr>
              <w:pStyle w:val="DQITableText"/>
              <w:shd w:val="clear" w:color="auto" w:fill="FFFFFF" w:themeFill="background1"/>
            </w:pPr>
            <w:r w:rsidRPr="00CF61EC">
              <w:t>The SEW and Census is collected by the ABS under the Census and Statistics Act 1905.</w:t>
            </w:r>
          </w:p>
          <w:p w:rsidR="00B67545" w:rsidRPr="00CF61EC" w:rsidRDefault="00B67545" w:rsidP="00993DC7">
            <w:pPr>
              <w:pStyle w:val="DQITableText"/>
              <w:shd w:val="clear" w:color="auto" w:fill="FFFFFF" w:themeFill="background1"/>
              <w:rPr>
                <w:u w:val="single"/>
              </w:rPr>
            </w:pPr>
            <w:r w:rsidRPr="00CF61EC">
              <w:t>For information on the institutional environment of the ABS, including the legislative obligations of the ABS, financing and government arrangements, and mechanisms for scrutiny of ABS operations, see ABS Institutional Environment on the ABS website.</w:t>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Relevance</w:t>
            </w:r>
          </w:p>
          <w:p w:rsidR="00B67545" w:rsidRPr="00CF61EC" w:rsidRDefault="00B67545" w:rsidP="00993DC7">
            <w:pPr>
              <w:pStyle w:val="DQIRowHeadings"/>
              <w:shd w:val="clear" w:color="auto" w:fill="FFFFFF" w:themeFill="background1"/>
            </w:pPr>
          </w:p>
        </w:tc>
        <w:tc>
          <w:tcPr>
            <w:tcW w:w="7201" w:type="dxa"/>
            <w:gridSpan w:val="2"/>
          </w:tcPr>
          <w:p w:rsidR="00B67545" w:rsidRDefault="00B67545" w:rsidP="00993DC7">
            <w:pPr>
              <w:pStyle w:val="DQITableText"/>
              <w:shd w:val="clear" w:color="auto" w:fill="FFFFFF" w:themeFill="background1"/>
              <w:rPr>
                <w:rFonts w:cs="Arial"/>
              </w:rPr>
            </w:pPr>
            <w:r w:rsidRPr="00CF61EC">
              <w:rPr>
                <w:rFonts w:cs="Arial"/>
              </w:rPr>
              <w:t>SEW data are available by State/Territory. The SEW collects information on the highest year of school completed and highest level of non-school qualification. The classification of qualifications used is the Australian Standard Classification of Education.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B67545" w:rsidRPr="00CF61EC" w:rsidRDefault="00B67545" w:rsidP="00993DC7">
            <w:pPr>
              <w:pStyle w:val="DQITableText"/>
              <w:shd w:val="clear" w:color="auto" w:fill="FFFFFF" w:themeFill="background1"/>
            </w:pPr>
            <w:r w:rsidRPr="00266902">
              <w:lastRenderedPageBreak/>
              <w:t>The Australian Census of Population and Housing is the official count of population and dwellings and collects details of age, sex and other characteristics of the population.</w:t>
            </w:r>
            <w:r w:rsidRPr="00266902">
              <w:br/>
            </w:r>
            <w:r w:rsidRPr="00266902">
              <w:br/>
              <w:t>The Census aims to measure the number and key characteristics of people in Australia on Census Night. All people in Australia on Census Night are in scope, except foreign diplomats and their families. Visitors to Australia are counted regardless of how long they have been in the country or how long they plan to stay. Australian residents not in the country on Census Night are out of scope of the Census.</w:t>
            </w:r>
            <w:r w:rsidRPr="00266902">
              <w:br/>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lastRenderedPageBreak/>
              <w:t>Timeliness</w:t>
            </w:r>
          </w:p>
        </w:tc>
        <w:tc>
          <w:tcPr>
            <w:tcW w:w="7201" w:type="dxa"/>
            <w:gridSpan w:val="2"/>
          </w:tcPr>
          <w:p w:rsidR="00B67545" w:rsidRDefault="00B67545" w:rsidP="00993DC7">
            <w:pPr>
              <w:pStyle w:val="DQITableText"/>
              <w:shd w:val="clear" w:color="auto" w:fill="FFFFFF" w:themeFill="background1"/>
              <w:rPr>
                <w:rFonts w:cs="Arial"/>
              </w:rPr>
            </w:pPr>
            <w:r w:rsidRPr="00CF61EC">
              <w:rPr>
                <w:rFonts w:cs="Arial"/>
              </w:rPr>
              <w:t xml:space="preserve">The SEW is conducted annually in May as a supplement to the monthly </w:t>
            </w:r>
            <w:proofErr w:type="spellStart"/>
            <w:r w:rsidRPr="00CF61EC">
              <w:rPr>
                <w:rFonts w:cs="Arial"/>
              </w:rPr>
              <w:t>LFS</w:t>
            </w:r>
            <w:proofErr w:type="spellEnd"/>
            <w:r w:rsidRPr="00CF61EC">
              <w:rPr>
                <w:rFonts w:cs="Arial"/>
              </w:rPr>
              <w:t>. The Census of Population and Housing is conducted every 5 years.</w:t>
            </w:r>
          </w:p>
          <w:p w:rsidR="00B67545" w:rsidRPr="00CF61EC" w:rsidRDefault="00B67545" w:rsidP="00993DC7">
            <w:pPr>
              <w:pStyle w:val="DQITableText"/>
              <w:shd w:val="clear" w:color="auto" w:fill="FFFFFF" w:themeFill="background1"/>
            </w:pPr>
            <w:r w:rsidRPr="00266902">
              <w:t xml:space="preserve">The </w:t>
            </w:r>
            <w:r w:rsidRPr="00266902">
              <w:rPr>
                <w:i/>
                <w:iCs/>
              </w:rPr>
              <w:t>Census and Statistics Act 1905</w:t>
            </w:r>
            <w:r w:rsidRPr="00266902">
              <w:t xml:space="preserve"> requires the Australian Statistician to conduct a Census on a regular basis. Since 1961, a Census has been held every 5 years. The 2011 Census was the 16th national Census, and marked the centenary of national Censuses in Australia. It was held on 9 August 2011. </w:t>
            </w:r>
            <w:r w:rsidRPr="00266902">
              <w:br/>
            </w:r>
            <w:r w:rsidRPr="00266902">
              <w:br/>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Accuracy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 xml:space="preserve">The SEW has a response rate of 95 per cent (39 500 completed interviews). </w:t>
            </w:r>
          </w:p>
          <w:p w:rsidR="00B67545" w:rsidRPr="00CF61EC" w:rsidRDefault="00B67545" w:rsidP="00993DC7">
            <w:pPr>
              <w:pStyle w:val="DQITableText"/>
              <w:shd w:val="clear" w:color="auto" w:fill="FFFFFF" w:themeFill="background1"/>
              <w:rPr>
                <w:rFonts w:cs="Arial"/>
              </w:rPr>
            </w:pPr>
            <w:r w:rsidRPr="00CF61EC">
              <w:rPr>
                <w:rFonts w:cs="Arial"/>
              </w:rPr>
              <w:t xml:space="preserve">The data for the SEW are collected from an </w:t>
            </w:r>
            <w:proofErr w:type="spellStart"/>
            <w:r w:rsidRPr="00CF61EC">
              <w:rPr>
                <w:rFonts w:cs="Arial"/>
              </w:rPr>
              <w:t>ARA</w:t>
            </w:r>
            <w:proofErr w:type="spellEnd"/>
            <w:r w:rsidRPr="00CF61EC">
              <w:rPr>
                <w:rFonts w:cs="Arial"/>
              </w:rPr>
              <w:t xml:space="preserve"> (Any Responsible Adult) on behalf of other members of the household and are weighted for non-response.</w:t>
            </w:r>
          </w:p>
          <w:p w:rsidR="00B67545" w:rsidRPr="00CF61EC" w:rsidRDefault="00B67545" w:rsidP="00993DC7">
            <w:pPr>
              <w:pStyle w:val="DQITableText"/>
              <w:shd w:val="clear" w:color="auto" w:fill="FFFFFF" w:themeFill="background1"/>
              <w:rPr>
                <w:rFonts w:cs="Arial"/>
              </w:rPr>
            </w:pPr>
            <w:r w:rsidRPr="00CF61EC">
              <w:rPr>
                <w:rFonts w:cs="Arial"/>
              </w:rPr>
              <w:t xml:space="preserve">The data are event data that can be used to measure year to year changes provided that the changes are significant enough to account for the </w:t>
            </w:r>
            <w:proofErr w:type="spellStart"/>
            <w:r w:rsidRPr="00CF61EC">
              <w:rPr>
                <w:rFonts w:cs="Arial"/>
              </w:rPr>
              <w:t>RSE</w:t>
            </w:r>
            <w:proofErr w:type="spellEnd"/>
            <w:r w:rsidRPr="00CF61EC">
              <w:rPr>
                <w:rFonts w:cs="Arial"/>
              </w:rPr>
              <w:t xml:space="preserve"> of estimates. The </w:t>
            </w:r>
            <w:proofErr w:type="spellStart"/>
            <w:r w:rsidRPr="00CF61EC">
              <w:rPr>
                <w:rFonts w:cs="Arial"/>
              </w:rPr>
              <w:t>LFS</w:t>
            </w:r>
            <w:proofErr w:type="spellEnd"/>
            <w:r w:rsidRPr="00CF61EC">
              <w:rPr>
                <w:rFonts w:cs="Arial"/>
              </w:rPr>
              <w:t xml:space="preserve"> sample was reduced by 20 per cent in 2009, but the full sample was reinstated from 2010 onwards.</w:t>
            </w:r>
          </w:p>
          <w:p w:rsidR="00B67545" w:rsidRPr="00CF61EC" w:rsidRDefault="00B67545" w:rsidP="00993DC7">
            <w:pPr>
              <w:pStyle w:val="DQITableText"/>
              <w:shd w:val="clear" w:color="auto" w:fill="FFFFFF" w:themeFill="background1"/>
              <w:rPr>
                <w:rFonts w:cs="Arial"/>
              </w:rPr>
            </w:pPr>
            <w:r w:rsidRPr="00CF61EC">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CF61EC">
              <w:rPr>
                <w:rFonts w:cs="Arial"/>
              </w:rPr>
              <w:t>SEs</w:t>
            </w:r>
            <w:proofErr w:type="spellEnd"/>
            <w:r w:rsidRPr="00CF61EC">
              <w:rPr>
                <w:rFonts w:cs="Arial"/>
              </w:rPr>
              <w:t>.</w:t>
            </w:r>
          </w:p>
          <w:p w:rsidR="00B67545" w:rsidRPr="00CF61EC" w:rsidRDefault="00B67545" w:rsidP="00993DC7">
            <w:pPr>
              <w:pStyle w:val="DQITableText"/>
              <w:shd w:val="clear" w:color="auto" w:fill="FFFFFF" w:themeFill="background1"/>
              <w:rPr>
                <w:rFonts w:cs="Arial"/>
              </w:rPr>
            </w:pPr>
            <w:r w:rsidRPr="00CF61EC">
              <w:rPr>
                <w:rFonts w:cs="Arial"/>
              </w:rPr>
              <w:t xml:space="preserve">The interval of two </w:t>
            </w:r>
            <w:proofErr w:type="spellStart"/>
            <w:r w:rsidRPr="00CF61EC">
              <w:rPr>
                <w:rFonts w:cs="Arial"/>
              </w:rPr>
              <w:t>SEs</w:t>
            </w:r>
            <w:proofErr w:type="spellEnd"/>
            <w:r w:rsidRPr="00CF61EC">
              <w:rPr>
                <w:rFonts w:cs="Arial"/>
              </w:rPr>
              <w:t xml:space="preserve"> about an estimate is referred to as the 95 per cent CI. Small </w:t>
            </w:r>
            <w:proofErr w:type="spellStart"/>
            <w:r w:rsidRPr="00CF61EC">
              <w:rPr>
                <w:rFonts w:cs="Arial"/>
              </w:rPr>
              <w:t>SEs</w:t>
            </w:r>
            <w:proofErr w:type="spellEnd"/>
            <w:r w:rsidRPr="00CF61EC">
              <w:rPr>
                <w:rFonts w:cs="Arial"/>
              </w:rPr>
              <w:t xml:space="preserve"> are associated with small </w:t>
            </w:r>
            <w:proofErr w:type="spellStart"/>
            <w:r w:rsidRPr="00CF61EC">
              <w:rPr>
                <w:rFonts w:cs="Arial"/>
              </w:rPr>
              <w:t>CIs</w:t>
            </w:r>
            <w:proofErr w:type="spellEnd"/>
            <w:r w:rsidRPr="00CF61EC">
              <w:rPr>
                <w:rFonts w:cs="Arial"/>
              </w:rPr>
              <w:t xml:space="preserve"> and large </w:t>
            </w:r>
            <w:proofErr w:type="spellStart"/>
            <w:r w:rsidRPr="00CF61EC">
              <w:rPr>
                <w:rFonts w:cs="Arial"/>
              </w:rPr>
              <w:t>SEs</w:t>
            </w:r>
            <w:proofErr w:type="spellEnd"/>
            <w:r w:rsidRPr="00CF61EC">
              <w:rPr>
                <w:rFonts w:cs="Arial"/>
              </w:rPr>
              <w:t xml:space="preserve"> with large </w:t>
            </w:r>
            <w:proofErr w:type="spellStart"/>
            <w:r w:rsidRPr="00CF61EC">
              <w:rPr>
                <w:rFonts w:cs="Arial"/>
              </w:rPr>
              <w:t>CIs</w:t>
            </w:r>
            <w:proofErr w:type="spellEnd"/>
            <w:r w:rsidRPr="00CF61EC">
              <w:rPr>
                <w:rFonts w:cs="Arial"/>
              </w:rPr>
              <w:t>. The CI is a useful measure of reliability as it measures percentage point variability around the indicator.</w:t>
            </w:r>
            <w:r>
              <w:rPr>
                <w:rFonts w:cs="Arial"/>
              </w:rPr>
              <w:t xml:space="preserve"> The confidence interval </w:t>
            </w:r>
            <w:r w:rsidRPr="00CF61EC">
              <w:rPr>
                <w:rFonts w:cs="Arial"/>
              </w:rPr>
              <w:t>should be considered when comparing the performance of states and territories.</w:t>
            </w:r>
          </w:p>
          <w:p w:rsidR="00B67545" w:rsidRPr="00CF61EC" w:rsidRDefault="00B67545" w:rsidP="00993DC7">
            <w:pPr>
              <w:pStyle w:val="DQITableText"/>
              <w:shd w:val="clear" w:color="auto" w:fill="FFFFFF" w:themeFill="background1"/>
              <w:rPr>
                <w:rFonts w:cs="Arial"/>
              </w:rPr>
            </w:pPr>
            <w:r w:rsidRPr="00CF61EC">
              <w:rPr>
                <w:rFonts w:cs="Arial"/>
              </w:rPr>
              <w:t xml:space="preserve">Another measure of the likely difference between a sample estimate and the actual population result, is the </w:t>
            </w:r>
            <w:proofErr w:type="spellStart"/>
            <w:r w:rsidRPr="00CF61EC">
              <w:rPr>
                <w:rFonts w:cs="Arial"/>
              </w:rPr>
              <w:t>RSE</w:t>
            </w:r>
            <w:proofErr w:type="spellEnd"/>
            <w:r w:rsidRPr="00CF61EC">
              <w:rPr>
                <w:rFonts w:cs="Arial"/>
              </w:rPr>
              <w:t xml:space="preserve">, which is obtained by expressing the SE as a percentage of the estimate. The </w:t>
            </w:r>
            <w:proofErr w:type="spellStart"/>
            <w:r w:rsidRPr="00CF61EC">
              <w:rPr>
                <w:rFonts w:cs="Arial"/>
              </w:rPr>
              <w:t>RSE</w:t>
            </w:r>
            <w:proofErr w:type="spellEnd"/>
            <w:r w:rsidRPr="00CF61EC">
              <w:rPr>
                <w:rFonts w:cs="Arial"/>
              </w:rPr>
              <w:t xml:space="preserve"> is a useful measure in that it provides an immediate indication of the percentage errors likely to have occurred due to sampling, and thus avoids the need to refer also to the size of the estimate.</w:t>
            </w:r>
            <w:r w:rsidRPr="00CF61EC">
              <w:rPr>
                <w:rFonts w:cs="Arial"/>
              </w:rPr>
              <w:br/>
            </w:r>
            <w:r w:rsidRPr="00CF61EC">
              <w:rPr>
                <w:rFonts w:cs="Arial"/>
              </w:rPr>
              <w:br/>
            </w:r>
            <w:r w:rsidR="00111D1B">
              <w:rPr>
                <w:rFonts w:cs="Arial"/>
                <w:noProof/>
              </w:rPr>
              <w:drawing>
                <wp:inline distT="0" distB="0" distL="0" distR="0">
                  <wp:extent cx="2019300" cy="438150"/>
                  <wp:effectExtent l="0" t="0" r="0" b="0"/>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B67545" w:rsidRPr="00CF61EC" w:rsidRDefault="00B67545" w:rsidP="00993DC7">
            <w:pPr>
              <w:pStyle w:val="DQITableText"/>
              <w:shd w:val="clear" w:color="auto" w:fill="FFFFFF" w:themeFill="background1"/>
              <w:rPr>
                <w:rFonts w:cs="Arial"/>
              </w:rPr>
            </w:pPr>
            <w:r w:rsidRPr="00CF61EC">
              <w:rPr>
                <w:rFonts w:cs="Arial"/>
              </w:rPr>
              <w:t xml:space="preserve">The smaller the estimate the higher is the </w:t>
            </w:r>
            <w:proofErr w:type="spellStart"/>
            <w:r w:rsidRPr="00CF61EC">
              <w:rPr>
                <w:rFonts w:cs="Arial"/>
              </w:rPr>
              <w:t>RSE</w:t>
            </w:r>
            <w:proofErr w:type="spellEnd"/>
            <w:r w:rsidRPr="00CF61EC">
              <w:rPr>
                <w:rFonts w:cs="Arial"/>
              </w:rPr>
              <w:t xml:space="preserve">. Likewise, the smaller the underlying sample size on which an estimate is based, the higher the SE and therefore the higher the corresponding </w:t>
            </w:r>
            <w:proofErr w:type="spellStart"/>
            <w:r w:rsidRPr="00CF61EC">
              <w:rPr>
                <w:rFonts w:cs="Arial"/>
              </w:rPr>
              <w:t>RSE</w:t>
            </w:r>
            <w:proofErr w:type="spellEnd"/>
            <w:r w:rsidRPr="00CF61EC">
              <w:rPr>
                <w:rFonts w:cs="Arial"/>
              </w:rPr>
              <w:t xml:space="preserve">. Very small estimates and those based on very small samples are subject to such high </w:t>
            </w:r>
            <w:proofErr w:type="spellStart"/>
            <w:r w:rsidRPr="00CF61EC">
              <w:rPr>
                <w:rFonts w:cs="Arial"/>
              </w:rPr>
              <w:t>SEs</w:t>
            </w:r>
            <w:proofErr w:type="spellEnd"/>
            <w:r w:rsidRPr="00CF61EC">
              <w:rPr>
                <w:rFonts w:cs="Arial"/>
              </w:rPr>
              <w:t xml:space="preserve"> (relative to the size of the estimate) as to detract seriously from their value for most reasonable uses. In general, the ABS considers that only estimates with </w:t>
            </w:r>
            <w:proofErr w:type="spellStart"/>
            <w:r w:rsidRPr="00CF61EC">
              <w:rPr>
                <w:rFonts w:cs="Arial"/>
              </w:rPr>
              <w:t>RSEs</w:t>
            </w:r>
            <w:proofErr w:type="spellEnd"/>
            <w:r w:rsidRPr="00CF61EC">
              <w:rPr>
                <w:rFonts w:cs="Arial"/>
              </w:rPr>
              <w:t xml:space="preserve"> less than 25 per cent are sufficiently reliable for most purposes. Estimates with larger </w:t>
            </w:r>
            <w:proofErr w:type="spellStart"/>
            <w:r w:rsidRPr="00CF61EC">
              <w:rPr>
                <w:rFonts w:cs="Arial"/>
              </w:rPr>
              <w:t>RSEs</w:t>
            </w:r>
            <w:proofErr w:type="spellEnd"/>
            <w:r w:rsidRPr="00CF61EC">
              <w:rPr>
                <w:rFonts w:cs="Arial"/>
              </w:rPr>
              <w:t xml:space="preserve">, between 25 per cent and less than 50 per cent should be used with caution and estimates with </w:t>
            </w:r>
            <w:proofErr w:type="spellStart"/>
            <w:r w:rsidRPr="00CF61EC">
              <w:rPr>
                <w:rFonts w:cs="Arial"/>
              </w:rPr>
              <w:t>RSEs</w:t>
            </w:r>
            <w:proofErr w:type="spellEnd"/>
            <w:r w:rsidRPr="00CF61EC">
              <w:rPr>
                <w:rFonts w:cs="Arial"/>
              </w:rPr>
              <w:t xml:space="preserve"> of 50 per cent or more are considered unreliable for most purposes. In the attachment tables in this Report, estimates based on the SEW with </w:t>
            </w:r>
            <w:proofErr w:type="spellStart"/>
            <w:r w:rsidRPr="00CF61EC">
              <w:rPr>
                <w:rFonts w:cs="Arial"/>
              </w:rPr>
              <w:t>RSEs</w:t>
            </w:r>
            <w:proofErr w:type="spellEnd"/>
            <w:r w:rsidRPr="00CF61EC">
              <w:rPr>
                <w:rFonts w:cs="Arial"/>
              </w:rPr>
              <w:t xml:space="preserve"> between 25 per cent and less that 50 per cent are indicated in italics. Estimates of </w:t>
            </w:r>
            <w:proofErr w:type="spellStart"/>
            <w:r w:rsidRPr="00CF61EC">
              <w:rPr>
                <w:rFonts w:cs="Arial"/>
              </w:rPr>
              <w:t>RSEs</w:t>
            </w:r>
            <w:proofErr w:type="spellEnd"/>
            <w:r w:rsidRPr="00CF61EC">
              <w:rPr>
                <w:rFonts w:cs="Arial"/>
              </w:rPr>
              <w:t xml:space="preserve"> of 50 per cent or more are generally identified as ‘np’ (not published).</w:t>
            </w:r>
          </w:p>
          <w:p w:rsidR="00B67545" w:rsidRPr="00CF61EC" w:rsidRDefault="00B67545" w:rsidP="00993DC7">
            <w:pPr>
              <w:pStyle w:val="DQITableText"/>
              <w:shd w:val="clear" w:color="auto" w:fill="FFFFFF" w:themeFill="background1"/>
              <w:rPr>
                <w:rFonts w:cs="Arial"/>
              </w:rPr>
            </w:pPr>
            <w:r w:rsidRPr="00CF61EC">
              <w:rPr>
                <w:rFonts w:cs="Arial"/>
              </w:rPr>
              <w:lastRenderedPageBreak/>
              <w:t xml:space="preserve">The </w:t>
            </w:r>
            <w:r>
              <w:rPr>
                <w:rFonts w:cs="Arial"/>
              </w:rPr>
              <w:t>sampling error</w:t>
            </w:r>
            <w:r w:rsidRPr="00CF61EC">
              <w:rPr>
                <w:rFonts w:cs="Arial"/>
              </w:rPr>
              <w:t xml:space="preserve"> associated with SEW and other survey estimates can be large, especially for the smaller jurisdictions and/or when focusing on small subpopulations, such as 20-24 year olds.</w:t>
            </w:r>
          </w:p>
          <w:p w:rsidR="006C6926" w:rsidRDefault="00B67545" w:rsidP="00993DC7">
            <w:pPr>
              <w:pStyle w:val="DQITableText"/>
              <w:shd w:val="clear" w:color="auto" w:fill="FFFFFF" w:themeFill="background1"/>
              <w:rPr>
                <w:rFonts w:cs="Arial"/>
              </w:rPr>
            </w:pPr>
            <w:r w:rsidRPr="00266902">
              <w:rPr>
                <w:rFonts w:cs="Arial"/>
              </w:rPr>
              <w:t xml:space="preserve">The ABS aims to produce high quality data from the Census. To achieve this, extensive effort is put into Census form design, collection procedures and processing. There are four principal sources of error in Census data which quality management aims to reduce as much as possible; they are respondent error, processing error, partial or non-response and undercount. For more detail, see </w:t>
            </w:r>
            <w:r w:rsidRPr="00266902">
              <w:rPr>
                <w:rFonts w:cs="Arial"/>
                <w:i/>
                <w:iCs/>
              </w:rPr>
              <w:t>2011 Census Dictionary</w:t>
            </w:r>
            <w:r w:rsidRPr="00266902">
              <w:rPr>
                <w:rFonts w:cs="Arial"/>
              </w:rPr>
              <w:t xml:space="preserve"> (cat. no. 2901.0) entry </w:t>
            </w:r>
            <w:r w:rsidRPr="00111D1B">
              <w:rPr>
                <w:rFonts w:cs="Arial"/>
              </w:rPr>
              <w:t>Managing Census Quality</w:t>
            </w:r>
            <w:r w:rsidRPr="00266902">
              <w:rPr>
                <w:rFonts w:cs="Arial"/>
              </w:rPr>
              <w:t>.</w:t>
            </w:r>
          </w:p>
          <w:p w:rsidR="00B67545" w:rsidRPr="00CF61EC" w:rsidRDefault="00B67545" w:rsidP="00993DC7">
            <w:pPr>
              <w:pStyle w:val="DQITableText"/>
              <w:shd w:val="clear" w:color="auto" w:fill="FFFFFF" w:themeFill="background1"/>
              <w:rPr>
                <w:rFonts w:cs="Arial"/>
              </w:rPr>
            </w:pPr>
            <w:r w:rsidRPr="00266902">
              <w:rPr>
                <w:rFonts w:cs="Arial"/>
              </w:rPr>
              <w:t xml:space="preserve">The Census is self-enumerated, and respondents sometimes do not return 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 Data quality statements are produced for each Census data item and include the non-response rate for each variable and a brief outline of any known data quality problems, as well as a comparison with the non-response rate for the 2006 Census. These can be accessed through the </w:t>
            </w:r>
            <w:r w:rsidRPr="00111D1B">
              <w:rPr>
                <w:rFonts w:cs="Arial"/>
              </w:rPr>
              <w:t>Data quality statements</w:t>
            </w:r>
            <w:r w:rsidRPr="00266902">
              <w:rPr>
                <w:rFonts w:cs="Arial"/>
              </w:rPr>
              <w:t>.</w:t>
            </w:r>
          </w:p>
        </w:tc>
        <w:bookmarkStart w:id="61" w:name="_GoBack"/>
        <w:bookmarkEnd w:id="61"/>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lastRenderedPageBreak/>
              <w:t>Coherence</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For measures (1) and (2) both the numerator and denominator come from the SEW. Prior to 2009 all persons in very remote areas were excluded from SEW. Very remote areas represent about 2 per cent of the total Australian and 20 per cent of the NT population. From 2009 onwards the SEW has a wider scope. It includes people in very remote areas but excludes people in Aboriginal and Torres Strait Islander communities in very remote areas. The current exclusion has only a minor impact on national estimates or estimates by State/Territory except for the NT where such persons account for about 15 per cent of the population.</w:t>
            </w:r>
          </w:p>
          <w:p w:rsidR="00B67545" w:rsidRPr="00CF61EC" w:rsidRDefault="00B67545" w:rsidP="00993DC7">
            <w:pPr>
              <w:pStyle w:val="DQITableText"/>
              <w:shd w:val="clear" w:color="auto" w:fill="FFFFFF" w:themeFill="background1"/>
              <w:rPr>
                <w:rFonts w:cs="Arial"/>
              </w:rPr>
            </w:pPr>
            <w:r w:rsidRPr="00CF61EC">
              <w:rPr>
                <w:rFonts w:cs="Arial"/>
              </w:rPr>
              <w:t xml:space="preserve">For the 2013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B67545" w:rsidRPr="00CF61EC" w:rsidRDefault="00B67545" w:rsidP="00993DC7">
            <w:pPr>
              <w:pStyle w:val="DQITableText"/>
              <w:shd w:val="clear" w:color="auto" w:fill="FFFFFF" w:themeFill="background1"/>
              <w:rPr>
                <w:rFonts w:cs="Arial"/>
              </w:rPr>
            </w:pPr>
            <w:r w:rsidRPr="00CF61EC">
              <w:rPr>
                <w:rFonts w:cs="Arial"/>
              </w:rPr>
              <w:t>The Australian Standard Classification of Education (</w:t>
            </w:r>
            <w:proofErr w:type="spellStart"/>
            <w:r w:rsidRPr="00CF61EC">
              <w:rPr>
                <w:rFonts w:cs="Arial"/>
              </w:rPr>
              <w:t>ASCED</w:t>
            </w:r>
            <w:proofErr w:type="spellEnd"/>
            <w:r w:rsidRPr="00CF61EC">
              <w:rPr>
                <w:rFonts w:cs="Arial"/>
              </w:rPr>
              <w:t>) (Cat. No. 1272.0) has been used in all surveys with education items since 2001 and allows the education and training items between different surveys to be compared.</w:t>
            </w:r>
          </w:p>
          <w:p w:rsidR="00B67545" w:rsidRDefault="00B67545" w:rsidP="00993DC7">
            <w:pPr>
              <w:pStyle w:val="DQITableText"/>
              <w:shd w:val="clear" w:color="auto" w:fill="FFFFFF" w:themeFill="background1"/>
              <w:rPr>
                <w:rFonts w:cs="Arial"/>
              </w:rPr>
            </w:pPr>
            <w:r w:rsidRPr="00266902">
              <w:rPr>
                <w:rFonts w:cs="Arial"/>
              </w:rPr>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These include, for example, standards for occupation and geographic areas. For more details regarding classifications used in the Census, see the </w:t>
            </w:r>
            <w:r w:rsidRPr="00266902">
              <w:rPr>
                <w:rFonts w:cs="Arial"/>
                <w:i/>
                <w:iCs/>
              </w:rPr>
              <w:t xml:space="preserve">Census Dictionary, 2011 </w:t>
            </w:r>
            <w:r w:rsidRPr="00266902">
              <w:rPr>
                <w:rFonts w:cs="Arial"/>
              </w:rPr>
              <w:t xml:space="preserve">(cat. no. 2901.0) entry </w:t>
            </w:r>
            <w:r w:rsidRPr="00111D1B">
              <w:rPr>
                <w:rFonts w:cs="Arial"/>
              </w:rPr>
              <w:t>About Census Classifications</w:t>
            </w:r>
            <w:r w:rsidRPr="00266902">
              <w:rPr>
                <w:rFonts w:cs="Arial"/>
              </w:rPr>
              <w:t>, and the relevant entries for each classification.</w:t>
            </w:r>
          </w:p>
          <w:p w:rsidR="00B67545" w:rsidRPr="00CF61EC" w:rsidRDefault="00B67545" w:rsidP="00993DC7">
            <w:pPr>
              <w:pStyle w:val="DQITableText"/>
              <w:shd w:val="clear" w:color="auto" w:fill="FFFFFF" w:themeFill="background1"/>
            </w:pPr>
            <w:r w:rsidRPr="00CF61EC">
              <w:rPr>
                <w:rFonts w:cs="Arial"/>
              </w:rPr>
              <w:t>The Census of Population and Housing and publication Learning and Work, Australia (</w:t>
            </w:r>
            <w:proofErr w:type="spellStart"/>
            <w:r w:rsidRPr="00CF61EC">
              <w:rPr>
                <w:rFonts w:cs="Arial"/>
              </w:rPr>
              <w:t>www.abs.gov.au</w:t>
            </w:r>
            <w:proofErr w:type="spellEnd"/>
            <w:r w:rsidRPr="00CF61EC">
              <w:rPr>
                <w:rFonts w:cs="Arial"/>
              </w:rPr>
              <w:t>/</w:t>
            </w:r>
            <w:proofErr w:type="spellStart"/>
            <w:r w:rsidRPr="00CF61EC">
              <w:rPr>
                <w:rFonts w:cs="Arial"/>
              </w:rPr>
              <w:t>ausstats</w:t>
            </w:r>
            <w:proofErr w:type="spellEnd"/>
            <w:r w:rsidRPr="00CF61EC">
              <w:rPr>
                <w:rFonts w:cs="Arial"/>
              </w:rPr>
              <w:t>/abs@.</w:t>
            </w:r>
            <w:proofErr w:type="spellStart"/>
            <w:r w:rsidRPr="00CF61EC">
              <w:rPr>
                <w:rFonts w:cs="Arial"/>
              </w:rPr>
              <w:t>nsf</w:t>
            </w:r>
            <w:proofErr w:type="spellEnd"/>
            <w:r w:rsidRPr="00CF61EC">
              <w:rPr>
                <w:rFonts w:cs="Arial"/>
              </w:rPr>
              <w:t>/mf/4235.0) (Cat. no. 4235.0) also provide information on educational attainment.</w:t>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Accessibility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 xml:space="preserve">The data for the SEW are available via the ABS website in the publication Education and </w:t>
            </w:r>
            <w:smartTag w:uri="urn:schemas-microsoft-com:office:smarttags" w:element="City">
              <w:r w:rsidRPr="00CF61EC">
                <w:rPr>
                  <w:rFonts w:cs="Arial"/>
                </w:rPr>
                <w:t>Work</w:t>
              </w:r>
            </w:smartTag>
            <w:r w:rsidRPr="00CF61EC">
              <w:rPr>
                <w:rFonts w:cs="Arial"/>
              </w:rPr>
              <w:t>, Australia.</w:t>
            </w:r>
          </w:p>
          <w:p w:rsidR="00B67545" w:rsidRPr="00CF61EC" w:rsidRDefault="00B67545" w:rsidP="00993DC7">
            <w:pPr>
              <w:pStyle w:val="DQITableText"/>
              <w:shd w:val="clear" w:color="auto" w:fill="FFFFFF" w:themeFill="background1"/>
              <w:rPr>
                <w:rFonts w:cs="Arial"/>
              </w:rPr>
            </w:pPr>
            <w:r w:rsidRPr="00CF61EC">
              <w:rPr>
                <w:rFonts w:cs="Arial"/>
              </w:rPr>
              <w:t xml:space="preserve">Additional data are available at cost upon request through the </w:t>
            </w:r>
            <w:proofErr w:type="spellStart"/>
            <w:r w:rsidRPr="00CF61EC">
              <w:rPr>
                <w:rFonts w:cs="Arial"/>
              </w:rPr>
              <w:t>NIRS</w:t>
            </w:r>
            <w:proofErr w:type="spellEnd"/>
            <w:r w:rsidRPr="00CF61EC">
              <w:rPr>
                <w:rFonts w:cs="Arial"/>
              </w:rPr>
              <w:t xml:space="preserve">. </w:t>
            </w:r>
          </w:p>
          <w:p w:rsidR="00B67545" w:rsidRPr="00CF61EC" w:rsidRDefault="00B67545" w:rsidP="00993DC7">
            <w:pPr>
              <w:pStyle w:val="DQITableText"/>
              <w:shd w:val="clear" w:color="auto" w:fill="FFFFFF" w:themeFill="background1"/>
            </w:pPr>
            <w:r w:rsidRPr="00CF61EC">
              <w:rPr>
                <w:rFonts w:cs="Arial"/>
              </w:rPr>
              <w:t>Further data</w:t>
            </w:r>
            <w:r>
              <w:rPr>
                <w:rFonts w:cs="Arial"/>
              </w:rPr>
              <w:t>, including Census data,</w:t>
            </w:r>
            <w:r w:rsidRPr="00CF61EC">
              <w:rPr>
                <w:rFonts w:cs="Arial"/>
              </w:rPr>
              <w:t xml:space="preserve"> are available by the licensed Survey </w:t>
            </w:r>
            <w:proofErr w:type="spellStart"/>
            <w:r w:rsidRPr="00CF61EC">
              <w:rPr>
                <w:rFonts w:cs="Arial"/>
              </w:rPr>
              <w:t>TableBuilder</w:t>
            </w:r>
            <w:proofErr w:type="spellEnd"/>
            <w:r w:rsidRPr="00CF61EC">
              <w:rPr>
                <w:rFonts w:cs="Arial"/>
              </w:rPr>
              <w:t xml:space="preserve"> product.</w:t>
            </w: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Interpretability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Information on how to interpret and use the data appropriately is available on the ABS website; see Explanatory Notes in Education and Work, Australia, (Cat. no. 6227.0)</w:t>
            </w:r>
            <w:r>
              <w:rPr>
                <w:rFonts w:cs="Arial"/>
              </w:rPr>
              <w:t xml:space="preserve">; </w:t>
            </w:r>
            <w:r w:rsidRPr="00266902">
              <w:rPr>
                <w:rFonts w:cs="Arial"/>
              </w:rPr>
              <w:t xml:space="preserve">The Census provides a wealth of data about the Australian community through a suite of standard products, and data customised for individual requirements. The </w:t>
            </w:r>
            <w:r w:rsidRPr="00111D1B">
              <w:rPr>
                <w:rFonts w:cs="Arial"/>
              </w:rPr>
              <w:t>Census Dictionary, 2011</w:t>
            </w:r>
            <w:r w:rsidRPr="00266902">
              <w:rPr>
                <w:rFonts w:cs="Arial"/>
              </w:rPr>
              <w:t xml:space="preserve"> (cat. no. 2901.0) is a comprehensive reference guide designed to assist users to determine and specify their data requirements, and to understand the concepts underlying the data. It provides details of classifications used and a glossary of definitions of Census terms.</w:t>
            </w:r>
            <w:r w:rsidRPr="00CF61EC">
              <w:rPr>
                <w:rFonts w:cs="Arial"/>
              </w:rPr>
              <w:t>.</w:t>
            </w:r>
          </w:p>
        </w:tc>
      </w:tr>
      <w:tr w:rsidR="00B67545" w:rsidRPr="00CF61EC" w:rsidTr="00111D1B">
        <w:trPr>
          <w:jc w:val="center"/>
        </w:trPr>
        <w:tc>
          <w:tcPr>
            <w:tcW w:w="4394" w:type="dxa"/>
            <w:gridSpan w:val="2"/>
          </w:tcPr>
          <w:p w:rsidR="00B67545" w:rsidRPr="00CF61EC" w:rsidRDefault="00B67545" w:rsidP="00993DC7">
            <w:pPr>
              <w:pStyle w:val="DQIMainRowHeadings"/>
              <w:shd w:val="clear" w:color="auto" w:fill="FFFFFF" w:themeFill="background1"/>
            </w:pPr>
            <w:r w:rsidRPr="00CF61EC">
              <w:lastRenderedPageBreak/>
              <w:t xml:space="preserve">Data Gaps/Issues Analysis </w:t>
            </w:r>
          </w:p>
        </w:tc>
        <w:tc>
          <w:tcPr>
            <w:tcW w:w="4395" w:type="dxa"/>
          </w:tcPr>
          <w:p w:rsidR="00B67545" w:rsidRPr="00CF61EC" w:rsidRDefault="00B67545" w:rsidP="00993DC7">
            <w:pPr>
              <w:pStyle w:val="DQITableText"/>
              <w:shd w:val="clear" w:color="auto" w:fill="FFFFFF" w:themeFill="background1"/>
            </w:pPr>
          </w:p>
        </w:tc>
      </w:tr>
      <w:tr w:rsidR="00B67545" w:rsidRPr="00CF61EC" w:rsidTr="00111D1B">
        <w:trPr>
          <w:jc w:val="center"/>
        </w:trPr>
        <w:tc>
          <w:tcPr>
            <w:tcW w:w="1588" w:type="dxa"/>
          </w:tcPr>
          <w:p w:rsidR="00B67545" w:rsidRPr="00CF61EC" w:rsidRDefault="00B67545" w:rsidP="00993DC7">
            <w:pPr>
              <w:pStyle w:val="DQIRowHeadings"/>
              <w:shd w:val="clear" w:color="auto" w:fill="FFFFFF" w:themeFill="background1"/>
            </w:pPr>
            <w:r w:rsidRPr="00CF61EC">
              <w:t>Key data gaps /issues</w:t>
            </w:r>
          </w:p>
        </w:tc>
        <w:tc>
          <w:tcPr>
            <w:tcW w:w="7201" w:type="dxa"/>
            <w:gridSpan w:val="2"/>
          </w:tcPr>
          <w:p w:rsidR="00B67545" w:rsidRPr="00CF61EC" w:rsidRDefault="00B67545" w:rsidP="00993DC7">
            <w:pPr>
              <w:pStyle w:val="DQITableText"/>
              <w:shd w:val="clear" w:color="auto" w:fill="FFFFFF" w:themeFill="background1"/>
            </w:pPr>
            <w:r w:rsidRPr="00CF61EC">
              <w:t>The Steering Committee notes the following issues:</w:t>
            </w:r>
          </w:p>
          <w:p w:rsidR="00B67545" w:rsidRPr="00B67545" w:rsidRDefault="00B67545" w:rsidP="00993DC7">
            <w:pPr>
              <w:pStyle w:val="DQITableBullet"/>
              <w:shd w:val="clear" w:color="auto" w:fill="FFFFFF" w:themeFill="background1"/>
            </w:pPr>
            <w:r w:rsidRPr="00CF61EC">
              <w:t xml:space="preserve">A higher or </w:t>
            </w:r>
            <w:r w:rsidRPr="00B67545">
              <w:t>increasing estimated proportion of school leavers participating in further education, training or full time employment is likely to result in improved educational and employment outcomes in the longer term.</w:t>
            </w:r>
          </w:p>
          <w:p w:rsidR="00B67545" w:rsidRPr="00CF61EC" w:rsidRDefault="00B67545" w:rsidP="00993DC7">
            <w:pPr>
              <w:pStyle w:val="DQITableBullet"/>
              <w:shd w:val="clear" w:color="auto" w:fill="FFFFFF" w:themeFill="background1"/>
            </w:pPr>
            <w:r w:rsidRPr="00B67545">
              <w:t>The Survey of Education and Work data reported for this indicator relate to the jurisdiction in which</w:t>
            </w:r>
            <w:r w:rsidRPr="00CF61EC">
              <w:t xml:space="preserve"> the young person was resident the year of the survey and not necessarily the jurisdiction in which they attended school.</w:t>
            </w:r>
          </w:p>
        </w:tc>
      </w:tr>
    </w:tbl>
    <w:p w:rsidR="00C04CC9" w:rsidRPr="00D37799" w:rsidRDefault="00C04CC9" w:rsidP="00492DE6">
      <w:pPr>
        <w:pStyle w:val="BodyText"/>
      </w:pPr>
    </w:p>
    <w:sectPr w:rsidR="00C04CC9" w:rsidRPr="00D37799" w:rsidSect="00C320B5">
      <w:headerReference w:type="even" r:id="rId10"/>
      <w:headerReference w:type="default" r:id="rId11"/>
      <w:footerReference w:type="even" r:id="rId12"/>
      <w:footerReference w:type="defaul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F27" w:rsidRDefault="00E86F27">
      <w:r>
        <w:separator/>
      </w:r>
    </w:p>
  </w:endnote>
  <w:endnote w:type="continuationSeparator" w:id="0">
    <w:p w:rsidR="00E86F27" w:rsidRDefault="00E8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DejaVu Serif">
    <w:altName w:val="Sylfaen"/>
    <w:charset w:val="00"/>
    <w:family w:val="roman"/>
    <w:pitch w:val="variable"/>
    <w:sig w:usb0="E40002FF" w:usb1="500071FB" w:usb2="00040020" w:usb3="00000000" w:csb0="0000009F" w:csb1="00000000"/>
  </w:font>
  <w:font w:name="Univer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6F27" w:rsidTr="00520FA7">
      <w:trPr>
        <w:trHeight w:hRule="exact" w:val="567"/>
      </w:trPr>
      <w:tc>
        <w:tcPr>
          <w:tcW w:w="510" w:type="dxa"/>
        </w:tcPr>
        <w:p w:rsidR="00E86F27" w:rsidRPr="00A24443" w:rsidRDefault="00E86F27"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11D1B">
            <w:rPr>
              <w:rStyle w:val="PageNumber"/>
              <w:caps w:val="0"/>
              <w:noProof/>
            </w:rPr>
            <w:t>2</w:t>
          </w:r>
          <w:r w:rsidRPr="00A24443">
            <w:rPr>
              <w:rStyle w:val="PageNumber"/>
              <w:caps w:val="0"/>
            </w:rPr>
            <w:fldChar w:fldCharType="end"/>
          </w:r>
        </w:p>
      </w:tc>
      <w:tc>
        <w:tcPr>
          <w:tcW w:w="7767" w:type="dxa"/>
        </w:tcPr>
        <w:p w:rsidR="00E86F27" w:rsidRPr="0013739A" w:rsidRDefault="00E86F27" w:rsidP="00C320B5">
          <w:pPr>
            <w:pStyle w:val="Footer"/>
            <w:rPr>
              <w:rFonts w:cs="Arial"/>
            </w:rPr>
          </w:pPr>
          <w:r>
            <w:rPr>
              <w:rFonts w:cs="Arial"/>
            </w:rPr>
            <w:t>Report on Government Services 2016</w:t>
          </w:r>
          <w:bookmarkStart w:id="62" w:name="DraftReportEven"/>
          <w:bookmarkEnd w:id="62"/>
        </w:p>
      </w:tc>
      <w:tc>
        <w:tcPr>
          <w:tcW w:w="510" w:type="dxa"/>
        </w:tcPr>
        <w:p w:rsidR="00E86F27" w:rsidRDefault="00E86F27" w:rsidP="0019293B">
          <w:pPr>
            <w:pStyle w:val="Footer"/>
          </w:pPr>
        </w:p>
      </w:tc>
    </w:tr>
  </w:tbl>
  <w:p w:rsidR="00E86F27" w:rsidRDefault="00E86F27" w:rsidP="0019293B">
    <w:pPr>
      <w:pStyle w:val="FooterEnd"/>
    </w:pPr>
  </w:p>
  <w:p w:rsidR="00E86F27" w:rsidRDefault="00E86F2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6F27" w:rsidTr="00520FA7">
      <w:trPr>
        <w:trHeight w:hRule="exact" w:val="567"/>
      </w:trPr>
      <w:tc>
        <w:tcPr>
          <w:tcW w:w="510" w:type="dxa"/>
        </w:tcPr>
        <w:p w:rsidR="00E86F27" w:rsidRDefault="00E86F27">
          <w:pPr>
            <w:pStyle w:val="Footer"/>
            <w:ind w:right="360" w:firstLine="360"/>
          </w:pPr>
        </w:p>
      </w:tc>
      <w:tc>
        <w:tcPr>
          <w:tcW w:w="7767" w:type="dxa"/>
        </w:tcPr>
        <w:p w:rsidR="00E86F27" w:rsidRPr="00BA5B14" w:rsidRDefault="00E86F27" w:rsidP="00520FA7">
          <w:pPr>
            <w:pStyle w:val="Footer"/>
            <w:jc w:val="right"/>
            <w:rPr>
              <w:rFonts w:cs="Arial"/>
            </w:rPr>
          </w:pPr>
          <w:r>
            <w:rPr>
              <w:rFonts w:cs="Arial"/>
            </w:rPr>
            <w:t xml:space="preserve">School education </w:t>
          </w:r>
          <w:proofErr w:type="spellStart"/>
          <w:r>
            <w:rPr>
              <w:rFonts w:cs="Arial"/>
            </w:rPr>
            <w:t>DQI</w:t>
          </w:r>
          <w:proofErr w:type="spellEnd"/>
        </w:p>
      </w:tc>
      <w:tc>
        <w:tcPr>
          <w:tcW w:w="510" w:type="dxa"/>
        </w:tcPr>
        <w:p w:rsidR="00E86F27" w:rsidRPr="00A24443" w:rsidRDefault="00E86F2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11D1B">
            <w:rPr>
              <w:rStyle w:val="PageNumber"/>
              <w:caps w:val="0"/>
              <w:noProof/>
            </w:rPr>
            <w:t>1</w:t>
          </w:r>
          <w:r w:rsidRPr="00A24443">
            <w:rPr>
              <w:rStyle w:val="PageNumber"/>
              <w:caps w:val="0"/>
            </w:rPr>
            <w:fldChar w:fldCharType="end"/>
          </w:r>
        </w:p>
      </w:tc>
    </w:tr>
  </w:tbl>
  <w:p w:rsidR="00E86F27" w:rsidRDefault="00E86F27">
    <w:pPr>
      <w:pStyle w:val="FooterEnd"/>
    </w:pPr>
  </w:p>
  <w:p w:rsidR="00E86F27" w:rsidRDefault="00E86F2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F27" w:rsidRDefault="00E86F27">
      <w:r>
        <w:separator/>
      </w:r>
    </w:p>
  </w:footnote>
  <w:footnote w:type="continuationSeparator" w:id="0">
    <w:p w:rsidR="00E86F27" w:rsidRDefault="00E86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6F27" w:rsidTr="0019293B">
      <w:tc>
        <w:tcPr>
          <w:tcW w:w="2155" w:type="dxa"/>
          <w:tcBorders>
            <w:top w:val="single" w:sz="24" w:space="0" w:color="auto"/>
          </w:tcBorders>
        </w:tcPr>
        <w:p w:rsidR="00E86F27" w:rsidRDefault="00E86F27" w:rsidP="0019293B">
          <w:pPr>
            <w:pStyle w:val="HeaderEven"/>
          </w:pPr>
        </w:p>
      </w:tc>
      <w:tc>
        <w:tcPr>
          <w:tcW w:w="6634" w:type="dxa"/>
          <w:tcBorders>
            <w:top w:val="single" w:sz="6" w:space="0" w:color="auto"/>
          </w:tcBorders>
        </w:tcPr>
        <w:p w:rsidR="00E86F27" w:rsidRDefault="00E86F27" w:rsidP="007B3ABE">
          <w:pPr>
            <w:pStyle w:val="HeaderEven"/>
            <w:jc w:val="right"/>
          </w:pPr>
        </w:p>
      </w:tc>
    </w:tr>
  </w:tbl>
  <w:p w:rsidR="00E86F27" w:rsidRDefault="00E86F27"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86F27" w:rsidTr="00E669E2">
      <w:tc>
        <w:tcPr>
          <w:tcW w:w="6634" w:type="dxa"/>
          <w:tcBorders>
            <w:top w:val="single" w:sz="6" w:space="0" w:color="auto"/>
          </w:tcBorders>
        </w:tcPr>
        <w:p w:rsidR="00E86F27" w:rsidRDefault="00E86F27" w:rsidP="00E669E2">
          <w:pPr>
            <w:pStyle w:val="HeaderOdd"/>
          </w:pPr>
        </w:p>
      </w:tc>
      <w:tc>
        <w:tcPr>
          <w:tcW w:w="2155" w:type="dxa"/>
          <w:tcBorders>
            <w:top w:val="single" w:sz="24" w:space="0" w:color="auto"/>
          </w:tcBorders>
        </w:tcPr>
        <w:p w:rsidR="00E86F27" w:rsidRDefault="00E86F27" w:rsidP="00E669E2">
          <w:pPr>
            <w:pStyle w:val="HeaderOdd"/>
          </w:pPr>
        </w:p>
      </w:tc>
    </w:tr>
  </w:tbl>
  <w:p w:rsidR="00E86F27" w:rsidRDefault="00E86F2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830C3D"/>
    <w:multiLevelType w:val="hybridMultilevel"/>
    <w:tmpl w:val="622C8C90"/>
    <w:lvl w:ilvl="0" w:tplc="0C09000F">
      <w:start w:val="1"/>
      <w:numFmt w:val="decimal"/>
      <w:lvlText w:val="%1."/>
      <w:lvlJc w:val="left"/>
      <w:pPr>
        <w:tabs>
          <w:tab w:val="num" w:pos="726"/>
        </w:tabs>
        <w:ind w:left="726" w:hanging="360"/>
      </w:p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95B7C14"/>
    <w:multiLevelType w:val="hybridMultilevel"/>
    <w:tmpl w:val="CB0070A8"/>
    <w:lvl w:ilvl="0" w:tplc="5248F678">
      <w:start w:val="1"/>
      <w:numFmt w:val="decimal"/>
      <w:pStyle w:val="DQITableList"/>
      <w:lvlText w:val="%1."/>
      <w:lvlJc w:val="left"/>
      <w:pPr>
        <w:ind w:left="36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56B2746"/>
    <w:multiLevelType w:val="hybridMultilevel"/>
    <w:tmpl w:val="ACD28F0A"/>
    <w:lvl w:ilvl="0" w:tplc="0C090001">
      <w:start w:val="1"/>
      <w:numFmt w:val="bullet"/>
      <w:lvlText w:val=""/>
      <w:lvlJc w:val="left"/>
      <w:pPr>
        <w:ind w:left="360" w:hanging="360"/>
      </w:pPr>
      <w:rPr>
        <w:rFonts w:ascii="Symbol" w:hAnsi="Symbol" w:hint="default"/>
      </w:rPr>
    </w:lvl>
    <w:lvl w:ilvl="1" w:tplc="6158D4DA">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393149ED"/>
    <w:multiLevelType w:val="hybridMultilevel"/>
    <w:tmpl w:val="B2A6343C"/>
    <w:lvl w:ilvl="0" w:tplc="C5B09B6C">
      <w:numFmt w:val="bullet"/>
      <w:lvlText w:val="-"/>
      <w:lvlJc w:val="left"/>
      <w:pPr>
        <w:ind w:left="360" w:hanging="360"/>
      </w:pPr>
      <w:rPr>
        <w:rFonts w:ascii="Times New Roman" w:eastAsia="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9EE02A4"/>
    <w:multiLevelType w:val="hybridMultilevel"/>
    <w:tmpl w:val="D21E4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0A21178"/>
    <w:multiLevelType w:val="hybridMultilevel"/>
    <w:tmpl w:val="A5BCC922"/>
    <w:lvl w:ilvl="0" w:tplc="D4427082">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6B22B46"/>
    <w:multiLevelType w:val="hybridMultilevel"/>
    <w:tmpl w:val="8DCC2F2E"/>
    <w:lvl w:ilvl="0" w:tplc="E2E04F5A">
      <w:start w:val="1"/>
      <w:numFmt w:val="bullet"/>
      <w:pStyle w:val="DQITableBullet"/>
      <w:lvlText w:val=""/>
      <w:lvlJc w:val="left"/>
      <w:pPr>
        <w:ind w:left="1060" w:hanging="360"/>
      </w:pPr>
      <w:rPr>
        <w:rFonts w:ascii="Wingdings" w:hAnsi="Wingdings"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A0C35AA"/>
    <w:multiLevelType w:val="hybridMultilevel"/>
    <w:tmpl w:val="0D78F8CA"/>
    <w:lvl w:ilvl="0" w:tplc="7E4CA44C">
      <w:start w:val="1"/>
      <w:numFmt w:val="bullet"/>
      <w:lvlText w:val=""/>
      <w:lvlJc w:val="left"/>
      <w:pPr>
        <w:tabs>
          <w:tab w:val="num" w:pos="366"/>
        </w:tabs>
        <w:ind w:left="366" w:hanging="360"/>
      </w:pPr>
      <w:rPr>
        <w:rFonts w:ascii="Symbol" w:hAnsi="Symbol" w:hint="default"/>
        <w:sz w:val="20"/>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27">
    <w:nsid w:val="5AA40511"/>
    <w:multiLevelType w:val="hybridMultilevel"/>
    <w:tmpl w:val="7F9E6586"/>
    <w:lvl w:ilvl="0" w:tplc="225EC2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D892A65"/>
    <w:multiLevelType w:val="hybridMultilevel"/>
    <w:tmpl w:val="3F6ECB2C"/>
    <w:lvl w:ilvl="0" w:tplc="CB0AE870">
      <w:start w:val="1"/>
      <w:numFmt w:val="bullet"/>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1">
    <w:nsid w:val="6B7D60B7"/>
    <w:multiLevelType w:val="hybridMultilevel"/>
    <w:tmpl w:val="42007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F445086"/>
    <w:multiLevelType w:val="hybridMultilevel"/>
    <w:tmpl w:val="C2C49128"/>
    <w:lvl w:ilvl="0" w:tplc="6CE6467C">
      <w:start w:val="1"/>
      <w:numFmt w:val="bullet"/>
      <w:lvlText w:val=""/>
      <w:lvlJc w:val="left"/>
      <w:pPr>
        <w:tabs>
          <w:tab w:val="num" w:pos="6"/>
        </w:tabs>
        <w:ind w:left="290" w:hanging="284"/>
      </w:pPr>
      <w:rPr>
        <w:rFonts w:ascii="Symbol" w:hAnsi="Symbol" w:hint="default"/>
        <w:sz w:val="18"/>
      </w:rPr>
    </w:lvl>
    <w:lvl w:ilvl="1" w:tplc="0C090003" w:tentative="1">
      <w:start w:val="1"/>
      <w:numFmt w:val="bullet"/>
      <w:lvlText w:val="o"/>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3">
    <w:nsid w:val="793422AB"/>
    <w:multiLevelType w:val="hybridMultilevel"/>
    <w:tmpl w:val="498A89C8"/>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5">
    <w:nsid w:val="7B2476E4"/>
    <w:multiLevelType w:val="hybridMultilevel"/>
    <w:tmpl w:val="896428AC"/>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5"/>
  </w:num>
  <w:num w:numId="3">
    <w:abstractNumId w:val="34"/>
  </w:num>
  <w:num w:numId="4">
    <w:abstractNumId w:val="3"/>
  </w:num>
  <w:num w:numId="5">
    <w:abstractNumId w:val="21"/>
  </w:num>
  <w:num w:numId="6">
    <w:abstractNumId w:val="4"/>
  </w:num>
  <w:num w:numId="7">
    <w:abstractNumId w:val="30"/>
  </w:num>
  <w:num w:numId="8">
    <w:abstractNumId w:val="23"/>
  </w:num>
  <w:num w:numId="9">
    <w:abstractNumId w:val="36"/>
  </w:num>
  <w:num w:numId="10">
    <w:abstractNumId w:val="8"/>
  </w:num>
  <w:num w:numId="11">
    <w:abstractNumId w:val="22"/>
  </w:num>
  <w:num w:numId="12">
    <w:abstractNumId w:val="7"/>
  </w:num>
  <w:num w:numId="13">
    <w:abstractNumId w:val="6"/>
  </w:num>
  <w:num w:numId="14">
    <w:abstractNumId w:val="12"/>
  </w:num>
  <w:num w:numId="15">
    <w:abstractNumId w:val="32"/>
  </w:num>
  <w:num w:numId="16">
    <w:abstractNumId w:val="26"/>
  </w:num>
  <w:num w:numId="17">
    <w:abstractNumId w:val="2"/>
  </w:num>
  <w:num w:numId="18">
    <w:abstractNumId w:val="11"/>
  </w:num>
  <w:num w:numId="19">
    <w:abstractNumId w:val="17"/>
  </w:num>
  <w:num w:numId="20">
    <w:abstractNumId w:val="31"/>
  </w:num>
  <w:num w:numId="21">
    <w:abstractNumId w:val="18"/>
  </w:num>
  <w:num w:numId="22">
    <w:abstractNumId w:val="13"/>
  </w:num>
  <w:num w:numId="23">
    <w:abstractNumId w:val="22"/>
  </w:num>
  <w:num w:numId="24">
    <w:abstractNumId w:val="33"/>
  </w:num>
  <w:num w:numId="25">
    <w:abstractNumId w:val="35"/>
  </w:num>
  <w:num w:numId="26">
    <w:abstractNumId w:val="14"/>
  </w:num>
  <w:num w:numId="27">
    <w:abstractNumId w:val="25"/>
  </w:num>
  <w:num w:numId="28">
    <w:abstractNumId w:val="19"/>
  </w:num>
  <w:num w:numId="29">
    <w:abstractNumId w:val="0"/>
  </w:num>
  <w:num w:numId="30">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1">
    <w:abstractNumId w:val="29"/>
  </w:num>
  <w:num w:numId="32">
    <w:abstractNumId w:val="9"/>
  </w:num>
  <w:num w:numId="33">
    <w:abstractNumId w:val="10"/>
  </w:num>
  <w:num w:numId="34">
    <w:abstractNumId w:val="24"/>
  </w:num>
  <w:num w:numId="35">
    <w:abstractNumId w:val="28"/>
  </w:num>
  <w:num w:numId="36">
    <w:abstractNumId w:val="20"/>
  </w:num>
  <w:num w:numId="37">
    <w:abstractNumId w:val="27"/>
  </w:num>
  <w:num w:numId="3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1"/>
  </w:docVars>
  <w:rsids>
    <w:rsidRoot w:val="00B96E3E"/>
    <w:rsid w:val="00000EE4"/>
    <w:rsid w:val="00010854"/>
    <w:rsid w:val="0001085B"/>
    <w:rsid w:val="000153D0"/>
    <w:rsid w:val="00016395"/>
    <w:rsid w:val="00035368"/>
    <w:rsid w:val="00035643"/>
    <w:rsid w:val="0003664B"/>
    <w:rsid w:val="0004111F"/>
    <w:rsid w:val="00043C13"/>
    <w:rsid w:val="00045013"/>
    <w:rsid w:val="00046BFA"/>
    <w:rsid w:val="00047D2A"/>
    <w:rsid w:val="00051650"/>
    <w:rsid w:val="000561BE"/>
    <w:rsid w:val="000659D4"/>
    <w:rsid w:val="00066833"/>
    <w:rsid w:val="0006762E"/>
    <w:rsid w:val="0007150B"/>
    <w:rsid w:val="000820FE"/>
    <w:rsid w:val="000938F5"/>
    <w:rsid w:val="00096F99"/>
    <w:rsid w:val="000975F6"/>
    <w:rsid w:val="000A0627"/>
    <w:rsid w:val="000A677A"/>
    <w:rsid w:val="000B601B"/>
    <w:rsid w:val="000B744C"/>
    <w:rsid w:val="000C207E"/>
    <w:rsid w:val="000C4901"/>
    <w:rsid w:val="000D221E"/>
    <w:rsid w:val="000D4A17"/>
    <w:rsid w:val="000E3066"/>
    <w:rsid w:val="000E3B7C"/>
    <w:rsid w:val="000E6F99"/>
    <w:rsid w:val="000F4744"/>
    <w:rsid w:val="00101653"/>
    <w:rsid w:val="00103000"/>
    <w:rsid w:val="00105EDD"/>
    <w:rsid w:val="00106A5E"/>
    <w:rsid w:val="00110116"/>
    <w:rsid w:val="00111D1B"/>
    <w:rsid w:val="00112264"/>
    <w:rsid w:val="00117F04"/>
    <w:rsid w:val="0012058B"/>
    <w:rsid w:val="00126EB8"/>
    <w:rsid w:val="00133AC1"/>
    <w:rsid w:val="001363AA"/>
    <w:rsid w:val="00140B20"/>
    <w:rsid w:val="00154C70"/>
    <w:rsid w:val="00160C80"/>
    <w:rsid w:val="00163E8D"/>
    <w:rsid w:val="00165A9D"/>
    <w:rsid w:val="00182E0B"/>
    <w:rsid w:val="00183C30"/>
    <w:rsid w:val="00190192"/>
    <w:rsid w:val="00191024"/>
    <w:rsid w:val="0019293B"/>
    <w:rsid w:val="00195291"/>
    <w:rsid w:val="00196EAD"/>
    <w:rsid w:val="0019761A"/>
    <w:rsid w:val="001A14AB"/>
    <w:rsid w:val="001A4F1E"/>
    <w:rsid w:val="001A6E25"/>
    <w:rsid w:val="001A7053"/>
    <w:rsid w:val="001A7971"/>
    <w:rsid w:val="001C0865"/>
    <w:rsid w:val="001C18AD"/>
    <w:rsid w:val="001C3ABA"/>
    <w:rsid w:val="001C4615"/>
    <w:rsid w:val="001D0A39"/>
    <w:rsid w:val="001D35B6"/>
    <w:rsid w:val="001D5302"/>
    <w:rsid w:val="001E2864"/>
    <w:rsid w:val="001E7BE8"/>
    <w:rsid w:val="001F0248"/>
    <w:rsid w:val="001F0BC6"/>
    <w:rsid w:val="001F424E"/>
    <w:rsid w:val="00201ADE"/>
    <w:rsid w:val="002020A0"/>
    <w:rsid w:val="002020E5"/>
    <w:rsid w:val="00202C2C"/>
    <w:rsid w:val="00203D32"/>
    <w:rsid w:val="00206097"/>
    <w:rsid w:val="00210245"/>
    <w:rsid w:val="00211652"/>
    <w:rsid w:val="00211855"/>
    <w:rsid w:val="00213DA4"/>
    <w:rsid w:val="0021697B"/>
    <w:rsid w:val="00220205"/>
    <w:rsid w:val="00220C3B"/>
    <w:rsid w:val="00227152"/>
    <w:rsid w:val="00232C37"/>
    <w:rsid w:val="0023416C"/>
    <w:rsid w:val="0023488E"/>
    <w:rsid w:val="00237E9A"/>
    <w:rsid w:val="00240478"/>
    <w:rsid w:val="00242279"/>
    <w:rsid w:val="00246E54"/>
    <w:rsid w:val="002478A1"/>
    <w:rsid w:val="00247F7B"/>
    <w:rsid w:val="002539B1"/>
    <w:rsid w:val="0025402B"/>
    <w:rsid w:val="00255C86"/>
    <w:rsid w:val="0025682C"/>
    <w:rsid w:val="0026776A"/>
    <w:rsid w:val="002714B9"/>
    <w:rsid w:val="002752C7"/>
    <w:rsid w:val="00282B08"/>
    <w:rsid w:val="00291B40"/>
    <w:rsid w:val="00291D34"/>
    <w:rsid w:val="002A02D9"/>
    <w:rsid w:val="002A4759"/>
    <w:rsid w:val="002B287E"/>
    <w:rsid w:val="002B31E5"/>
    <w:rsid w:val="002B4008"/>
    <w:rsid w:val="002C4386"/>
    <w:rsid w:val="002D0E8E"/>
    <w:rsid w:val="002E781F"/>
    <w:rsid w:val="0030109F"/>
    <w:rsid w:val="00301189"/>
    <w:rsid w:val="00304232"/>
    <w:rsid w:val="00305FD6"/>
    <w:rsid w:val="0030756B"/>
    <w:rsid w:val="003203BD"/>
    <w:rsid w:val="0032345F"/>
    <w:rsid w:val="00323E09"/>
    <w:rsid w:val="0033121A"/>
    <w:rsid w:val="003312B2"/>
    <w:rsid w:val="00331500"/>
    <w:rsid w:val="00333932"/>
    <w:rsid w:val="00340262"/>
    <w:rsid w:val="0034229D"/>
    <w:rsid w:val="00344002"/>
    <w:rsid w:val="0034473B"/>
    <w:rsid w:val="003518AA"/>
    <w:rsid w:val="00353182"/>
    <w:rsid w:val="00356250"/>
    <w:rsid w:val="00357160"/>
    <w:rsid w:val="003602E1"/>
    <w:rsid w:val="00371240"/>
    <w:rsid w:val="00374731"/>
    <w:rsid w:val="00375C9D"/>
    <w:rsid w:val="00377BB6"/>
    <w:rsid w:val="003831B0"/>
    <w:rsid w:val="00386E34"/>
    <w:rsid w:val="0038709E"/>
    <w:rsid w:val="00391AC1"/>
    <w:rsid w:val="00395D4C"/>
    <w:rsid w:val="003968F4"/>
    <w:rsid w:val="003970BC"/>
    <w:rsid w:val="003B2856"/>
    <w:rsid w:val="003B41D1"/>
    <w:rsid w:val="003C38B5"/>
    <w:rsid w:val="003C5D99"/>
    <w:rsid w:val="003D31A1"/>
    <w:rsid w:val="003D69CF"/>
    <w:rsid w:val="003E1006"/>
    <w:rsid w:val="003E6841"/>
    <w:rsid w:val="003E7D0F"/>
    <w:rsid w:val="003F0789"/>
    <w:rsid w:val="003F51AC"/>
    <w:rsid w:val="003F53DA"/>
    <w:rsid w:val="00401882"/>
    <w:rsid w:val="004039CC"/>
    <w:rsid w:val="004052E5"/>
    <w:rsid w:val="004100C8"/>
    <w:rsid w:val="00411F0F"/>
    <w:rsid w:val="0041293F"/>
    <w:rsid w:val="00412ACE"/>
    <w:rsid w:val="0041683C"/>
    <w:rsid w:val="00425974"/>
    <w:rsid w:val="00425CF8"/>
    <w:rsid w:val="004279EE"/>
    <w:rsid w:val="004300CE"/>
    <w:rsid w:val="00431249"/>
    <w:rsid w:val="00434C19"/>
    <w:rsid w:val="004366E5"/>
    <w:rsid w:val="00437070"/>
    <w:rsid w:val="00442BDE"/>
    <w:rsid w:val="00444B3F"/>
    <w:rsid w:val="004503B4"/>
    <w:rsid w:val="00450810"/>
    <w:rsid w:val="00453A74"/>
    <w:rsid w:val="00457401"/>
    <w:rsid w:val="00457797"/>
    <w:rsid w:val="004633B4"/>
    <w:rsid w:val="004635BB"/>
    <w:rsid w:val="004671F8"/>
    <w:rsid w:val="0047376D"/>
    <w:rsid w:val="00476C1C"/>
    <w:rsid w:val="00476F55"/>
    <w:rsid w:val="00477144"/>
    <w:rsid w:val="004812E7"/>
    <w:rsid w:val="004817C1"/>
    <w:rsid w:val="00492DE6"/>
    <w:rsid w:val="004932E5"/>
    <w:rsid w:val="0049459F"/>
    <w:rsid w:val="0049550B"/>
    <w:rsid w:val="00495FF8"/>
    <w:rsid w:val="004A3AF4"/>
    <w:rsid w:val="004A3F34"/>
    <w:rsid w:val="004A6E56"/>
    <w:rsid w:val="004A6FD8"/>
    <w:rsid w:val="004B43AE"/>
    <w:rsid w:val="004B7494"/>
    <w:rsid w:val="004C30ED"/>
    <w:rsid w:val="004C7CE7"/>
    <w:rsid w:val="004D025A"/>
    <w:rsid w:val="004D569F"/>
    <w:rsid w:val="004D60AF"/>
    <w:rsid w:val="004E379B"/>
    <w:rsid w:val="004E5241"/>
    <w:rsid w:val="004E623A"/>
    <w:rsid w:val="004E6E5C"/>
    <w:rsid w:val="004F37A7"/>
    <w:rsid w:val="004F4CEA"/>
    <w:rsid w:val="004F62FD"/>
    <w:rsid w:val="004F7C4C"/>
    <w:rsid w:val="0050738F"/>
    <w:rsid w:val="00507BC7"/>
    <w:rsid w:val="00513314"/>
    <w:rsid w:val="0051471B"/>
    <w:rsid w:val="005167FD"/>
    <w:rsid w:val="00520FA7"/>
    <w:rsid w:val="0053304B"/>
    <w:rsid w:val="00534E7C"/>
    <w:rsid w:val="00537E32"/>
    <w:rsid w:val="00544E63"/>
    <w:rsid w:val="005455AC"/>
    <w:rsid w:val="00546B24"/>
    <w:rsid w:val="0054777D"/>
    <w:rsid w:val="00551928"/>
    <w:rsid w:val="0055787B"/>
    <w:rsid w:val="00560FFF"/>
    <w:rsid w:val="0056248A"/>
    <w:rsid w:val="0056550B"/>
    <w:rsid w:val="005667CB"/>
    <w:rsid w:val="00575725"/>
    <w:rsid w:val="005805DF"/>
    <w:rsid w:val="00581FB1"/>
    <w:rsid w:val="00583872"/>
    <w:rsid w:val="00583C39"/>
    <w:rsid w:val="005909CF"/>
    <w:rsid w:val="00591E71"/>
    <w:rsid w:val="00593810"/>
    <w:rsid w:val="00593F78"/>
    <w:rsid w:val="00595402"/>
    <w:rsid w:val="005968C6"/>
    <w:rsid w:val="0059690C"/>
    <w:rsid w:val="005A0D14"/>
    <w:rsid w:val="005B11D7"/>
    <w:rsid w:val="005B279F"/>
    <w:rsid w:val="005C7CE6"/>
    <w:rsid w:val="005E066E"/>
    <w:rsid w:val="005E1B04"/>
    <w:rsid w:val="005E2035"/>
    <w:rsid w:val="005E3C11"/>
    <w:rsid w:val="005E483C"/>
    <w:rsid w:val="005E605C"/>
    <w:rsid w:val="005F1A65"/>
    <w:rsid w:val="005F7168"/>
    <w:rsid w:val="00604F9C"/>
    <w:rsid w:val="00605501"/>
    <w:rsid w:val="00607BAA"/>
    <w:rsid w:val="00607BF1"/>
    <w:rsid w:val="0061062A"/>
    <w:rsid w:val="00612D94"/>
    <w:rsid w:val="00630D4D"/>
    <w:rsid w:val="00632A74"/>
    <w:rsid w:val="006340A3"/>
    <w:rsid w:val="00635E63"/>
    <w:rsid w:val="00636B8C"/>
    <w:rsid w:val="00642A62"/>
    <w:rsid w:val="00642C01"/>
    <w:rsid w:val="00644B3E"/>
    <w:rsid w:val="00655819"/>
    <w:rsid w:val="006647E6"/>
    <w:rsid w:val="00666D1D"/>
    <w:rsid w:val="00667CAD"/>
    <w:rsid w:val="006755EF"/>
    <w:rsid w:val="0068055B"/>
    <w:rsid w:val="00684DB8"/>
    <w:rsid w:val="00696CC5"/>
    <w:rsid w:val="0069744C"/>
    <w:rsid w:val="006A10EE"/>
    <w:rsid w:val="006A4655"/>
    <w:rsid w:val="006A4BC2"/>
    <w:rsid w:val="006A7E57"/>
    <w:rsid w:val="006B0837"/>
    <w:rsid w:val="006B61B4"/>
    <w:rsid w:val="006C1410"/>
    <w:rsid w:val="006C3528"/>
    <w:rsid w:val="006C6926"/>
    <w:rsid w:val="006C7038"/>
    <w:rsid w:val="006E0230"/>
    <w:rsid w:val="006E23E1"/>
    <w:rsid w:val="006E6135"/>
    <w:rsid w:val="006E73EF"/>
    <w:rsid w:val="006F0D3C"/>
    <w:rsid w:val="006F5A92"/>
    <w:rsid w:val="006F6E22"/>
    <w:rsid w:val="00702250"/>
    <w:rsid w:val="007064E9"/>
    <w:rsid w:val="007066FD"/>
    <w:rsid w:val="007137BC"/>
    <w:rsid w:val="007232AF"/>
    <w:rsid w:val="0072343D"/>
    <w:rsid w:val="00730827"/>
    <w:rsid w:val="00730E73"/>
    <w:rsid w:val="00731481"/>
    <w:rsid w:val="0073338F"/>
    <w:rsid w:val="00735300"/>
    <w:rsid w:val="007604BB"/>
    <w:rsid w:val="00761253"/>
    <w:rsid w:val="00761382"/>
    <w:rsid w:val="00765BDA"/>
    <w:rsid w:val="007674F9"/>
    <w:rsid w:val="00771039"/>
    <w:rsid w:val="00772DAD"/>
    <w:rsid w:val="007840D4"/>
    <w:rsid w:val="00785B9F"/>
    <w:rsid w:val="00790BCB"/>
    <w:rsid w:val="007A0D49"/>
    <w:rsid w:val="007A21EB"/>
    <w:rsid w:val="007A265A"/>
    <w:rsid w:val="007B3959"/>
    <w:rsid w:val="007B3ABE"/>
    <w:rsid w:val="007B5267"/>
    <w:rsid w:val="007B63F5"/>
    <w:rsid w:val="007B7F89"/>
    <w:rsid w:val="007C36C9"/>
    <w:rsid w:val="007C736C"/>
    <w:rsid w:val="007C79D3"/>
    <w:rsid w:val="007C79DA"/>
    <w:rsid w:val="007D0BFD"/>
    <w:rsid w:val="007D11B9"/>
    <w:rsid w:val="007D66CA"/>
    <w:rsid w:val="007D76E9"/>
    <w:rsid w:val="007E01E4"/>
    <w:rsid w:val="007E1567"/>
    <w:rsid w:val="007E2755"/>
    <w:rsid w:val="007E4CCE"/>
    <w:rsid w:val="007E6B15"/>
    <w:rsid w:val="007F2378"/>
    <w:rsid w:val="007F306B"/>
    <w:rsid w:val="007F7107"/>
    <w:rsid w:val="00803FAD"/>
    <w:rsid w:val="00805FE9"/>
    <w:rsid w:val="0080658C"/>
    <w:rsid w:val="0081030F"/>
    <w:rsid w:val="00813ABE"/>
    <w:rsid w:val="00814046"/>
    <w:rsid w:val="00815433"/>
    <w:rsid w:val="0082087D"/>
    <w:rsid w:val="008234F4"/>
    <w:rsid w:val="00823B25"/>
    <w:rsid w:val="008244B4"/>
    <w:rsid w:val="00831B61"/>
    <w:rsid w:val="008353B9"/>
    <w:rsid w:val="008377E7"/>
    <w:rsid w:val="008377F7"/>
    <w:rsid w:val="00837C54"/>
    <w:rsid w:val="00842E2A"/>
    <w:rsid w:val="008447A7"/>
    <w:rsid w:val="00844821"/>
    <w:rsid w:val="0085245C"/>
    <w:rsid w:val="0085475A"/>
    <w:rsid w:val="00854AF1"/>
    <w:rsid w:val="00856C2B"/>
    <w:rsid w:val="00857672"/>
    <w:rsid w:val="0086082C"/>
    <w:rsid w:val="008633D6"/>
    <w:rsid w:val="00864ADC"/>
    <w:rsid w:val="00873488"/>
    <w:rsid w:val="00874DB4"/>
    <w:rsid w:val="00880153"/>
    <w:rsid w:val="00880F97"/>
    <w:rsid w:val="0088133A"/>
    <w:rsid w:val="00883846"/>
    <w:rsid w:val="00883DCF"/>
    <w:rsid w:val="00885C6B"/>
    <w:rsid w:val="00891D67"/>
    <w:rsid w:val="0089285E"/>
    <w:rsid w:val="00893DAB"/>
    <w:rsid w:val="0089436C"/>
    <w:rsid w:val="008A117E"/>
    <w:rsid w:val="008A48B7"/>
    <w:rsid w:val="008B436E"/>
    <w:rsid w:val="008C00BE"/>
    <w:rsid w:val="008C4754"/>
    <w:rsid w:val="008C7AE9"/>
    <w:rsid w:val="008D29D8"/>
    <w:rsid w:val="008D4EB9"/>
    <w:rsid w:val="008E3AB5"/>
    <w:rsid w:val="008F2084"/>
    <w:rsid w:val="008F4871"/>
    <w:rsid w:val="008F6882"/>
    <w:rsid w:val="00900E13"/>
    <w:rsid w:val="009012EA"/>
    <w:rsid w:val="00901B20"/>
    <w:rsid w:val="00902803"/>
    <w:rsid w:val="00902E88"/>
    <w:rsid w:val="009030BF"/>
    <w:rsid w:val="0090457A"/>
    <w:rsid w:val="00905E38"/>
    <w:rsid w:val="009065B0"/>
    <w:rsid w:val="00906994"/>
    <w:rsid w:val="00907181"/>
    <w:rsid w:val="009106F0"/>
    <w:rsid w:val="009114BE"/>
    <w:rsid w:val="009122D6"/>
    <w:rsid w:val="00914368"/>
    <w:rsid w:val="009178BD"/>
    <w:rsid w:val="009179DF"/>
    <w:rsid w:val="009309BB"/>
    <w:rsid w:val="00931076"/>
    <w:rsid w:val="009345D9"/>
    <w:rsid w:val="00934B15"/>
    <w:rsid w:val="009377EA"/>
    <w:rsid w:val="00942B62"/>
    <w:rsid w:val="00944C01"/>
    <w:rsid w:val="00944D4A"/>
    <w:rsid w:val="009479BD"/>
    <w:rsid w:val="00954AD3"/>
    <w:rsid w:val="0095569E"/>
    <w:rsid w:val="00955A88"/>
    <w:rsid w:val="00955B16"/>
    <w:rsid w:val="009564F2"/>
    <w:rsid w:val="00956A0C"/>
    <w:rsid w:val="00956BD9"/>
    <w:rsid w:val="00962489"/>
    <w:rsid w:val="00964D1A"/>
    <w:rsid w:val="00965610"/>
    <w:rsid w:val="0097125C"/>
    <w:rsid w:val="00972BB7"/>
    <w:rsid w:val="009743A2"/>
    <w:rsid w:val="00980CE7"/>
    <w:rsid w:val="00981B97"/>
    <w:rsid w:val="009821A9"/>
    <w:rsid w:val="00984DC3"/>
    <w:rsid w:val="00986035"/>
    <w:rsid w:val="00993DC7"/>
    <w:rsid w:val="00995521"/>
    <w:rsid w:val="0099620F"/>
    <w:rsid w:val="0099630B"/>
    <w:rsid w:val="00996373"/>
    <w:rsid w:val="009A6E2F"/>
    <w:rsid w:val="009B18A0"/>
    <w:rsid w:val="009B1A18"/>
    <w:rsid w:val="009B5886"/>
    <w:rsid w:val="009D5D88"/>
    <w:rsid w:val="009E4070"/>
    <w:rsid w:val="009E76E0"/>
    <w:rsid w:val="009F199D"/>
    <w:rsid w:val="009F2B54"/>
    <w:rsid w:val="009F5404"/>
    <w:rsid w:val="009F59B1"/>
    <w:rsid w:val="009F5D1E"/>
    <w:rsid w:val="009F696D"/>
    <w:rsid w:val="009F6BC6"/>
    <w:rsid w:val="00A056EF"/>
    <w:rsid w:val="00A0683E"/>
    <w:rsid w:val="00A16EAC"/>
    <w:rsid w:val="00A17328"/>
    <w:rsid w:val="00A21F34"/>
    <w:rsid w:val="00A24340"/>
    <w:rsid w:val="00A2703A"/>
    <w:rsid w:val="00A31A65"/>
    <w:rsid w:val="00A3292F"/>
    <w:rsid w:val="00A33879"/>
    <w:rsid w:val="00A33DA6"/>
    <w:rsid w:val="00A33DFF"/>
    <w:rsid w:val="00A35115"/>
    <w:rsid w:val="00A37385"/>
    <w:rsid w:val="00A3743C"/>
    <w:rsid w:val="00A3758E"/>
    <w:rsid w:val="00A3771B"/>
    <w:rsid w:val="00A377A9"/>
    <w:rsid w:val="00A554AB"/>
    <w:rsid w:val="00A7432A"/>
    <w:rsid w:val="00A74E96"/>
    <w:rsid w:val="00A75B94"/>
    <w:rsid w:val="00A76C6F"/>
    <w:rsid w:val="00A918A7"/>
    <w:rsid w:val="00A91B43"/>
    <w:rsid w:val="00A9447B"/>
    <w:rsid w:val="00A94FA6"/>
    <w:rsid w:val="00A95137"/>
    <w:rsid w:val="00A95241"/>
    <w:rsid w:val="00A95D92"/>
    <w:rsid w:val="00AA6710"/>
    <w:rsid w:val="00AB0681"/>
    <w:rsid w:val="00AB1021"/>
    <w:rsid w:val="00AB2838"/>
    <w:rsid w:val="00AB2CE8"/>
    <w:rsid w:val="00AD0256"/>
    <w:rsid w:val="00AD77E4"/>
    <w:rsid w:val="00AE2DAF"/>
    <w:rsid w:val="00AE2DD3"/>
    <w:rsid w:val="00AE6CA3"/>
    <w:rsid w:val="00AF2A94"/>
    <w:rsid w:val="00B01EF5"/>
    <w:rsid w:val="00B02C94"/>
    <w:rsid w:val="00B10B3B"/>
    <w:rsid w:val="00B128B6"/>
    <w:rsid w:val="00B177B6"/>
    <w:rsid w:val="00B216F7"/>
    <w:rsid w:val="00B303E8"/>
    <w:rsid w:val="00B35AF0"/>
    <w:rsid w:val="00B50306"/>
    <w:rsid w:val="00B51544"/>
    <w:rsid w:val="00B53114"/>
    <w:rsid w:val="00B53E7E"/>
    <w:rsid w:val="00B57E38"/>
    <w:rsid w:val="00B6342E"/>
    <w:rsid w:val="00B63B31"/>
    <w:rsid w:val="00B651D5"/>
    <w:rsid w:val="00B66EBC"/>
    <w:rsid w:val="00B67545"/>
    <w:rsid w:val="00B7113F"/>
    <w:rsid w:val="00B744E8"/>
    <w:rsid w:val="00B74D8A"/>
    <w:rsid w:val="00B76C5D"/>
    <w:rsid w:val="00B830E2"/>
    <w:rsid w:val="00B901C9"/>
    <w:rsid w:val="00B90F06"/>
    <w:rsid w:val="00B9194C"/>
    <w:rsid w:val="00B95CAB"/>
    <w:rsid w:val="00B96E3E"/>
    <w:rsid w:val="00B97C12"/>
    <w:rsid w:val="00BA73B6"/>
    <w:rsid w:val="00BB2AD6"/>
    <w:rsid w:val="00BB4FCD"/>
    <w:rsid w:val="00BB52CD"/>
    <w:rsid w:val="00BB69C3"/>
    <w:rsid w:val="00BB77B8"/>
    <w:rsid w:val="00BC16F8"/>
    <w:rsid w:val="00BC3AA3"/>
    <w:rsid w:val="00BC4365"/>
    <w:rsid w:val="00BD13EA"/>
    <w:rsid w:val="00BE0209"/>
    <w:rsid w:val="00BE244B"/>
    <w:rsid w:val="00BE375B"/>
    <w:rsid w:val="00BE3808"/>
    <w:rsid w:val="00BE7173"/>
    <w:rsid w:val="00BF1B1D"/>
    <w:rsid w:val="00BF443E"/>
    <w:rsid w:val="00BF56E9"/>
    <w:rsid w:val="00BF5DA0"/>
    <w:rsid w:val="00BF7015"/>
    <w:rsid w:val="00C01491"/>
    <w:rsid w:val="00C039AF"/>
    <w:rsid w:val="00C04CC9"/>
    <w:rsid w:val="00C062E9"/>
    <w:rsid w:val="00C10EFC"/>
    <w:rsid w:val="00C13721"/>
    <w:rsid w:val="00C13C0D"/>
    <w:rsid w:val="00C13DB6"/>
    <w:rsid w:val="00C17B56"/>
    <w:rsid w:val="00C320B5"/>
    <w:rsid w:val="00C341A4"/>
    <w:rsid w:val="00C37441"/>
    <w:rsid w:val="00C43E88"/>
    <w:rsid w:val="00C45D2C"/>
    <w:rsid w:val="00C45E40"/>
    <w:rsid w:val="00C5223A"/>
    <w:rsid w:val="00C5404B"/>
    <w:rsid w:val="00C543F4"/>
    <w:rsid w:val="00C5610F"/>
    <w:rsid w:val="00C61376"/>
    <w:rsid w:val="00C6291C"/>
    <w:rsid w:val="00C63115"/>
    <w:rsid w:val="00C633CB"/>
    <w:rsid w:val="00C65E07"/>
    <w:rsid w:val="00C66FA0"/>
    <w:rsid w:val="00C67AD8"/>
    <w:rsid w:val="00C74137"/>
    <w:rsid w:val="00C744E0"/>
    <w:rsid w:val="00C7799F"/>
    <w:rsid w:val="00C871A8"/>
    <w:rsid w:val="00C8762C"/>
    <w:rsid w:val="00C933F7"/>
    <w:rsid w:val="00CA00F9"/>
    <w:rsid w:val="00CA10A0"/>
    <w:rsid w:val="00CA2961"/>
    <w:rsid w:val="00CA481F"/>
    <w:rsid w:val="00CB1FD9"/>
    <w:rsid w:val="00CB2B41"/>
    <w:rsid w:val="00CB50D7"/>
    <w:rsid w:val="00CB6200"/>
    <w:rsid w:val="00CB6295"/>
    <w:rsid w:val="00CB7177"/>
    <w:rsid w:val="00CB766C"/>
    <w:rsid w:val="00CC1998"/>
    <w:rsid w:val="00CC4946"/>
    <w:rsid w:val="00CC5BFC"/>
    <w:rsid w:val="00CC6152"/>
    <w:rsid w:val="00CD0457"/>
    <w:rsid w:val="00CD59C1"/>
    <w:rsid w:val="00CE68C6"/>
    <w:rsid w:val="00CF579D"/>
    <w:rsid w:val="00CF5DF7"/>
    <w:rsid w:val="00D05F16"/>
    <w:rsid w:val="00D06730"/>
    <w:rsid w:val="00D1110B"/>
    <w:rsid w:val="00D13D7B"/>
    <w:rsid w:val="00D15ADD"/>
    <w:rsid w:val="00D20318"/>
    <w:rsid w:val="00D2412D"/>
    <w:rsid w:val="00D270A4"/>
    <w:rsid w:val="00D27589"/>
    <w:rsid w:val="00D34E1B"/>
    <w:rsid w:val="00D37799"/>
    <w:rsid w:val="00D406AF"/>
    <w:rsid w:val="00D51AB3"/>
    <w:rsid w:val="00D54CFC"/>
    <w:rsid w:val="00D565D6"/>
    <w:rsid w:val="00D63064"/>
    <w:rsid w:val="00D63D73"/>
    <w:rsid w:val="00D66E1E"/>
    <w:rsid w:val="00D730E7"/>
    <w:rsid w:val="00D74546"/>
    <w:rsid w:val="00D75722"/>
    <w:rsid w:val="00D76509"/>
    <w:rsid w:val="00D8022A"/>
    <w:rsid w:val="00D85A42"/>
    <w:rsid w:val="00D867B1"/>
    <w:rsid w:val="00D87704"/>
    <w:rsid w:val="00D91108"/>
    <w:rsid w:val="00D94811"/>
    <w:rsid w:val="00D95B0F"/>
    <w:rsid w:val="00D96D42"/>
    <w:rsid w:val="00DA1CC9"/>
    <w:rsid w:val="00DB67C9"/>
    <w:rsid w:val="00DC0194"/>
    <w:rsid w:val="00DC0399"/>
    <w:rsid w:val="00DC0C95"/>
    <w:rsid w:val="00DD3D61"/>
    <w:rsid w:val="00DD4808"/>
    <w:rsid w:val="00DD6580"/>
    <w:rsid w:val="00DE36F2"/>
    <w:rsid w:val="00DE3CEF"/>
    <w:rsid w:val="00DF2D54"/>
    <w:rsid w:val="00E01822"/>
    <w:rsid w:val="00E12E6F"/>
    <w:rsid w:val="00E161AE"/>
    <w:rsid w:val="00E16D0A"/>
    <w:rsid w:val="00E17C72"/>
    <w:rsid w:val="00E24E83"/>
    <w:rsid w:val="00E2640B"/>
    <w:rsid w:val="00E278D8"/>
    <w:rsid w:val="00E30947"/>
    <w:rsid w:val="00E4348C"/>
    <w:rsid w:val="00E51A17"/>
    <w:rsid w:val="00E51EB3"/>
    <w:rsid w:val="00E669E2"/>
    <w:rsid w:val="00E67307"/>
    <w:rsid w:val="00E67440"/>
    <w:rsid w:val="00E76135"/>
    <w:rsid w:val="00E7685D"/>
    <w:rsid w:val="00E862F3"/>
    <w:rsid w:val="00E86448"/>
    <w:rsid w:val="00E86F27"/>
    <w:rsid w:val="00E877F6"/>
    <w:rsid w:val="00E87C78"/>
    <w:rsid w:val="00EA2AAB"/>
    <w:rsid w:val="00EB028F"/>
    <w:rsid w:val="00EB15FE"/>
    <w:rsid w:val="00EB1CE3"/>
    <w:rsid w:val="00EB2E76"/>
    <w:rsid w:val="00EB36A1"/>
    <w:rsid w:val="00EC5697"/>
    <w:rsid w:val="00EC651C"/>
    <w:rsid w:val="00ED3AA8"/>
    <w:rsid w:val="00EE049E"/>
    <w:rsid w:val="00EE3D80"/>
    <w:rsid w:val="00EF0737"/>
    <w:rsid w:val="00EF5328"/>
    <w:rsid w:val="00EF71BA"/>
    <w:rsid w:val="00EF7BAE"/>
    <w:rsid w:val="00F056FC"/>
    <w:rsid w:val="00F075D5"/>
    <w:rsid w:val="00F100B8"/>
    <w:rsid w:val="00F128DD"/>
    <w:rsid w:val="00F135D8"/>
    <w:rsid w:val="00F26C33"/>
    <w:rsid w:val="00F30B63"/>
    <w:rsid w:val="00F30C6C"/>
    <w:rsid w:val="00F31299"/>
    <w:rsid w:val="00F3263B"/>
    <w:rsid w:val="00F3534A"/>
    <w:rsid w:val="00F4327E"/>
    <w:rsid w:val="00F451C7"/>
    <w:rsid w:val="00F47708"/>
    <w:rsid w:val="00F53BDE"/>
    <w:rsid w:val="00F57820"/>
    <w:rsid w:val="00F72A6A"/>
    <w:rsid w:val="00F80BE7"/>
    <w:rsid w:val="00F83586"/>
    <w:rsid w:val="00F84442"/>
    <w:rsid w:val="00F85325"/>
    <w:rsid w:val="00F90328"/>
    <w:rsid w:val="00F96165"/>
    <w:rsid w:val="00FA05D6"/>
    <w:rsid w:val="00FA20C6"/>
    <w:rsid w:val="00FB084C"/>
    <w:rsid w:val="00FB42C9"/>
    <w:rsid w:val="00FC5421"/>
    <w:rsid w:val="00FC65AF"/>
    <w:rsid w:val="00FD22B1"/>
    <w:rsid w:val="00FD3878"/>
    <w:rsid w:val="00FD66B1"/>
    <w:rsid w:val="00FE028D"/>
    <w:rsid w:val="00FE5B78"/>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30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11D1B"/>
    <w:rPr>
      <w:sz w:val="24"/>
      <w:szCs w:val="24"/>
    </w:rPr>
  </w:style>
  <w:style w:type="paragraph" w:styleId="Heading1">
    <w:name w:val="heading 1"/>
    <w:basedOn w:val="BodyText"/>
    <w:next w:val="BodyText"/>
    <w:rsid w:val="00111D1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11D1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11D1B"/>
    <w:pPr>
      <w:spacing w:before="560" w:line="320" w:lineRule="exact"/>
      <w:ind w:left="0" w:firstLine="0"/>
      <w:outlineLvl w:val="2"/>
    </w:pPr>
    <w:rPr>
      <w:sz w:val="26"/>
    </w:rPr>
  </w:style>
  <w:style w:type="paragraph" w:styleId="Heading4">
    <w:name w:val="heading 4"/>
    <w:basedOn w:val="Heading3"/>
    <w:next w:val="BodyText"/>
    <w:qFormat/>
    <w:rsid w:val="00111D1B"/>
    <w:pPr>
      <w:spacing w:before="480"/>
      <w:outlineLvl w:val="3"/>
    </w:pPr>
    <w:rPr>
      <w:b w:val="0"/>
      <w:sz w:val="24"/>
    </w:rPr>
  </w:style>
  <w:style w:type="paragraph" w:styleId="Heading5">
    <w:name w:val="heading 5"/>
    <w:basedOn w:val="Heading4"/>
    <w:next w:val="BodyText"/>
    <w:link w:val="Heading5Char"/>
    <w:qFormat/>
    <w:rsid w:val="00111D1B"/>
    <w:pPr>
      <w:outlineLvl w:val="4"/>
    </w:pPr>
    <w:rPr>
      <w:i/>
      <w:sz w:val="22"/>
    </w:rPr>
  </w:style>
  <w:style w:type="paragraph" w:styleId="Heading6">
    <w:name w:val="heading 6"/>
    <w:basedOn w:val="BodyText"/>
    <w:next w:val="BodyText"/>
    <w:rsid w:val="00111D1B"/>
    <w:pPr>
      <w:spacing w:after="60"/>
      <w:jc w:val="left"/>
      <w:outlineLvl w:val="5"/>
    </w:pPr>
    <w:rPr>
      <w:i/>
      <w:sz w:val="22"/>
    </w:rPr>
  </w:style>
  <w:style w:type="paragraph" w:styleId="Heading7">
    <w:name w:val="heading 7"/>
    <w:basedOn w:val="BodyText"/>
    <w:next w:val="BodyText"/>
    <w:rsid w:val="00111D1B"/>
    <w:pPr>
      <w:spacing w:after="60" w:line="240" w:lineRule="auto"/>
      <w:jc w:val="left"/>
      <w:outlineLvl w:val="6"/>
    </w:pPr>
    <w:rPr>
      <w:rFonts w:ascii="Arial" w:hAnsi="Arial"/>
      <w:sz w:val="20"/>
    </w:rPr>
  </w:style>
  <w:style w:type="paragraph" w:styleId="Heading8">
    <w:name w:val="heading 8"/>
    <w:basedOn w:val="BodyText"/>
    <w:next w:val="BodyText"/>
    <w:rsid w:val="00111D1B"/>
    <w:pPr>
      <w:spacing w:after="60" w:line="240" w:lineRule="auto"/>
      <w:jc w:val="left"/>
      <w:outlineLvl w:val="7"/>
    </w:pPr>
    <w:rPr>
      <w:rFonts w:ascii="Arial" w:hAnsi="Arial"/>
      <w:i/>
      <w:sz w:val="20"/>
    </w:rPr>
  </w:style>
  <w:style w:type="paragraph" w:styleId="Heading9">
    <w:name w:val="heading 9"/>
    <w:basedOn w:val="BodyText"/>
    <w:next w:val="BodyText"/>
    <w:rsid w:val="00111D1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1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D1B"/>
  </w:style>
  <w:style w:type="paragraph" w:styleId="BodyText">
    <w:name w:val="Body Text"/>
    <w:link w:val="BodyTextChar"/>
    <w:qFormat/>
    <w:rsid w:val="00111D1B"/>
    <w:pPr>
      <w:spacing w:before="240" w:line="300" w:lineRule="atLeast"/>
      <w:jc w:val="both"/>
    </w:pPr>
    <w:rPr>
      <w:sz w:val="24"/>
    </w:rPr>
  </w:style>
  <w:style w:type="paragraph" w:styleId="Footer">
    <w:name w:val="footer"/>
    <w:basedOn w:val="BodyText"/>
    <w:link w:val="FooterChar"/>
    <w:rsid w:val="00111D1B"/>
    <w:pPr>
      <w:spacing w:before="80" w:line="200" w:lineRule="exact"/>
      <w:ind w:right="6"/>
      <w:jc w:val="left"/>
    </w:pPr>
    <w:rPr>
      <w:rFonts w:ascii="Arial" w:hAnsi="Arial"/>
      <w:caps/>
      <w:spacing w:val="-4"/>
      <w:sz w:val="16"/>
    </w:rPr>
  </w:style>
  <w:style w:type="paragraph" w:customStyle="1" w:styleId="FooterEnd">
    <w:name w:val="Footer End"/>
    <w:basedOn w:val="Footer"/>
    <w:rsid w:val="00111D1B"/>
    <w:pPr>
      <w:spacing w:before="0" w:line="20" w:lineRule="exact"/>
    </w:pPr>
  </w:style>
  <w:style w:type="paragraph" w:styleId="Header">
    <w:name w:val="header"/>
    <w:basedOn w:val="BodyText"/>
    <w:rsid w:val="00111D1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11D1B"/>
    <w:pPr>
      <w:spacing w:line="20" w:lineRule="exact"/>
    </w:pPr>
    <w:rPr>
      <w:sz w:val="16"/>
    </w:rPr>
  </w:style>
  <w:style w:type="paragraph" w:customStyle="1" w:styleId="HeaderEven">
    <w:name w:val="Header Even"/>
    <w:basedOn w:val="Header"/>
    <w:semiHidden/>
    <w:rsid w:val="00111D1B"/>
  </w:style>
  <w:style w:type="paragraph" w:customStyle="1" w:styleId="HeaderOdd">
    <w:name w:val="Header Odd"/>
    <w:basedOn w:val="Header"/>
    <w:semiHidden/>
    <w:rsid w:val="00111D1B"/>
  </w:style>
  <w:style w:type="character" w:styleId="PageNumber">
    <w:name w:val="page number"/>
    <w:basedOn w:val="DefaultParagraphFont"/>
    <w:rsid w:val="00111D1B"/>
    <w:rPr>
      <w:rFonts w:ascii="Arial" w:hAnsi="Arial"/>
      <w:b/>
      <w:sz w:val="16"/>
    </w:rPr>
  </w:style>
  <w:style w:type="paragraph" w:customStyle="1" w:styleId="Abbreviation">
    <w:name w:val="Abbreviation"/>
    <w:basedOn w:val="BodyText"/>
    <w:rsid w:val="00111D1B"/>
    <w:pPr>
      <w:spacing w:before="120"/>
      <w:ind w:left="2381" w:hanging="2381"/>
      <w:jc w:val="left"/>
    </w:pPr>
  </w:style>
  <w:style w:type="paragraph" w:customStyle="1" w:styleId="Box">
    <w:name w:val="Box"/>
    <w:basedOn w:val="BodyText"/>
    <w:link w:val="BoxChar"/>
    <w:qFormat/>
    <w:rsid w:val="00111D1B"/>
    <w:pPr>
      <w:keepNext/>
      <w:spacing w:before="120" w:line="260" w:lineRule="atLeast"/>
    </w:pPr>
    <w:rPr>
      <w:rFonts w:ascii="Arial" w:hAnsi="Arial"/>
      <w:sz w:val="20"/>
    </w:rPr>
  </w:style>
  <w:style w:type="paragraph" w:customStyle="1" w:styleId="BoxContinued">
    <w:name w:val="Box Continued"/>
    <w:basedOn w:val="BodyText"/>
    <w:next w:val="BodyText"/>
    <w:semiHidden/>
    <w:rsid w:val="00111D1B"/>
    <w:pPr>
      <w:spacing w:before="180" w:line="220" w:lineRule="exact"/>
      <w:jc w:val="right"/>
    </w:pPr>
    <w:rPr>
      <w:rFonts w:ascii="Arial" w:hAnsi="Arial"/>
      <w:sz w:val="18"/>
    </w:rPr>
  </w:style>
  <w:style w:type="paragraph" w:customStyle="1" w:styleId="BoxHeading1">
    <w:name w:val="Box Heading 1"/>
    <w:basedOn w:val="BodyText"/>
    <w:next w:val="Box"/>
    <w:rsid w:val="00111D1B"/>
    <w:pPr>
      <w:keepNext/>
      <w:spacing w:before="200" w:line="280" w:lineRule="atLeast"/>
    </w:pPr>
    <w:rPr>
      <w:rFonts w:ascii="Arial" w:hAnsi="Arial"/>
      <w:b/>
      <w:sz w:val="22"/>
    </w:rPr>
  </w:style>
  <w:style w:type="paragraph" w:customStyle="1" w:styleId="BoxHeading2">
    <w:name w:val="Box Heading 2"/>
    <w:basedOn w:val="BoxHeading1"/>
    <w:next w:val="Normal"/>
    <w:rsid w:val="00111D1B"/>
    <w:rPr>
      <w:b w:val="0"/>
      <w:i/>
    </w:rPr>
  </w:style>
  <w:style w:type="paragraph" w:customStyle="1" w:styleId="BoxListBullet">
    <w:name w:val="Box List Bullet"/>
    <w:basedOn w:val="BodyText"/>
    <w:link w:val="BoxListBulletChar"/>
    <w:rsid w:val="00111D1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11D1B"/>
    <w:pPr>
      <w:numPr>
        <w:numId w:val="2"/>
      </w:numPr>
      <w:ind w:left="568" w:hanging="284"/>
    </w:pPr>
  </w:style>
  <w:style w:type="paragraph" w:customStyle="1" w:styleId="BoxListNumber">
    <w:name w:val="Box List Number"/>
    <w:basedOn w:val="BodyText"/>
    <w:rsid w:val="00111D1B"/>
    <w:pPr>
      <w:keepNext/>
      <w:numPr>
        <w:numId w:val="13"/>
      </w:numPr>
      <w:spacing w:before="100" w:line="260" w:lineRule="atLeast"/>
    </w:pPr>
    <w:rPr>
      <w:rFonts w:ascii="Arial" w:hAnsi="Arial"/>
      <w:sz w:val="20"/>
    </w:rPr>
  </w:style>
  <w:style w:type="paragraph" w:customStyle="1" w:styleId="BoxListNumber2">
    <w:name w:val="Box List Number 2"/>
    <w:basedOn w:val="BoxListNumber"/>
    <w:link w:val="BoxListNumber2Char"/>
    <w:rsid w:val="00111D1B"/>
    <w:pPr>
      <w:numPr>
        <w:ilvl w:val="1"/>
      </w:numPr>
      <w:ind w:left="681" w:hanging="397"/>
    </w:pPr>
  </w:style>
  <w:style w:type="paragraph" w:customStyle="1" w:styleId="BoxQuote">
    <w:name w:val="Box Quote"/>
    <w:basedOn w:val="BodyText"/>
    <w:next w:val="Box"/>
    <w:qFormat/>
    <w:rsid w:val="00111D1B"/>
    <w:pPr>
      <w:keepNext/>
      <w:spacing w:before="60" w:line="240" w:lineRule="exact"/>
      <w:ind w:left="284"/>
    </w:pPr>
    <w:rPr>
      <w:rFonts w:ascii="Arial" w:hAnsi="Arial"/>
      <w:sz w:val="18"/>
    </w:rPr>
  </w:style>
  <w:style w:type="paragraph" w:customStyle="1" w:styleId="Note">
    <w:name w:val="Note"/>
    <w:basedOn w:val="BodyText"/>
    <w:next w:val="BodyText"/>
    <w:rsid w:val="00111D1B"/>
    <w:pPr>
      <w:keepLines/>
      <w:spacing w:before="80" w:line="220" w:lineRule="exact"/>
    </w:pPr>
    <w:rPr>
      <w:rFonts w:ascii="Arial" w:hAnsi="Arial"/>
      <w:sz w:val="18"/>
    </w:rPr>
  </w:style>
  <w:style w:type="paragraph" w:customStyle="1" w:styleId="Source">
    <w:name w:val="Source"/>
    <w:basedOn w:val="Normal"/>
    <w:next w:val="BodyText"/>
    <w:rsid w:val="00111D1B"/>
    <w:pPr>
      <w:keepLines/>
      <w:spacing w:before="80" w:line="220" w:lineRule="exact"/>
      <w:jc w:val="both"/>
    </w:pPr>
    <w:rPr>
      <w:rFonts w:ascii="Arial" w:hAnsi="Arial"/>
      <w:sz w:val="18"/>
      <w:szCs w:val="20"/>
    </w:rPr>
  </w:style>
  <w:style w:type="paragraph" w:customStyle="1" w:styleId="BoxSource">
    <w:name w:val="Box Source"/>
    <w:basedOn w:val="Source"/>
    <w:next w:val="BodyText"/>
    <w:rsid w:val="00111D1B"/>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11D1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11D1B"/>
    <w:pPr>
      <w:spacing w:before="120" w:after="0"/>
    </w:pPr>
  </w:style>
  <w:style w:type="paragraph" w:customStyle="1" w:styleId="BoxSubtitle">
    <w:name w:val="Box Subtitle"/>
    <w:basedOn w:val="BoxTitle"/>
    <w:next w:val="Normal"/>
    <w:rsid w:val="00111D1B"/>
    <w:pPr>
      <w:spacing w:after="80" w:line="200" w:lineRule="exact"/>
      <w:ind w:firstLine="0"/>
    </w:pPr>
    <w:rPr>
      <w:b w:val="0"/>
      <w:sz w:val="20"/>
    </w:rPr>
  </w:style>
  <w:style w:type="paragraph" w:customStyle="1" w:styleId="Chapter">
    <w:name w:val="Chapter"/>
    <w:basedOn w:val="Heading1"/>
    <w:next w:val="BodyText"/>
    <w:semiHidden/>
    <w:rsid w:val="00111D1B"/>
    <w:pPr>
      <w:ind w:left="0" w:firstLine="0"/>
      <w:outlineLvl w:val="9"/>
    </w:pPr>
  </w:style>
  <w:style w:type="paragraph" w:customStyle="1" w:styleId="ChapterSummary">
    <w:name w:val="Chapter Summary"/>
    <w:basedOn w:val="BodyText"/>
    <w:rsid w:val="00111D1B"/>
    <w:pPr>
      <w:spacing w:line="280" w:lineRule="atLeast"/>
      <w:ind w:left="907"/>
    </w:pPr>
    <w:rPr>
      <w:rFonts w:ascii="Arial" w:hAnsi="Arial"/>
      <w:b/>
      <w:sz w:val="20"/>
    </w:rPr>
  </w:style>
  <w:style w:type="character" w:styleId="CommentReference">
    <w:name w:val="annotation reference"/>
    <w:basedOn w:val="DefaultParagraphFont"/>
    <w:semiHidden/>
    <w:rsid w:val="00111D1B"/>
    <w:rPr>
      <w:b/>
      <w:vanish/>
      <w:color w:val="FF00FF"/>
      <w:sz w:val="20"/>
    </w:rPr>
  </w:style>
  <w:style w:type="paragraph" w:styleId="CommentText">
    <w:name w:val="annotation text"/>
    <w:basedOn w:val="Normal"/>
    <w:link w:val="CommentTextChar"/>
    <w:semiHidden/>
    <w:rsid w:val="00111D1B"/>
    <w:pPr>
      <w:spacing w:before="120" w:line="240" w:lineRule="atLeast"/>
      <w:ind w:left="567" w:hanging="567"/>
    </w:pPr>
    <w:rPr>
      <w:sz w:val="20"/>
    </w:rPr>
  </w:style>
  <w:style w:type="paragraph" w:customStyle="1" w:styleId="Continued">
    <w:name w:val="Continued"/>
    <w:basedOn w:val="BoxContinued"/>
    <w:next w:val="BodyText"/>
    <w:rsid w:val="00111D1B"/>
  </w:style>
  <w:style w:type="character" w:customStyle="1" w:styleId="DocumentInfo">
    <w:name w:val="Document Info"/>
    <w:basedOn w:val="DefaultParagraphFont"/>
    <w:semiHidden/>
    <w:rsid w:val="00111D1B"/>
    <w:rPr>
      <w:rFonts w:ascii="Arial" w:hAnsi="Arial"/>
      <w:sz w:val="14"/>
    </w:rPr>
  </w:style>
  <w:style w:type="character" w:customStyle="1" w:styleId="DraftingNote">
    <w:name w:val="Drafting Note"/>
    <w:basedOn w:val="DefaultParagraphFont"/>
    <w:rsid w:val="00111D1B"/>
    <w:rPr>
      <w:b/>
      <w:color w:val="FF0000"/>
      <w:sz w:val="24"/>
      <w:u w:val="dotted"/>
    </w:rPr>
  </w:style>
  <w:style w:type="paragraph" w:customStyle="1" w:styleId="Figure">
    <w:name w:val="Figure"/>
    <w:basedOn w:val="BodyText"/>
    <w:rsid w:val="00111D1B"/>
    <w:pPr>
      <w:keepNext/>
      <w:spacing w:before="120" w:after="120" w:line="240" w:lineRule="atLeast"/>
      <w:jc w:val="center"/>
    </w:pPr>
  </w:style>
  <w:style w:type="paragraph" w:customStyle="1" w:styleId="FigureTitle">
    <w:name w:val="Figure Title"/>
    <w:basedOn w:val="Caption"/>
    <w:next w:val="Subtitle"/>
    <w:rsid w:val="00111D1B"/>
    <w:pPr>
      <w:spacing w:before="120"/>
    </w:pPr>
  </w:style>
  <w:style w:type="paragraph" w:styleId="Subtitle">
    <w:name w:val="Subtitle"/>
    <w:basedOn w:val="Caption"/>
    <w:link w:val="SubtitleChar"/>
    <w:qFormat/>
    <w:rsid w:val="00111D1B"/>
    <w:pPr>
      <w:spacing w:before="0" w:line="200" w:lineRule="exact"/>
      <w:ind w:firstLine="0"/>
    </w:pPr>
    <w:rPr>
      <w:b w:val="0"/>
      <w:sz w:val="20"/>
    </w:rPr>
  </w:style>
  <w:style w:type="paragraph" w:customStyle="1" w:styleId="Finding">
    <w:name w:val="Finding"/>
    <w:basedOn w:val="BodyText"/>
    <w:rsid w:val="00111D1B"/>
    <w:pPr>
      <w:keepLines/>
      <w:spacing w:before="120" w:line="280" w:lineRule="atLeast"/>
    </w:pPr>
    <w:rPr>
      <w:rFonts w:ascii="Arial" w:hAnsi="Arial"/>
      <w:sz w:val="22"/>
    </w:rPr>
  </w:style>
  <w:style w:type="paragraph" w:customStyle="1" w:styleId="FindingBullet">
    <w:name w:val="Finding Bullet"/>
    <w:basedOn w:val="Finding"/>
    <w:rsid w:val="00111D1B"/>
    <w:pPr>
      <w:numPr>
        <w:numId w:val="3"/>
      </w:numPr>
      <w:spacing w:before="80"/>
    </w:pPr>
  </w:style>
  <w:style w:type="paragraph" w:customStyle="1" w:styleId="FindingNoTitle">
    <w:name w:val="Finding NoTitle"/>
    <w:basedOn w:val="Finding"/>
    <w:rsid w:val="00111D1B"/>
    <w:pPr>
      <w:spacing w:before="240"/>
    </w:pPr>
  </w:style>
  <w:style w:type="paragraph" w:customStyle="1" w:styleId="RecTitle">
    <w:name w:val="Rec Title"/>
    <w:basedOn w:val="BodyText"/>
    <w:next w:val="Rec"/>
    <w:qFormat/>
    <w:rsid w:val="00111D1B"/>
    <w:pPr>
      <w:keepNext/>
      <w:keepLines/>
      <w:spacing w:line="280" w:lineRule="atLeast"/>
    </w:pPr>
    <w:rPr>
      <w:rFonts w:ascii="Arial" w:hAnsi="Arial"/>
      <w:caps/>
      <w:sz w:val="18"/>
    </w:rPr>
  </w:style>
  <w:style w:type="paragraph" w:customStyle="1" w:styleId="FindingTitle">
    <w:name w:val="Finding Title"/>
    <w:basedOn w:val="RecTitle"/>
    <w:next w:val="Finding"/>
    <w:rsid w:val="00111D1B"/>
  </w:style>
  <w:style w:type="character" w:styleId="FootnoteReference">
    <w:name w:val="footnote reference"/>
    <w:basedOn w:val="DefaultParagraphFont"/>
    <w:semiHidden/>
    <w:rsid w:val="00111D1B"/>
    <w:rPr>
      <w:rFonts w:ascii="Times New Roman" w:hAnsi="Times New Roman"/>
      <w:position w:val="6"/>
      <w:sz w:val="20"/>
      <w:vertAlign w:val="baseline"/>
    </w:rPr>
  </w:style>
  <w:style w:type="paragraph" w:styleId="FootnoteText">
    <w:name w:val="footnote text"/>
    <w:basedOn w:val="BodyText"/>
    <w:rsid w:val="00111D1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11D1B"/>
    <w:rPr>
      <w:i/>
    </w:rPr>
  </w:style>
  <w:style w:type="paragraph" w:customStyle="1" w:styleId="Jurisdictioncommentsbodytext">
    <w:name w:val="Jurisdiction comments body text"/>
    <w:rsid w:val="00111D1B"/>
    <w:pPr>
      <w:spacing w:after="140"/>
      <w:jc w:val="both"/>
    </w:pPr>
    <w:rPr>
      <w:rFonts w:ascii="Arial" w:hAnsi="Arial"/>
      <w:sz w:val="24"/>
      <w:lang w:eastAsia="en-US"/>
    </w:rPr>
  </w:style>
  <w:style w:type="paragraph" w:customStyle="1" w:styleId="Jurisdictioncommentsheading">
    <w:name w:val="Jurisdiction comments heading"/>
    <w:rsid w:val="00111D1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1D1B"/>
    <w:pPr>
      <w:numPr>
        <w:numId w:val="4"/>
      </w:numPr>
      <w:spacing w:after="140"/>
      <w:jc w:val="both"/>
    </w:pPr>
    <w:rPr>
      <w:rFonts w:ascii="Arial" w:hAnsi="Arial"/>
      <w:sz w:val="24"/>
      <w:lang w:eastAsia="en-US"/>
    </w:rPr>
  </w:style>
  <w:style w:type="paragraph" w:styleId="ListBullet">
    <w:name w:val="List Bullet"/>
    <w:basedOn w:val="BodyText"/>
    <w:rsid w:val="00111D1B"/>
    <w:pPr>
      <w:numPr>
        <w:numId w:val="5"/>
      </w:numPr>
      <w:spacing w:before="120"/>
    </w:pPr>
  </w:style>
  <w:style w:type="paragraph" w:styleId="ListBullet2">
    <w:name w:val="List Bullet 2"/>
    <w:basedOn w:val="BodyText"/>
    <w:rsid w:val="00111D1B"/>
    <w:pPr>
      <w:numPr>
        <w:numId w:val="6"/>
      </w:numPr>
      <w:spacing w:before="120"/>
    </w:pPr>
  </w:style>
  <w:style w:type="paragraph" w:styleId="ListBullet3">
    <w:name w:val="List Bullet 3"/>
    <w:basedOn w:val="BodyText"/>
    <w:rsid w:val="00111D1B"/>
    <w:pPr>
      <w:numPr>
        <w:numId w:val="7"/>
      </w:numPr>
      <w:spacing w:before="120"/>
      <w:ind w:left="1020" w:hanging="340"/>
    </w:pPr>
  </w:style>
  <w:style w:type="paragraph" w:styleId="ListNumber">
    <w:name w:val="List Number"/>
    <w:basedOn w:val="BodyText"/>
    <w:rsid w:val="00111D1B"/>
    <w:pPr>
      <w:numPr>
        <w:numId w:val="12"/>
      </w:numPr>
      <w:spacing w:before="120"/>
    </w:pPr>
  </w:style>
  <w:style w:type="paragraph" w:styleId="ListNumber2">
    <w:name w:val="List Number 2"/>
    <w:basedOn w:val="ListNumber"/>
    <w:rsid w:val="00111D1B"/>
    <w:pPr>
      <w:numPr>
        <w:ilvl w:val="1"/>
      </w:numPr>
    </w:pPr>
  </w:style>
  <w:style w:type="paragraph" w:styleId="ListNumber3">
    <w:name w:val="List Number 3"/>
    <w:basedOn w:val="ListNumber2"/>
    <w:rsid w:val="00111D1B"/>
    <w:pPr>
      <w:numPr>
        <w:ilvl w:val="2"/>
      </w:numPr>
    </w:pPr>
  </w:style>
  <w:style w:type="character" w:customStyle="1" w:styleId="NoteLabel">
    <w:name w:val="Note Label"/>
    <w:basedOn w:val="DefaultParagraphFont"/>
    <w:rsid w:val="00111D1B"/>
    <w:rPr>
      <w:rFonts w:ascii="Arial" w:hAnsi="Arial"/>
      <w:b/>
      <w:position w:val="6"/>
      <w:sz w:val="18"/>
    </w:rPr>
  </w:style>
  <w:style w:type="paragraph" w:customStyle="1" w:styleId="PartDivider">
    <w:name w:val="Part Divider"/>
    <w:basedOn w:val="BodyText"/>
    <w:next w:val="BodyText"/>
    <w:semiHidden/>
    <w:rsid w:val="00111D1B"/>
    <w:pPr>
      <w:spacing w:before="0" w:line="40" w:lineRule="exact"/>
      <w:jc w:val="right"/>
    </w:pPr>
    <w:rPr>
      <w:smallCaps/>
      <w:sz w:val="16"/>
    </w:rPr>
  </w:style>
  <w:style w:type="paragraph" w:customStyle="1" w:styleId="PartNumber">
    <w:name w:val="Part Number"/>
    <w:basedOn w:val="BodyText"/>
    <w:next w:val="BodyText"/>
    <w:semiHidden/>
    <w:rsid w:val="00111D1B"/>
    <w:pPr>
      <w:spacing w:before="4000" w:line="320" w:lineRule="exact"/>
      <w:ind w:left="6634"/>
      <w:jc w:val="right"/>
    </w:pPr>
    <w:rPr>
      <w:smallCaps/>
      <w:spacing w:val="60"/>
      <w:sz w:val="32"/>
    </w:rPr>
  </w:style>
  <w:style w:type="paragraph" w:customStyle="1" w:styleId="PartTitle">
    <w:name w:val="Part Title"/>
    <w:basedOn w:val="BodyText"/>
    <w:semiHidden/>
    <w:rsid w:val="00111D1B"/>
    <w:pPr>
      <w:spacing w:before="160" w:after="1360" w:line="520" w:lineRule="exact"/>
      <w:ind w:right="2381"/>
      <w:jc w:val="right"/>
    </w:pPr>
    <w:rPr>
      <w:smallCaps/>
      <w:sz w:val="52"/>
    </w:rPr>
  </w:style>
  <w:style w:type="paragraph" w:styleId="Quote">
    <w:name w:val="Quote"/>
    <w:basedOn w:val="BodyText"/>
    <w:next w:val="BodyText"/>
    <w:qFormat/>
    <w:rsid w:val="00111D1B"/>
    <w:pPr>
      <w:spacing w:before="120" w:line="280" w:lineRule="exact"/>
      <w:ind w:left="340"/>
    </w:pPr>
    <w:rPr>
      <w:sz w:val="22"/>
    </w:rPr>
  </w:style>
  <w:style w:type="paragraph" w:customStyle="1" w:styleId="QuoteBullet">
    <w:name w:val="Quote Bullet"/>
    <w:basedOn w:val="Quote"/>
    <w:rsid w:val="00111D1B"/>
    <w:pPr>
      <w:numPr>
        <w:numId w:val="8"/>
      </w:numPr>
    </w:pPr>
  </w:style>
  <w:style w:type="paragraph" w:customStyle="1" w:styleId="Rec">
    <w:name w:val="Rec"/>
    <w:basedOn w:val="BodyText"/>
    <w:qFormat/>
    <w:rsid w:val="00111D1B"/>
    <w:pPr>
      <w:keepLines/>
      <w:spacing w:before="120" w:line="280" w:lineRule="atLeast"/>
    </w:pPr>
    <w:rPr>
      <w:rFonts w:ascii="Arial" w:hAnsi="Arial"/>
      <w:sz w:val="22"/>
    </w:rPr>
  </w:style>
  <w:style w:type="paragraph" w:customStyle="1" w:styleId="RecBullet">
    <w:name w:val="Rec Bullet"/>
    <w:basedOn w:val="Rec"/>
    <w:rsid w:val="00111D1B"/>
    <w:pPr>
      <w:numPr>
        <w:numId w:val="9"/>
      </w:numPr>
      <w:spacing w:before="80"/>
    </w:pPr>
  </w:style>
  <w:style w:type="paragraph" w:customStyle="1" w:styleId="RecB">
    <w:name w:val="RecB"/>
    <w:basedOn w:val="Normal"/>
    <w:rsid w:val="00111D1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1D1B"/>
    <w:pPr>
      <w:numPr>
        <w:numId w:val="14"/>
      </w:numPr>
      <w:spacing w:before="80"/>
    </w:pPr>
  </w:style>
  <w:style w:type="paragraph" w:customStyle="1" w:styleId="RecBNoTitle">
    <w:name w:val="RecB NoTitle"/>
    <w:basedOn w:val="RecB"/>
    <w:rsid w:val="00111D1B"/>
    <w:pPr>
      <w:spacing w:before="240"/>
    </w:pPr>
  </w:style>
  <w:style w:type="paragraph" w:customStyle="1" w:styleId="Reference">
    <w:name w:val="Reference"/>
    <w:basedOn w:val="BodyText"/>
    <w:rsid w:val="00111D1B"/>
    <w:pPr>
      <w:spacing w:before="120"/>
      <w:ind w:left="340" w:hanging="340"/>
    </w:pPr>
  </w:style>
  <w:style w:type="paragraph" w:customStyle="1" w:styleId="SequenceInfo">
    <w:name w:val="Sequence Info"/>
    <w:basedOn w:val="BodyText"/>
    <w:semiHidden/>
    <w:rsid w:val="00111D1B"/>
    <w:rPr>
      <w:vanish/>
      <w:sz w:val="16"/>
    </w:rPr>
  </w:style>
  <w:style w:type="paragraph" w:customStyle="1" w:styleId="SideNote">
    <w:name w:val="Side Note"/>
    <w:basedOn w:val="BodyText"/>
    <w:next w:val="BodyText"/>
    <w:semiHidden/>
    <w:rsid w:val="00111D1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11D1B"/>
    <w:pPr>
      <w:framePr w:wrap="around"/>
      <w:numPr>
        <w:numId w:val="10"/>
      </w:numPr>
      <w:tabs>
        <w:tab w:val="left" w:pos="227"/>
      </w:tabs>
    </w:pPr>
  </w:style>
  <w:style w:type="paragraph" w:customStyle="1" w:styleId="SideNoteGraphic">
    <w:name w:val="Side Note Graphic"/>
    <w:basedOn w:val="SideNote"/>
    <w:next w:val="BodyText"/>
    <w:semiHidden/>
    <w:rsid w:val="00111D1B"/>
    <w:pPr>
      <w:framePr w:wrap="around"/>
    </w:pPr>
  </w:style>
  <w:style w:type="paragraph" w:customStyle="1" w:styleId="TableBodyText">
    <w:name w:val="Table Body Text"/>
    <w:basedOn w:val="BodyText"/>
    <w:link w:val="TableBodyTextChar"/>
    <w:rsid w:val="00111D1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11D1B"/>
    <w:pPr>
      <w:numPr>
        <w:numId w:val="11"/>
      </w:numPr>
      <w:jc w:val="left"/>
    </w:pPr>
  </w:style>
  <w:style w:type="paragraph" w:customStyle="1" w:styleId="TableColumnHeading">
    <w:name w:val="Table Column Heading"/>
    <w:basedOn w:val="TableBodyText"/>
    <w:rsid w:val="00111D1B"/>
    <w:pPr>
      <w:spacing w:before="80" w:after="80"/>
    </w:pPr>
    <w:rPr>
      <w:i/>
    </w:rPr>
  </w:style>
  <w:style w:type="paragraph" w:styleId="TOC2">
    <w:name w:val="toc 2"/>
    <w:basedOn w:val="TOC1"/>
    <w:rsid w:val="00111D1B"/>
    <w:pPr>
      <w:ind w:left="1134" w:hanging="624"/>
    </w:pPr>
    <w:rPr>
      <w:b w:val="0"/>
    </w:rPr>
  </w:style>
  <w:style w:type="paragraph" w:styleId="TOC3">
    <w:name w:val="toc 3"/>
    <w:basedOn w:val="TOC2"/>
    <w:rsid w:val="00111D1B"/>
    <w:pPr>
      <w:spacing w:before="60"/>
      <w:ind w:left="1190" w:hanging="680"/>
    </w:pPr>
  </w:style>
  <w:style w:type="paragraph" w:styleId="TableofFigures">
    <w:name w:val="table of figures"/>
    <w:basedOn w:val="TOC3"/>
    <w:next w:val="BodyText"/>
    <w:semiHidden/>
    <w:rsid w:val="00111D1B"/>
    <w:pPr>
      <w:ind w:left="737" w:hanging="737"/>
    </w:pPr>
  </w:style>
  <w:style w:type="paragraph" w:customStyle="1" w:styleId="TableTitle">
    <w:name w:val="Table Title"/>
    <w:basedOn w:val="Caption"/>
    <w:next w:val="Subtitle"/>
    <w:qFormat/>
    <w:rsid w:val="00111D1B"/>
    <w:pPr>
      <w:spacing w:before="120"/>
    </w:pPr>
  </w:style>
  <w:style w:type="paragraph" w:customStyle="1" w:styleId="TableUnitsRow">
    <w:name w:val="Table Units Row"/>
    <w:basedOn w:val="TableBodyText"/>
    <w:rsid w:val="00111D1B"/>
    <w:pPr>
      <w:spacing w:before="40"/>
    </w:pPr>
  </w:style>
  <w:style w:type="paragraph" w:styleId="TOC1">
    <w:name w:val="toc 1"/>
    <w:basedOn w:val="Normal"/>
    <w:next w:val="TOC2"/>
    <w:link w:val="TOC1Char"/>
    <w:rsid w:val="00111D1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11D1B"/>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sz w:val="18"/>
    </w:rPr>
  </w:style>
  <w:style w:type="character" w:customStyle="1" w:styleId="BoxListBulletChar">
    <w:name w:val="Box List Bullet Char"/>
    <w:link w:val="BoxListBullet"/>
    <w:rsid w:val="009B5886"/>
    <w:rPr>
      <w:rFonts w:ascii="Arial" w:hAnsi="Arial"/>
    </w:rPr>
  </w:style>
  <w:style w:type="character" w:customStyle="1" w:styleId="BoxListNumber2Char">
    <w:name w:val="Box List Number 2 Char"/>
    <w:link w:val="BoxListNumber2"/>
    <w:rsid w:val="009B5886"/>
    <w:rPr>
      <w:rFonts w:ascii="Arial" w:hAnsi="Arial"/>
    </w:rPr>
  </w:style>
  <w:style w:type="character" w:customStyle="1" w:styleId="apple-style-span">
    <w:name w:val="apple-style-span"/>
    <w:rsid w:val="00EE049E"/>
    <w:rPr>
      <w:rFonts w:cs="Times New Roman"/>
    </w:rPr>
  </w:style>
  <w:style w:type="paragraph" w:styleId="BalloonText">
    <w:name w:val="Balloon Text"/>
    <w:basedOn w:val="Normal"/>
    <w:link w:val="BalloonTextChar"/>
    <w:rsid w:val="00111D1B"/>
    <w:rPr>
      <w:rFonts w:ascii="Tahoma" w:hAnsi="Tahoma" w:cs="Tahoma"/>
      <w:sz w:val="16"/>
      <w:szCs w:val="16"/>
    </w:rPr>
  </w:style>
  <w:style w:type="character" w:customStyle="1" w:styleId="BodyTextChar">
    <w:name w:val="Body Text Char"/>
    <w:basedOn w:val="DefaultParagraphFont"/>
    <w:link w:val="BodyText"/>
    <w:rsid w:val="00111D1B"/>
    <w:rPr>
      <w:sz w:val="24"/>
    </w:rPr>
  </w:style>
  <w:style w:type="table" w:styleId="TableGrid">
    <w:name w:val="Table Grid"/>
    <w:basedOn w:val="TableNormal"/>
    <w:rsid w:val="00111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 w:type="character" w:customStyle="1" w:styleId="TableBulletChar">
    <w:name w:val="Table Bullet Char"/>
    <w:basedOn w:val="DefaultParagraphFont"/>
    <w:link w:val="TableBullet"/>
    <w:locked/>
    <w:rsid w:val="00C5223A"/>
    <w:rPr>
      <w:rFonts w:ascii="Arial" w:hAnsi="Arial"/>
      <w:sz w:val="18"/>
    </w:rPr>
  </w:style>
  <w:style w:type="paragraph" w:customStyle="1" w:styleId="BoxSpaceAbove">
    <w:name w:val="Box Space Above"/>
    <w:basedOn w:val="BodyText"/>
    <w:rsid w:val="00111D1B"/>
    <w:pPr>
      <w:keepNext/>
      <w:spacing w:before="360" w:line="80" w:lineRule="exact"/>
      <w:jc w:val="left"/>
    </w:pPr>
  </w:style>
  <w:style w:type="paragraph" w:customStyle="1" w:styleId="RecBBullet2">
    <w:name w:val="RecB Bullet 2"/>
    <w:basedOn w:val="ListBullet2"/>
    <w:semiHidden/>
    <w:rsid w:val="00111D1B"/>
    <w:pPr>
      <w:pBdr>
        <w:left w:val="single" w:sz="24" w:space="29" w:color="C0C0C0"/>
      </w:pBdr>
    </w:pPr>
    <w:rPr>
      <w:b/>
      <w:i/>
    </w:rPr>
  </w:style>
  <w:style w:type="character" w:customStyle="1" w:styleId="BalloonTextChar">
    <w:name w:val="Balloon Text Char"/>
    <w:basedOn w:val="DefaultParagraphFont"/>
    <w:link w:val="BalloonText"/>
    <w:rsid w:val="00111D1B"/>
    <w:rPr>
      <w:rFonts w:ascii="Tahoma" w:hAnsi="Tahoma" w:cs="Tahoma"/>
      <w:sz w:val="16"/>
      <w:szCs w:val="16"/>
    </w:rPr>
  </w:style>
  <w:style w:type="character" w:customStyle="1" w:styleId="SubtitleChar">
    <w:name w:val="Subtitle Char"/>
    <w:basedOn w:val="DefaultParagraphFont"/>
    <w:link w:val="Subtitle"/>
    <w:rsid w:val="00111D1B"/>
    <w:rPr>
      <w:rFonts w:ascii="Arial" w:hAnsi="Arial"/>
      <w:szCs w:val="24"/>
    </w:rPr>
  </w:style>
  <w:style w:type="paragraph" w:customStyle="1" w:styleId="BoxListBullet3">
    <w:name w:val="Box List Bullet 3"/>
    <w:basedOn w:val="ListBullet3"/>
    <w:rsid w:val="00111D1B"/>
    <w:pPr>
      <w:numPr>
        <w:numId w:val="2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11D1B"/>
    <w:rPr>
      <w:i/>
      <w:iCs/>
    </w:rPr>
  </w:style>
  <w:style w:type="paragraph" w:customStyle="1" w:styleId="BoxQuoteBullet">
    <w:name w:val="Box Quote Bullet"/>
    <w:basedOn w:val="BoxQuote"/>
    <w:next w:val="Box"/>
    <w:rsid w:val="00111D1B"/>
    <w:pPr>
      <w:numPr>
        <w:numId w:val="26"/>
      </w:numPr>
      <w:ind w:left="568" w:hanging="284"/>
    </w:pPr>
  </w:style>
  <w:style w:type="paragraph" w:customStyle="1" w:styleId="InformationRequestBullet">
    <w:name w:val="Information Request Bullet"/>
    <w:basedOn w:val="ListBullet"/>
    <w:next w:val="BodyText"/>
    <w:rsid w:val="00111D1B"/>
    <w:pPr>
      <w:numPr>
        <w:numId w:val="28"/>
      </w:numPr>
      <w:spacing w:before="80" w:line="280" w:lineRule="atLeast"/>
      <w:ind w:left="357" w:hanging="357"/>
    </w:pPr>
    <w:rPr>
      <w:rFonts w:ascii="Arial" w:hAnsi="Arial"/>
      <w:i/>
      <w:sz w:val="22"/>
    </w:rPr>
  </w:style>
  <w:style w:type="paragraph" w:customStyle="1" w:styleId="BoxSpaceBelow">
    <w:name w:val="Box Space Below"/>
    <w:basedOn w:val="Box"/>
    <w:rsid w:val="00111D1B"/>
    <w:pPr>
      <w:keepNext w:val="0"/>
      <w:spacing w:before="60" w:after="60" w:line="80" w:lineRule="exact"/>
    </w:pPr>
    <w:rPr>
      <w:sz w:val="14"/>
    </w:rPr>
  </w:style>
  <w:style w:type="paragraph" w:customStyle="1" w:styleId="KeyPointsListBullet">
    <w:name w:val="Key Points List Bullet"/>
    <w:basedOn w:val="Normal"/>
    <w:qFormat/>
    <w:rsid w:val="00111D1B"/>
    <w:pPr>
      <w:keepNext/>
      <w:numPr>
        <w:numId w:val="3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11D1B"/>
    <w:pPr>
      <w:numPr>
        <w:numId w:val="32"/>
      </w:numPr>
      <w:ind w:left="568" w:hanging="284"/>
    </w:pPr>
  </w:style>
  <w:style w:type="paragraph" w:customStyle="1" w:styleId="InformationRequestTitle">
    <w:name w:val="Information Request Title"/>
    <w:basedOn w:val="FindingTitle"/>
    <w:next w:val="InformationRequest"/>
    <w:rsid w:val="00111D1B"/>
    <w:rPr>
      <w:i/>
    </w:rPr>
  </w:style>
  <w:style w:type="paragraph" w:customStyle="1" w:styleId="Space">
    <w:name w:val="Space"/>
    <w:basedOn w:val="Normal"/>
    <w:rsid w:val="00111D1B"/>
    <w:pPr>
      <w:keepNext/>
      <w:spacing w:line="120" w:lineRule="exact"/>
      <w:jc w:val="both"/>
    </w:pPr>
    <w:rPr>
      <w:rFonts w:ascii="Arial" w:hAnsi="Arial"/>
      <w:sz w:val="20"/>
      <w:szCs w:val="20"/>
    </w:rPr>
  </w:style>
  <w:style w:type="paragraph" w:customStyle="1" w:styleId="Heading1nochapterno">
    <w:name w:val="Heading 1 (no chapter no.)"/>
    <w:basedOn w:val="Heading1"/>
    <w:rsid w:val="00111D1B"/>
    <w:pPr>
      <w:spacing w:before="0"/>
      <w:ind w:left="0" w:firstLine="0"/>
    </w:pPr>
  </w:style>
  <w:style w:type="paragraph" w:customStyle="1" w:styleId="Heading2nosectionno">
    <w:name w:val="Heading 2 (no section no.)"/>
    <w:basedOn w:val="Heading2"/>
    <w:rsid w:val="00111D1B"/>
    <w:pPr>
      <w:ind w:left="0" w:firstLine="0"/>
    </w:pPr>
  </w:style>
  <w:style w:type="character" w:customStyle="1" w:styleId="Heading5Char">
    <w:name w:val="Heading 5 Char"/>
    <w:basedOn w:val="DefaultParagraphFont"/>
    <w:link w:val="Heading5"/>
    <w:rsid w:val="00111D1B"/>
    <w:rPr>
      <w:rFonts w:ascii="Arial" w:hAnsi="Arial"/>
      <w:i/>
      <w:sz w:val="22"/>
    </w:rPr>
  </w:style>
  <w:style w:type="paragraph" w:customStyle="1" w:styleId="Figurespace">
    <w:name w:val="Figure space"/>
    <w:basedOn w:val="Box"/>
    <w:rsid w:val="00111D1B"/>
    <w:pPr>
      <w:spacing w:before="0" w:line="120" w:lineRule="exact"/>
    </w:pPr>
  </w:style>
  <w:style w:type="paragraph" w:customStyle="1" w:styleId="FooterDraftReport">
    <w:name w:val="FooterDraftReport"/>
    <w:basedOn w:val="Footer"/>
    <w:link w:val="FooterDraftReportChar"/>
    <w:rsid w:val="00111D1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11D1B"/>
    <w:rPr>
      <w:rFonts w:ascii="Arial" w:hAnsi="Arial"/>
      <w:caps/>
      <w:spacing w:val="-4"/>
      <w:sz w:val="16"/>
    </w:rPr>
  </w:style>
  <w:style w:type="character" w:customStyle="1" w:styleId="FooterDraftReportChar">
    <w:name w:val="FooterDraftReport Char"/>
    <w:basedOn w:val="FooterChar"/>
    <w:link w:val="FooterDraftReport"/>
    <w:rsid w:val="00111D1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11D1B"/>
    <w:rPr>
      <w:rFonts w:ascii="Arial" w:hAnsi="Arial"/>
      <w:b/>
      <w:sz w:val="26"/>
      <w:szCs w:val="26"/>
      <w:lang w:eastAsia="en-US"/>
    </w:rPr>
  </w:style>
  <w:style w:type="paragraph" w:customStyle="1" w:styleId="Heading1NotTOC">
    <w:name w:val="Heading 1 Not TOC"/>
    <w:basedOn w:val="Heading1"/>
    <w:next w:val="BodyText"/>
    <w:rsid w:val="00520FA7"/>
    <w:rPr>
      <w:kern w:val="28"/>
      <w:szCs w:val="26"/>
      <w:lang w:eastAsia="en-US"/>
    </w:rPr>
  </w:style>
  <w:style w:type="paragraph" w:customStyle="1" w:styleId="DQIMainRowHeadings">
    <w:name w:val="DQI Main Row Headings"/>
    <w:basedOn w:val="Normal"/>
    <w:next w:val="Normal"/>
    <w:rsid w:val="00520FA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520FA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520FA7"/>
    <w:pPr>
      <w:spacing w:before="120" w:after="0"/>
      <w:ind w:left="0" w:right="0"/>
      <w:jc w:val="both"/>
    </w:pPr>
  </w:style>
  <w:style w:type="paragraph" w:customStyle="1" w:styleId="DQITableBullet">
    <w:name w:val="DQI Table Bullet"/>
    <w:basedOn w:val="TableBullet"/>
    <w:rsid w:val="00112264"/>
    <w:pPr>
      <w:numPr>
        <w:numId w:val="34"/>
      </w:numPr>
      <w:spacing w:before="40" w:after="0"/>
      <w:ind w:left="170" w:hanging="170"/>
      <w:jc w:val="both"/>
    </w:pPr>
  </w:style>
  <w:style w:type="paragraph" w:customStyle="1" w:styleId="DQITableList">
    <w:name w:val="DQI Table List"/>
    <w:basedOn w:val="DQITableText"/>
    <w:rsid w:val="00112264"/>
    <w:pPr>
      <w:numPr>
        <w:numId w:val="33"/>
      </w:numPr>
      <w:spacing w:before="40"/>
      <w:ind w:left="170" w:hanging="170"/>
    </w:pPr>
  </w:style>
  <w:style w:type="paragraph" w:customStyle="1" w:styleId="DQITableBullet2">
    <w:name w:val="DQI Table Bullet 2"/>
    <w:basedOn w:val="DQITableBullet"/>
    <w:rsid w:val="00112264"/>
    <w:pPr>
      <w:numPr>
        <w:numId w:val="36"/>
      </w:numPr>
      <w:ind w:left="340" w:hanging="170"/>
    </w:pPr>
  </w:style>
  <w:style w:type="table" w:customStyle="1" w:styleId="TableGrid1">
    <w:name w:val="Table Grid1"/>
    <w:basedOn w:val="TableNormal"/>
    <w:next w:val="TableGrid"/>
    <w:rsid w:val="00B67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117F04"/>
    <w:rPr>
      <w:b/>
      <w:i w:val="0"/>
      <w:sz w:val="24"/>
      <w:szCs w:val="24"/>
    </w:rPr>
  </w:style>
  <w:style w:type="character" w:styleId="FollowedHyperlink">
    <w:name w:val="FollowedHyperlink"/>
    <w:basedOn w:val="DefaultParagraphFont"/>
    <w:rsid w:val="00790B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11D1B"/>
    <w:rPr>
      <w:sz w:val="24"/>
      <w:szCs w:val="24"/>
    </w:rPr>
  </w:style>
  <w:style w:type="paragraph" w:styleId="Heading1">
    <w:name w:val="heading 1"/>
    <w:basedOn w:val="BodyText"/>
    <w:next w:val="BodyText"/>
    <w:rsid w:val="00111D1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11D1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11D1B"/>
    <w:pPr>
      <w:spacing w:before="560" w:line="320" w:lineRule="exact"/>
      <w:ind w:left="0" w:firstLine="0"/>
      <w:outlineLvl w:val="2"/>
    </w:pPr>
    <w:rPr>
      <w:sz w:val="26"/>
    </w:rPr>
  </w:style>
  <w:style w:type="paragraph" w:styleId="Heading4">
    <w:name w:val="heading 4"/>
    <w:basedOn w:val="Heading3"/>
    <w:next w:val="BodyText"/>
    <w:qFormat/>
    <w:rsid w:val="00111D1B"/>
    <w:pPr>
      <w:spacing w:before="480"/>
      <w:outlineLvl w:val="3"/>
    </w:pPr>
    <w:rPr>
      <w:b w:val="0"/>
      <w:sz w:val="24"/>
    </w:rPr>
  </w:style>
  <w:style w:type="paragraph" w:styleId="Heading5">
    <w:name w:val="heading 5"/>
    <w:basedOn w:val="Heading4"/>
    <w:next w:val="BodyText"/>
    <w:link w:val="Heading5Char"/>
    <w:qFormat/>
    <w:rsid w:val="00111D1B"/>
    <w:pPr>
      <w:outlineLvl w:val="4"/>
    </w:pPr>
    <w:rPr>
      <w:i/>
      <w:sz w:val="22"/>
    </w:rPr>
  </w:style>
  <w:style w:type="paragraph" w:styleId="Heading6">
    <w:name w:val="heading 6"/>
    <w:basedOn w:val="BodyText"/>
    <w:next w:val="BodyText"/>
    <w:rsid w:val="00111D1B"/>
    <w:pPr>
      <w:spacing w:after="60"/>
      <w:jc w:val="left"/>
      <w:outlineLvl w:val="5"/>
    </w:pPr>
    <w:rPr>
      <w:i/>
      <w:sz w:val="22"/>
    </w:rPr>
  </w:style>
  <w:style w:type="paragraph" w:styleId="Heading7">
    <w:name w:val="heading 7"/>
    <w:basedOn w:val="BodyText"/>
    <w:next w:val="BodyText"/>
    <w:rsid w:val="00111D1B"/>
    <w:pPr>
      <w:spacing w:after="60" w:line="240" w:lineRule="auto"/>
      <w:jc w:val="left"/>
      <w:outlineLvl w:val="6"/>
    </w:pPr>
    <w:rPr>
      <w:rFonts w:ascii="Arial" w:hAnsi="Arial"/>
      <w:sz w:val="20"/>
    </w:rPr>
  </w:style>
  <w:style w:type="paragraph" w:styleId="Heading8">
    <w:name w:val="heading 8"/>
    <w:basedOn w:val="BodyText"/>
    <w:next w:val="BodyText"/>
    <w:rsid w:val="00111D1B"/>
    <w:pPr>
      <w:spacing w:after="60" w:line="240" w:lineRule="auto"/>
      <w:jc w:val="left"/>
      <w:outlineLvl w:val="7"/>
    </w:pPr>
    <w:rPr>
      <w:rFonts w:ascii="Arial" w:hAnsi="Arial"/>
      <w:i/>
      <w:sz w:val="20"/>
    </w:rPr>
  </w:style>
  <w:style w:type="paragraph" w:styleId="Heading9">
    <w:name w:val="heading 9"/>
    <w:basedOn w:val="BodyText"/>
    <w:next w:val="BodyText"/>
    <w:rsid w:val="00111D1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1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D1B"/>
  </w:style>
  <w:style w:type="paragraph" w:styleId="BodyText">
    <w:name w:val="Body Text"/>
    <w:link w:val="BodyTextChar"/>
    <w:qFormat/>
    <w:rsid w:val="00111D1B"/>
    <w:pPr>
      <w:spacing w:before="240" w:line="300" w:lineRule="atLeast"/>
      <w:jc w:val="both"/>
    </w:pPr>
    <w:rPr>
      <w:sz w:val="24"/>
    </w:rPr>
  </w:style>
  <w:style w:type="paragraph" w:styleId="Footer">
    <w:name w:val="footer"/>
    <w:basedOn w:val="BodyText"/>
    <w:link w:val="FooterChar"/>
    <w:rsid w:val="00111D1B"/>
    <w:pPr>
      <w:spacing w:before="80" w:line="200" w:lineRule="exact"/>
      <w:ind w:right="6"/>
      <w:jc w:val="left"/>
    </w:pPr>
    <w:rPr>
      <w:rFonts w:ascii="Arial" w:hAnsi="Arial"/>
      <w:caps/>
      <w:spacing w:val="-4"/>
      <w:sz w:val="16"/>
    </w:rPr>
  </w:style>
  <w:style w:type="paragraph" w:customStyle="1" w:styleId="FooterEnd">
    <w:name w:val="Footer End"/>
    <w:basedOn w:val="Footer"/>
    <w:rsid w:val="00111D1B"/>
    <w:pPr>
      <w:spacing w:before="0" w:line="20" w:lineRule="exact"/>
    </w:pPr>
  </w:style>
  <w:style w:type="paragraph" w:styleId="Header">
    <w:name w:val="header"/>
    <w:basedOn w:val="BodyText"/>
    <w:rsid w:val="00111D1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11D1B"/>
    <w:pPr>
      <w:spacing w:line="20" w:lineRule="exact"/>
    </w:pPr>
    <w:rPr>
      <w:sz w:val="16"/>
    </w:rPr>
  </w:style>
  <w:style w:type="paragraph" w:customStyle="1" w:styleId="HeaderEven">
    <w:name w:val="Header Even"/>
    <w:basedOn w:val="Header"/>
    <w:semiHidden/>
    <w:rsid w:val="00111D1B"/>
  </w:style>
  <w:style w:type="paragraph" w:customStyle="1" w:styleId="HeaderOdd">
    <w:name w:val="Header Odd"/>
    <w:basedOn w:val="Header"/>
    <w:semiHidden/>
    <w:rsid w:val="00111D1B"/>
  </w:style>
  <w:style w:type="character" w:styleId="PageNumber">
    <w:name w:val="page number"/>
    <w:basedOn w:val="DefaultParagraphFont"/>
    <w:rsid w:val="00111D1B"/>
    <w:rPr>
      <w:rFonts w:ascii="Arial" w:hAnsi="Arial"/>
      <w:b/>
      <w:sz w:val="16"/>
    </w:rPr>
  </w:style>
  <w:style w:type="paragraph" w:customStyle="1" w:styleId="Abbreviation">
    <w:name w:val="Abbreviation"/>
    <w:basedOn w:val="BodyText"/>
    <w:rsid w:val="00111D1B"/>
    <w:pPr>
      <w:spacing w:before="120"/>
      <w:ind w:left="2381" w:hanging="2381"/>
      <w:jc w:val="left"/>
    </w:pPr>
  </w:style>
  <w:style w:type="paragraph" w:customStyle="1" w:styleId="Box">
    <w:name w:val="Box"/>
    <w:basedOn w:val="BodyText"/>
    <w:link w:val="BoxChar"/>
    <w:qFormat/>
    <w:rsid w:val="00111D1B"/>
    <w:pPr>
      <w:keepNext/>
      <w:spacing w:before="120" w:line="260" w:lineRule="atLeast"/>
    </w:pPr>
    <w:rPr>
      <w:rFonts w:ascii="Arial" w:hAnsi="Arial"/>
      <w:sz w:val="20"/>
    </w:rPr>
  </w:style>
  <w:style w:type="paragraph" w:customStyle="1" w:styleId="BoxContinued">
    <w:name w:val="Box Continued"/>
    <w:basedOn w:val="BodyText"/>
    <w:next w:val="BodyText"/>
    <w:semiHidden/>
    <w:rsid w:val="00111D1B"/>
    <w:pPr>
      <w:spacing w:before="180" w:line="220" w:lineRule="exact"/>
      <w:jc w:val="right"/>
    </w:pPr>
    <w:rPr>
      <w:rFonts w:ascii="Arial" w:hAnsi="Arial"/>
      <w:sz w:val="18"/>
    </w:rPr>
  </w:style>
  <w:style w:type="paragraph" w:customStyle="1" w:styleId="BoxHeading1">
    <w:name w:val="Box Heading 1"/>
    <w:basedOn w:val="BodyText"/>
    <w:next w:val="Box"/>
    <w:rsid w:val="00111D1B"/>
    <w:pPr>
      <w:keepNext/>
      <w:spacing w:before="200" w:line="280" w:lineRule="atLeast"/>
    </w:pPr>
    <w:rPr>
      <w:rFonts w:ascii="Arial" w:hAnsi="Arial"/>
      <w:b/>
      <w:sz w:val="22"/>
    </w:rPr>
  </w:style>
  <w:style w:type="paragraph" w:customStyle="1" w:styleId="BoxHeading2">
    <w:name w:val="Box Heading 2"/>
    <w:basedOn w:val="BoxHeading1"/>
    <w:next w:val="Normal"/>
    <w:rsid w:val="00111D1B"/>
    <w:rPr>
      <w:b w:val="0"/>
      <w:i/>
    </w:rPr>
  </w:style>
  <w:style w:type="paragraph" w:customStyle="1" w:styleId="BoxListBullet">
    <w:name w:val="Box List Bullet"/>
    <w:basedOn w:val="BodyText"/>
    <w:link w:val="BoxListBulletChar"/>
    <w:rsid w:val="00111D1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11D1B"/>
    <w:pPr>
      <w:numPr>
        <w:numId w:val="2"/>
      </w:numPr>
      <w:ind w:left="568" w:hanging="284"/>
    </w:pPr>
  </w:style>
  <w:style w:type="paragraph" w:customStyle="1" w:styleId="BoxListNumber">
    <w:name w:val="Box List Number"/>
    <w:basedOn w:val="BodyText"/>
    <w:rsid w:val="00111D1B"/>
    <w:pPr>
      <w:keepNext/>
      <w:numPr>
        <w:numId w:val="13"/>
      </w:numPr>
      <w:spacing w:before="100" w:line="260" w:lineRule="atLeast"/>
    </w:pPr>
    <w:rPr>
      <w:rFonts w:ascii="Arial" w:hAnsi="Arial"/>
      <w:sz w:val="20"/>
    </w:rPr>
  </w:style>
  <w:style w:type="paragraph" w:customStyle="1" w:styleId="BoxListNumber2">
    <w:name w:val="Box List Number 2"/>
    <w:basedOn w:val="BoxListNumber"/>
    <w:link w:val="BoxListNumber2Char"/>
    <w:rsid w:val="00111D1B"/>
    <w:pPr>
      <w:numPr>
        <w:ilvl w:val="1"/>
      </w:numPr>
      <w:ind w:left="681" w:hanging="397"/>
    </w:pPr>
  </w:style>
  <w:style w:type="paragraph" w:customStyle="1" w:styleId="BoxQuote">
    <w:name w:val="Box Quote"/>
    <w:basedOn w:val="BodyText"/>
    <w:next w:val="Box"/>
    <w:qFormat/>
    <w:rsid w:val="00111D1B"/>
    <w:pPr>
      <w:keepNext/>
      <w:spacing w:before="60" w:line="240" w:lineRule="exact"/>
      <w:ind w:left="284"/>
    </w:pPr>
    <w:rPr>
      <w:rFonts w:ascii="Arial" w:hAnsi="Arial"/>
      <w:sz w:val="18"/>
    </w:rPr>
  </w:style>
  <w:style w:type="paragraph" w:customStyle="1" w:styleId="Note">
    <w:name w:val="Note"/>
    <w:basedOn w:val="BodyText"/>
    <w:next w:val="BodyText"/>
    <w:rsid w:val="00111D1B"/>
    <w:pPr>
      <w:keepLines/>
      <w:spacing w:before="80" w:line="220" w:lineRule="exact"/>
    </w:pPr>
    <w:rPr>
      <w:rFonts w:ascii="Arial" w:hAnsi="Arial"/>
      <w:sz w:val="18"/>
    </w:rPr>
  </w:style>
  <w:style w:type="paragraph" w:customStyle="1" w:styleId="Source">
    <w:name w:val="Source"/>
    <w:basedOn w:val="Normal"/>
    <w:next w:val="BodyText"/>
    <w:rsid w:val="00111D1B"/>
    <w:pPr>
      <w:keepLines/>
      <w:spacing w:before="80" w:line="220" w:lineRule="exact"/>
      <w:jc w:val="both"/>
    </w:pPr>
    <w:rPr>
      <w:rFonts w:ascii="Arial" w:hAnsi="Arial"/>
      <w:sz w:val="18"/>
      <w:szCs w:val="20"/>
    </w:rPr>
  </w:style>
  <w:style w:type="paragraph" w:customStyle="1" w:styleId="BoxSource">
    <w:name w:val="Box Source"/>
    <w:basedOn w:val="Source"/>
    <w:next w:val="BodyText"/>
    <w:rsid w:val="00111D1B"/>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11D1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11D1B"/>
    <w:pPr>
      <w:spacing w:before="120" w:after="0"/>
    </w:pPr>
  </w:style>
  <w:style w:type="paragraph" w:customStyle="1" w:styleId="BoxSubtitle">
    <w:name w:val="Box Subtitle"/>
    <w:basedOn w:val="BoxTitle"/>
    <w:next w:val="Normal"/>
    <w:rsid w:val="00111D1B"/>
    <w:pPr>
      <w:spacing w:after="80" w:line="200" w:lineRule="exact"/>
      <w:ind w:firstLine="0"/>
    </w:pPr>
    <w:rPr>
      <w:b w:val="0"/>
      <w:sz w:val="20"/>
    </w:rPr>
  </w:style>
  <w:style w:type="paragraph" w:customStyle="1" w:styleId="Chapter">
    <w:name w:val="Chapter"/>
    <w:basedOn w:val="Heading1"/>
    <w:next w:val="BodyText"/>
    <w:semiHidden/>
    <w:rsid w:val="00111D1B"/>
    <w:pPr>
      <w:ind w:left="0" w:firstLine="0"/>
      <w:outlineLvl w:val="9"/>
    </w:pPr>
  </w:style>
  <w:style w:type="paragraph" w:customStyle="1" w:styleId="ChapterSummary">
    <w:name w:val="Chapter Summary"/>
    <w:basedOn w:val="BodyText"/>
    <w:rsid w:val="00111D1B"/>
    <w:pPr>
      <w:spacing w:line="280" w:lineRule="atLeast"/>
      <w:ind w:left="907"/>
    </w:pPr>
    <w:rPr>
      <w:rFonts w:ascii="Arial" w:hAnsi="Arial"/>
      <w:b/>
      <w:sz w:val="20"/>
    </w:rPr>
  </w:style>
  <w:style w:type="character" w:styleId="CommentReference">
    <w:name w:val="annotation reference"/>
    <w:basedOn w:val="DefaultParagraphFont"/>
    <w:semiHidden/>
    <w:rsid w:val="00111D1B"/>
    <w:rPr>
      <w:b/>
      <w:vanish/>
      <w:color w:val="FF00FF"/>
      <w:sz w:val="20"/>
    </w:rPr>
  </w:style>
  <w:style w:type="paragraph" w:styleId="CommentText">
    <w:name w:val="annotation text"/>
    <w:basedOn w:val="Normal"/>
    <w:link w:val="CommentTextChar"/>
    <w:semiHidden/>
    <w:rsid w:val="00111D1B"/>
    <w:pPr>
      <w:spacing w:before="120" w:line="240" w:lineRule="atLeast"/>
      <w:ind w:left="567" w:hanging="567"/>
    </w:pPr>
    <w:rPr>
      <w:sz w:val="20"/>
    </w:rPr>
  </w:style>
  <w:style w:type="paragraph" w:customStyle="1" w:styleId="Continued">
    <w:name w:val="Continued"/>
    <w:basedOn w:val="BoxContinued"/>
    <w:next w:val="BodyText"/>
    <w:rsid w:val="00111D1B"/>
  </w:style>
  <w:style w:type="character" w:customStyle="1" w:styleId="DocumentInfo">
    <w:name w:val="Document Info"/>
    <w:basedOn w:val="DefaultParagraphFont"/>
    <w:semiHidden/>
    <w:rsid w:val="00111D1B"/>
    <w:rPr>
      <w:rFonts w:ascii="Arial" w:hAnsi="Arial"/>
      <w:sz w:val="14"/>
    </w:rPr>
  </w:style>
  <w:style w:type="character" w:customStyle="1" w:styleId="DraftingNote">
    <w:name w:val="Drafting Note"/>
    <w:basedOn w:val="DefaultParagraphFont"/>
    <w:rsid w:val="00111D1B"/>
    <w:rPr>
      <w:b/>
      <w:color w:val="FF0000"/>
      <w:sz w:val="24"/>
      <w:u w:val="dotted"/>
    </w:rPr>
  </w:style>
  <w:style w:type="paragraph" w:customStyle="1" w:styleId="Figure">
    <w:name w:val="Figure"/>
    <w:basedOn w:val="BodyText"/>
    <w:rsid w:val="00111D1B"/>
    <w:pPr>
      <w:keepNext/>
      <w:spacing w:before="120" w:after="120" w:line="240" w:lineRule="atLeast"/>
      <w:jc w:val="center"/>
    </w:pPr>
  </w:style>
  <w:style w:type="paragraph" w:customStyle="1" w:styleId="FigureTitle">
    <w:name w:val="Figure Title"/>
    <w:basedOn w:val="Caption"/>
    <w:next w:val="Subtitle"/>
    <w:rsid w:val="00111D1B"/>
    <w:pPr>
      <w:spacing w:before="120"/>
    </w:pPr>
  </w:style>
  <w:style w:type="paragraph" w:styleId="Subtitle">
    <w:name w:val="Subtitle"/>
    <w:basedOn w:val="Caption"/>
    <w:link w:val="SubtitleChar"/>
    <w:qFormat/>
    <w:rsid w:val="00111D1B"/>
    <w:pPr>
      <w:spacing w:before="0" w:line="200" w:lineRule="exact"/>
      <w:ind w:firstLine="0"/>
    </w:pPr>
    <w:rPr>
      <w:b w:val="0"/>
      <w:sz w:val="20"/>
    </w:rPr>
  </w:style>
  <w:style w:type="paragraph" w:customStyle="1" w:styleId="Finding">
    <w:name w:val="Finding"/>
    <w:basedOn w:val="BodyText"/>
    <w:rsid w:val="00111D1B"/>
    <w:pPr>
      <w:keepLines/>
      <w:spacing w:before="120" w:line="280" w:lineRule="atLeast"/>
    </w:pPr>
    <w:rPr>
      <w:rFonts w:ascii="Arial" w:hAnsi="Arial"/>
      <w:sz w:val="22"/>
    </w:rPr>
  </w:style>
  <w:style w:type="paragraph" w:customStyle="1" w:styleId="FindingBullet">
    <w:name w:val="Finding Bullet"/>
    <w:basedOn w:val="Finding"/>
    <w:rsid w:val="00111D1B"/>
    <w:pPr>
      <w:numPr>
        <w:numId w:val="3"/>
      </w:numPr>
      <w:spacing w:before="80"/>
    </w:pPr>
  </w:style>
  <w:style w:type="paragraph" w:customStyle="1" w:styleId="FindingNoTitle">
    <w:name w:val="Finding NoTitle"/>
    <w:basedOn w:val="Finding"/>
    <w:rsid w:val="00111D1B"/>
    <w:pPr>
      <w:spacing w:before="240"/>
    </w:pPr>
  </w:style>
  <w:style w:type="paragraph" w:customStyle="1" w:styleId="RecTitle">
    <w:name w:val="Rec Title"/>
    <w:basedOn w:val="BodyText"/>
    <w:next w:val="Rec"/>
    <w:qFormat/>
    <w:rsid w:val="00111D1B"/>
    <w:pPr>
      <w:keepNext/>
      <w:keepLines/>
      <w:spacing w:line="280" w:lineRule="atLeast"/>
    </w:pPr>
    <w:rPr>
      <w:rFonts w:ascii="Arial" w:hAnsi="Arial"/>
      <w:caps/>
      <w:sz w:val="18"/>
    </w:rPr>
  </w:style>
  <w:style w:type="paragraph" w:customStyle="1" w:styleId="FindingTitle">
    <w:name w:val="Finding Title"/>
    <w:basedOn w:val="RecTitle"/>
    <w:next w:val="Finding"/>
    <w:rsid w:val="00111D1B"/>
  </w:style>
  <w:style w:type="character" w:styleId="FootnoteReference">
    <w:name w:val="footnote reference"/>
    <w:basedOn w:val="DefaultParagraphFont"/>
    <w:semiHidden/>
    <w:rsid w:val="00111D1B"/>
    <w:rPr>
      <w:rFonts w:ascii="Times New Roman" w:hAnsi="Times New Roman"/>
      <w:position w:val="6"/>
      <w:sz w:val="20"/>
      <w:vertAlign w:val="baseline"/>
    </w:rPr>
  </w:style>
  <w:style w:type="paragraph" w:styleId="FootnoteText">
    <w:name w:val="footnote text"/>
    <w:basedOn w:val="BodyText"/>
    <w:rsid w:val="00111D1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11D1B"/>
    <w:rPr>
      <w:i/>
    </w:rPr>
  </w:style>
  <w:style w:type="paragraph" w:customStyle="1" w:styleId="Jurisdictioncommentsbodytext">
    <w:name w:val="Jurisdiction comments body text"/>
    <w:rsid w:val="00111D1B"/>
    <w:pPr>
      <w:spacing w:after="140"/>
      <w:jc w:val="both"/>
    </w:pPr>
    <w:rPr>
      <w:rFonts w:ascii="Arial" w:hAnsi="Arial"/>
      <w:sz w:val="24"/>
      <w:lang w:eastAsia="en-US"/>
    </w:rPr>
  </w:style>
  <w:style w:type="paragraph" w:customStyle="1" w:styleId="Jurisdictioncommentsheading">
    <w:name w:val="Jurisdiction comments heading"/>
    <w:rsid w:val="00111D1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1D1B"/>
    <w:pPr>
      <w:numPr>
        <w:numId w:val="4"/>
      </w:numPr>
      <w:spacing w:after="140"/>
      <w:jc w:val="both"/>
    </w:pPr>
    <w:rPr>
      <w:rFonts w:ascii="Arial" w:hAnsi="Arial"/>
      <w:sz w:val="24"/>
      <w:lang w:eastAsia="en-US"/>
    </w:rPr>
  </w:style>
  <w:style w:type="paragraph" w:styleId="ListBullet">
    <w:name w:val="List Bullet"/>
    <w:basedOn w:val="BodyText"/>
    <w:rsid w:val="00111D1B"/>
    <w:pPr>
      <w:numPr>
        <w:numId w:val="5"/>
      </w:numPr>
      <w:spacing w:before="120"/>
    </w:pPr>
  </w:style>
  <w:style w:type="paragraph" w:styleId="ListBullet2">
    <w:name w:val="List Bullet 2"/>
    <w:basedOn w:val="BodyText"/>
    <w:rsid w:val="00111D1B"/>
    <w:pPr>
      <w:numPr>
        <w:numId w:val="6"/>
      </w:numPr>
      <w:spacing w:before="120"/>
    </w:pPr>
  </w:style>
  <w:style w:type="paragraph" w:styleId="ListBullet3">
    <w:name w:val="List Bullet 3"/>
    <w:basedOn w:val="BodyText"/>
    <w:rsid w:val="00111D1B"/>
    <w:pPr>
      <w:numPr>
        <w:numId w:val="7"/>
      </w:numPr>
      <w:spacing w:before="120"/>
      <w:ind w:left="1020" w:hanging="340"/>
    </w:pPr>
  </w:style>
  <w:style w:type="paragraph" w:styleId="ListNumber">
    <w:name w:val="List Number"/>
    <w:basedOn w:val="BodyText"/>
    <w:rsid w:val="00111D1B"/>
    <w:pPr>
      <w:numPr>
        <w:numId w:val="12"/>
      </w:numPr>
      <w:spacing w:before="120"/>
    </w:pPr>
  </w:style>
  <w:style w:type="paragraph" w:styleId="ListNumber2">
    <w:name w:val="List Number 2"/>
    <w:basedOn w:val="ListNumber"/>
    <w:rsid w:val="00111D1B"/>
    <w:pPr>
      <w:numPr>
        <w:ilvl w:val="1"/>
      </w:numPr>
    </w:pPr>
  </w:style>
  <w:style w:type="paragraph" w:styleId="ListNumber3">
    <w:name w:val="List Number 3"/>
    <w:basedOn w:val="ListNumber2"/>
    <w:rsid w:val="00111D1B"/>
    <w:pPr>
      <w:numPr>
        <w:ilvl w:val="2"/>
      </w:numPr>
    </w:pPr>
  </w:style>
  <w:style w:type="character" w:customStyle="1" w:styleId="NoteLabel">
    <w:name w:val="Note Label"/>
    <w:basedOn w:val="DefaultParagraphFont"/>
    <w:rsid w:val="00111D1B"/>
    <w:rPr>
      <w:rFonts w:ascii="Arial" w:hAnsi="Arial"/>
      <w:b/>
      <w:position w:val="6"/>
      <w:sz w:val="18"/>
    </w:rPr>
  </w:style>
  <w:style w:type="paragraph" w:customStyle="1" w:styleId="PartDivider">
    <w:name w:val="Part Divider"/>
    <w:basedOn w:val="BodyText"/>
    <w:next w:val="BodyText"/>
    <w:semiHidden/>
    <w:rsid w:val="00111D1B"/>
    <w:pPr>
      <w:spacing w:before="0" w:line="40" w:lineRule="exact"/>
      <w:jc w:val="right"/>
    </w:pPr>
    <w:rPr>
      <w:smallCaps/>
      <w:sz w:val="16"/>
    </w:rPr>
  </w:style>
  <w:style w:type="paragraph" w:customStyle="1" w:styleId="PartNumber">
    <w:name w:val="Part Number"/>
    <w:basedOn w:val="BodyText"/>
    <w:next w:val="BodyText"/>
    <w:semiHidden/>
    <w:rsid w:val="00111D1B"/>
    <w:pPr>
      <w:spacing w:before="4000" w:line="320" w:lineRule="exact"/>
      <w:ind w:left="6634"/>
      <w:jc w:val="right"/>
    </w:pPr>
    <w:rPr>
      <w:smallCaps/>
      <w:spacing w:val="60"/>
      <w:sz w:val="32"/>
    </w:rPr>
  </w:style>
  <w:style w:type="paragraph" w:customStyle="1" w:styleId="PartTitle">
    <w:name w:val="Part Title"/>
    <w:basedOn w:val="BodyText"/>
    <w:semiHidden/>
    <w:rsid w:val="00111D1B"/>
    <w:pPr>
      <w:spacing w:before="160" w:after="1360" w:line="520" w:lineRule="exact"/>
      <w:ind w:right="2381"/>
      <w:jc w:val="right"/>
    </w:pPr>
    <w:rPr>
      <w:smallCaps/>
      <w:sz w:val="52"/>
    </w:rPr>
  </w:style>
  <w:style w:type="paragraph" w:styleId="Quote">
    <w:name w:val="Quote"/>
    <w:basedOn w:val="BodyText"/>
    <w:next w:val="BodyText"/>
    <w:qFormat/>
    <w:rsid w:val="00111D1B"/>
    <w:pPr>
      <w:spacing w:before="120" w:line="280" w:lineRule="exact"/>
      <w:ind w:left="340"/>
    </w:pPr>
    <w:rPr>
      <w:sz w:val="22"/>
    </w:rPr>
  </w:style>
  <w:style w:type="paragraph" w:customStyle="1" w:styleId="QuoteBullet">
    <w:name w:val="Quote Bullet"/>
    <w:basedOn w:val="Quote"/>
    <w:rsid w:val="00111D1B"/>
    <w:pPr>
      <w:numPr>
        <w:numId w:val="8"/>
      </w:numPr>
    </w:pPr>
  </w:style>
  <w:style w:type="paragraph" w:customStyle="1" w:styleId="Rec">
    <w:name w:val="Rec"/>
    <w:basedOn w:val="BodyText"/>
    <w:qFormat/>
    <w:rsid w:val="00111D1B"/>
    <w:pPr>
      <w:keepLines/>
      <w:spacing w:before="120" w:line="280" w:lineRule="atLeast"/>
    </w:pPr>
    <w:rPr>
      <w:rFonts w:ascii="Arial" w:hAnsi="Arial"/>
      <w:sz w:val="22"/>
    </w:rPr>
  </w:style>
  <w:style w:type="paragraph" w:customStyle="1" w:styleId="RecBullet">
    <w:name w:val="Rec Bullet"/>
    <w:basedOn w:val="Rec"/>
    <w:rsid w:val="00111D1B"/>
    <w:pPr>
      <w:numPr>
        <w:numId w:val="9"/>
      </w:numPr>
      <w:spacing w:before="80"/>
    </w:pPr>
  </w:style>
  <w:style w:type="paragraph" w:customStyle="1" w:styleId="RecB">
    <w:name w:val="RecB"/>
    <w:basedOn w:val="Normal"/>
    <w:rsid w:val="00111D1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1D1B"/>
    <w:pPr>
      <w:numPr>
        <w:numId w:val="14"/>
      </w:numPr>
      <w:spacing w:before="80"/>
    </w:pPr>
  </w:style>
  <w:style w:type="paragraph" w:customStyle="1" w:styleId="RecBNoTitle">
    <w:name w:val="RecB NoTitle"/>
    <w:basedOn w:val="RecB"/>
    <w:rsid w:val="00111D1B"/>
    <w:pPr>
      <w:spacing w:before="240"/>
    </w:pPr>
  </w:style>
  <w:style w:type="paragraph" w:customStyle="1" w:styleId="Reference">
    <w:name w:val="Reference"/>
    <w:basedOn w:val="BodyText"/>
    <w:rsid w:val="00111D1B"/>
    <w:pPr>
      <w:spacing w:before="120"/>
      <w:ind w:left="340" w:hanging="340"/>
    </w:pPr>
  </w:style>
  <w:style w:type="paragraph" w:customStyle="1" w:styleId="SequenceInfo">
    <w:name w:val="Sequence Info"/>
    <w:basedOn w:val="BodyText"/>
    <w:semiHidden/>
    <w:rsid w:val="00111D1B"/>
    <w:rPr>
      <w:vanish/>
      <w:sz w:val="16"/>
    </w:rPr>
  </w:style>
  <w:style w:type="paragraph" w:customStyle="1" w:styleId="SideNote">
    <w:name w:val="Side Note"/>
    <w:basedOn w:val="BodyText"/>
    <w:next w:val="BodyText"/>
    <w:semiHidden/>
    <w:rsid w:val="00111D1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11D1B"/>
    <w:pPr>
      <w:framePr w:wrap="around"/>
      <w:numPr>
        <w:numId w:val="10"/>
      </w:numPr>
      <w:tabs>
        <w:tab w:val="left" w:pos="227"/>
      </w:tabs>
    </w:pPr>
  </w:style>
  <w:style w:type="paragraph" w:customStyle="1" w:styleId="SideNoteGraphic">
    <w:name w:val="Side Note Graphic"/>
    <w:basedOn w:val="SideNote"/>
    <w:next w:val="BodyText"/>
    <w:semiHidden/>
    <w:rsid w:val="00111D1B"/>
    <w:pPr>
      <w:framePr w:wrap="around"/>
    </w:pPr>
  </w:style>
  <w:style w:type="paragraph" w:customStyle="1" w:styleId="TableBodyText">
    <w:name w:val="Table Body Text"/>
    <w:basedOn w:val="BodyText"/>
    <w:link w:val="TableBodyTextChar"/>
    <w:rsid w:val="00111D1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11D1B"/>
    <w:pPr>
      <w:numPr>
        <w:numId w:val="11"/>
      </w:numPr>
      <w:jc w:val="left"/>
    </w:pPr>
  </w:style>
  <w:style w:type="paragraph" w:customStyle="1" w:styleId="TableColumnHeading">
    <w:name w:val="Table Column Heading"/>
    <w:basedOn w:val="TableBodyText"/>
    <w:rsid w:val="00111D1B"/>
    <w:pPr>
      <w:spacing w:before="80" w:after="80"/>
    </w:pPr>
    <w:rPr>
      <w:i/>
    </w:rPr>
  </w:style>
  <w:style w:type="paragraph" w:styleId="TOC2">
    <w:name w:val="toc 2"/>
    <w:basedOn w:val="TOC1"/>
    <w:rsid w:val="00111D1B"/>
    <w:pPr>
      <w:ind w:left="1134" w:hanging="624"/>
    </w:pPr>
    <w:rPr>
      <w:b w:val="0"/>
    </w:rPr>
  </w:style>
  <w:style w:type="paragraph" w:styleId="TOC3">
    <w:name w:val="toc 3"/>
    <w:basedOn w:val="TOC2"/>
    <w:rsid w:val="00111D1B"/>
    <w:pPr>
      <w:spacing w:before="60"/>
      <w:ind w:left="1190" w:hanging="680"/>
    </w:pPr>
  </w:style>
  <w:style w:type="paragraph" w:styleId="TableofFigures">
    <w:name w:val="table of figures"/>
    <w:basedOn w:val="TOC3"/>
    <w:next w:val="BodyText"/>
    <w:semiHidden/>
    <w:rsid w:val="00111D1B"/>
    <w:pPr>
      <w:ind w:left="737" w:hanging="737"/>
    </w:pPr>
  </w:style>
  <w:style w:type="paragraph" w:customStyle="1" w:styleId="TableTitle">
    <w:name w:val="Table Title"/>
    <w:basedOn w:val="Caption"/>
    <w:next w:val="Subtitle"/>
    <w:qFormat/>
    <w:rsid w:val="00111D1B"/>
    <w:pPr>
      <w:spacing w:before="120"/>
    </w:pPr>
  </w:style>
  <w:style w:type="paragraph" w:customStyle="1" w:styleId="TableUnitsRow">
    <w:name w:val="Table Units Row"/>
    <w:basedOn w:val="TableBodyText"/>
    <w:rsid w:val="00111D1B"/>
    <w:pPr>
      <w:spacing w:before="40"/>
    </w:pPr>
  </w:style>
  <w:style w:type="paragraph" w:styleId="TOC1">
    <w:name w:val="toc 1"/>
    <w:basedOn w:val="Normal"/>
    <w:next w:val="TOC2"/>
    <w:link w:val="TOC1Char"/>
    <w:rsid w:val="00111D1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11D1B"/>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sz w:val="18"/>
    </w:rPr>
  </w:style>
  <w:style w:type="character" w:customStyle="1" w:styleId="BoxListBulletChar">
    <w:name w:val="Box List Bullet Char"/>
    <w:link w:val="BoxListBullet"/>
    <w:rsid w:val="009B5886"/>
    <w:rPr>
      <w:rFonts w:ascii="Arial" w:hAnsi="Arial"/>
    </w:rPr>
  </w:style>
  <w:style w:type="character" w:customStyle="1" w:styleId="BoxListNumber2Char">
    <w:name w:val="Box List Number 2 Char"/>
    <w:link w:val="BoxListNumber2"/>
    <w:rsid w:val="009B5886"/>
    <w:rPr>
      <w:rFonts w:ascii="Arial" w:hAnsi="Arial"/>
    </w:rPr>
  </w:style>
  <w:style w:type="character" w:customStyle="1" w:styleId="apple-style-span">
    <w:name w:val="apple-style-span"/>
    <w:rsid w:val="00EE049E"/>
    <w:rPr>
      <w:rFonts w:cs="Times New Roman"/>
    </w:rPr>
  </w:style>
  <w:style w:type="paragraph" w:styleId="BalloonText">
    <w:name w:val="Balloon Text"/>
    <w:basedOn w:val="Normal"/>
    <w:link w:val="BalloonTextChar"/>
    <w:rsid w:val="00111D1B"/>
    <w:rPr>
      <w:rFonts w:ascii="Tahoma" w:hAnsi="Tahoma" w:cs="Tahoma"/>
      <w:sz w:val="16"/>
      <w:szCs w:val="16"/>
    </w:rPr>
  </w:style>
  <w:style w:type="character" w:customStyle="1" w:styleId="BodyTextChar">
    <w:name w:val="Body Text Char"/>
    <w:basedOn w:val="DefaultParagraphFont"/>
    <w:link w:val="BodyText"/>
    <w:rsid w:val="00111D1B"/>
    <w:rPr>
      <w:sz w:val="24"/>
    </w:rPr>
  </w:style>
  <w:style w:type="table" w:styleId="TableGrid">
    <w:name w:val="Table Grid"/>
    <w:basedOn w:val="TableNormal"/>
    <w:rsid w:val="00111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 w:type="character" w:customStyle="1" w:styleId="TableBulletChar">
    <w:name w:val="Table Bullet Char"/>
    <w:basedOn w:val="DefaultParagraphFont"/>
    <w:link w:val="TableBullet"/>
    <w:locked/>
    <w:rsid w:val="00C5223A"/>
    <w:rPr>
      <w:rFonts w:ascii="Arial" w:hAnsi="Arial"/>
      <w:sz w:val="18"/>
    </w:rPr>
  </w:style>
  <w:style w:type="paragraph" w:customStyle="1" w:styleId="BoxSpaceAbove">
    <w:name w:val="Box Space Above"/>
    <w:basedOn w:val="BodyText"/>
    <w:rsid w:val="00111D1B"/>
    <w:pPr>
      <w:keepNext/>
      <w:spacing w:before="360" w:line="80" w:lineRule="exact"/>
      <w:jc w:val="left"/>
    </w:pPr>
  </w:style>
  <w:style w:type="paragraph" w:customStyle="1" w:styleId="RecBBullet2">
    <w:name w:val="RecB Bullet 2"/>
    <w:basedOn w:val="ListBullet2"/>
    <w:semiHidden/>
    <w:rsid w:val="00111D1B"/>
    <w:pPr>
      <w:pBdr>
        <w:left w:val="single" w:sz="24" w:space="29" w:color="C0C0C0"/>
      </w:pBdr>
    </w:pPr>
    <w:rPr>
      <w:b/>
      <w:i/>
    </w:rPr>
  </w:style>
  <w:style w:type="character" w:customStyle="1" w:styleId="BalloonTextChar">
    <w:name w:val="Balloon Text Char"/>
    <w:basedOn w:val="DefaultParagraphFont"/>
    <w:link w:val="BalloonText"/>
    <w:rsid w:val="00111D1B"/>
    <w:rPr>
      <w:rFonts w:ascii="Tahoma" w:hAnsi="Tahoma" w:cs="Tahoma"/>
      <w:sz w:val="16"/>
      <w:szCs w:val="16"/>
    </w:rPr>
  </w:style>
  <w:style w:type="character" w:customStyle="1" w:styleId="SubtitleChar">
    <w:name w:val="Subtitle Char"/>
    <w:basedOn w:val="DefaultParagraphFont"/>
    <w:link w:val="Subtitle"/>
    <w:rsid w:val="00111D1B"/>
    <w:rPr>
      <w:rFonts w:ascii="Arial" w:hAnsi="Arial"/>
      <w:szCs w:val="24"/>
    </w:rPr>
  </w:style>
  <w:style w:type="paragraph" w:customStyle="1" w:styleId="BoxListBullet3">
    <w:name w:val="Box List Bullet 3"/>
    <w:basedOn w:val="ListBullet3"/>
    <w:rsid w:val="00111D1B"/>
    <w:pPr>
      <w:numPr>
        <w:numId w:val="2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11D1B"/>
    <w:rPr>
      <w:i/>
      <w:iCs/>
    </w:rPr>
  </w:style>
  <w:style w:type="paragraph" w:customStyle="1" w:styleId="BoxQuoteBullet">
    <w:name w:val="Box Quote Bullet"/>
    <w:basedOn w:val="BoxQuote"/>
    <w:next w:val="Box"/>
    <w:rsid w:val="00111D1B"/>
    <w:pPr>
      <w:numPr>
        <w:numId w:val="26"/>
      </w:numPr>
      <w:ind w:left="568" w:hanging="284"/>
    </w:pPr>
  </w:style>
  <w:style w:type="paragraph" w:customStyle="1" w:styleId="InformationRequestBullet">
    <w:name w:val="Information Request Bullet"/>
    <w:basedOn w:val="ListBullet"/>
    <w:next w:val="BodyText"/>
    <w:rsid w:val="00111D1B"/>
    <w:pPr>
      <w:numPr>
        <w:numId w:val="28"/>
      </w:numPr>
      <w:spacing w:before="80" w:line="280" w:lineRule="atLeast"/>
      <w:ind w:left="357" w:hanging="357"/>
    </w:pPr>
    <w:rPr>
      <w:rFonts w:ascii="Arial" w:hAnsi="Arial"/>
      <w:i/>
      <w:sz w:val="22"/>
    </w:rPr>
  </w:style>
  <w:style w:type="paragraph" w:customStyle="1" w:styleId="BoxSpaceBelow">
    <w:name w:val="Box Space Below"/>
    <w:basedOn w:val="Box"/>
    <w:rsid w:val="00111D1B"/>
    <w:pPr>
      <w:keepNext w:val="0"/>
      <w:spacing w:before="60" w:after="60" w:line="80" w:lineRule="exact"/>
    </w:pPr>
    <w:rPr>
      <w:sz w:val="14"/>
    </w:rPr>
  </w:style>
  <w:style w:type="paragraph" w:customStyle="1" w:styleId="KeyPointsListBullet">
    <w:name w:val="Key Points List Bullet"/>
    <w:basedOn w:val="Normal"/>
    <w:qFormat/>
    <w:rsid w:val="00111D1B"/>
    <w:pPr>
      <w:keepNext/>
      <w:numPr>
        <w:numId w:val="3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11D1B"/>
    <w:pPr>
      <w:numPr>
        <w:numId w:val="32"/>
      </w:numPr>
      <w:ind w:left="568" w:hanging="284"/>
    </w:pPr>
  </w:style>
  <w:style w:type="paragraph" w:customStyle="1" w:styleId="InformationRequestTitle">
    <w:name w:val="Information Request Title"/>
    <w:basedOn w:val="FindingTitle"/>
    <w:next w:val="InformationRequest"/>
    <w:rsid w:val="00111D1B"/>
    <w:rPr>
      <w:i/>
    </w:rPr>
  </w:style>
  <w:style w:type="paragraph" w:customStyle="1" w:styleId="Space">
    <w:name w:val="Space"/>
    <w:basedOn w:val="Normal"/>
    <w:rsid w:val="00111D1B"/>
    <w:pPr>
      <w:keepNext/>
      <w:spacing w:line="120" w:lineRule="exact"/>
      <w:jc w:val="both"/>
    </w:pPr>
    <w:rPr>
      <w:rFonts w:ascii="Arial" w:hAnsi="Arial"/>
      <w:sz w:val="20"/>
      <w:szCs w:val="20"/>
    </w:rPr>
  </w:style>
  <w:style w:type="paragraph" w:customStyle="1" w:styleId="Heading1nochapterno">
    <w:name w:val="Heading 1 (no chapter no.)"/>
    <w:basedOn w:val="Heading1"/>
    <w:rsid w:val="00111D1B"/>
    <w:pPr>
      <w:spacing w:before="0"/>
      <w:ind w:left="0" w:firstLine="0"/>
    </w:pPr>
  </w:style>
  <w:style w:type="paragraph" w:customStyle="1" w:styleId="Heading2nosectionno">
    <w:name w:val="Heading 2 (no section no.)"/>
    <w:basedOn w:val="Heading2"/>
    <w:rsid w:val="00111D1B"/>
    <w:pPr>
      <w:ind w:left="0" w:firstLine="0"/>
    </w:pPr>
  </w:style>
  <w:style w:type="character" w:customStyle="1" w:styleId="Heading5Char">
    <w:name w:val="Heading 5 Char"/>
    <w:basedOn w:val="DefaultParagraphFont"/>
    <w:link w:val="Heading5"/>
    <w:rsid w:val="00111D1B"/>
    <w:rPr>
      <w:rFonts w:ascii="Arial" w:hAnsi="Arial"/>
      <w:i/>
      <w:sz w:val="22"/>
    </w:rPr>
  </w:style>
  <w:style w:type="paragraph" w:customStyle="1" w:styleId="Figurespace">
    <w:name w:val="Figure space"/>
    <w:basedOn w:val="Box"/>
    <w:rsid w:val="00111D1B"/>
    <w:pPr>
      <w:spacing w:before="0" w:line="120" w:lineRule="exact"/>
    </w:pPr>
  </w:style>
  <w:style w:type="paragraph" w:customStyle="1" w:styleId="FooterDraftReport">
    <w:name w:val="FooterDraftReport"/>
    <w:basedOn w:val="Footer"/>
    <w:link w:val="FooterDraftReportChar"/>
    <w:rsid w:val="00111D1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11D1B"/>
    <w:rPr>
      <w:rFonts w:ascii="Arial" w:hAnsi="Arial"/>
      <w:caps/>
      <w:spacing w:val="-4"/>
      <w:sz w:val="16"/>
    </w:rPr>
  </w:style>
  <w:style w:type="character" w:customStyle="1" w:styleId="FooterDraftReportChar">
    <w:name w:val="FooterDraftReport Char"/>
    <w:basedOn w:val="FooterChar"/>
    <w:link w:val="FooterDraftReport"/>
    <w:rsid w:val="00111D1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11D1B"/>
    <w:rPr>
      <w:rFonts w:ascii="Arial" w:hAnsi="Arial"/>
      <w:b/>
      <w:sz w:val="26"/>
      <w:szCs w:val="26"/>
      <w:lang w:eastAsia="en-US"/>
    </w:rPr>
  </w:style>
  <w:style w:type="paragraph" w:customStyle="1" w:styleId="Heading1NotTOC">
    <w:name w:val="Heading 1 Not TOC"/>
    <w:basedOn w:val="Heading1"/>
    <w:next w:val="BodyText"/>
    <w:rsid w:val="00520FA7"/>
    <w:rPr>
      <w:kern w:val="28"/>
      <w:szCs w:val="26"/>
      <w:lang w:eastAsia="en-US"/>
    </w:rPr>
  </w:style>
  <w:style w:type="paragraph" w:customStyle="1" w:styleId="DQIMainRowHeadings">
    <w:name w:val="DQI Main Row Headings"/>
    <w:basedOn w:val="Normal"/>
    <w:next w:val="Normal"/>
    <w:rsid w:val="00520FA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520FA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520FA7"/>
    <w:pPr>
      <w:spacing w:before="120" w:after="0"/>
      <w:ind w:left="0" w:right="0"/>
      <w:jc w:val="both"/>
    </w:pPr>
  </w:style>
  <w:style w:type="paragraph" w:customStyle="1" w:styleId="DQITableBullet">
    <w:name w:val="DQI Table Bullet"/>
    <w:basedOn w:val="TableBullet"/>
    <w:rsid w:val="00112264"/>
    <w:pPr>
      <w:numPr>
        <w:numId w:val="34"/>
      </w:numPr>
      <w:spacing w:before="40" w:after="0"/>
      <w:ind w:left="170" w:hanging="170"/>
      <w:jc w:val="both"/>
    </w:pPr>
  </w:style>
  <w:style w:type="paragraph" w:customStyle="1" w:styleId="DQITableList">
    <w:name w:val="DQI Table List"/>
    <w:basedOn w:val="DQITableText"/>
    <w:rsid w:val="00112264"/>
    <w:pPr>
      <w:numPr>
        <w:numId w:val="33"/>
      </w:numPr>
      <w:spacing w:before="40"/>
      <w:ind w:left="170" w:hanging="170"/>
    </w:pPr>
  </w:style>
  <w:style w:type="paragraph" w:customStyle="1" w:styleId="DQITableBullet2">
    <w:name w:val="DQI Table Bullet 2"/>
    <w:basedOn w:val="DQITableBullet"/>
    <w:rsid w:val="00112264"/>
    <w:pPr>
      <w:numPr>
        <w:numId w:val="36"/>
      </w:numPr>
      <w:ind w:left="340" w:hanging="170"/>
    </w:pPr>
  </w:style>
  <w:style w:type="table" w:customStyle="1" w:styleId="TableGrid1">
    <w:name w:val="Table Grid1"/>
    <w:basedOn w:val="TableNormal"/>
    <w:next w:val="TableGrid"/>
    <w:rsid w:val="00B67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117F04"/>
    <w:rPr>
      <w:b/>
      <w:i w:val="0"/>
      <w:sz w:val="24"/>
      <w:szCs w:val="24"/>
    </w:rPr>
  </w:style>
  <w:style w:type="character" w:styleId="FollowedHyperlink">
    <w:name w:val="FollowedHyperlink"/>
    <w:basedOn w:val="DefaultParagraphFont"/>
    <w:rsid w:val="00790B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4352">
      <w:bodyDiv w:val="1"/>
      <w:marLeft w:val="0"/>
      <w:marRight w:val="0"/>
      <w:marTop w:val="0"/>
      <w:marBottom w:val="0"/>
      <w:divBdr>
        <w:top w:val="none" w:sz="0" w:space="0" w:color="auto"/>
        <w:left w:val="none" w:sz="0" w:space="0" w:color="auto"/>
        <w:bottom w:val="none" w:sz="0" w:space="0" w:color="auto"/>
        <w:right w:val="none" w:sz="0" w:space="0" w:color="auto"/>
      </w:divBdr>
    </w:div>
    <w:div w:id="286666381">
      <w:bodyDiv w:val="1"/>
      <w:marLeft w:val="0"/>
      <w:marRight w:val="0"/>
      <w:marTop w:val="0"/>
      <w:marBottom w:val="0"/>
      <w:divBdr>
        <w:top w:val="none" w:sz="0" w:space="0" w:color="auto"/>
        <w:left w:val="none" w:sz="0" w:space="0" w:color="auto"/>
        <w:bottom w:val="none" w:sz="0" w:space="0" w:color="auto"/>
        <w:right w:val="none" w:sz="0" w:space="0" w:color="auto"/>
      </w:divBdr>
    </w:div>
    <w:div w:id="365107151">
      <w:bodyDiv w:val="1"/>
      <w:marLeft w:val="0"/>
      <w:marRight w:val="0"/>
      <w:marTop w:val="0"/>
      <w:marBottom w:val="0"/>
      <w:divBdr>
        <w:top w:val="none" w:sz="0" w:space="0" w:color="auto"/>
        <w:left w:val="none" w:sz="0" w:space="0" w:color="auto"/>
        <w:bottom w:val="none" w:sz="0" w:space="0" w:color="auto"/>
        <w:right w:val="none" w:sz="0" w:space="0" w:color="auto"/>
      </w:divBdr>
    </w:div>
    <w:div w:id="432483109">
      <w:bodyDiv w:val="1"/>
      <w:marLeft w:val="0"/>
      <w:marRight w:val="0"/>
      <w:marTop w:val="0"/>
      <w:marBottom w:val="0"/>
      <w:divBdr>
        <w:top w:val="none" w:sz="0" w:space="0" w:color="auto"/>
        <w:left w:val="none" w:sz="0" w:space="0" w:color="auto"/>
        <w:bottom w:val="none" w:sz="0" w:space="0" w:color="auto"/>
        <w:right w:val="none" w:sz="0" w:space="0" w:color="auto"/>
      </w:divBdr>
    </w:div>
    <w:div w:id="521406831">
      <w:bodyDiv w:val="1"/>
      <w:marLeft w:val="0"/>
      <w:marRight w:val="0"/>
      <w:marTop w:val="0"/>
      <w:marBottom w:val="0"/>
      <w:divBdr>
        <w:top w:val="none" w:sz="0" w:space="0" w:color="auto"/>
        <w:left w:val="none" w:sz="0" w:space="0" w:color="auto"/>
        <w:bottom w:val="none" w:sz="0" w:space="0" w:color="auto"/>
        <w:right w:val="none" w:sz="0" w:space="0" w:color="auto"/>
      </w:divBdr>
    </w:div>
    <w:div w:id="876547929">
      <w:bodyDiv w:val="1"/>
      <w:marLeft w:val="0"/>
      <w:marRight w:val="0"/>
      <w:marTop w:val="0"/>
      <w:marBottom w:val="0"/>
      <w:divBdr>
        <w:top w:val="none" w:sz="0" w:space="0" w:color="auto"/>
        <w:left w:val="none" w:sz="0" w:space="0" w:color="auto"/>
        <w:bottom w:val="none" w:sz="0" w:space="0" w:color="auto"/>
        <w:right w:val="none" w:sz="0" w:space="0" w:color="auto"/>
      </w:divBdr>
    </w:div>
    <w:div w:id="1224222437">
      <w:bodyDiv w:val="1"/>
      <w:marLeft w:val="0"/>
      <w:marRight w:val="0"/>
      <w:marTop w:val="0"/>
      <w:marBottom w:val="0"/>
      <w:divBdr>
        <w:top w:val="none" w:sz="0" w:space="0" w:color="auto"/>
        <w:left w:val="none" w:sz="0" w:space="0" w:color="auto"/>
        <w:bottom w:val="none" w:sz="0" w:space="0" w:color="auto"/>
        <w:right w:val="none" w:sz="0" w:space="0" w:color="auto"/>
      </w:divBdr>
    </w:div>
    <w:div w:id="1252936191">
      <w:bodyDiv w:val="1"/>
      <w:marLeft w:val="0"/>
      <w:marRight w:val="0"/>
      <w:marTop w:val="0"/>
      <w:marBottom w:val="0"/>
      <w:divBdr>
        <w:top w:val="none" w:sz="0" w:space="0" w:color="auto"/>
        <w:left w:val="none" w:sz="0" w:space="0" w:color="auto"/>
        <w:bottom w:val="none" w:sz="0" w:space="0" w:color="auto"/>
        <w:right w:val="none" w:sz="0" w:space="0" w:color="auto"/>
      </w:divBdr>
    </w:div>
    <w:div w:id="1516456689">
      <w:bodyDiv w:val="1"/>
      <w:marLeft w:val="0"/>
      <w:marRight w:val="0"/>
      <w:marTop w:val="0"/>
      <w:marBottom w:val="0"/>
      <w:divBdr>
        <w:top w:val="none" w:sz="0" w:space="0" w:color="auto"/>
        <w:left w:val="none" w:sz="0" w:space="0" w:color="auto"/>
        <w:bottom w:val="none" w:sz="0" w:space="0" w:color="auto"/>
        <w:right w:val="none" w:sz="0" w:space="0" w:color="auto"/>
      </w:divBdr>
    </w:div>
    <w:div w:id="1631012901">
      <w:bodyDiv w:val="1"/>
      <w:marLeft w:val="0"/>
      <w:marRight w:val="0"/>
      <w:marTop w:val="0"/>
      <w:marBottom w:val="0"/>
      <w:divBdr>
        <w:top w:val="none" w:sz="0" w:space="0" w:color="auto"/>
        <w:left w:val="none" w:sz="0" w:space="0" w:color="auto"/>
        <w:bottom w:val="none" w:sz="0" w:space="0" w:color="auto"/>
        <w:right w:val="none" w:sz="0" w:space="0" w:color="auto"/>
      </w:divBdr>
    </w:div>
    <w:div w:id="17056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CFD12-2087-44AD-82F0-857F6CA57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486</TotalTime>
  <Pages>51</Pages>
  <Words>19956</Words>
  <Characters>115980</Characters>
  <Application>Microsoft Office Word</Application>
  <DocSecurity>0</DocSecurity>
  <Lines>966</Lines>
  <Paragraphs>271</Paragraphs>
  <ScaleCrop>false</ScaleCrop>
  <HeadingPairs>
    <vt:vector size="2" baseType="variant">
      <vt:variant>
        <vt:lpstr>Title</vt:lpstr>
      </vt:variant>
      <vt:variant>
        <vt:i4>1</vt:i4>
      </vt:variant>
    </vt:vector>
  </HeadingPairs>
  <TitlesOfParts>
    <vt:vector size="1" baseType="lpstr">
      <vt:lpstr>DQI 4 School education - Report on Government Services 2016</vt:lpstr>
    </vt:vector>
  </TitlesOfParts>
  <Company>Productivity Commission</Company>
  <LinksUpToDate>false</LinksUpToDate>
  <CharactersWithSpaces>135665</CharactersWithSpaces>
  <SharedDoc>false</SharedDoc>
  <HLinks>
    <vt:vector size="168" baseType="variant">
      <vt:variant>
        <vt:i4>3997785</vt:i4>
      </vt:variant>
      <vt:variant>
        <vt:i4>132</vt:i4>
      </vt:variant>
      <vt:variant>
        <vt:i4>0</vt:i4>
      </vt:variant>
      <vt:variant>
        <vt:i4>5</vt:i4>
      </vt:variant>
      <vt:variant>
        <vt:lpwstr>http://www.abs.gov.au/AUSSTATS/abs@.nsf</vt:lpwstr>
      </vt:variant>
      <vt:variant>
        <vt:lpwstr/>
      </vt:variant>
      <vt:variant>
        <vt:i4>1245267</vt:i4>
      </vt:variant>
      <vt:variant>
        <vt:i4>129</vt:i4>
      </vt:variant>
      <vt:variant>
        <vt:i4>0</vt:i4>
      </vt:variant>
      <vt:variant>
        <vt:i4>5</vt:i4>
      </vt:variant>
      <vt:variant>
        <vt:lpwstr>http://www.abs.gov.au/websitedbs</vt:lpwstr>
      </vt:variant>
      <vt:variant>
        <vt:lpwstr/>
      </vt:variant>
      <vt:variant>
        <vt:i4>6815835</vt:i4>
      </vt:variant>
      <vt:variant>
        <vt:i4>126</vt:i4>
      </vt:variant>
      <vt:variant>
        <vt:i4>0</vt:i4>
      </vt:variant>
      <vt:variant>
        <vt:i4>5</vt:i4>
      </vt:variant>
      <vt:variant>
        <vt:lpwstr>http://www.abs.gov.au/AUSSTATS/ABS@.NSF/0/F501C031BD9AC9C5CA256AAF001FCA33?opendocument</vt:lpwstr>
      </vt:variant>
      <vt:variant>
        <vt:lpwstr/>
      </vt:variant>
      <vt:variant>
        <vt:i4>5308504</vt:i4>
      </vt:variant>
      <vt:variant>
        <vt:i4>123</vt:i4>
      </vt:variant>
      <vt:variant>
        <vt:i4>0</vt:i4>
      </vt:variant>
      <vt:variant>
        <vt:i4>5</vt:i4>
      </vt:variant>
      <vt:variant>
        <vt:lpwstr>http://www.abs.gov.au/websitedbs/d3310114.nsf/4a256353001af3ed4b2562bb00121564/10ca14cb967e5b83ca2573ae00197b65!OpenDocument</vt:lpwstr>
      </vt:variant>
      <vt:variant>
        <vt:lpwstr/>
      </vt:variant>
      <vt:variant>
        <vt:i4>4522050</vt:i4>
      </vt:variant>
      <vt:variant>
        <vt:i4>120</vt:i4>
      </vt:variant>
      <vt:variant>
        <vt:i4>0</vt:i4>
      </vt:variant>
      <vt:variant>
        <vt:i4>5</vt:i4>
      </vt:variant>
      <vt:variant>
        <vt:lpwstr>http://www.naplan.edu.au/</vt:lpwstr>
      </vt:variant>
      <vt:variant>
        <vt:lpwstr/>
      </vt:variant>
      <vt:variant>
        <vt:i4>4718654</vt:i4>
      </vt:variant>
      <vt:variant>
        <vt:i4>117</vt:i4>
      </vt:variant>
      <vt:variant>
        <vt:i4>0</vt:i4>
      </vt:variant>
      <vt:variant>
        <vt:i4>5</vt:i4>
      </vt:variant>
      <vt:variant>
        <vt:lpwstr>http://www.abs.gov.au/websitedbs/d3310114.nsf/4a256353001af3_x000b_ed4b2562bb00121564/10ca14cb967e5b83ca2573ae00197b65!OpenDocument</vt:lpwstr>
      </vt:variant>
      <vt:variant>
        <vt:lpwstr/>
      </vt:variant>
      <vt:variant>
        <vt:i4>4718654</vt:i4>
      </vt:variant>
      <vt:variant>
        <vt:i4>114</vt:i4>
      </vt:variant>
      <vt:variant>
        <vt:i4>0</vt:i4>
      </vt:variant>
      <vt:variant>
        <vt:i4>5</vt:i4>
      </vt:variant>
      <vt:variant>
        <vt:lpwstr>http://www.abs.gov.au/websitedbs/d3310114.nsf/4a256353001af3_x000b_ed4b2562bb00121564/10ca14cb967e5b83ca2573ae00197b65!OpenDocument</vt:lpwstr>
      </vt:variant>
      <vt:variant>
        <vt:lpwstr/>
      </vt:variant>
      <vt:variant>
        <vt:i4>8257594</vt:i4>
      </vt:variant>
      <vt:variant>
        <vt:i4>111</vt:i4>
      </vt:variant>
      <vt:variant>
        <vt:i4>0</vt:i4>
      </vt:variant>
      <vt:variant>
        <vt:i4>5</vt:i4>
      </vt:variant>
      <vt:variant>
        <vt:lpwstr>http://www.abs.gov.au/_x000b_AUSSTATS/abs@.nsf/DetailsPage/4221.02010?OpenDocument</vt:lpwstr>
      </vt:variant>
      <vt:variant>
        <vt:lpwstr/>
      </vt:variant>
      <vt:variant>
        <vt:i4>4718654</vt:i4>
      </vt:variant>
      <vt:variant>
        <vt:i4>108</vt:i4>
      </vt:variant>
      <vt:variant>
        <vt:i4>0</vt:i4>
      </vt:variant>
      <vt:variant>
        <vt:i4>5</vt:i4>
      </vt:variant>
      <vt:variant>
        <vt:lpwstr>http://www.abs.gov.au/websitedbs/d3310114.nsf/4a256353001af3_x000b_ed4b2562bb00121564/10ca14cb967e5b83ca2573ae00197b65!OpenDocument</vt:lpwstr>
      </vt:variant>
      <vt:variant>
        <vt:lpwstr/>
      </vt:variant>
      <vt:variant>
        <vt:i4>6029438</vt:i4>
      </vt:variant>
      <vt:variant>
        <vt:i4>105</vt:i4>
      </vt:variant>
      <vt:variant>
        <vt:i4>0</vt:i4>
      </vt:variant>
      <vt:variant>
        <vt:i4>5</vt:i4>
      </vt:variant>
      <vt:variant>
        <vt:lpwstr>http://www.abs.gov.au/ausstats/abs@.nsf/mf/4221.0</vt:lpwstr>
      </vt:variant>
      <vt:variant>
        <vt:lpwstr/>
      </vt:variant>
      <vt:variant>
        <vt:i4>6029438</vt:i4>
      </vt:variant>
      <vt:variant>
        <vt:i4>102</vt:i4>
      </vt:variant>
      <vt:variant>
        <vt:i4>0</vt:i4>
      </vt:variant>
      <vt:variant>
        <vt:i4>5</vt:i4>
      </vt:variant>
      <vt:variant>
        <vt:lpwstr>http://www.abs.gov.au/ausstats/abs@.nsf/mf/4221.0</vt:lpwstr>
      </vt:variant>
      <vt:variant>
        <vt:lpwstr/>
      </vt:variant>
      <vt:variant>
        <vt:i4>5308504</vt:i4>
      </vt:variant>
      <vt:variant>
        <vt:i4>99</vt:i4>
      </vt:variant>
      <vt:variant>
        <vt:i4>0</vt:i4>
      </vt:variant>
      <vt:variant>
        <vt:i4>5</vt:i4>
      </vt:variant>
      <vt:variant>
        <vt:lpwstr>http://www.abs.gov.au/websitedbs/d3310114.nsf/4a256353001af3ed4b2562bb00121564/10ca14cb967e5b83ca2573ae00197b65!OpenDocument</vt:lpwstr>
      </vt:variant>
      <vt:variant>
        <vt:lpwstr/>
      </vt:variant>
      <vt:variant>
        <vt:i4>1048630</vt:i4>
      </vt:variant>
      <vt:variant>
        <vt:i4>92</vt:i4>
      </vt:variant>
      <vt:variant>
        <vt:i4>0</vt:i4>
      </vt:variant>
      <vt:variant>
        <vt:i4>5</vt:i4>
      </vt:variant>
      <vt:variant>
        <vt:lpwstr/>
      </vt:variant>
      <vt:variant>
        <vt:lpwstr>_Toc314042543</vt:lpwstr>
      </vt:variant>
      <vt:variant>
        <vt:i4>1048630</vt:i4>
      </vt:variant>
      <vt:variant>
        <vt:i4>86</vt:i4>
      </vt:variant>
      <vt:variant>
        <vt:i4>0</vt:i4>
      </vt:variant>
      <vt:variant>
        <vt:i4>5</vt:i4>
      </vt:variant>
      <vt:variant>
        <vt:lpwstr/>
      </vt:variant>
      <vt:variant>
        <vt:lpwstr>_Toc314042542</vt:lpwstr>
      </vt:variant>
      <vt:variant>
        <vt:i4>1048630</vt:i4>
      </vt:variant>
      <vt:variant>
        <vt:i4>80</vt:i4>
      </vt:variant>
      <vt:variant>
        <vt:i4>0</vt:i4>
      </vt:variant>
      <vt:variant>
        <vt:i4>5</vt:i4>
      </vt:variant>
      <vt:variant>
        <vt:lpwstr/>
      </vt:variant>
      <vt:variant>
        <vt:lpwstr>_Toc314042541</vt:lpwstr>
      </vt:variant>
      <vt:variant>
        <vt:i4>1048630</vt:i4>
      </vt:variant>
      <vt:variant>
        <vt:i4>74</vt:i4>
      </vt:variant>
      <vt:variant>
        <vt:i4>0</vt:i4>
      </vt:variant>
      <vt:variant>
        <vt:i4>5</vt:i4>
      </vt:variant>
      <vt:variant>
        <vt:lpwstr/>
      </vt:variant>
      <vt:variant>
        <vt:lpwstr>_Toc314042540</vt:lpwstr>
      </vt:variant>
      <vt:variant>
        <vt:i4>1507382</vt:i4>
      </vt:variant>
      <vt:variant>
        <vt:i4>68</vt:i4>
      </vt:variant>
      <vt:variant>
        <vt:i4>0</vt:i4>
      </vt:variant>
      <vt:variant>
        <vt:i4>5</vt:i4>
      </vt:variant>
      <vt:variant>
        <vt:lpwstr/>
      </vt:variant>
      <vt:variant>
        <vt:lpwstr>_Toc314042539</vt:lpwstr>
      </vt:variant>
      <vt:variant>
        <vt:i4>1507382</vt:i4>
      </vt:variant>
      <vt:variant>
        <vt:i4>62</vt:i4>
      </vt:variant>
      <vt:variant>
        <vt:i4>0</vt:i4>
      </vt:variant>
      <vt:variant>
        <vt:i4>5</vt:i4>
      </vt:variant>
      <vt:variant>
        <vt:lpwstr/>
      </vt:variant>
      <vt:variant>
        <vt:lpwstr>_Toc314042538</vt:lpwstr>
      </vt:variant>
      <vt:variant>
        <vt:i4>1507382</vt:i4>
      </vt:variant>
      <vt:variant>
        <vt:i4>56</vt:i4>
      </vt:variant>
      <vt:variant>
        <vt:i4>0</vt:i4>
      </vt:variant>
      <vt:variant>
        <vt:i4>5</vt:i4>
      </vt:variant>
      <vt:variant>
        <vt:lpwstr/>
      </vt:variant>
      <vt:variant>
        <vt:lpwstr>_Toc314042537</vt:lpwstr>
      </vt:variant>
      <vt:variant>
        <vt:i4>1507382</vt:i4>
      </vt:variant>
      <vt:variant>
        <vt:i4>50</vt:i4>
      </vt:variant>
      <vt:variant>
        <vt:i4>0</vt:i4>
      </vt:variant>
      <vt:variant>
        <vt:i4>5</vt:i4>
      </vt:variant>
      <vt:variant>
        <vt:lpwstr/>
      </vt:variant>
      <vt:variant>
        <vt:lpwstr>_Toc314042536</vt:lpwstr>
      </vt:variant>
      <vt:variant>
        <vt:i4>1507382</vt:i4>
      </vt:variant>
      <vt:variant>
        <vt:i4>44</vt:i4>
      </vt:variant>
      <vt:variant>
        <vt:i4>0</vt:i4>
      </vt:variant>
      <vt:variant>
        <vt:i4>5</vt:i4>
      </vt:variant>
      <vt:variant>
        <vt:lpwstr/>
      </vt:variant>
      <vt:variant>
        <vt:lpwstr>_Toc314042535</vt:lpwstr>
      </vt:variant>
      <vt:variant>
        <vt:i4>1507382</vt:i4>
      </vt:variant>
      <vt:variant>
        <vt:i4>38</vt:i4>
      </vt:variant>
      <vt:variant>
        <vt:i4>0</vt:i4>
      </vt:variant>
      <vt:variant>
        <vt:i4>5</vt:i4>
      </vt:variant>
      <vt:variant>
        <vt:lpwstr/>
      </vt:variant>
      <vt:variant>
        <vt:lpwstr>_Toc314042534</vt:lpwstr>
      </vt:variant>
      <vt:variant>
        <vt:i4>1507382</vt:i4>
      </vt:variant>
      <vt:variant>
        <vt:i4>32</vt:i4>
      </vt:variant>
      <vt:variant>
        <vt:i4>0</vt:i4>
      </vt:variant>
      <vt:variant>
        <vt:i4>5</vt:i4>
      </vt:variant>
      <vt:variant>
        <vt:lpwstr/>
      </vt:variant>
      <vt:variant>
        <vt:lpwstr>_Toc314042533</vt:lpwstr>
      </vt:variant>
      <vt:variant>
        <vt:i4>1507382</vt:i4>
      </vt:variant>
      <vt:variant>
        <vt:i4>26</vt:i4>
      </vt:variant>
      <vt:variant>
        <vt:i4>0</vt:i4>
      </vt:variant>
      <vt:variant>
        <vt:i4>5</vt:i4>
      </vt:variant>
      <vt:variant>
        <vt:lpwstr/>
      </vt:variant>
      <vt:variant>
        <vt:lpwstr>_Toc314042532</vt:lpwstr>
      </vt:variant>
      <vt:variant>
        <vt:i4>1507382</vt:i4>
      </vt:variant>
      <vt:variant>
        <vt:i4>20</vt:i4>
      </vt:variant>
      <vt:variant>
        <vt:i4>0</vt:i4>
      </vt:variant>
      <vt:variant>
        <vt:i4>5</vt:i4>
      </vt:variant>
      <vt:variant>
        <vt:lpwstr/>
      </vt:variant>
      <vt:variant>
        <vt:lpwstr>_Toc314042531</vt:lpwstr>
      </vt:variant>
      <vt:variant>
        <vt:i4>1507382</vt:i4>
      </vt:variant>
      <vt:variant>
        <vt:i4>14</vt:i4>
      </vt:variant>
      <vt:variant>
        <vt:i4>0</vt:i4>
      </vt:variant>
      <vt:variant>
        <vt:i4>5</vt:i4>
      </vt:variant>
      <vt:variant>
        <vt:lpwstr/>
      </vt:variant>
      <vt:variant>
        <vt:lpwstr>_Toc314042530</vt:lpwstr>
      </vt:variant>
      <vt:variant>
        <vt:i4>1441846</vt:i4>
      </vt:variant>
      <vt:variant>
        <vt:i4>8</vt:i4>
      </vt:variant>
      <vt:variant>
        <vt:i4>0</vt:i4>
      </vt:variant>
      <vt:variant>
        <vt:i4>5</vt:i4>
      </vt:variant>
      <vt:variant>
        <vt:lpwstr/>
      </vt:variant>
      <vt:variant>
        <vt:lpwstr>_Toc314042529</vt:lpwstr>
      </vt:variant>
      <vt:variant>
        <vt:i4>1441846</vt:i4>
      </vt:variant>
      <vt:variant>
        <vt:i4>2</vt:i4>
      </vt:variant>
      <vt:variant>
        <vt:i4>0</vt:i4>
      </vt:variant>
      <vt:variant>
        <vt:i4>5</vt:i4>
      </vt:variant>
      <vt:variant>
        <vt:lpwstr/>
      </vt:variant>
      <vt:variant>
        <vt:lpwstr>_Toc314042528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4 School education - Report on Government Services 2016</dc:title>
  <dc:subject/>
  <dc:creator>Steering Committee for the Review of Government Service Provision</dc:creator>
  <cp:lastModifiedBy>Frech, Tanya</cp:lastModifiedBy>
  <cp:revision>50</cp:revision>
  <cp:lastPrinted>2015-12-23T23:57:00Z</cp:lastPrinted>
  <dcterms:created xsi:type="dcterms:W3CDTF">2014-11-27T04:21:00Z</dcterms:created>
  <dcterms:modified xsi:type="dcterms:W3CDTF">2016-01-07T04:19:00Z</dcterms:modified>
</cp:coreProperties>
</file>