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066E" w:rsidRDefault="007B63F5" w:rsidP="004039FA">
      <w:pPr>
        <w:pStyle w:val="Heading2nosectionno"/>
      </w:pPr>
      <w:bookmarkStart w:id="0" w:name="_Toc282595292"/>
      <w:bookmarkStart w:id="1" w:name="_Toc282595448"/>
      <w:bookmarkStart w:id="2" w:name="_Toc282598627"/>
      <w:bookmarkStart w:id="3" w:name="_Toc306179220"/>
      <w:bookmarkStart w:id="4" w:name="_Toc306179515"/>
      <w:bookmarkStart w:id="5" w:name="_Toc306180616"/>
      <w:bookmarkStart w:id="6" w:name="_Toc306184061"/>
      <w:bookmarkStart w:id="7" w:name="_Toc306189561"/>
      <w:bookmarkStart w:id="8" w:name="_Toc309228622"/>
      <w:bookmarkStart w:id="9" w:name="_Toc310341046"/>
      <w:bookmarkStart w:id="10" w:name="_Toc310341203"/>
      <w:bookmarkStart w:id="11" w:name="_Toc334607709"/>
      <w:bookmarkStart w:id="12" w:name="_Toc370472614"/>
      <w:bookmarkStart w:id="13" w:name="_Toc401752316"/>
      <w:bookmarkStart w:id="14" w:name="_Toc401761553"/>
      <w:bookmarkStart w:id="15" w:name="_Toc401761602"/>
      <w:bookmarkStart w:id="16" w:name="_Toc278275793"/>
      <w:bookmarkStart w:id="17" w:name="_Toc278275740"/>
      <w:r w:rsidRPr="009D2BB2">
        <w:t xml:space="preserve">Data </w:t>
      </w:r>
      <w:r w:rsidRPr="004039FA">
        <w:t>q</w:t>
      </w:r>
      <w:r w:rsidR="005E066E" w:rsidRPr="004039FA">
        <w:t>uality</w:t>
      </w:r>
      <w:r w:rsidR="005E066E" w:rsidRPr="009D2BB2">
        <w:t xml:space="preserve"> </w:t>
      </w:r>
      <w:r w:rsidRPr="009D2BB2">
        <w:t>i</w:t>
      </w:r>
      <w:r w:rsidR="005E066E" w:rsidRPr="009D2BB2">
        <w:t xml:space="preserve">nformation — </w:t>
      </w:r>
      <w:r w:rsidR="001F3829">
        <w:t>Vocational</w:t>
      </w:r>
      <w:r w:rsidR="00BC2377" w:rsidRPr="009D2BB2">
        <w:t xml:space="preserve"> education and training, chapter 5</w:t>
      </w:r>
      <w:bookmarkStart w:id="18" w:name="_GoBack"/>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8"/>
    </w:p>
    <w:p w:rsidR="00D71E79" w:rsidRDefault="00D71E7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71E79" w:rsidTr="00D71E79">
        <w:tc>
          <w:tcPr>
            <w:tcW w:w="8771" w:type="dxa"/>
            <w:tcBorders>
              <w:top w:val="single" w:sz="6" w:space="0" w:color="78A22F"/>
              <w:left w:val="nil"/>
              <w:bottom w:val="nil"/>
              <w:right w:val="nil"/>
            </w:tcBorders>
            <w:shd w:val="clear" w:color="auto" w:fill="F2F2F2"/>
          </w:tcPr>
          <w:p w:rsidR="00D71E79" w:rsidRDefault="00D71E79">
            <w:pPr>
              <w:pStyle w:val="BoxTitle"/>
            </w:pPr>
            <w:r w:rsidRPr="009D2BB2">
              <w:t>Data quality information</w:t>
            </w:r>
          </w:p>
        </w:tc>
      </w:tr>
      <w:tr w:rsidR="00D71E79" w:rsidTr="00D71E79">
        <w:trPr>
          <w:cantSplit/>
        </w:trPr>
        <w:tc>
          <w:tcPr>
            <w:tcW w:w="8771" w:type="dxa"/>
            <w:tcBorders>
              <w:top w:val="nil"/>
              <w:left w:val="nil"/>
              <w:bottom w:val="nil"/>
              <w:right w:val="nil"/>
            </w:tcBorders>
            <w:shd w:val="clear" w:color="auto" w:fill="F2F2F2"/>
          </w:tcPr>
          <w:p w:rsidR="00D71E79" w:rsidRDefault="00D71E79" w:rsidP="00D71E79">
            <w:pPr>
              <w:pStyle w:val="Box"/>
            </w:pPr>
            <w:r>
              <w:t>Data quality information (</w:t>
            </w:r>
            <w:proofErr w:type="spellStart"/>
            <w:r>
              <w:t>DQI</w:t>
            </w:r>
            <w:proofErr w:type="spellEnd"/>
            <w:r>
              <w:t xml:space="preserve">) provides information against the seven </w:t>
            </w:r>
            <w:r w:rsidR="00E22A04">
              <w:t>Australian Bureau of Statistics (</w:t>
            </w:r>
            <w:r>
              <w:t>ABS</w:t>
            </w:r>
            <w:r w:rsidR="00E22A04">
              <w:t>)</w:t>
            </w:r>
            <w:r>
              <w:t xml:space="preserve"> data quality framework dimensions, </w:t>
            </w:r>
            <w:r w:rsidRPr="009D2BB2">
              <w:t>for performanc</w:t>
            </w:r>
            <w:r>
              <w:t xml:space="preserve">e indicators in the Vocational </w:t>
            </w:r>
            <w:r w:rsidRPr="009D2BB2">
              <w:t>educa</w:t>
            </w:r>
            <w:r w:rsidR="00761A39">
              <w:t>tion and training (VET) chapter</w:t>
            </w:r>
            <w:r w:rsidRPr="009D2BB2">
              <w:t>.</w:t>
            </w:r>
          </w:p>
          <w:p w:rsidR="00D71E79" w:rsidRDefault="00D71E79" w:rsidP="00327525">
            <w:pPr>
              <w:pStyle w:val="Box"/>
            </w:pPr>
            <w:r>
              <w:t xml:space="preserve">Technical </w:t>
            </w:r>
            <w:proofErr w:type="spellStart"/>
            <w:r>
              <w:t>DQI</w:t>
            </w:r>
            <w:proofErr w:type="spellEnd"/>
            <w:r>
              <w:t xml:space="preserve"> has been supplied or agreed by relevant data providers</w:t>
            </w:r>
            <w:r w:rsidR="00327525">
              <w:t xml:space="preserve">. </w:t>
            </w:r>
            <w:r>
              <w:t>Additional Steering Committee commentary does not necessarily reflect the views of data providers.</w:t>
            </w:r>
          </w:p>
        </w:tc>
      </w:tr>
      <w:tr w:rsidR="00D71E79" w:rsidTr="00D71E79">
        <w:trPr>
          <w:cantSplit/>
        </w:trPr>
        <w:tc>
          <w:tcPr>
            <w:tcW w:w="8771" w:type="dxa"/>
            <w:tcBorders>
              <w:top w:val="nil"/>
              <w:left w:val="nil"/>
              <w:bottom w:val="single" w:sz="6" w:space="0" w:color="78A22F"/>
              <w:right w:val="nil"/>
            </w:tcBorders>
            <w:shd w:val="clear" w:color="auto" w:fill="F2F2F2"/>
          </w:tcPr>
          <w:p w:rsidR="00D71E79" w:rsidRDefault="00D71E79">
            <w:pPr>
              <w:pStyle w:val="Box"/>
              <w:spacing w:before="0" w:line="120" w:lineRule="exact"/>
            </w:pPr>
          </w:p>
        </w:tc>
      </w:tr>
      <w:tr w:rsidR="00D71E79" w:rsidRPr="000863A5" w:rsidTr="00D71E79">
        <w:trPr>
          <w:trHeight w:val="240"/>
          <w:hidden/>
        </w:trPr>
        <w:tc>
          <w:tcPr>
            <w:tcW w:w="8771" w:type="dxa"/>
            <w:tcBorders>
              <w:top w:val="single" w:sz="6" w:space="0" w:color="78A22F"/>
              <w:left w:val="nil"/>
              <w:bottom w:val="nil"/>
              <w:right w:val="nil"/>
            </w:tcBorders>
          </w:tcPr>
          <w:p w:rsidR="00D71E79" w:rsidRPr="00D71E79" w:rsidRDefault="00D71E79" w:rsidP="00D71E79">
            <w:pPr>
              <w:pStyle w:val="BoxSpaceBelow"/>
              <w:rPr>
                <w:rFonts w:ascii="Times New Roman" w:hAnsi="Times New Roman"/>
                <w:b/>
                <w:vanish/>
                <w:color w:val="FF00FF"/>
              </w:rPr>
            </w:pPr>
          </w:p>
        </w:tc>
      </w:tr>
    </w:tbl>
    <w:p w:rsidR="00D71E79" w:rsidRDefault="00D71E79" w:rsidP="00D71E79">
      <w:pPr>
        <w:pStyle w:val="DQIContentsTitle"/>
      </w:pPr>
      <w:proofErr w:type="spellStart"/>
      <w:r>
        <w:t>DQI</w:t>
      </w:r>
      <w:proofErr w:type="spellEnd"/>
      <w:r>
        <w:t xml:space="preserve"> Contents</w:t>
      </w:r>
    </w:p>
    <w:sdt>
      <w:sdtPr>
        <w:rPr>
          <w:kern w:val="28"/>
          <w:sz w:val="52"/>
        </w:rPr>
        <w:id w:val="387926057"/>
        <w:docPartObj>
          <w:docPartGallery w:val="Table of Contents"/>
          <w:docPartUnique/>
        </w:docPartObj>
      </w:sdtPr>
      <w:sdtEndPr>
        <w:rPr>
          <w:kern w:val="0"/>
          <w:sz w:val="26"/>
        </w:rPr>
      </w:sdtEndPr>
      <w:sdtContent>
        <w:p w:rsidR="00B95F44" w:rsidRDefault="00B95F44">
          <w:pPr>
            <w:pStyle w:val="TOC2"/>
            <w:rPr>
              <w:rFonts w:asciiTheme="minorHAnsi" w:eastAsiaTheme="minorEastAsia" w:hAnsiTheme="minorHAnsi" w:cstheme="minorBidi"/>
              <w:noProof/>
              <w:sz w:val="22"/>
              <w:szCs w:val="22"/>
              <w:lang w:eastAsia="en-AU"/>
            </w:rPr>
          </w:pPr>
          <w:r>
            <w:rPr>
              <w:noProof/>
            </w:rPr>
            <w:t>Data Collections</w:t>
          </w:r>
          <w:r>
            <w:rPr>
              <w:noProof/>
            </w:rPr>
            <w:tab/>
          </w:r>
          <w:r w:rsidR="000368CD">
            <w:rPr>
              <w:noProof/>
            </w:rPr>
            <w:t>2</w:t>
          </w:r>
        </w:p>
        <w:p w:rsidR="00B95F44" w:rsidRDefault="00B95F44">
          <w:pPr>
            <w:pStyle w:val="TOC4"/>
            <w:rPr>
              <w:rFonts w:asciiTheme="minorHAnsi" w:eastAsiaTheme="minorEastAsia" w:hAnsiTheme="minorHAnsi" w:cstheme="minorBidi"/>
              <w:noProof/>
              <w:sz w:val="22"/>
              <w:szCs w:val="22"/>
              <w:lang w:eastAsia="en-AU"/>
            </w:rPr>
          </w:pPr>
          <w:r>
            <w:rPr>
              <w:noProof/>
            </w:rPr>
            <w:t>National VET provider data collection</w:t>
          </w:r>
          <w:r>
            <w:rPr>
              <w:noProof/>
            </w:rPr>
            <w:tab/>
          </w:r>
          <w:r w:rsidR="000368CD">
            <w:rPr>
              <w:noProof/>
            </w:rPr>
            <w:t>2</w:t>
          </w:r>
        </w:p>
        <w:p w:rsidR="00B95F44" w:rsidRDefault="00B95F44">
          <w:pPr>
            <w:pStyle w:val="TOC4"/>
            <w:rPr>
              <w:rFonts w:asciiTheme="minorHAnsi" w:eastAsiaTheme="minorEastAsia" w:hAnsiTheme="minorHAnsi" w:cstheme="minorBidi"/>
              <w:noProof/>
              <w:sz w:val="22"/>
              <w:szCs w:val="22"/>
              <w:lang w:eastAsia="en-AU"/>
            </w:rPr>
          </w:pPr>
          <w:r>
            <w:rPr>
              <w:noProof/>
            </w:rPr>
            <w:t>National VET financial data collection</w:t>
          </w:r>
          <w:r>
            <w:rPr>
              <w:noProof/>
            </w:rPr>
            <w:tab/>
          </w:r>
          <w:r w:rsidR="000368CD">
            <w:rPr>
              <w:noProof/>
            </w:rPr>
            <w:t>5</w:t>
          </w:r>
        </w:p>
        <w:p w:rsidR="00B95F44" w:rsidRDefault="00B95F44">
          <w:pPr>
            <w:pStyle w:val="TOC4"/>
            <w:rPr>
              <w:rFonts w:asciiTheme="minorHAnsi" w:eastAsiaTheme="minorEastAsia" w:hAnsiTheme="minorHAnsi" w:cstheme="minorBidi"/>
              <w:noProof/>
              <w:sz w:val="22"/>
              <w:szCs w:val="22"/>
              <w:lang w:eastAsia="en-AU"/>
            </w:rPr>
          </w:pPr>
          <w:r>
            <w:rPr>
              <w:noProof/>
            </w:rPr>
            <w:t>Student Outcomes Survey</w:t>
          </w:r>
          <w:r>
            <w:rPr>
              <w:noProof/>
            </w:rPr>
            <w:tab/>
          </w:r>
          <w:r w:rsidR="000368CD">
            <w:rPr>
              <w:noProof/>
            </w:rPr>
            <w:t>7</w:t>
          </w:r>
        </w:p>
        <w:p w:rsidR="00B95F44" w:rsidRDefault="00B95F44">
          <w:pPr>
            <w:pStyle w:val="TOC4"/>
            <w:rPr>
              <w:rFonts w:asciiTheme="minorHAnsi" w:eastAsiaTheme="minorEastAsia" w:hAnsiTheme="minorHAnsi" w:cstheme="minorBidi"/>
              <w:noProof/>
              <w:sz w:val="22"/>
              <w:szCs w:val="22"/>
              <w:lang w:eastAsia="en-AU"/>
            </w:rPr>
          </w:pPr>
          <w:r>
            <w:rPr>
              <w:noProof/>
            </w:rPr>
            <w:t>Survey of Employer Use and Views of the VET System</w:t>
          </w:r>
          <w:r>
            <w:rPr>
              <w:noProof/>
            </w:rPr>
            <w:tab/>
          </w:r>
          <w:r w:rsidR="000368CD">
            <w:rPr>
              <w:noProof/>
            </w:rPr>
            <w:t>10</w:t>
          </w:r>
        </w:p>
        <w:p w:rsidR="00B95F44" w:rsidRDefault="00B95F44">
          <w:pPr>
            <w:pStyle w:val="TOC4"/>
            <w:rPr>
              <w:rFonts w:asciiTheme="minorHAnsi" w:eastAsiaTheme="minorEastAsia" w:hAnsiTheme="minorHAnsi" w:cstheme="minorBidi"/>
              <w:noProof/>
              <w:sz w:val="22"/>
              <w:szCs w:val="22"/>
              <w:lang w:eastAsia="en-AU"/>
            </w:rPr>
          </w:pPr>
          <w:r>
            <w:rPr>
              <w:noProof/>
            </w:rPr>
            <w:t>Estimated Resident Population and Aboriginal and Torres Strait Islander population</w:t>
          </w:r>
          <w:r>
            <w:rPr>
              <w:noProof/>
            </w:rPr>
            <w:tab/>
          </w:r>
          <w:r w:rsidR="000368CD">
            <w:rPr>
              <w:noProof/>
            </w:rPr>
            <w:t>12</w:t>
          </w:r>
        </w:p>
        <w:p w:rsidR="00B95F44" w:rsidRDefault="00B95F44">
          <w:pPr>
            <w:pStyle w:val="TOC2"/>
            <w:rPr>
              <w:rFonts w:asciiTheme="minorHAnsi" w:eastAsiaTheme="minorEastAsia" w:hAnsiTheme="minorHAnsi" w:cstheme="minorBidi"/>
              <w:noProof/>
              <w:sz w:val="22"/>
              <w:szCs w:val="22"/>
              <w:lang w:eastAsia="en-AU"/>
            </w:rPr>
          </w:pPr>
          <w:r>
            <w:rPr>
              <w:noProof/>
            </w:rPr>
            <w:t>Performance indicators</w:t>
          </w:r>
          <w:r>
            <w:rPr>
              <w:noProof/>
            </w:rPr>
            <w:tab/>
          </w:r>
          <w:r w:rsidR="000368CD">
            <w:rPr>
              <w:noProof/>
            </w:rPr>
            <w:t>15</w:t>
          </w:r>
        </w:p>
        <w:p w:rsidR="00B95F44" w:rsidRDefault="00B95F44">
          <w:pPr>
            <w:pStyle w:val="TOC4"/>
            <w:rPr>
              <w:rFonts w:asciiTheme="minorHAnsi" w:eastAsiaTheme="minorEastAsia" w:hAnsiTheme="minorHAnsi" w:cstheme="minorBidi"/>
              <w:noProof/>
              <w:sz w:val="22"/>
              <w:szCs w:val="22"/>
              <w:lang w:eastAsia="en-AU"/>
            </w:rPr>
          </w:pPr>
          <w:r>
            <w:rPr>
              <w:noProof/>
            </w:rPr>
            <w:t>VET participation by target group</w:t>
          </w:r>
          <w:r>
            <w:rPr>
              <w:noProof/>
            </w:rPr>
            <w:tab/>
          </w:r>
          <w:r w:rsidR="000368CD">
            <w:rPr>
              <w:noProof/>
            </w:rPr>
            <w:t>15</w:t>
          </w:r>
        </w:p>
        <w:p w:rsidR="00B95F44" w:rsidRDefault="00B95F44">
          <w:pPr>
            <w:pStyle w:val="TOC4"/>
            <w:rPr>
              <w:rFonts w:asciiTheme="minorHAnsi" w:eastAsiaTheme="minorEastAsia" w:hAnsiTheme="minorHAnsi" w:cstheme="minorBidi"/>
              <w:noProof/>
              <w:sz w:val="22"/>
              <w:szCs w:val="22"/>
              <w:lang w:eastAsia="en-AU"/>
            </w:rPr>
          </w:pPr>
          <w:r>
            <w:rPr>
              <w:noProof/>
            </w:rPr>
            <w:t>Student participation in VET</w:t>
          </w:r>
          <w:r>
            <w:rPr>
              <w:noProof/>
            </w:rPr>
            <w:tab/>
          </w:r>
          <w:r w:rsidR="000368CD">
            <w:rPr>
              <w:noProof/>
            </w:rPr>
            <w:t>17</w:t>
          </w:r>
        </w:p>
        <w:p w:rsidR="00B95F44" w:rsidRDefault="00B95F44">
          <w:pPr>
            <w:pStyle w:val="TOC4"/>
            <w:rPr>
              <w:rFonts w:asciiTheme="minorHAnsi" w:eastAsiaTheme="minorEastAsia" w:hAnsiTheme="minorHAnsi" w:cstheme="minorBidi"/>
              <w:noProof/>
              <w:sz w:val="22"/>
              <w:szCs w:val="22"/>
              <w:lang w:eastAsia="en-AU"/>
            </w:rPr>
          </w:pPr>
          <w:r>
            <w:rPr>
              <w:noProof/>
            </w:rPr>
            <w:t>VET student completions and qualifications</w:t>
          </w:r>
          <w:r>
            <w:rPr>
              <w:noProof/>
            </w:rPr>
            <w:tab/>
          </w:r>
          <w:r w:rsidR="000368CD">
            <w:rPr>
              <w:noProof/>
            </w:rPr>
            <w:t>18</w:t>
          </w:r>
        </w:p>
        <w:p w:rsidR="00B95F44" w:rsidRDefault="00B95F44">
          <w:pPr>
            <w:pStyle w:val="TOC4"/>
            <w:rPr>
              <w:rFonts w:asciiTheme="minorHAnsi" w:eastAsiaTheme="minorEastAsia" w:hAnsiTheme="minorHAnsi" w:cstheme="minorBidi"/>
              <w:noProof/>
              <w:sz w:val="22"/>
              <w:szCs w:val="22"/>
              <w:lang w:eastAsia="en-AU"/>
            </w:rPr>
          </w:pPr>
          <w:r>
            <w:rPr>
              <w:noProof/>
            </w:rPr>
            <w:t>Government recurrent expenditure per annual hour</w:t>
          </w:r>
          <w:r>
            <w:rPr>
              <w:noProof/>
            </w:rPr>
            <w:tab/>
          </w:r>
          <w:r w:rsidR="000368CD">
            <w:rPr>
              <w:noProof/>
            </w:rPr>
            <w:t>23</w:t>
          </w:r>
        </w:p>
        <w:p w:rsidR="00B95F44" w:rsidRDefault="00B95F44">
          <w:pPr>
            <w:pStyle w:val="TOC4"/>
            <w:rPr>
              <w:rFonts w:asciiTheme="minorHAnsi" w:eastAsiaTheme="minorEastAsia" w:hAnsiTheme="minorHAnsi" w:cstheme="minorBidi"/>
              <w:noProof/>
              <w:sz w:val="22"/>
              <w:szCs w:val="22"/>
              <w:lang w:eastAsia="en-AU"/>
            </w:rPr>
          </w:pPr>
          <w:r>
            <w:rPr>
              <w:noProof/>
            </w:rPr>
            <w:t>Government recurrent expenditure per load pass</w:t>
          </w:r>
          <w:r>
            <w:rPr>
              <w:noProof/>
            </w:rPr>
            <w:tab/>
          </w:r>
          <w:r w:rsidR="000368CD">
            <w:rPr>
              <w:noProof/>
            </w:rPr>
            <w:t>24</w:t>
          </w:r>
        </w:p>
        <w:p w:rsidR="00B95F44" w:rsidRDefault="00B95F44">
          <w:pPr>
            <w:pStyle w:val="TOC4"/>
            <w:rPr>
              <w:rFonts w:asciiTheme="minorHAnsi" w:eastAsiaTheme="minorEastAsia" w:hAnsiTheme="minorHAnsi" w:cstheme="minorBidi"/>
              <w:noProof/>
              <w:sz w:val="22"/>
              <w:szCs w:val="22"/>
              <w:lang w:eastAsia="en-AU"/>
            </w:rPr>
          </w:pPr>
          <w:r>
            <w:rPr>
              <w:noProof/>
            </w:rPr>
            <w:t>User cost of capital per annual hour</w:t>
          </w:r>
          <w:r>
            <w:rPr>
              <w:noProof/>
            </w:rPr>
            <w:tab/>
          </w:r>
          <w:r w:rsidR="000368CD">
            <w:rPr>
              <w:noProof/>
            </w:rPr>
            <w:t>25</w:t>
          </w:r>
        </w:p>
        <w:p w:rsidR="00B95F44" w:rsidRDefault="00B95F44">
          <w:pPr>
            <w:pStyle w:val="TOC4"/>
            <w:rPr>
              <w:rFonts w:asciiTheme="minorHAnsi" w:eastAsiaTheme="minorEastAsia" w:hAnsiTheme="minorHAnsi" w:cstheme="minorBidi"/>
              <w:noProof/>
              <w:sz w:val="22"/>
              <w:szCs w:val="22"/>
              <w:lang w:eastAsia="en-AU"/>
            </w:rPr>
          </w:pPr>
          <w:r>
            <w:rPr>
              <w:noProof/>
            </w:rPr>
            <w:t>User cost of capital per load pass</w:t>
          </w:r>
          <w:r>
            <w:rPr>
              <w:noProof/>
            </w:rPr>
            <w:tab/>
          </w:r>
          <w:r w:rsidR="000368CD">
            <w:rPr>
              <w:noProof/>
            </w:rPr>
            <w:t>26</w:t>
          </w:r>
        </w:p>
        <w:p w:rsidR="00B95F44" w:rsidRDefault="00B95F44">
          <w:pPr>
            <w:pStyle w:val="TOC4"/>
            <w:rPr>
              <w:rFonts w:asciiTheme="minorHAnsi" w:eastAsiaTheme="minorEastAsia" w:hAnsiTheme="minorHAnsi" w:cstheme="minorBidi"/>
              <w:noProof/>
              <w:sz w:val="22"/>
              <w:szCs w:val="22"/>
              <w:lang w:eastAsia="en-AU"/>
            </w:rPr>
          </w:pPr>
          <w:r>
            <w:rPr>
              <w:noProof/>
            </w:rPr>
            <w:t>Student employment and further study outcomes</w:t>
          </w:r>
          <w:r>
            <w:rPr>
              <w:noProof/>
            </w:rPr>
            <w:tab/>
          </w:r>
          <w:r w:rsidR="000368CD">
            <w:rPr>
              <w:noProof/>
            </w:rPr>
            <w:t>27</w:t>
          </w:r>
        </w:p>
        <w:p w:rsidR="00B95F44" w:rsidRDefault="00B95F44">
          <w:pPr>
            <w:pStyle w:val="TOC4"/>
            <w:rPr>
              <w:rFonts w:asciiTheme="minorHAnsi" w:eastAsiaTheme="minorEastAsia" w:hAnsiTheme="minorHAnsi" w:cstheme="minorBidi"/>
              <w:noProof/>
              <w:sz w:val="22"/>
              <w:szCs w:val="22"/>
              <w:lang w:eastAsia="en-AU"/>
            </w:rPr>
          </w:pPr>
          <w:r>
            <w:rPr>
              <w:noProof/>
            </w:rPr>
            <w:t>Student achievement in VET</w:t>
          </w:r>
          <w:r>
            <w:rPr>
              <w:noProof/>
            </w:rPr>
            <w:tab/>
          </w:r>
          <w:r w:rsidR="000368CD">
            <w:rPr>
              <w:noProof/>
            </w:rPr>
            <w:t>32</w:t>
          </w:r>
        </w:p>
        <w:p w:rsidR="00B95F44" w:rsidRDefault="00B95F44">
          <w:pPr>
            <w:pStyle w:val="TOC4"/>
            <w:rPr>
              <w:rFonts w:asciiTheme="minorHAnsi" w:eastAsiaTheme="minorEastAsia" w:hAnsiTheme="minorHAnsi" w:cstheme="minorBidi"/>
              <w:noProof/>
              <w:sz w:val="22"/>
              <w:szCs w:val="22"/>
              <w:lang w:eastAsia="en-AU"/>
            </w:rPr>
          </w:pPr>
          <w:r>
            <w:rPr>
              <w:noProof/>
            </w:rPr>
            <w:t>Student satisfaction with VET</w:t>
          </w:r>
          <w:r>
            <w:rPr>
              <w:noProof/>
            </w:rPr>
            <w:tab/>
          </w:r>
          <w:r w:rsidR="000368CD">
            <w:rPr>
              <w:noProof/>
            </w:rPr>
            <w:t>36</w:t>
          </w:r>
        </w:p>
        <w:p w:rsidR="00B95F44" w:rsidRDefault="00B95F44">
          <w:pPr>
            <w:pStyle w:val="TOC4"/>
            <w:rPr>
              <w:rFonts w:asciiTheme="minorHAnsi" w:eastAsiaTheme="minorEastAsia" w:hAnsiTheme="minorHAnsi" w:cstheme="minorBidi"/>
              <w:noProof/>
              <w:sz w:val="22"/>
              <w:szCs w:val="22"/>
              <w:lang w:eastAsia="en-AU"/>
            </w:rPr>
          </w:pPr>
          <w:r>
            <w:rPr>
              <w:noProof/>
            </w:rPr>
            <w:t>Employer engagement with VET</w:t>
          </w:r>
          <w:r>
            <w:rPr>
              <w:noProof/>
            </w:rPr>
            <w:tab/>
          </w:r>
          <w:r w:rsidR="000368CD">
            <w:rPr>
              <w:noProof/>
            </w:rPr>
            <w:t>38</w:t>
          </w:r>
        </w:p>
        <w:p w:rsidR="00D71E79" w:rsidRDefault="00B95F44" w:rsidP="00327525">
          <w:pPr>
            <w:pStyle w:val="TOC4"/>
          </w:pPr>
          <w:r>
            <w:rPr>
              <w:noProof/>
            </w:rPr>
            <w:t>Employer satisfaction with VET</w:t>
          </w:r>
          <w:r>
            <w:rPr>
              <w:noProof/>
            </w:rPr>
            <w:tab/>
          </w:r>
          <w:r w:rsidR="000368CD">
            <w:rPr>
              <w:noProof/>
            </w:rPr>
            <w:t>39</w:t>
          </w:r>
        </w:p>
      </w:sdtContent>
    </w:sdt>
    <w:p w:rsidR="000337E3" w:rsidRDefault="000337E3" w:rsidP="000337E3">
      <w:pPr>
        <w:pStyle w:val="Heading2"/>
      </w:pPr>
      <w:bookmarkStart w:id="19" w:name="_Toc436148756"/>
      <w:bookmarkEnd w:id="16"/>
      <w:bookmarkEnd w:id="17"/>
      <w:r>
        <w:lastRenderedPageBreak/>
        <w:t>Data Collections</w:t>
      </w:r>
      <w:bookmarkEnd w:id="19"/>
    </w:p>
    <w:p w:rsidR="000337E3" w:rsidRPr="009D2BB2" w:rsidRDefault="000337E3" w:rsidP="007D57F5">
      <w:pPr>
        <w:pStyle w:val="Heading3"/>
        <w:spacing w:before="360"/>
      </w:pPr>
      <w:bookmarkStart w:id="20" w:name="NationalProvideDataCollection"/>
      <w:bookmarkStart w:id="21" w:name="_Toc436148757"/>
      <w:bookmarkEnd w:id="20"/>
      <w:r w:rsidRPr="005970A0">
        <w:t>Nation</w:t>
      </w:r>
      <w:r w:rsidR="007D57F5">
        <w:t>al VET provider data collection</w:t>
      </w:r>
      <w:bookmarkEnd w:id="21"/>
    </w:p>
    <w:p w:rsidR="000337E3" w:rsidRPr="005970A0" w:rsidRDefault="000337E3" w:rsidP="000337E3">
      <w:pPr>
        <w:pStyle w:val="Box"/>
      </w:pPr>
      <w:r w:rsidRPr="005970A0">
        <w:t>Data quality information for this indicator has been drafted by the National Centre for Vocational Education Research (</w:t>
      </w:r>
      <w:proofErr w:type="spellStart"/>
      <w:r w:rsidRPr="005970A0">
        <w:t>NCVER</w:t>
      </w:r>
      <w:proofErr w:type="spellEnd"/>
      <w:r w:rsidRPr="005970A0">
        <w:t>) and the Secretariat, in consultation with the VET Working Group.</w:t>
      </w:r>
    </w:p>
    <w:tbl>
      <w:tblPr>
        <w:tblW w:w="5000" w:type="pct"/>
        <w:tblCellMar>
          <w:left w:w="0" w:type="dxa"/>
          <w:right w:w="0" w:type="dxa"/>
        </w:tblCellMar>
        <w:tblLook w:val="0000" w:firstRow="0" w:lastRow="0" w:firstColumn="0" w:lastColumn="0" w:noHBand="0" w:noVBand="0"/>
      </w:tblPr>
      <w:tblGrid>
        <w:gridCol w:w="1559"/>
        <w:gridCol w:w="62"/>
        <w:gridCol w:w="7168"/>
      </w:tblGrid>
      <w:tr w:rsidR="000337E3" w:rsidRPr="005970A0" w:rsidTr="00E3419C">
        <w:trPr>
          <w:cantSplit/>
        </w:trPr>
        <w:tc>
          <w:tcPr>
            <w:tcW w:w="5000" w:type="pct"/>
            <w:gridSpan w:val="3"/>
          </w:tcPr>
          <w:p w:rsidR="000337E3" w:rsidRPr="005970A0" w:rsidRDefault="000337E3" w:rsidP="000337E3">
            <w:pPr>
              <w:pStyle w:val="DQIMainRowHeadings"/>
            </w:pPr>
            <w:r w:rsidRPr="005970A0">
              <w:t>Indicator definition and description</w:t>
            </w:r>
            <w:r w:rsidRPr="005970A0">
              <w:rPr>
                <w:rFonts w:cs="Arial"/>
                <w:sz w:val="22"/>
                <w:szCs w:val="22"/>
              </w:rPr>
              <w:t xml:space="preserve"> </w:t>
            </w:r>
          </w:p>
        </w:tc>
      </w:tr>
      <w:tr w:rsidR="000337E3" w:rsidRPr="005970A0" w:rsidTr="00E3419C">
        <w:trPr>
          <w:cantSplit/>
        </w:trPr>
        <w:tc>
          <w:tcPr>
            <w:tcW w:w="887" w:type="pct"/>
          </w:tcPr>
          <w:p w:rsidR="000337E3" w:rsidRPr="005970A0" w:rsidRDefault="000337E3" w:rsidP="000337E3">
            <w:pPr>
              <w:pStyle w:val="DQIRowHeadings"/>
              <w:rPr>
                <w:b w:val="0"/>
              </w:rPr>
            </w:pPr>
            <w:r w:rsidRPr="005970A0">
              <w:t>Element</w:t>
            </w:r>
          </w:p>
        </w:tc>
        <w:tc>
          <w:tcPr>
            <w:tcW w:w="4113" w:type="pct"/>
            <w:gridSpan w:val="2"/>
          </w:tcPr>
          <w:p w:rsidR="000337E3" w:rsidRPr="005970A0" w:rsidRDefault="000337E3" w:rsidP="000337E3">
            <w:pPr>
              <w:pStyle w:val="DQITableText"/>
            </w:pPr>
            <w:r>
              <w:t>Various</w:t>
            </w:r>
          </w:p>
        </w:tc>
      </w:tr>
      <w:tr w:rsidR="000337E3" w:rsidRPr="005970A0" w:rsidTr="00E3419C">
        <w:trPr>
          <w:cantSplit/>
        </w:trPr>
        <w:tc>
          <w:tcPr>
            <w:tcW w:w="887" w:type="pct"/>
          </w:tcPr>
          <w:p w:rsidR="000337E3" w:rsidRPr="005970A0" w:rsidRDefault="000337E3" w:rsidP="000337E3">
            <w:pPr>
              <w:pStyle w:val="DQIRowHeadings"/>
            </w:pPr>
            <w:r w:rsidRPr="005970A0">
              <w:t>Indicator</w:t>
            </w:r>
          </w:p>
        </w:tc>
        <w:tc>
          <w:tcPr>
            <w:tcW w:w="4113" w:type="pct"/>
            <w:gridSpan w:val="2"/>
          </w:tcPr>
          <w:p w:rsidR="00B7743D" w:rsidRPr="005970A0" w:rsidRDefault="0006639A" w:rsidP="00680521">
            <w:pPr>
              <w:pStyle w:val="DQITableText"/>
            </w:pPr>
            <w:r>
              <w:t xml:space="preserve">The VET </w:t>
            </w:r>
            <w:r w:rsidR="007D57F5">
              <w:t xml:space="preserve">provider </w:t>
            </w:r>
            <w:r>
              <w:t xml:space="preserve">collection is used </w:t>
            </w:r>
            <w:r w:rsidR="00B7743D">
              <w:t xml:space="preserve">as a key data source for the following </w:t>
            </w:r>
            <w:r>
              <w:t>indicators:</w:t>
            </w:r>
          </w:p>
        </w:tc>
      </w:tr>
      <w:tr w:rsidR="000337E3" w:rsidRPr="005970A0" w:rsidTr="00E3419C">
        <w:trPr>
          <w:cantSplit/>
        </w:trPr>
        <w:tc>
          <w:tcPr>
            <w:tcW w:w="887" w:type="pct"/>
          </w:tcPr>
          <w:p w:rsidR="000337E3" w:rsidRPr="005970A0" w:rsidRDefault="000337E3" w:rsidP="000337E3">
            <w:pPr>
              <w:pStyle w:val="DQIRowHeadings"/>
            </w:pPr>
            <w:r w:rsidRPr="005970A0">
              <w:t>Measure (computation)</w:t>
            </w:r>
          </w:p>
        </w:tc>
        <w:tc>
          <w:tcPr>
            <w:tcW w:w="4113" w:type="pct"/>
            <w:gridSpan w:val="2"/>
          </w:tcPr>
          <w:p w:rsidR="00680521" w:rsidRDefault="00680521" w:rsidP="00680521">
            <w:pPr>
              <w:pStyle w:val="DQITableBullet"/>
            </w:pPr>
            <w:r w:rsidRPr="007047F5">
              <w:t>VET participation by target group</w:t>
            </w:r>
          </w:p>
          <w:p w:rsidR="00680521" w:rsidRDefault="00680521" w:rsidP="00680521">
            <w:pPr>
              <w:pStyle w:val="DQITableBullet"/>
            </w:pPr>
            <w:r w:rsidRPr="007047F5">
              <w:t>Student participation in VET</w:t>
            </w:r>
          </w:p>
          <w:p w:rsidR="00680521" w:rsidRPr="00680521" w:rsidRDefault="00680521" w:rsidP="00680521">
            <w:pPr>
              <w:pStyle w:val="DQITableBullet"/>
              <w:rPr>
                <w:b/>
                <w:sz w:val="20"/>
              </w:rPr>
            </w:pPr>
            <w:r w:rsidRPr="007047F5">
              <w:t>Student achievement in VET</w:t>
            </w:r>
            <w:r>
              <w:t xml:space="preserve"> </w:t>
            </w:r>
          </w:p>
          <w:p w:rsidR="000337E3" w:rsidRPr="000337E3" w:rsidRDefault="00680521" w:rsidP="00680521">
            <w:pPr>
              <w:pStyle w:val="DQITableBullet"/>
              <w:rPr>
                <w:rStyle w:val="DraftingNote"/>
                <w:color w:val="auto"/>
                <w:sz w:val="20"/>
                <w:u w:val="none"/>
              </w:rPr>
            </w:pPr>
            <w:r w:rsidRPr="007047F5">
              <w:t>VET student completions and qualifications</w:t>
            </w:r>
          </w:p>
        </w:tc>
      </w:tr>
      <w:tr w:rsidR="000337E3" w:rsidRPr="005970A0" w:rsidTr="00E3419C">
        <w:trPr>
          <w:cantSplit/>
        </w:trPr>
        <w:tc>
          <w:tcPr>
            <w:tcW w:w="887" w:type="pct"/>
          </w:tcPr>
          <w:p w:rsidR="000337E3" w:rsidRPr="005970A0" w:rsidRDefault="000337E3" w:rsidP="000337E3">
            <w:pPr>
              <w:pStyle w:val="DQIRowHeadings"/>
            </w:pPr>
            <w:r w:rsidRPr="005970A0">
              <w:t>Data source/s</w:t>
            </w:r>
          </w:p>
        </w:tc>
        <w:tc>
          <w:tcPr>
            <w:tcW w:w="4113" w:type="pct"/>
            <w:gridSpan w:val="2"/>
            <w:shd w:val="clear" w:color="auto" w:fill="auto"/>
          </w:tcPr>
          <w:p w:rsidR="000337E3" w:rsidRDefault="00115F58" w:rsidP="00E70A3A">
            <w:pPr>
              <w:pStyle w:val="DQITableText"/>
            </w:pPr>
            <w:r w:rsidRPr="00115F58">
              <w:rPr>
                <w:i/>
              </w:rPr>
              <w:t>VET provider collection</w:t>
            </w:r>
            <w:r>
              <w:t xml:space="preserve">, </w:t>
            </w:r>
            <w:proofErr w:type="spellStart"/>
            <w:r w:rsidR="00E22A04">
              <w:t>NCVER</w:t>
            </w:r>
            <w:proofErr w:type="spellEnd"/>
            <w:r w:rsidRPr="00115F58">
              <w:t>.</w:t>
            </w:r>
          </w:p>
          <w:p w:rsidR="00E70A3A" w:rsidRPr="005970A0" w:rsidRDefault="00E70A3A" w:rsidP="007D57F5">
            <w:pPr>
              <w:pStyle w:val="DQITableBullet"/>
            </w:pPr>
            <w:r w:rsidRPr="00115F58">
              <w:t xml:space="preserve">The </w:t>
            </w:r>
            <w:r>
              <w:t xml:space="preserve">VET provider collection </w:t>
            </w:r>
            <w:r w:rsidRPr="00115F58">
              <w:t>provides a nationally consistent framework for the collection of VET activity in Australia.</w:t>
            </w:r>
            <w:r w:rsidR="007D57F5">
              <w:t xml:space="preserve"> </w:t>
            </w:r>
            <w:r w:rsidR="007D57F5" w:rsidRPr="007D57F5">
              <w:t>It forms part of the Australian Vocational Education and Training Management Information Statistical Standard (</w:t>
            </w:r>
            <w:proofErr w:type="spellStart"/>
            <w:r w:rsidR="007D57F5" w:rsidRPr="007D57F5">
              <w:t>AVETMISS</w:t>
            </w:r>
            <w:proofErr w:type="spellEnd"/>
            <w:r w:rsidR="007D57F5" w:rsidRPr="007D57F5">
              <w:t xml:space="preserve">). </w:t>
            </w:r>
            <w:r w:rsidRPr="00115F58">
              <w:t xml:space="preserve">It details the information collected by training organisations regarding their training activity. In broad terms, the information </w:t>
            </w:r>
            <w:r>
              <w:t xml:space="preserve">collected </w:t>
            </w:r>
            <w:r w:rsidRPr="00115F58">
              <w:t>relates to students (clients), who they are, where they study and what they study. Nationally consistent and accurate measurement of VET activity in Australia is enabled by collecting this information in a uniform way.</w:t>
            </w:r>
          </w:p>
        </w:tc>
      </w:tr>
      <w:tr w:rsidR="000337E3" w:rsidRPr="005970A0" w:rsidTr="00E3419C">
        <w:trPr>
          <w:cantSplit/>
        </w:trPr>
        <w:tc>
          <w:tcPr>
            <w:tcW w:w="5000" w:type="pct"/>
            <w:gridSpan w:val="3"/>
          </w:tcPr>
          <w:p w:rsidR="000337E3" w:rsidRPr="005970A0" w:rsidRDefault="000337E3" w:rsidP="000337E3">
            <w:pPr>
              <w:pStyle w:val="DQIMainRowHeadings"/>
            </w:pPr>
            <w:r w:rsidRPr="005970A0">
              <w:t>Data Quality Framework Dimensions</w:t>
            </w:r>
          </w:p>
        </w:tc>
      </w:tr>
      <w:tr w:rsidR="000337E3" w:rsidRPr="005970A0" w:rsidTr="00E3419C">
        <w:trPr>
          <w:cantSplit/>
        </w:trPr>
        <w:tc>
          <w:tcPr>
            <w:tcW w:w="887" w:type="pct"/>
          </w:tcPr>
          <w:p w:rsidR="000337E3" w:rsidRPr="005970A0" w:rsidRDefault="000337E3" w:rsidP="000337E3">
            <w:pPr>
              <w:pStyle w:val="DQIRowHeadings"/>
            </w:pPr>
            <w:r w:rsidRPr="005970A0">
              <w:t>Institutional environment</w:t>
            </w:r>
          </w:p>
        </w:tc>
        <w:tc>
          <w:tcPr>
            <w:tcW w:w="4113" w:type="pct"/>
            <w:gridSpan w:val="2"/>
          </w:tcPr>
          <w:p w:rsidR="000337E3" w:rsidRPr="005970A0" w:rsidRDefault="000337E3" w:rsidP="000337E3">
            <w:pPr>
              <w:pStyle w:val="DQITableText"/>
            </w:pPr>
            <w:r w:rsidRPr="005970A0">
              <w:t xml:space="preserve">The </w:t>
            </w:r>
            <w:proofErr w:type="spellStart"/>
            <w:r w:rsidR="00E22A04">
              <w:t>NCVER</w:t>
            </w:r>
            <w:proofErr w:type="spellEnd"/>
            <w:r w:rsidRPr="005970A0">
              <w:t xml:space="preserve"> is a not-for-profit company owned by the federal, state and territory ministers responsible for training.</w:t>
            </w:r>
          </w:p>
          <w:p w:rsidR="000337E3" w:rsidRPr="005970A0" w:rsidRDefault="000337E3" w:rsidP="000337E3">
            <w:pPr>
              <w:pStyle w:val="DQITableText"/>
            </w:pPr>
            <w:proofErr w:type="spellStart"/>
            <w:r w:rsidRPr="005970A0">
              <w:t>NCVER</w:t>
            </w:r>
            <w:proofErr w:type="spellEnd"/>
            <w:r w:rsidRPr="005970A0">
              <w:t xml:space="preserve"> is a professional and independent body responsible for collecting, managing, analysing, evaluating and communicating research and statistics about </w:t>
            </w:r>
            <w:r w:rsidR="00E22A04">
              <w:t>VET</w:t>
            </w:r>
            <w:r w:rsidRPr="005970A0">
              <w:t xml:space="preserve"> nationally. It is Australia's principal provider of VET research and statistics.</w:t>
            </w:r>
          </w:p>
          <w:p w:rsidR="00115F58" w:rsidRPr="00115F58" w:rsidRDefault="000337E3" w:rsidP="00115F58">
            <w:pPr>
              <w:pStyle w:val="DQITableText"/>
              <w:rPr>
                <w:rFonts w:cs="Arial"/>
                <w:u w:val="single"/>
              </w:rPr>
            </w:pPr>
            <w:r w:rsidRPr="005970A0">
              <w:t xml:space="preserve">For further information on </w:t>
            </w:r>
            <w:proofErr w:type="spellStart"/>
            <w:r w:rsidR="00C90987">
              <w:t>NCVER</w:t>
            </w:r>
            <w:proofErr w:type="spellEnd"/>
            <w:r w:rsidRPr="005970A0">
              <w:t xml:space="preserve">, see </w:t>
            </w:r>
            <w:r w:rsidRPr="007047F5">
              <w:rPr>
                <w:rFonts w:cs="Arial"/>
              </w:rPr>
              <w:t>http://</w:t>
            </w:r>
            <w:proofErr w:type="spellStart"/>
            <w:r w:rsidRPr="007047F5">
              <w:rPr>
                <w:rFonts w:cs="Arial"/>
              </w:rPr>
              <w:t>www.ncver.edu.au</w:t>
            </w:r>
            <w:proofErr w:type="spellEnd"/>
            <w:r w:rsidRPr="007047F5">
              <w:rPr>
                <w:rFonts w:cs="Arial"/>
              </w:rPr>
              <w:t>/</w:t>
            </w:r>
            <w:r w:rsidRPr="007047F5">
              <w:rPr>
                <w:rFonts w:cs="Arial"/>
              </w:rPr>
              <w:br/>
            </w:r>
            <w:proofErr w:type="spellStart"/>
            <w:r w:rsidRPr="007047F5">
              <w:rPr>
                <w:rFonts w:cs="Arial"/>
              </w:rPr>
              <w:t>aboutncver</w:t>
            </w:r>
            <w:proofErr w:type="spellEnd"/>
            <w:r w:rsidRPr="007047F5">
              <w:rPr>
                <w:rFonts w:cs="Arial"/>
              </w:rPr>
              <w:t>/</w:t>
            </w:r>
            <w:proofErr w:type="spellStart"/>
            <w:r w:rsidRPr="007047F5">
              <w:rPr>
                <w:rFonts w:cs="Arial"/>
              </w:rPr>
              <w:t>who.html</w:t>
            </w:r>
            <w:proofErr w:type="spellEnd"/>
          </w:p>
        </w:tc>
      </w:tr>
      <w:tr w:rsidR="000337E3" w:rsidRPr="005970A0" w:rsidTr="00E3419C">
        <w:trPr>
          <w:cantSplit/>
        </w:trPr>
        <w:tc>
          <w:tcPr>
            <w:tcW w:w="887" w:type="pct"/>
          </w:tcPr>
          <w:p w:rsidR="000337E3" w:rsidRPr="005970A0" w:rsidRDefault="000337E3" w:rsidP="00B75870">
            <w:pPr>
              <w:pStyle w:val="DQIRowHeadings"/>
              <w:keepNext w:val="0"/>
            </w:pPr>
            <w:r w:rsidRPr="005970A0">
              <w:t>Relevance</w:t>
            </w:r>
          </w:p>
        </w:tc>
        <w:tc>
          <w:tcPr>
            <w:tcW w:w="4113" w:type="pct"/>
            <w:gridSpan w:val="2"/>
          </w:tcPr>
          <w:p w:rsidR="0006639A" w:rsidRDefault="0006639A" w:rsidP="00B75870">
            <w:pPr>
              <w:pStyle w:val="DQITableText"/>
              <w:keepNext w:val="0"/>
            </w:pPr>
            <w:r>
              <w:t xml:space="preserve">The National VET Provider Collection collects information relating to students, courses, qualifications, training providers and funding in Australia’s publicly funded </w:t>
            </w:r>
            <w:r w:rsidR="00E22A04">
              <w:t>VET</w:t>
            </w:r>
            <w:r>
              <w:t xml:space="preserve"> system.</w:t>
            </w:r>
          </w:p>
          <w:p w:rsidR="0006639A" w:rsidRDefault="0006639A" w:rsidP="00B75870">
            <w:pPr>
              <w:pStyle w:val="DQITableText"/>
              <w:keepNext w:val="0"/>
            </w:pPr>
            <w:r>
              <w:t>The system provides training for students of all ages and backgrounds. Students have many options for training and may study individual subjects or full courses that lead to formal qualifications. Training takes place in classrooms, in the workplace, online and through other flexible delivery methods.</w:t>
            </w:r>
          </w:p>
          <w:p w:rsidR="0006639A" w:rsidRDefault="0006639A" w:rsidP="00B75870">
            <w:pPr>
              <w:pStyle w:val="DQITableText"/>
              <w:keepNext w:val="0"/>
            </w:pPr>
            <w:r>
              <w:t>Providers of vocational education and training in Australia include not only technical and further education (TAFE) institutes, but also universities, secondary schools, industry organisations, private enterprises, agricultural colleges, community education providers and other government providers.</w:t>
            </w:r>
          </w:p>
          <w:p w:rsidR="00B75870" w:rsidRDefault="00B75870" w:rsidP="00A121DC">
            <w:pPr>
              <w:pStyle w:val="DQITableText"/>
              <w:keepNext w:val="0"/>
            </w:pPr>
            <w:r>
              <w:t>This collection does not cover the following types of training activity:</w:t>
            </w:r>
          </w:p>
          <w:p w:rsidR="00B75870" w:rsidRDefault="00B75870" w:rsidP="00A121DC">
            <w:pPr>
              <w:pStyle w:val="DQITableBullet"/>
              <w:keepNext w:val="0"/>
            </w:pPr>
            <w:r>
              <w:t xml:space="preserve">recreation, leisure and personal enrichment </w:t>
            </w:r>
          </w:p>
          <w:p w:rsidR="00B75870" w:rsidRDefault="00B75870" w:rsidP="00A121DC">
            <w:pPr>
              <w:pStyle w:val="DQITableBullet"/>
              <w:keepNext w:val="0"/>
            </w:pPr>
            <w:r>
              <w:t>fee-for-service VET by community education and private providers</w:t>
            </w:r>
          </w:p>
          <w:p w:rsidR="00B75870" w:rsidRDefault="00B75870" w:rsidP="00A121DC">
            <w:pPr>
              <w:pStyle w:val="DQITableBullet"/>
              <w:keepNext w:val="0"/>
            </w:pPr>
            <w:r>
              <w:t>delivery undertaken at overseas campuses of Australian VET institutions</w:t>
            </w:r>
          </w:p>
          <w:p w:rsidR="00B75870" w:rsidRDefault="00B75870" w:rsidP="00A121DC">
            <w:pPr>
              <w:pStyle w:val="DQITableBullet"/>
              <w:keepNext w:val="0"/>
            </w:pPr>
            <w:r>
              <w:t>credit transfer</w:t>
            </w:r>
          </w:p>
          <w:p w:rsidR="00B75870" w:rsidRDefault="00B75870" w:rsidP="00A121DC">
            <w:pPr>
              <w:pStyle w:val="DQITableBullet"/>
              <w:keepNext w:val="0"/>
            </w:pPr>
            <w:r>
              <w:t>VET delivered in schools, where the training activity was undertaken as part of a senior secondary certificate</w:t>
            </w:r>
          </w:p>
          <w:p w:rsidR="00A121DC" w:rsidRPr="005970A0" w:rsidRDefault="00B75870" w:rsidP="00A121DC">
            <w:pPr>
              <w:pStyle w:val="DQITableBullet"/>
              <w:keepNext w:val="0"/>
            </w:pPr>
            <w:r>
              <w:t xml:space="preserve">any activity where revenue was earned from another registered training organisation in terms of subcontracted, </w:t>
            </w:r>
            <w:proofErr w:type="spellStart"/>
            <w:r>
              <w:t>auspicing</w:t>
            </w:r>
            <w:proofErr w:type="spellEnd"/>
            <w:r>
              <w:t>, partnership or similar arrangements.</w:t>
            </w:r>
          </w:p>
        </w:tc>
      </w:tr>
      <w:tr w:rsidR="000337E3" w:rsidRPr="005970A0" w:rsidTr="00A121DC">
        <w:trPr>
          <w:cantSplit/>
        </w:trPr>
        <w:tc>
          <w:tcPr>
            <w:tcW w:w="887" w:type="pct"/>
            <w:shd w:val="clear" w:color="auto" w:fill="auto"/>
          </w:tcPr>
          <w:p w:rsidR="000337E3" w:rsidRPr="005970A0" w:rsidRDefault="000337E3" w:rsidP="00B7743D">
            <w:pPr>
              <w:pStyle w:val="DQIRowHeadings"/>
              <w:keepNext w:val="0"/>
            </w:pPr>
            <w:r w:rsidRPr="005970A0">
              <w:lastRenderedPageBreak/>
              <w:t>Timeliness</w:t>
            </w:r>
          </w:p>
        </w:tc>
        <w:tc>
          <w:tcPr>
            <w:tcW w:w="4113" w:type="pct"/>
            <w:gridSpan w:val="2"/>
            <w:shd w:val="clear" w:color="auto" w:fill="auto"/>
          </w:tcPr>
          <w:p w:rsidR="00B75870" w:rsidRDefault="00B75870" w:rsidP="00A121DC">
            <w:pPr>
              <w:pStyle w:val="DQITableText"/>
            </w:pPr>
            <w:r>
              <w:t xml:space="preserve">The National VET Provider Collection is submitted to </w:t>
            </w:r>
            <w:proofErr w:type="spellStart"/>
            <w:r>
              <w:t>NCVER</w:t>
            </w:r>
            <w:proofErr w:type="spellEnd"/>
            <w:r>
              <w:t xml:space="preserve"> on a quarterly basis and consists of data for January to March, January to June, January to September and January to December. </w:t>
            </w:r>
          </w:p>
          <w:p w:rsidR="00A121DC" w:rsidRPr="005970A0" w:rsidRDefault="00B75870" w:rsidP="00A121DC">
            <w:pPr>
              <w:pStyle w:val="DQITableText"/>
              <w:keepNext w:val="0"/>
            </w:pPr>
            <w:r>
              <w:t>A summary of 2014 data was released on 30 June 2015 in Government-funded students and courses 2014.</w:t>
            </w:r>
          </w:p>
        </w:tc>
      </w:tr>
      <w:tr w:rsidR="000337E3" w:rsidRPr="005970A0" w:rsidTr="00E3419C">
        <w:trPr>
          <w:cantSplit/>
        </w:trPr>
        <w:tc>
          <w:tcPr>
            <w:tcW w:w="887" w:type="pct"/>
          </w:tcPr>
          <w:p w:rsidR="000337E3" w:rsidRPr="005970A0" w:rsidRDefault="000337E3" w:rsidP="00B75870">
            <w:pPr>
              <w:pStyle w:val="DQIRowHeadings"/>
              <w:keepNext w:val="0"/>
            </w:pPr>
            <w:r w:rsidRPr="005970A0">
              <w:t>Accuracy</w:t>
            </w:r>
          </w:p>
        </w:tc>
        <w:tc>
          <w:tcPr>
            <w:tcW w:w="4113" w:type="pct"/>
            <w:gridSpan w:val="2"/>
          </w:tcPr>
          <w:p w:rsidR="000337E3" w:rsidRPr="005970A0" w:rsidRDefault="000337E3" w:rsidP="00B75870">
            <w:pPr>
              <w:pStyle w:val="DQITableText"/>
              <w:keepNext w:val="0"/>
            </w:pPr>
            <w:r w:rsidRPr="005970A0">
              <w:t>The National VET Provider Collection is a collection of all publicly funded training activity in Australia in a particular year. It is an administrative collection.</w:t>
            </w:r>
          </w:p>
          <w:p w:rsidR="000337E3" w:rsidRPr="005970A0" w:rsidRDefault="000337E3" w:rsidP="00B75870">
            <w:pPr>
              <w:pStyle w:val="DQITableText"/>
              <w:keepNext w:val="0"/>
            </w:pPr>
            <w:r w:rsidRPr="005970A0">
              <w:t xml:space="preserve">Publicly funded registered training organisations submit unit record data directly to state/territory training authorities, who in turn submit the data to </w:t>
            </w:r>
            <w:proofErr w:type="spellStart"/>
            <w:r w:rsidRPr="005970A0">
              <w:t>NCVER</w:t>
            </w:r>
            <w:proofErr w:type="spellEnd"/>
            <w:r w:rsidRPr="005970A0">
              <w:t xml:space="preserve">. Prior to submissions to </w:t>
            </w:r>
            <w:proofErr w:type="spellStart"/>
            <w:r w:rsidRPr="005970A0">
              <w:t>NCVER</w:t>
            </w:r>
            <w:proofErr w:type="spellEnd"/>
            <w:r w:rsidRPr="005970A0">
              <w:t xml:space="preserve">, data must first pass a validation process to ensure that data conforms to the </w:t>
            </w:r>
            <w:proofErr w:type="spellStart"/>
            <w:r w:rsidR="00E22A04">
              <w:t>AVETMISS</w:t>
            </w:r>
            <w:proofErr w:type="spellEnd"/>
            <w:r w:rsidRPr="005970A0">
              <w:t xml:space="preserve"> (Refer to http://</w:t>
            </w:r>
            <w:proofErr w:type="spellStart"/>
            <w:r w:rsidRPr="005970A0">
              <w:t>www.ncver.edu.au</w:t>
            </w:r>
            <w:proofErr w:type="spellEnd"/>
            <w:r w:rsidRPr="005970A0">
              <w:t>/</w:t>
            </w:r>
            <w:proofErr w:type="spellStart"/>
            <w:r w:rsidRPr="005970A0">
              <w:t>avetmiss</w:t>
            </w:r>
            <w:proofErr w:type="spellEnd"/>
            <w:r w:rsidRPr="005970A0">
              <w:t>/</w:t>
            </w:r>
            <w:proofErr w:type="spellStart"/>
            <w:r w:rsidRPr="005970A0">
              <w:t>21055.html</w:t>
            </w:r>
            <w:proofErr w:type="spellEnd"/>
            <w:r w:rsidRPr="005970A0">
              <w:t xml:space="preserve">). </w:t>
            </w:r>
          </w:p>
          <w:p w:rsidR="0006639A" w:rsidRPr="005970A0" w:rsidRDefault="000337E3" w:rsidP="00B75870">
            <w:pPr>
              <w:pStyle w:val="DQITableText"/>
              <w:keepNext w:val="0"/>
            </w:pPr>
            <w:r w:rsidRPr="005970A0">
              <w:t xml:space="preserve">Once data submissions are received by </w:t>
            </w:r>
            <w:proofErr w:type="spellStart"/>
            <w:r w:rsidRPr="005970A0">
              <w:t>NCVER</w:t>
            </w:r>
            <w:proofErr w:type="spellEnd"/>
            <w:r w:rsidRPr="005970A0">
              <w:t xml:space="preserve"> they are subjected to a comprehensive data quality checking program to ensure accurate reporting against agreed Key Performance Measures (</w:t>
            </w:r>
            <w:proofErr w:type="spellStart"/>
            <w:r w:rsidRPr="005970A0">
              <w:t>KPMs</w:t>
            </w:r>
            <w:proofErr w:type="spellEnd"/>
            <w:r w:rsidRPr="005970A0">
              <w:t xml:space="preserve">). </w:t>
            </w:r>
            <w:r w:rsidR="0006639A" w:rsidRPr="005970A0">
              <w:t xml:space="preserve">Some of the </w:t>
            </w:r>
            <w:proofErr w:type="spellStart"/>
            <w:r w:rsidR="0006639A" w:rsidRPr="005970A0">
              <w:t>KPMs</w:t>
            </w:r>
            <w:proofErr w:type="spellEnd"/>
            <w:r w:rsidR="0006639A" w:rsidRPr="005970A0">
              <w:t xml:space="preserve"> include:</w:t>
            </w:r>
          </w:p>
          <w:p w:rsidR="0006639A" w:rsidRPr="005970A0" w:rsidRDefault="0006639A" w:rsidP="00B75870">
            <w:pPr>
              <w:pStyle w:val="DQITableBullet"/>
              <w:keepNext w:val="0"/>
            </w:pPr>
            <w:r w:rsidRPr="005970A0">
              <w:t>Percentage of unknown data</w:t>
            </w:r>
          </w:p>
          <w:p w:rsidR="0006639A" w:rsidRPr="005970A0" w:rsidRDefault="0006639A" w:rsidP="00B75870">
            <w:pPr>
              <w:pStyle w:val="DQITableBullet"/>
              <w:keepNext w:val="0"/>
            </w:pPr>
            <w:r w:rsidRPr="005970A0">
              <w:t>The number of training organisation identifiers that do not match the National Training Information Service (</w:t>
            </w:r>
            <w:proofErr w:type="spellStart"/>
            <w:r w:rsidRPr="005970A0">
              <w:t>NTIS</w:t>
            </w:r>
            <w:proofErr w:type="spellEnd"/>
            <w:r w:rsidRPr="005970A0">
              <w:t>) listing</w:t>
            </w:r>
          </w:p>
          <w:p w:rsidR="0006639A" w:rsidRPr="005970A0" w:rsidRDefault="0006639A" w:rsidP="00B75870">
            <w:pPr>
              <w:pStyle w:val="DQITableBullet"/>
              <w:keepNext w:val="0"/>
            </w:pPr>
            <w:r w:rsidRPr="005970A0">
              <w:t>Inappropriate training organisation delivery locations</w:t>
            </w:r>
          </w:p>
          <w:p w:rsidR="0006639A" w:rsidRPr="005970A0" w:rsidRDefault="0006639A" w:rsidP="00B75870">
            <w:pPr>
              <w:pStyle w:val="DQITableBullet"/>
              <w:keepNext w:val="0"/>
            </w:pPr>
            <w:r w:rsidRPr="005970A0">
              <w:t xml:space="preserve">The number of qualifications/courses that do not match the </w:t>
            </w:r>
            <w:proofErr w:type="spellStart"/>
            <w:r w:rsidRPr="005970A0">
              <w:t>NTIS</w:t>
            </w:r>
            <w:proofErr w:type="spellEnd"/>
            <w:r w:rsidRPr="005970A0">
              <w:t xml:space="preserve"> listing</w:t>
            </w:r>
          </w:p>
          <w:p w:rsidR="0006639A" w:rsidRPr="005970A0" w:rsidRDefault="0006639A" w:rsidP="00B75870">
            <w:pPr>
              <w:pStyle w:val="DQITableBullet"/>
              <w:keepNext w:val="0"/>
            </w:pPr>
            <w:r w:rsidRPr="005970A0">
              <w:t xml:space="preserve">The number of modules/units of competency that do not match the </w:t>
            </w:r>
            <w:proofErr w:type="spellStart"/>
            <w:r w:rsidRPr="005970A0">
              <w:t>NTIS</w:t>
            </w:r>
            <w:proofErr w:type="spellEnd"/>
            <w:r w:rsidRPr="005970A0">
              <w:t xml:space="preserve"> listing </w:t>
            </w:r>
          </w:p>
          <w:p w:rsidR="0006639A" w:rsidRPr="005970A0" w:rsidRDefault="0006639A" w:rsidP="00B75870">
            <w:pPr>
              <w:pStyle w:val="DQITableBullet"/>
              <w:keepNext w:val="0"/>
            </w:pPr>
            <w:r w:rsidRPr="005970A0">
              <w:t>Duplicate client identification</w:t>
            </w:r>
          </w:p>
          <w:p w:rsidR="0006639A" w:rsidRPr="005970A0" w:rsidRDefault="0006639A" w:rsidP="00B75870">
            <w:pPr>
              <w:pStyle w:val="DQITableBullet"/>
              <w:keepNext w:val="0"/>
            </w:pPr>
            <w:r w:rsidRPr="005970A0">
              <w:t>Duplicate qualifications completed</w:t>
            </w:r>
          </w:p>
          <w:p w:rsidR="0006639A" w:rsidRPr="005970A0" w:rsidRDefault="0006639A" w:rsidP="00B75870">
            <w:pPr>
              <w:pStyle w:val="DQITableBullet"/>
              <w:keepNext w:val="0"/>
            </w:pPr>
            <w:r w:rsidRPr="005970A0">
              <w:t>Reporting scopes</w:t>
            </w:r>
          </w:p>
          <w:p w:rsidR="0006639A" w:rsidRDefault="0006639A" w:rsidP="00B75870">
            <w:pPr>
              <w:pStyle w:val="DQITableBullet"/>
              <w:keepNext w:val="0"/>
            </w:pPr>
            <w:r w:rsidRPr="005970A0">
              <w:t>Funding sources</w:t>
            </w:r>
          </w:p>
          <w:p w:rsidR="000337E3" w:rsidRPr="005970A0" w:rsidRDefault="0006639A" w:rsidP="00B75870">
            <w:pPr>
              <w:pStyle w:val="DQITableBullet"/>
              <w:keepNext w:val="0"/>
            </w:pPr>
            <w:r w:rsidRPr="005970A0">
              <w:t>Outcome identifiers</w:t>
            </w:r>
            <w:r>
              <w:t>.</w:t>
            </w:r>
          </w:p>
        </w:tc>
      </w:tr>
      <w:tr w:rsidR="000337E3" w:rsidRPr="005970A0" w:rsidTr="00E3419C">
        <w:trPr>
          <w:cantSplit/>
        </w:trPr>
        <w:tc>
          <w:tcPr>
            <w:tcW w:w="887" w:type="pct"/>
          </w:tcPr>
          <w:p w:rsidR="000337E3" w:rsidRPr="005970A0" w:rsidRDefault="000337E3" w:rsidP="00B75870">
            <w:pPr>
              <w:pStyle w:val="DQIRowHeadings"/>
              <w:keepNext w:val="0"/>
            </w:pPr>
            <w:r w:rsidRPr="005970A0">
              <w:t>Coherence</w:t>
            </w:r>
          </w:p>
        </w:tc>
        <w:tc>
          <w:tcPr>
            <w:tcW w:w="4113" w:type="pct"/>
            <w:gridSpan w:val="2"/>
          </w:tcPr>
          <w:p w:rsidR="00E3419C" w:rsidRDefault="000337E3" w:rsidP="00B75870">
            <w:pPr>
              <w:pStyle w:val="DQITableText"/>
              <w:keepNext w:val="0"/>
            </w:pPr>
            <w:proofErr w:type="spellStart"/>
            <w:r w:rsidRPr="005970A0">
              <w:t>AVETMISS</w:t>
            </w:r>
            <w:proofErr w:type="spellEnd"/>
            <w:r w:rsidRPr="005970A0">
              <w:t xml:space="preserve"> provides the foundation for nationally comparable data and includes a range of data items relevant to the VET system. </w:t>
            </w:r>
          </w:p>
          <w:p w:rsidR="00B75870" w:rsidRPr="00B75870" w:rsidRDefault="000337E3" w:rsidP="00B75870">
            <w:pPr>
              <w:pStyle w:val="DQITableBullet"/>
              <w:rPr>
                <w:color w:val="0000FF"/>
                <w:u w:val="single"/>
              </w:rPr>
            </w:pPr>
            <w:r w:rsidRPr="005970A0">
              <w:t xml:space="preserve">From 2007, data comply with release 6.0 of </w:t>
            </w:r>
            <w:proofErr w:type="spellStart"/>
            <w:r w:rsidRPr="005970A0">
              <w:t>AVETMISS</w:t>
            </w:r>
            <w:proofErr w:type="spellEnd"/>
            <w:r w:rsidRPr="005970A0">
              <w:t xml:space="preserve">, whereas previous collections complied with earlier releases. </w:t>
            </w:r>
          </w:p>
          <w:p w:rsidR="000337E3" w:rsidRDefault="000337E3" w:rsidP="00B75870">
            <w:pPr>
              <w:pStyle w:val="DQITableBullet"/>
              <w:rPr>
                <w:rStyle w:val="Hyperlink"/>
              </w:rPr>
            </w:pPr>
            <w:r w:rsidRPr="00EC5E2C">
              <w:t xml:space="preserve">From 2012, data comply with release 6.1 of </w:t>
            </w:r>
            <w:proofErr w:type="spellStart"/>
            <w:r w:rsidRPr="00EC5E2C">
              <w:t>AVETMISS</w:t>
            </w:r>
            <w:proofErr w:type="spellEnd"/>
            <w:r w:rsidRPr="00EC5E2C">
              <w:t xml:space="preserve">, whereas previous collections complied with earlier releases. </w:t>
            </w:r>
          </w:p>
          <w:p w:rsidR="00B75870" w:rsidRPr="00B75870" w:rsidRDefault="00B75870" w:rsidP="00A121DC">
            <w:pPr>
              <w:pStyle w:val="DQITableBullet"/>
              <w:rPr>
                <w:color w:val="0000FF"/>
                <w:u w:val="single"/>
              </w:rPr>
            </w:pPr>
            <w:r>
              <w:t xml:space="preserve">From 2014, Release 7.0 came into effect. </w:t>
            </w:r>
          </w:p>
          <w:p w:rsidR="00B75870" w:rsidRDefault="00B75870" w:rsidP="00A121DC">
            <w:pPr>
              <w:pStyle w:val="DQITableText"/>
              <w:rPr>
                <w:rStyle w:val="Hyperlink"/>
              </w:rPr>
            </w:pPr>
            <w:r>
              <w:t>For further information go to &lt;http://</w:t>
            </w:r>
            <w:proofErr w:type="spellStart"/>
            <w:r>
              <w:t>www.ncver.edu.au</w:t>
            </w:r>
            <w:proofErr w:type="spellEnd"/>
            <w:r>
              <w:t>/</w:t>
            </w:r>
            <w:proofErr w:type="spellStart"/>
            <w:r>
              <w:t>avetmiss</w:t>
            </w:r>
            <w:proofErr w:type="spellEnd"/>
            <w:r>
              <w:t>/</w:t>
            </w:r>
            <w:proofErr w:type="spellStart"/>
            <w:r>
              <w:t>21055.html</w:t>
            </w:r>
            <w:proofErr w:type="spellEnd"/>
            <w:r>
              <w:t>&gt;.</w:t>
            </w:r>
          </w:p>
          <w:p w:rsidR="00E3419C" w:rsidRPr="005970A0" w:rsidRDefault="00E3419C" w:rsidP="00B75870">
            <w:pPr>
              <w:pStyle w:val="DQITableText"/>
              <w:keepNext w:val="0"/>
            </w:pPr>
            <w:r w:rsidRPr="00A121DC">
              <w:t>In 2010, the invalid enrolment audit cycle changed, with States and Territories now being audited for invalid enrolments over a three-year cycle rather than annually. For 2014 training activity, SA, WA, Tasmania, the NT, and the ACT were audited and received a new invalid enrolment rate; the invalid enrolment rates for the other States and Territories for 2014 are those calculated for 2013.</w:t>
            </w:r>
          </w:p>
        </w:tc>
      </w:tr>
      <w:tr w:rsidR="000337E3" w:rsidRPr="005970A0" w:rsidTr="00E3419C">
        <w:trPr>
          <w:cantSplit/>
        </w:trPr>
        <w:tc>
          <w:tcPr>
            <w:tcW w:w="887" w:type="pct"/>
          </w:tcPr>
          <w:p w:rsidR="000337E3" w:rsidRPr="005970A0" w:rsidRDefault="000337E3" w:rsidP="00B75870">
            <w:pPr>
              <w:pStyle w:val="DQIRowHeadings"/>
              <w:keepNext w:val="0"/>
            </w:pPr>
            <w:r w:rsidRPr="005970A0">
              <w:t>Accessibility</w:t>
            </w:r>
          </w:p>
        </w:tc>
        <w:tc>
          <w:tcPr>
            <w:tcW w:w="4113" w:type="pct"/>
            <w:gridSpan w:val="2"/>
          </w:tcPr>
          <w:p w:rsidR="000337E3" w:rsidRDefault="000337E3" w:rsidP="00B75870">
            <w:pPr>
              <w:pStyle w:val="DQITableText"/>
              <w:keepNext w:val="0"/>
            </w:pPr>
            <w:r w:rsidRPr="005970A0">
              <w:t xml:space="preserve">Summary information is available free of charge in Students and Courses on </w:t>
            </w:r>
            <w:proofErr w:type="spellStart"/>
            <w:r w:rsidRPr="005970A0">
              <w:t>NCVER’s</w:t>
            </w:r>
            <w:proofErr w:type="spellEnd"/>
            <w:r w:rsidRPr="005970A0">
              <w:t xml:space="preserve"> website at: </w:t>
            </w:r>
            <w:r w:rsidRPr="007047F5">
              <w:rPr>
                <w:rFonts w:cs="Arial"/>
                <w:sz w:val="20"/>
              </w:rPr>
              <w:t>http://</w:t>
            </w:r>
            <w:proofErr w:type="spellStart"/>
            <w:r w:rsidRPr="007047F5">
              <w:rPr>
                <w:rFonts w:cs="Arial"/>
                <w:sz w:val="20"/>
              </w:rPr>
              <w:t>www.ncver.edu.au</w:t>
            </w:r>
            <w:proofErr w:type="spellEnd"/>
            <w:r w:rsidRPr="007047F5">
              <w:rPr>
                <w:rFonts w:cs="Arial"/>
                <w:sz w:val="20"/>
              </w:rPr>
              <w:t>/statistic/</w:t>
            </w:r>
            <w:proofErr w:type="spellStart"/>
            <w:r w:rsidRPr="007047F5">
              <w:rPr>
                <w:rFonts w:cs="Arial"/>
                <w:sz w:val="20"/>
              </w:rPr>
              <w:t>21053.html</w:t>
            </w:r>
            <w:proofErr w:type="spellEnd"/>
            <w:r w:rsidRPr="005970A0">
              <w:t xml:space="preserve">. Requests for more detailed statistical information can be made to </w:t>
            </w:r>
            <w:proofErr w:type="spellStart"/>
            <w:r w:rsidRPr="005970A0">
              <w:t>NCVER</w:t>
            </w:r>
            <w:proofErr w:type="spellEnd"/>
            <w:r w:rsidRPr="005970A0">
              <w:t xml:space="preserve"> on (08) 8230 8400 or </w:t>
            </w:r>
            <w:proofErr w:type="spellStart"/>
            <w:r w:rsidRPr="007047F5">
              <w:rPr>
                <w:rFonts w:cs="Arial"/>
                <w:sz w:val="20"/>
              </w:rPr>
              <w:t>vet_req@ncver.edu.au</w:t>
            </w:r>
            <w:proofErr w:type="spellEnd"/>
          </w:p>
          <w:p w:rsidR="000337E3" w:rsidRPr="005970A0" w:rsidRDefault="000337E3" w:rsidP="00B75870">
            <w:pPr>
              <w:pStyle w:val="DQITableText"/>
              <w:keepNext w:val="0"/>
            </w:pPr>
            <w:r w:rsidRPr="005970A0">
              <w:t xml:space="preserve">A charge will be generally made by </w:t>
            </w:r>
            <w:proofErr w:type="spellStart"/>
            <w:r w:rsidR="00C90987">
              <w:t>NCVER</w:t>
            </w:r>
            <w:proofErr w:type="spellEnd"/>
            <w:r w:rsidRPr="005970A0">
              <w:t xml:space="preserve"> for more complex requests for information. See </w:t>
            </w:r>
            <w:proofErr w:type="spellStart"/>
            <w:r w:rsidRPr="005970A0">
              <w:t>NCVER’s</w:t>
            </w:r>
            <w:proofErr w:type="spellEnd"/>
            <w:r w:rsidRPr="005970A0">
              <w:t xml:space="preserve"> fees and charges policy at http://</w:t>
            </w:r>
            <w:proofErr w:type="spellStart"/>
            <w:r w:rsidRPr="005970A0">
              <w:t>www.ncver.edu.au</w:t>
            </w:r>
            <w:proofErr w:type="spellEnd"/>
            <w:r w:rsidRPr="005970A0">
              <w:t>/statistic/</w:t>
            </w:r>
            <w:proofErr w:type="spellStart"/>
            <w:r w:rsidRPr="005970A0">
              <w:t>21075.html</w:t>
            </w:r>
            <w:proofErr w:type="spellEnd"/>
          </w:p>
        </w:tc>
      </w:tr>
      <w:tr w:rsidR="000337E3" w:rsidRPr="005970A0" w:rsidTr="00E3419C">
        <w:trPr>
          <w:cantSplit/>
        </w:trPr>
        <w:tc>
          <w:tcPr>
            <w:tcW w:w="887" w:type="pct"/>
          </w:tcPr>
          <w:p w:rsidR="000337E3" w:rsidRPr="005970A0" w:rsidRDefault="000337E3" w:rsidP="00B75870">
            <w:pPr>
              <w:pStyle w:val="DQIRowHeadings"/>
              <w:keepNext w:val="0"/>
            </w:pPr>
            <w:r w:rsidRPr="005970A0">
              <w:lastRenderedPageBreak/>
              <w:t>Interpretability</w:t>
            </w:r>
          </w:p>
        </w:tc>
        <w:tc>
          <w:tcPr>
            <w:tcW w:w="4113" w:type="pct"/>
            <w:gridSpan w:val="2"/>
          </w:tcPr>
          <w:p w:rsidR="000337E3" w:rsidRPr="005970A0" w:rsidRDefault="000337E3" w:rsidP="00B75870">
            <w:pPr>
              <w:pStyle w:val="DQITableText"/>
              <w:keepNext w:val="0"/>
            </w:pPr>
            <w:r w:rsidRPr="005970A0">
              <w:t xml:space="preserve">To aid interpretation, information on the National VET Provider Collection, </w:t>
            </w:r>
            <w:proofErr w:type="spellStart"/>
            <w:r w:rsidRPr="005970A0">
              <w:t>AVETMISS</w:t>
            </w:r>
            <w:proofErr w:type="spellEnd"/>
            <w:r w:rsidRPr="005970A0">
              <w:t xml:space="preserve">, and Students and Courses is available on the </w:t>
            </w:r>
            <w:proofErr w:type="spellStart"/>
            <w:r w:rsidRPr="005970A0">
              <w:t>NCVER</w:t>
            </w:r>
            <w:proofErr w:type="spellEnd"/>
            <w:r w:rsidRPr="005970A0">
              <w:t xml:space="preserve"> website.</w:t>
            </w:r>
          </w:p>
          <w:p w:rsidR="000337E3" w:rsidRPr="00F05339" w:rsidRDefault="000337E3" w:rsidP="00B75870">
            <w:pPr>
              <w:pStyle w:val="DQITableText"/>
              <w:keepNext w:val="0"/>
              <w:rPr>
                <w:szCs w:val="18"/>
              </w:rPr>
            </w:pPr>
            <w:r w:rsidRPr="00F05339">
              <w:rPr>
                <w:szCs w:val="18"/>
              </w:rPr>
              <w:t xml:space="preserve">Among other standards detailed in </w:t>
            </w:r>
            <w:proofErr w:type="spellStart"/>
            <w:r w:rsidRPr="00F05339">
              <w:rPr>
                <w:szCs w:val="18"/>
              </w:rPr>
              <w:t>AVETMISS</w:t>
            </w:r>
            <w:proofErr w:type="spellEnd"/>
            <w:r w:rsidRPr="00F05339">
              <w:rPr>
                <w:szCs w:val="18"/>
              </w:rPr>
              <w:t>, the collection uses the:</w:t>
            </w:r>
          </w:p>
          <w:p w:rsidR="000337E3" w:rsidRPr="00F05339" w:rsidRDefault="000337E3" w:rsidP="00B75870">
            <w:pPr>
              <w:pStyle w:val="DQITableBullet"/>
              <w:keepNext w:val="0"/>
              <w:rPr>
                <w:szCs w:val="18"/>
              </w:rPr>
            </w:pPr>
            <w:r w:rsidRPr="00F05339">
              <w:rPr>
                <w:bCs/>
                <w:szCs w:val="18"/>
                <w:u w:val="single"/>
              </w:rPr>
              <w:t xml:space="preserve">Australian </w:t>
            </w:r>
            <w:r w:rsidR="007B68DE">
              <w:rPr>
                <w:bCs/>
                <w:szCs w:val="18"/>
                <w:u w:val="single"/>
              </w:rPr>
              <w:t xml:space="preserve">Standard </w:t>
            </w:r>
            <w:r w:rsidRPr="00F05339">
              <w:rPr>
                <w:bCs/>
                <w:szCs w:val="18"/>
                <w:u w:val="single"/>
              </w:rPr>
              <w:t>Classification of Education (</w:t>
            </w:r>
            <w:proofErr w:type="spellStart"/>
            <w:r w:rsidRPr="00F05339">
              <w:rPr>
                <w:bCs/>
                <w:szCs w:val="18"/>
                <w:u w:val="single"/>
              </w:rPr>
              <w:t>ASCED</w:t>
            </w:r>
            <w:proofErr w:type="spellEnd"/>
            <w:r w:rsidRPr="00F05339">
              <w:rPr>
                <w:bCs/>
                <w:szCs w:val="18"/>
                <w:u w:val="single"/>
              </w:rPr>
              <w:t>) (ABS cat. no. 1272.0)</w:t>
            </w:r>
            <w:r w:rsidRPr="00F05339">
              <w:rPr>
                <w:szCs w:val="18"/>
              </w:rPr>
              <w:t xml:space="preserve"> to classify the level and field of education</w:t>
            </w:r>
          </w:p>
          <w:p w:rsidR="000337E3" w:rsidRPr="00F05339" w:rsidRDefault="000337E3" w:rsidP="00B75870">
            <w:pPr>
              <w:pStyle w:val="DQITableBullet"/>
              <w:keepNext w:val="0"/>
              <w:rPr>
                <w:szCs w:val="18"/>
              </w:rPr>
            </w:pPr>
            <w:r w:rsidRPr="007047F5">
              <w:rPr>
                <w:rFonts w:cs="Arial"/>
                <w:szCs w:val="18"/>
              </w:rPr>
              <w:t>Australian and New Zealand Standard Classification of Occupations (</w:t>
            </w:r>
            <w:proofErr w:type="spellStart"/>
            <w:r w:rsidRPr="007047F5">
              <w:rPr>
                <w:rFonts w:cs="Arial"/>
                <w:szCs w:val="18"/>
              </w:rPr>
              <w:t>ANZSCO</w:t>
            </w:r>
            <w:proofErr w:type="spellEnd"/>
            <w:r w:rsidRPr="007047F5">
              <w:rPr>
                <w:rFonts w:cs="Arial"/>
                <w:szCs w:val="18"/>
              </w:rPr>
              <w:t xml:space="preserve">, previously </w:t>
            </w:r>
            <w:proofErr w:type="spellStart"/>
            <w:r w:rsidRPr="007047F5">
              <w:rPr>
                <w:rFonts w:cs="Arial"/>
                <w:szCs w:val="18"/>
              </w:rPr>
              <w:t>ASCO</w:t>
            </w:r>
            <w:proofErr w:type="spellEnd"/>
            <w:r w:rsidRPr="007047F5">
              <w:rPr>
                <w:rFonts w:cs="Arial"/>
                <w:szCs w:val="18"/>
              </w:rPr>
              <w:t>) (ABS cat. no. 1220.0)</w:t>
            </w:r>
            <w:r w:rsidRPr="00F05339">
              <w:rPr>
                <w:szCs w:val="18"/>
              </w:rPr>
              <w:t xml:space="preserve"> to classify occupation</w:t>
            </w:r>
          </w:p>
          <w:p w:rsidR="000337E3" w:rsidRPr="00F05339" w:rsidRDefault="000337E3" w:rsidP="00B75870">
            <w:pPr>
              <w:pStyle w:val="DQITableBullet"/>
              <w:keepNext w:val="0"/>
              <w:rPr>
                <w:szCs w:val="18"/>
              </w:rPr>
            </w:pPr>
            <w:r w:rsidRPr="00F05339">
              <w:rPr>
                <w:szCs w:val="18"/>
                <w:u w:val="single"/>
              </w:rPr>
              <w:t>Access/Remoteness Index of Australia (ARIA+)</w:t>
            </w:r>
            <w:r w:rsidRPr="00F05339">
              <w:rPr>
                <w:szCs w:val="18"/>
              </w:rPr>
              <w:t xml:space="preserve"> to classify remoteness. It was developed by the National Centre for Applications of Geographic Information Systems (</w:t>
            </w:r>
            <w:proofErr w:type="spellStart"/>
            <w:r w:rsidRPr="00F05339">
              <w:rPr>
                <w:szCs w:val="18"/>
              </w:rPr>
              <w:t>GISCA</w:t>
            </w:r>
            <w:proofErr w:type="spellEnd"/>
            <w:r w:rsidRPr="00F05339">
              <w:rPr>
                <w:szCs w:val="18"/>
              </w:rPr>
              <w:t>) and is the standard ABS endorsed measure of remoteness.</w:t>
            </w:r>
          </w:p>
          <w:p w:rsidR="000337E3" w:rsidRPr="005970A0" w:rsidRDefault="000337E3" w:rsidP="00B75870">
            <w:pPr>
              <w:pStyle w:val="DQITableText"/>
              <w:keepNext w:val="0"/>
            </w:pPr>
            <w:r w:rsidRPr="00F05339">
              <w:rPr>
                <w:szCs w:val="18"/>
              </w:rPr>
              <w:t>Student remoteness is based</w:t>
            </w:r>
            <w:r w:rsidRPr="004A75E6">
              <w:t xml:space="preserve"> on the Access/Remoteness Index of Australia (ARIA+), which was developed by the National Centre for Social Applications of Geographic Information Systems (</w:t>
            </w:r>
            <w:proofErr w:type="spellStart"/>
            <w:r w:rsidRPr="004A75E6">
              <w:t>GISCA</w:t>
            </w:r>
            <w:proofErr w:type="spellEnd"/>
            <w:r w:rsidRPr="004A75E6">
              <w:t xml:space="preserve">). ARIA+ is now the standard ABS-endorsed measure of remoteness. From 2011, Student remoteness (ARIA+) is determined from ARIA+ remoteness regions and ABS </w:t>
            </w:r>
            <w:proofErr w:type="spellStart"/>
            <w:r w:rsidRPr="004A75E6">
              <w:t>SA2</w:t>
            </w:r>
            <w:proofErr w:type="spellEnd"/>
            <w:r w:rsidRPr="004A75E6">
              <w:t xml:space="preserve"> regions. Data prior to 2011 is based on ABS postal areas and ARIA+. Student remoteness (ARIA+) regions use the same ARIA+ ranges as the ABS remoteness areas and are therefore an </w:t>
            </w:r>
            <w:r w:rsidRPr="00934A89">
              <w:rPr>
                <w:szCs w:val="18"/>
              </w:rPr>
              <w:t>approximation of the ABS remoteness areas. For more details of ARIA+ refer to</w:t>
            </w:r>
            <w:r>
              <w:rPr>
                <w:szCs w:val="18"/>
              </w:rPr>
              <w:t xml:space="preserve"> </w:t>
            </w:r>
            <w:r w:rsidRPr="00934A89">
              <w:rPr>
                <w:szCs w:val="18"/>
              </w:rPr>
              <w:t xml:space="preserve"> &lt;</w:t>
            </w:r>
            <w:proofErr w:type="spellStart"/>
            <w:r w:rsidRPr="007047F5">
              <w:rPr>
                <w:rFonts w:cs="Arial"/>
                <w:szCs w:val="18"/>
              </w:rPr>
              <w:t>www.adelaide.edu.au</w:t>
            </w:r>
            <w:proofErr w:type="spellEnd"/>
            <w:r w:rsidRPr="007047F5">
              <w:rPr>
                <w:rFonts w:cs="Arial"/>
                <w:szCs w:val="18"/>
              </w:rPr>
              <w:t>/</w:t>
            </w:r>
            <w:proofErr w:type="spellStart"/>
            <w:r w:rsidRPr="007047F5">
              <w:rPr>
                <w:rFonts w:cs="Arial"/>
                <w:szCs w:val="18"/>
              </w:rPr>
              <w:t>apmrc</w:t>
            </w:r>
            <w:proofErr w:type="spellEnd"/>
            <w:r w:rsidRPr="007047F5">
              <w:rPr>
                <w:rFonts w:cs="Arial"/>
                <w:szCs w:val="18"/>
              </w:rPr>
              <w:t>/ research/projects/category/</w:t>
            </w:r>
            <w:proofErr w:type="spellStart"/>
            <w:r w:rsidRPr="007047F5">
              <w:rPr>
                <w:rFonts w:cs="Arial"/>
                <w:szCs w:val="18"/>
              </w:rPr>
              <w:t>about_aria.html</w:t>
            </w:r>
            <w:proofErr w:type="spellEnd"/>
            <w:r w:rsidRPr="00934A89">
              <w:rPr>
                <w:szCs w:val="18"/>
              </w:rPr>
              <w:t>&gt;</w:t>
            </w:r>
          </w:p>
        </w:tc>
      </w:tr>
      <w:tr w:rsidR="000337E3" w:rsidRPr="005970A0" w:rsidTr="00E3419C">
        <w:trPr>
          <w:cantSplit/>
        </w:trPr>
        <w:tc>
          <w:tcPr>
            <w:tcW w:w="5000" w:type="pct"/>
            <w:gridSpan w:val="3"/>
            <w:shd w:val="clear" w:color="auto" w:fill="auto"/>
          </w:tcPr>
          <w:p w:rsidR="000337E3" w:rsidRPr="005970A0" w:rsidRDefault="000337E3" w:rsidP="00B75870">
            <w:pPr>
              <w:pStyle w:val="DQIMainRowHeadings"/>
              <w:keepNext w:val="0"/>
            </w:pPr>
            <w:r w:rsidRPr="005970A0">
              <w:t>Data Gaps/Issues Analysis</w:t>
            </w:r>
          </w:p>
        </w:tc>
      </w:tr>
      <w:tr w:rsidR="000337E3" w:rsidRPr="005970A0" w:rsidTr="00E3419C">
        <w:trPr>
          <w:cantSplit/>
        </w:trPr>
        <w:tc>
          <w:tcPr>
            <w:tcW w:w="922" w:type="pct"/>
            <w:gridSpan w:val="2"/>
            <w:shd w:val="clear" w:color="auto" w:fill="auto"/>
          </w:tcPr>
          <w:p w:rsidR="000337E3" w:rsidRPr="005970A0" w:rsidRDefault="000337E3" w:rsidP="00B75870">
            <w:pPr>
              <w:pStyle w:val="DQIRowHeadings"/>
              <w:keepNext w:val="0"/>
            </w:pPr>
            <w:r w:rsidRPr="005970A0">
              <w:t>Key data gaps/ issues</w:t>
            </w:r>
          </w:p>
        </w:tc>
        <w:tc>
          <w:tcPr>
            <w:tcW w:w="4078" w:type="pct"/>
            <w:shd w:val="clear" w:color="auto" w:fill="auto"/>
          </w:tcPr>
          <w:p w:rsidR="000337E3" w:rsidRPr="005970A0" w:rsidRDefault="00327525" w:rsidP="00B75870">
            <w:pPr>
              <w:pStyle w:val="DQITableText"/>
              <w:keepNext w:val="0"/>
            </w:pPr>
            <w:r>
              <w:t xml:space="preserve">See performance indicator </w:t>
            </w:r>
            <w:proofErr w:type="spellStart"/>
            <w:r>
              <w:t>DQI</w:t>
            </w:r>
            <w:proofErr w:type="spellEnd"/>
          </w:p>
        </w:tc>
      </w:tr>
    </w:tbl>
    <w:p w:rsidR="00B75870" w:rsidRDefault="00B75870" w:rsidP="00B7743D">
      <w:pPr>
        <w:pStyle w:val="BoxSpaceBelow"/>
      </w:pPr>
      <w:bookmarkStart w:id="22" w:name="_Toc325398234"/>
      <w:bookmarkStart w:id="23" w:name="_Toc396227456"/>
    </w:p>
    <w:p w:rsidR="000337E3" w:rsidRDefault="000337E3" w:rsidP="00B7743D">
      <w:pPr>
        <w:pStyle w:val="BoxSpaceBelow"/>
      </w:pPr>
      <w:r>
        <w:br w:type="page"/>
      </w:r>
    </w:p>
    <w:p w:rsidR="00A83ED7" w:rsidRPr="009D2BB2" w:rsidRDefault="00A83ED7" w:rsidP="00A83ED7">
      <w:pPr>
        <w:pStyle w:val="Heading3"/>
      </w:pPr>
      <w:bookmarkStart w:id="24" w:name="NationalFinanceDataCollection"/>
      <w:bookmarkStart w:id="25" w:name="_Toc436148758"/>
      <w:r w:rsidRPr="005970A0">
        <w:lastRenderedPageBreak/>
        <w:t xml:space="preserve">National VET </w:t>
      </w:r>
      <w:r w:rsidR="007D57F5">
        <w:t>financial data collection</w:t>
      </w:r>
      <w:bookmarkEnd w:id="24"/>
      <w:bookmarkEnd w:id="25"/>
    </w:p>
    <w:p w:rsidR="00A83ED7" w:rsidRPr="005970A0" w:rsidRDefault="00A83ED7" w:rsidP="00A83ED7">
      <w:pPr>
        <w:pStyle w:val="Box"/>
      </w:pPr>
      <w:r w:rsidRPr="005970A0">
        <w:t xml:space="preserve">Data quality information for this indicator has been drafted by the </w:t>
      </w:r>
      <w:proofErr w:type="spellStart"/>
      <w:r w:rsidR="00E22A04">
        <w:t>NCVER</w:t>
      </w:r>
      <w:proofErr w:type="spellEnd"/>
      <w:r w:rsidRPr="005970A0">
        <w:t xml:space="preserve"> and the Secretariat, in consultation with the VET Working Group.</w:t>
      </w:r>
    </w:p>
    <w:tbl>
      <w:tblPr>
        <w:tblW w:w="5000" w:type="pct"/>
        <w:tblCellMar>
          <w:left w:w="0" w:type="dxa"/>
          <w:right w:w="0" w:type="dxa"/>
        </w:tblCellMar>
        <w:tblLook w:val="0000" w:firstRow="0" w:lastRow="0" w:firstColumn="0" w:lastColumn="0" w:noHBand="0" w:noVBand="0"/>
      </w:tblPr>
      <w:tblGrid>
        <w:gridCol w:w="1559"/>
        <w:gridCol w:w="62"/>
        <w:gridCol w:w="7168"/>
      </w:tblGrid>
      <w:tr w:rsidR="00A83ED7" w:rsidRPr="005970A0" w:rsidTr="009D6827">
        <w:tc>
          <w:tcPr>
            <w:tcW w:w="5000" w:type="pct"/>
            <w:gridSpan w:val="3"/>
          </w:tcPr>
          <w:p w:rsidR="00A83ED7" w:rsidRPr="005970A0" w:rsidRDefault="00A83ED7" w:rsidP="009D6827">
            <w:pPr>
              <w:pStyle w:val="DQIMainRowHeadings"/>
            </w:pPr>
            <w:r w:rsidRPr="005970A0">
              <w:t>Indicator definition and description</w:t>
            </w:r>
            <w:r w:rsidRPr="005970A0">
              <w:rPr>
                <w:rFonts w:cs="Arial"/>
                <w:sz w:val="22"/>
                <w:szCs w:val="22"/>
              </w:rPr>
              <w:t xml:space="preserve"> </w:t>
            </w:r>
          </w:p>
        </w:tc>
      </w:tr>
      <w:tr w:rsidR="00A83ED7" w:rsidRPr="005970A0" w:rsidTr="009D6827">
        <w:tc>
          <w:tcPr>
            <w:tcW w:w="887" w:type="pct"/>
          </w:tcPr>
          <w:p w:rsidR="00A83ED7" w:rsidRPr="005970A0" w:rsidRDefault="00A83ED7" w:rsidP="009D6827">
            <w:pPr>
              <w:pStyle w:val="DQIRowHeadings"/>
              <w:rPr>
                <w:b w:val="0"/>
              </w:rPr>
            </w:pPr>
            <w:r w:rsidRPr="005970A0">
              <w:t>Element</w:t>
            </w:r>
          </w:p>
        </w:tc>
        <w:tc>
          <w:tcPr>
            <w:tcW w:w="4113" w:type="pct"/>
            <w:gridSpan w:val="2"/>
          </w:tcPr>
          <w:p w:rsidR="00A83ED7" w:rsidRPr="005970A0" w:rsidRDefault="00A83ED7" w:rsidP="009D6827">
            <w:pPr>
              <w:pStyle w:val="DQITableText"/>
            </w:pPr>
            <w:r>
              <w:t>Various</w:t>
            </w:r>
          </w:p>
        </w:tc>
      </w:tr>
      <w:tr w:rsidR="00A83ED7" w:rsidRPr="005970A0" w:rsidTr="009D6827">
        <w:tc>
          <w:tcPr>
            <w:tcW w:w="887" w:type="pct"/>
          </w:tcPr>
          <w:p w:rsidR="00A83ED7" w:rsidRPr="005970A0" w:rsidRDefault="00A83ED7" w:rsidP="009D6827">
            <w:pPr>
              <w:pStyle w:val="DQIRowHeadings"/>
            </w:pPr>
            <w:r w:rsidRPr="005970A0">
              <w:t>Indicator</w:t>
            </w:r>
          </w:p>
        </w:tc>
        <w:tc>
          <w:tcPr>
            <w:tcW w:w="4113" w:type="pct"/>
            <w:gridSpan w:val="2"/>
          </w:tcPr>
          <w:p w:rsidR="00A83ED7" w:rsidRPr="005970A0" w:rsidRDefault="00A83ED7" w:rsidP="00680521">
            <w:pPr>
              <w:pStyle w:val="DQITableText"/>
            </w:pPr>
            <w:r>
              <w:t xml:space="preserve">The VET </w:t>
            </w:r>
            <w:r w:rsidR="007D57F5">
              <w:t xml:space="preserve">financial </w:t>
            </w:r>
            <w:r>
              <w:t>collection is used as a key data source for the following indicators:</w:t>
            </w:r>
          </w:p>
        </w:tc>
      </w:tr>
      <w:tr w:rsidR="00A83ED7" w:rsidRPr="005970A0" w:rsidTr="009D6827">
        <w:tc>
          <w:tcPr>
            <w:tcW w:w="887" w:type="pct"/>
          </w:tcPr>
          <w:p w:rsidR="00A83ED7" w:rsidRPr="005970A0" w:rsidRDefault="00A83ED7" w:rsidP="009D6827">
            <w:pPr>
              <w:pStyle w:val="DQIRowHeadings"/>
            </w:pPr>
            <w:r w:rsidRPr="005970A0">
              <w:t>Measure (computation)</w:t>
            </w:r>
          </w:p>
        </w:tc>
        <w:tc>
          <w:tcPr>
            <w:tcW w:w="4113" w:type="pct"/>
            <w:gridSpan w:val="2"/>
          </w:tcPr>
          <w:p w:rsidR="00680521" w:rsidRDefault="00680521" w:rsidP="00680521">
            <w:pPr>
              <w:pStyle w:val="DQITableBullet"/>
            </w:pPr>
            <w:r w:rsidRPr="007047F5">
              <w:t>Government recurrent expenditure per annual hour</w:t>
            </w:r>
          </w:p>
          <w:p w:rsidR="00680521" w:rsidRDefault="00680521" w:rsidP="00680521">
            <w:pPr>
              <w:pStyle w:val="DQITableBullet"/>
            </w:pPr>
            <w:r w:rsidRPr="007047F5">
              <w:t>Government recurrent expenditure per load pass</w:t>
            </w:r>
          </w:p>
          <w:p w:rsidR="00680521" w:rsidRPr="00680521" w:rsidRDefault="00680521" w:rsidP="00680521">
            <w:pPr>
              <w:pStyle w:val="DQITableBullet"/>
              <w:rPr>
                <w:b/>
                <w:sz w:val="20"/>
              </w:rPr>
            </w:pPr>
            <w:r w:rsidRPr="007047F5">
              <w:t>User cost of capital per annual hour</w:t>
            </w:r>
            <w:r w:rsidRPr="005970A0">
              <w:t xml:space="preserve"> </w:t>
            </w:r>
          </w:p>
          <w:p w:rsidR="00A83ED7" w:rsidRPr="000337E3" w:rsidRDefault="00680521" w:rsidP="00680521">
            <w:pPr>
              <w:pStyle w:val="DQITableBullet"/>
              <w:rPr>
                <w:rStyle w:val="DraftingNote"/>
                <w:color w:val="auto"/>
                <w:sz w:val="20"/>
                <w:u w:val="none"/>
              </w:rPr>
            </w:pPr>
            <w:r w:rsidRPr="007047F5">
              <w:t>User cost of capital per load pass</w:t>
            </w:r>
          </w:p>
        </w:tc>
      </w:tr>
      <w:tr w:rsidR="00A83ED7" w:rsidRPr="005970A0" w:rsidTr="009D6827">
        <w:tc>
          <w:tcPr>
            <w:tcW w:w="887" w:type="pct"/>
          </w:tcPr>
          <w:p w:rsidR="00A83ED7" w:rsidRPr="005970A0" w:rsidRDefault="00A83ED7" w:rsidP="009D6827">
            <w:pPr>
              <w:pStyle w:val="DQIRowHeadings"/>
            </w:pPr>
            <w:r w:rsidRPr="005970A0">
              <w:t>Data source/s</w:t>
            </w:r>
          </w:p>
        </w:tc>
        <w:tc>
          <w:tcPr>
            <w:tcW w:w="4113" w:type="pct"/>
            <w:gridSpan w:val="2"/>
            <w:shd w:val="clear" w:color="auto" w:fill="auto"/>
          </w:tcPr>
          <w:p w:rsidR="00A83ED7" w:rsidRDefault="00A83ED7" w:rsidP="009D6827">
            <w:pPr>
              <w:pStyle w:val="DQITableText"/>
            </w:pPr>
            <w:r w:rsidRPr="00115F58">
              <w:rPr>
                <w:i/>
              </w:rPr>
              <w:t xml:space="preserve">VET </w:t>
            </w:r>
            <w:r>
              <w:rPr>
                <w:i/>
              </w:rPr>
              <w:t>financial</w:t>
            </w:r>
            <w:r w:rsidRPr="00115F58">
              <w:rPr>
                <w:i/>
              </w:rPr>
              <w:t xml:space="preserve"> collection</w:t>
            </w:r>
            <w:r>
              <w:t xml:space="preserve">, </w:t>
            </w:r>
            <w:proofErr w:type="spellStart"/>
            <w:r w:rsidR="00E22A04">
              <w:t>NCVER</w:t>
            </w:r>
            <w:proofErr w:type="spellEnd"/>
            <w:r w:rsidRPr="00115F58">
              <w:t>.</w:t>
            </w:r>
          </w:p>
          <w:p w:rsidR="00A83ED7" w:rsidRPr="005970A0" w:rsidRDefault="00A83ED7" w:rsidP="007D57F5">
            <w:pPr>
              <w:pStyle w:val="DQITableBullet"/>
            </w:pPr>
            <w:r w:rsidRPr="00115F58">
              <w:t xml:space="preserve">The </w:t>
            </w:r>
            <w:r>
              <w:t xml:space="preserve">VET </w:t>
            </w:r>
            <w:r w:rsidR="007D57F5" w:rsidRPr="007D57F5">
              <w:t>financial</w:t>
            </w:r>
            <w:r w:rsidR="007D57F5" w:rsidRPr="00115F58">
              <w:rPr>
                <w:i/>
              </w:rPr>
              <w:t xml:space="preserve"> </w:t>
            </w:r>
            <w:r>
              <w:t xml:space="preserve">collection </w:t>
            </w:r>
            <w:r w:rsidRPr="00115F58">
              <w:t xml:space="preserve">provides a </w:t>
            </w:r>
            <w:r w:rsidR="007D57F5" w:rsidRPr="007D57F5">
              <w:t xml:space="preserve">nationally consistent standard for the collection, reporting and analysis of the public </w:t>
            </w:r>
            <w:r w:rsidR="00E22A04">
              <w:t>VET</w:t>
            </w:r>
            <w:r w:rsidR="007D57F5" w:rsidRPr="007D57F5">
              <w:t xml:space="preserve"> system information throughout Australia. It forms part of the </w:t>
            </w:r>
            <w:proofErr w:type="spellStart"/>
            <w:r w:rsidR="00E22A04">
              <w:t>AVETMISS</w:t>
            </w:r>
            <w:proofErr w:type="spellEnd"/>
            <w:r w:rsidR="007D57F5" w:rsidRPr="007D57F5">
              <w:t>. The standard has been developed and redefined over a number of years through consultations with major stakeholders. Data collections made under the standard are used as the basis for reporting the key performance measures for the VET sector, approved by Commonwealth, state and territory VET ministers.</w:t>
            </w:r>
          </w:p>
        </w:tc>
      </w:tr>
      <w:tr w:rsidR="00A83ED7" w:rsidRPr="005970A0" w:rsidTr="009D6827">
        <w:tc>
          <w:tcPr>
            <w:tcW w:w="5000" w:type="pct"/>
            <w:gridSpan w:val="3"/>
          </w:tcPr>
          <w:p w:rsidR="00A83ED7" w:rsidRPr="005970A0" w:rsidRDefault="00A83ED7" w:rsidP="009D6827">
            <w:pPr>
              <w:pStyle w:val="DQIMainRowHeadings"/>
            </w:pPr>
            <w:r w:rsidRPr="005970A0">
              <w:t>Data Quality Framework Dimensions</w:t>
            </w:r>
          </w:p>
        </w:tc>
      </w:tr>
      <w:tr w:rsidR="00A83ED7" w:rsidRPr="005970A0" w:rsidTr="009D6827">
        <w:tc>
          <w:tcPr>
            <w:tcW w:w="887" w:type="pct"/>
          </w:tcPr>
          <w:p w:rsidR="00A83ED7" w:rsidRPr="005970A0" w:rsidRDefault="00A83ED7" w:rsidP="009D6827">
            <w:pPr>
              <w:pStyle w:val="DQIRowHeadings"/>
            </w:pPr>
            <w:r w:rsidRPr="005970A0">
              <w:t>Institutional environment</w:t>
            </w:r>
          </w:p>
        </w:tc>
        <w:tc>
          <w:tcPr>
            <w:tcW w:w="4113" w:type="pct"/>
            <w:gridSpan w:val="2"/>
          </w:tcPr>
          <w:p w:rsidR="00A83ED7" w:rsidRPr="005970A0" w:rsidRDefault="00A83ED7" w:rsidP="009D6827">
            <w:pPr>
              <w:pStyle w:val="DQITableText"/>
            </w:pPr>
            <w:r w:rsidRPr="005970A0">
              <w:t xml:space="preserve">The </w:t>
            </w:r>
            <w:proofErr w:type="spellStart"/>
            <w:r w:rsidR="00E22A04">
              <w:t>NCVER</w:t>
            </w:r>
            <w:proofErr w:type="spellEnd"/>
            <w:r w:rsidRPr="005970A0">
              <w:t xml:space="preserve"> is a not-for-profit company owned by the federal, state and territory ministers responsible for training.</w:t>
            </w:r>
          </w:p>
          <w:p w:rsidR="00A83ED7" w:rsidRPr="005970A0" w:rsidRDefault="00A83ED7" w:rsidP="009D6827">
            <w:pPr>
              <w:pStyle w:val="DQITableText"/>
            </w:pPr>
            <w:proofErr w:type="spellStart"/>
            <w:r w:rsidRPr="005970A0">
              <w:t>NCVER</w:t>
            </w:r>
            <w:proofErr w:type="spellEnd"/>
            <w:r w:rsidRPr="005970A0">
              <w:t xml:space="preserve"> is a professional and independent body responsible for collecting, managing, analysing, evaluating and communicating research and statistics about </w:t>
            </w:r>
            <w:r w:rsidR="00E22A04">
              <w:t>VET</w:t>
            </w:r>
            <w:r w:rsidRPr="005970A0">
              <w:t xml:space="preserve"> nationally. It is Australia's principal provider of VET research and statistics.</w:t>
            </w:r>
          </w:p>
          <w:p w:rsidR="00A83ED7" w:rsidRPr="00115F58" w:rsidRDefault="00A83ED7" w:rsidP="009D6827">
            <w:pPr>
              <w:pStyle w:val="DQITableText"/>
              <w:rPr>
                <w:rFonts w:cs="Arial"/>
                <w:u w:val="single"/>
              </w:rPr>
            </w:pPr>
            <w:r w:rsidRPr="005970A0">
              <w:t xml:space="preserve">For further information on </w:t>
            </w:r>
            <w:proofErr w:type="spellStart"/>
            <w:r w:rsidR="00C90987">
              <w:t>NCVER</w:t>
            </w:r>
            <w:proofErr w:type="spellEnd"/>
            <w:r w:rsidRPr="005970A0">
              <w:t xml:space="preserve">, see </w:t>
            </w:r>
            <w:r w:rsidRPr="007047F5">
              <w:rPr>
                <w:rFonts w:cs="Arial"/>
              </w:rPr>
              <w:t>http://</w:t>
            </w:r>
            <w:proofErr w:type="spellStart"/>
            <w:r w:rsidRPr="007047F5">
              <w:rPr>
                <w:rFonts w:cs="Arial"/>
              </w:rPr>
              <w:t>www.ncver.edu.au</w:t>
            </w:r>
            <w:proofErr w:type="spellEnd"/>
            <w:r w:rsidRPr="007047F5">
              <w:rPr>
                <w:rFonts w:cs="Arial"/>
              </w:rPr>
              <w:t>/</w:t>
            </w:r>
            <w:r w:rsidRPr="007047F5">
              <w:rPr>
                <w:rFonts w:cs="Arial"/>
              </w:rPr>
              <w:br/>
            </w:r>
            <w:proofErr w:type="spellStart"/>
            <w:r w:rsidRPr="007047F5">
              <w:rPr>
                <w:rFonts w:cs="Arial"/>
              </w:rPr>
              <w:t>aboutncver</w:t>
            </w:r>
            <w:proofErr w:type="spellEnd"/>
            <w:r w:rsidRPr="007047F5">
              <w:rPr>
                <w:rFonts w:cs="Arial"/>
              </w:rPr>
              <w:t>/</w:t>
            </w:r>
            <w:proofErr w:type="spellStart"/>
            <w:r w:rsidRPr="007047F5">
              <w:rPr>
                <w:rFonts w:cs="Arial"/>
              </w:rPr>
              <w:t>who.html</w:t>
            </w:r>
            <w:proofErr w:type="spellEnd"/>
          </w:p>
        </w:tc>
      </w:tr>
      <w:tr w:rsidR="00A83ED7" w:rsidRPr="005970A0" w:rsidTr="009D6827">
        <w:tc>
          <w:tcPr>
            <w:tcW w:w="887" w:type="pct"/>
          </w:tcPr>
          <w:p w:rsidR="00A83ED7" w:rsidRPr="005970A0" w:rsidRDefault="00A83ED7" w:rsidP="009D6827">
            <w:pPr>
              <w:pStyle w:val="DQIRowHeadings"/>
            </w:pPr>
            <w:r w:rsidRPr="005970A0">
              <w:t>Relevance</w:t>
            </w:r>
          </w:p>
        </w:tc>
        <w:tc>
          <w:tcPr>
            <w:tcW w:w="4113" w:type="pct"/>
            <w:gridSpan w:val="2"/>
          </w:tcPr>
          <w:p w:rsidR="007D57F5" w:rsidRDefault="007D57F5" w:rsidP="007D57F5">
            <w:pPr>
              <w:pStyle w:val="DQITableText"/>
            </w:pPr>
            <w:r w:rsidRPr="005970A0">
              <w:t>The scope of the financial data collection covers all transactions that affect the financial performance, financial position and financing of the public VET system. The collection focuses on vocational education and training administered or provided by the main training authority or training department within each state and territory, their public training providers and the Department of Industry</w:t>
            </w:r>
            <w:r>
              <w:t>.</w:t>
            </w:r>
            <w:r w:rsidRPr="005970A0">
              <w:t xml:space="preserve"> </w:t>
            </w:r>
          </w:p>
          <w:p w:rsidR="00A83ED7" w:rsidRPr="005970A0" w:rsidRDefault="007D57F5" w:rsidP="007D57F5">
            <w:pPr>
              <w:pStyle w:val="DQITableText"/>
            </w:pPr>
            <w:r w:rsidRPr="005970A0">
              <w:t>The financial information has been extracted from accrual-based financial records.</w:t>
            </w:r>
          </w:p>
        </w:tc>
      </w:tr>
      <w:tr w:rsidR="007D57F5" w:rsidRPr="005970A0" w:rsidTr="009D6827">
        <w:tc>
          <w:tcPr>
            <w:tcW w:w="887" w:type="pct"/>
          </w:tcPr>
          <w:p w:rsidR="007D57F5" w:rsidRPr="005970A0" w:rsidRDefault="007D57F5" w:rsidP="00327525">
            <w:pPr>
              <w:pStyle w:val="DQIRowHeadings"/>
            </w:pPr>
            <w:r w:rsidRPr="005970A0">
              <w:t>Timeliness</w:t>
            </w:r>
          </w:p>
        </w:tc>
        <w:tc>
          <w:tcPr>
            <w:tcW w:w="4113" w:type="pct"/>
            <w:gridSpan w:val="2"/>
          </w:tcPr>
          <w:p w:rsidR="007D57F5" w:rsidRPr="00704CE4" w:rsidRDefault="007D57F5" w:rsidP="00327525">
            <w:pPr>
              <w:pStyle w:val="DQITableText"/>
            </w:pPr>
            <w:r w:rsidRPr="00704CE4">
              <w:t xml:space="preserve">The National VET Finance Collection is an annual collection of data. Audited data are submitted to </w:t>
            </w:r>
            <w:proofErr w:type="spellStart"/>
            <w:r w:rsidRPr="00704CE4">
              <w:t>NCVER</w:t>
            </w:r>
            <w:proofErr w:type="spellEnd"/>
            <w:r w:rsidRPr="00704CE4">
              <w:t xml:space="preserve"> (via state training authorities) in July in the year following activity.</w:t>
            </w:r>
          </w:p>
        </w:tc>
      </w:tr>
      <w:tr w:rsidR="007D57F5" w:rsidRPr="005970A0" w:rsidTr="009D6827">
        <w:tc>
          <w:tcPr>
            <w:tcW w:w="887" w:type="pct"/>
          </w:tcPr>
          <w:p w:rsidR="007D57F5" w:rsidRPr="005970A0" w:rsidRDefault="007D57F5" w:rsidP="00327525">
            <w:pPr>
              <w:pStyle w:val="DQIRowHeadings"/>
              <w:keepNext w:val="0"/>
            </w:pPr>
            <w:r w:rsidRPr="005970A0">
              <w:t>Accuracy</w:t>
            </w:r>
          </w:p>
        </w:tc>
        <w:tc>
          <w:tcPr>
            <w:tcW w:w="4113" w:type="pct"/>
            <w:gridSpan w:val="2"/>
          </w:tcPr>
          <w:p w:rsidR="007D57F5" w:rsidRPr="005970A0" w:rsidRDefault="007D57F5" w:rsidP="00327525">
            <w:pPr>
              <w:pStyle w:val="DQITableText"/>
              <w:keepNext w:val="0"/>
            </w:pPr>
            <w:r w:rsidRPr="005970A0">
              <w:t xml:space="preserve">Key financial data are audited to provide additional assurance on the quality of the reported data and consistent adoption of the requirements of the </w:t>
            </w:r>
            <w:proofErr w:type="spellStart"/>
            <w:r w:rsidR="00E22A04">
              <w:t>AVETMISS</w:t>
            </w:r>
            <w:proofErr w:type="spellEnd"/>
            <w:r w:rsidRPr="005970A0">
              <w:t>.</w:t>
            </w:r>
          </w:p>
          <w:p w:rsidR="007D57F5" w:rsidRPr="000B22FA" w:rsidRDefault="007D57F5" w:rsidP="00327525">
            <w:pPr>
              <w:pStyle w:val="DQITableText"/>
              <w:keepNext w:val="0"/>
              <w:rPr>
                <w:szCs w:val="22"/>
              </w:rPr>
            </w:pPr>
            <w:r w:rsidRPr="005970A0">
              <w:t xml:space="preserve">Differences exist across the accounting policies applied by state and territory governments; for example, in relation to the valuation and measurement of investments and property, and plant and equipment. Details of accounting policies for each jurisdiction are in the </w:t>
            </w:r>
            <w:proofErr w:type="spellStart"/>
            <w:r w:rsidRPr="005970A0">
              <w:t>AVETMISS</w:t>
            </w:r>
            <w:proofErr w:type="spellEnd"/>
            <w:r w:rsidRPr="005970A0">
              <w:t xml:space="preserve"> for VET financial data located at </w:t>
            </w:r>
            <w:r w:rsidRPr="007047F5">
              <w:rPr>
                <w:szCs w:val="22"/>
              </w:rPr>
              <w:t>http://</w:t>
            </w:r>
            <w:proofErr w:type="spellStart"/>
            <w:r w:rsidRPr="007047F5">
              <w:rPr>
                <w:szCs w:val="22"/>
              </w:rPr>
              <w:t>www.ncver.edu.au</w:t>
            </w:r>
            <w:proofErr w:type="spellEnd"/>
            <w:r w:rsidRPr="007047F5">
              <w:rPr>
                <w:szCs w:val="22"/>
              </w:rPr>
              <w:t>/</w:t>
            </w:r>
            <w:proofErr w:type="spellStart"/>
            <w:r w:rsidRPr="007047F5">
              <w:rPr>
                <w:szCs w:val="22"/>
              </w:rPr>
              <w:t>avetmiss</w:t>
            </w:r>
            <w:proofErr w:type="spellEnd"/>
            <w:r w:rsidRPr="007047F5">
              <w:rPr>
                <w:szCs w:val="22"/>
              </w:rPr>
              <w:t>/</w:t>
            </w:r>
            <w:proofErr w:type="spellStart"/>
            <w:r w:rsidRPr="007047F5">
              <w:rPr>
                <w:szCs w:val="22"/>
              </w:rPr>
              <w:t>21064.html</w:t>
            </w:r>
            <w:proofErr w:type="spellEnd"/>
          </w:p>
          <w:p w:rsidR="007D57F5" w:rsidRPr="005970A0" w:rsidRDefault="007D57F5" w:rsidP="00327525">
            <w:pPr>
              <w:pStyle w:val="DQITableText"/>
              <w:keepNext w:val="0"/>
            </w:pPr>
            <w:r w:rsidRPr="005970A0">
              <w:t>State and territory governments and the Australian Government were not required to submit detailed working papers. The data are supported by relevant working papers held by them and, where possible, reconciled to public documents such as annual reports and budget papers.</w:t>
            </w:r>
          </w:p>
        </w:tc>
      </w:tr>
      <w:tr w:rsidR="007D57F5" w:rsidRPr="005970A0" w:rsidTr="009D6827">
        <w:tc>
          <w:tcPr>
            <w:tcW w:w="887" w:type="pct"/>
          </w:tcPr>
          <w:p w:rsidR="007D57F5" w:rsidRPr="005970A0" w:rsidRDefault="007D57F5" w:rsidP="009D6827">
            <w:pPr>
              <w:pStyle w:val="DQIRowHeadings"/>
            </w:pPr>
            <w:r w:rsidRPr="005970A0">
              <w:lastRenderedPageBreak/>
              <w:t>Coherence</w:t>
            </w:r>
          </w:p>
        </w:tc>
        <w:tc>
          <w:tcPr>
            <w:tcW w:w="4113" w:type="pct"/>
            <w:gridSpan w:val="2"/>
          </w:tcPr>
          <w:p w:rsidR="007D57F5" w:rsidRPr="005970A0" w:rsidRDefault="007D57F5" w:rsidP="009D6827">
            <w:pPr>
              <w:pStyle w:val="DQITableText"/>
            </w:pPr>
            <w:r w:rsidRPr="005970A0">
              <w:t>VET in schools revenue can no longer be separated from the other specific purpose program payments made by the Australian Government to the states and territories. Hence, the numerator (</w:t>
            </w:r>
            <w:r>
              <w:t>‘g</w:t>
            </w:r>
            <w:r w:rsidRPr="005970A0">
              <w:t>overnment recurrent expenditure</w:t>
            </w:r>
            <w:r>
              <w:t>’</w:t>
            </w:r>
            <w:r w:rsidRPr="005970A0">
              <w:t xml:space="preserve">) includes payments received by states and territories for VET in schools programs. </w:t>
            </w:r>
            <w:r w:rsidRPr="00645C35">
              <w:t>In 2009, those payments for VET in schools previously excluded was approximately 0.2 per cent of government recurrent expenditure for VET.</w:t>
            </w:r>
          </w:p>
          <w:p w:rsidR="007D57F5" w:rsidRPr="005970A0" w:rsidRDefault="007D57F5" w:rsidP="009D6827">
            <w:pPr>
              <w:pStyle w:val="DQITableText"/>
            </w:pPr>
            <w:r w:rsidRPr="005970A0">
              <w:t>In 2007, Victoria adopted standard nominal hour values for common units of competency as the basis of calculating total annual hours of delivery, thereby achieving consistency with all other states and territories. To enable comparison over time, standard nominal hour values have been used to revise the time series back to 2002, except for Victoria, where data prior to 2007 cannot be rebased from scheduled hours to standard nominal hours.</w:t>
            </w:r>
          </w:p>
          <w:p w:rsidR="007D57F5" w:rsidRPr="005970A0" w:rsidRDefault="007D57F5" w:rsidP="009D6827">
            <w:pPr>
              <w:pStyle w:val="DQITableText"/>
            </w:pPr>
            <w:r w:rsidRPr="005970A0">
              <w:t>In 2010, the invalid enrolment audit cycle changed, with states and territories now being audited for invalid enrolments over a three-year cycle rather than annually. For 201</w:t>
            </w:r>
            <w:r>
              <w:t>3</w:t>
            </w:r>
            <w:r w:rsidRPr="005970A0">
              <w:t xml:space="preserve"> training </w:t>
            </w:r>
            <w:r w:rsidRPr="006A6253">
              <w:t xml:space="preserve">activity, </w:t>
            </w:r>
            <w:r>
              <w:t>New South Wales, Victoria</w:t>
            </w:r>
            <w:r w:rsidRPr="006A6253">
              <w:t>, and the Australian Capital Territory were audited and received a new invalid enrolment rate; the invalid enrolment rates for the other states and territories for 2013 are</w:t>
            </w:r>
            <w:r w:rsidRPr="000D7C47">
              <w:t xml:space="preserve"> those calculated for </w:t>
            </w:r>
            <w:r>
              <w:t>2012</w:t>
            </w:r>
            <w:r w:rsidRPr="000D7C47">
              <w:t>.</w:t>
            </w:r>
          </w:p>
        </w:tc>
      </w:tr>
      <w:tr w:rsidR="007D57F5" w:rsidRPr="005970A0" w:rsidTr="009D6827">
        <w:tc>
          <w:tcPr>
            <w:tcW w:w="887" w:type="pct"/>
          </w:tcPr>
          <w:p w:rsidR="007D57F5" w:rsidRPr="005970A0" w:rsidRDefault="007D57F5" w:rsidP="009D6827">
            <w:pPr>
              <w:pStyle w:val="DQIRowHeadings"/>
            </w:pPr>
            <w:r w:rsidRPr="005970A0">
              <w:t>Accessibility</w:t>
            </w:r>
          </w:p>
        </w:tc>
        <w:tc>
          <w:tcPr>
            <w:tcW w:w="4113" w:type="pct"/>
            <w:gridSpan w:val="2"/>
          </w:tcPr>
          <w:p w:rsidR="007D57F5" w:rsidRPr="005970A0" w:rsidRDefault="007D57F5" w:rsidP="009D6827">
            <w:pPr>
              <w:pStyle w:val="DQITableText"/>
            </w:pPr>
            <w:r w:rsidRPr="005970A0">
              <w:t xml:space="preserve">Summary information is available free of charge on </w:t>
            </w:r>
            <w:proofErr w:type="spellStart"/>
            <w:r w:rsidRPr="005970A0">
              <w:t>NCVER’s</w:t>
            </w:r>
            <w:proofErr w:type="spellEnd"/>
            <w:r w:rsidRPr="005970A0">
              <w:t xml:space="preserve"> website at: </w:t>
            </w:r>
            <w:r w:rsidRPr="007047F5">
              <w:rPr>
                <w:szCs w:val="22"/>
              </w:rPr>
              <w:t>http://</w:t>
            </w:r>
            <w:proofErr w:type="spellStart"/>
            <w:r w:rsidRPr="007047F5">
              <w:rPr>
                <w:szCs w:val="22"/>
              </w:rPr>
              <w:t>www.ncver.edu.au</w:t>
            </w:r>
            <w:proofErr w:type="spellEnd"/>
            <w:r w:rsidRPr="007047F5">
              <w:rPr>
                <w:szCs w:val="22"/>
              </w:rPr>
              <w:t>/statistic/</w:t>
            </w:r>
            <w:proofErr w:type="spellStart"/>
            <w:r w:rsidRPr="007047F5">
              <w:rPr>
                <w:szCs w:val="22"/>
              </w:rPr>
              <w:t>21051.html</w:t>
            </w:r>
            <w:proofErr w:type="spellEnd"/>
            <w:r w:rsidRPr="005970A0">
              <w:t xml:space="preserve">. </w:t>
            </w:r>
          </w:p>
          <w:p w:rsidR="007D57F5" w:rsidRPr="005970A0" w:rsidRDefault="007D57F5" w:rsidP="009D6827">
            <w:pPr>
              <w:pStyle w:val="DQITableText"/>
            </w:pPr>
            <w:r w:rsidRPr="005970A0">
              <w:t xml:space="preserve">Requests for more detailed statistical information can be made to </w:t>
            </w:r>
            <w:proofErr w:type="spellStart"/>
            <w:r w:rsidRPr="005970A0">
              <w:t>NCVER</w:t>
            </w:r>
            <w:proofErr w:type="spellEnd"/>
            <w:r w:rsidRPr="005970A0">
              <w:t xml:space="preserve">. However, a charge will be generally made for more complex requests for information. See </w:t>
            </w:r>
            <w:proofErr w:type="spellStart"/>
            <w:r w:rsidRPr="005970A0">
              <w:t>NCVER’s</w:t>
            </w:r>
            <w:proofErr w:type="spellEnd"/>
            <w:r w:rsidRPr="005970A0">
              <w:t xml:space="preserve"> fees and charges policy at: </w:t>
            </w:r>
            <w:r w:rsidRPr="007047F5">
              <w:rPr>
                <w:szCs w:val="22"/>
              </w:rPr>
              <w:t>http://</w:t>
            </w:r>
            <w:proofErr w:type="spellStart"/>
            <w:r w:rsidRPr="007047F5">
              <w:rPr>
                <w:szCs w:val="22"/>
              </w:rPr>
              <w:t>www.ncver.edu.au</w:t>
            </w:r>
            <w:proofErr w:type="spellEnd"/>
            <w:r w:rsidRPr="007047F5">
              <w:rPr>
                <w:szCs w:val="22"/>
              </w:rPr>
              <w:t>/statistic/</w:t>
            </w:r>
            <w:proofErr w:type="spellStart"/>
            <w:r w:rsidRPr="007047F5">
              <w:rPr>
                <w:szCs w:val="22"/>
              </w:rPr>
              <w:t>21075.html</w:t>
            </w:r>
            <w:proofErr w:type="spellEnd"/>
            <w:r w:rsidRPr="005970A0">
              <w:t>.</w:t>
            </w:r>
          </w:p>
        </w:tc>
      </w:tr>
      <w:tr w:rsidR="007D57F5" w:rsidRPr="005970A0" w:rsidTr="009D6827">
        <w:tc>
          <w:tcPr>
            <w:tcW w:w="887" w:type="pct"/>
          </w:tcPr>
          <w:p w:rsidR="007D57F5" w:rsidRPr="005970A0" w:rsidRDefault="007D57F5" w:rsidP="009D6827">
            <w:pPr>
              <w:pStyle w:val="DQIRowHeadings"/>
            </w:pPr>
            <w:r w:rsidRPr="005970A0">
              <w:t>Interpretability</w:t>
            </w:r>
          </w:p>
        </w:tc>
        <w:tc>
          <w:tcPr>
            <w:tcW w:w="4113" w:type="pct"/>
            <w:gridSpan w:val="2"/>
          </w:tcPr>
          <w:p w:rsidR="007D57F5" w:rsidRPr="005970A0" w:rsidRDefault="007D57F5" w:rsidP="009D6827">
            <w:pPr>
              <w:pStyle w:val="DQITableText"/>
            </w:pPr>
            <w:r w:rsidRPr="005970A0">
              <w:t xml:space="preserve">To aid interpretation, a statistical standard for the National VET Finance Collection is provided at: </w:t>
            </w:r>
            <w:r w:rsidRPr="007047F5">
              <w:rPr>
                <w:szCs w:val="22"/>
              </w:rPr>
              <w:t>http://</w:t>
            </w:r>
            <w:proofErr w:type="spellStart"/>
            <w:r w:rsidRPr="007047F5">
              <w:rPr>
                <w:szCs w:val="22"/>
              </w:rPr>
              <w:t>www.ncver.edu.au</w:t>
            </w:r>
            <w:proofErr w:type="spellEnd"/>
            <w:r w:rsidRPr="007047F5">
              <w:rPr>
                <w:szCs w:val="22"/>
              </w:rPr>
              <w:t>/</w:t>
            </w:r>
            <w:proofErr w:type="spellStart"/>
            <w:r w:rsidRPr="007047F5">
              <w:rPr>
                <w:szCs w:val="22"/>
              </w:rPr>
              <w:t>avetmiss</w:t>
            </w:r>
            <w:proofErr w:type="spellEnd"/>
            <w:r w:rsidRPr="007047F5">
              <w:rPr>
                <w:szCs w:val="22"/>
              </w:rPr>
              <w:t>/</w:t>
            </w:r>
            <w:proofErr w:type="spellStart"/>
            <w:r w:rsidRPr="007047F5">
              <w:rPr>
                <w:szCs w:val="22"/>
              </w:rPr>
              <w:t>21064.html</w:t>
            </w:r>
            <w:proofErr w:type="spellEnd"/>
            <w:r w:rsidRPr="005970A0">
              <w:t xml:space="preserve">. </w:t>
            </w:r>
          </w:p>
        </w:tc>
      </w:tr>
      <w:tr w:rsidR="007D57F5" w:rsidRPr="005970A0" w:rsidTr="009D6827">
        <w:tc>
          <w:tcPr>
            <w:tcW w:w="5000" w:type="pct"/>
            <w:gridSpan w:val="3"/>
            <w:shd w:val="clear" w:color="auto" w:fill="auto"/>
          </w:tcPr>
          <w:p w:rsidR="007D57F5" w:rsidRPr="005970A0" w:rsidRDefault="007D57F5" w:rsidP="009D6827">
            <w:pPr>
              <w:pStyle w:val="DQIMainRowHeadings"/>
            </w:pPr>
            <w:r w:rsidRPr="005970A0">
              <w:t>Data Gaps/Issues Analysis</w:t>
            </w:r>
          </w:p>
        </w:tc>
      </w:tr>
      <w:tr w:rsidR="007D57F5" w:rsidRPr="005970A0" w:rsidTr="009D6827">
        <w:tc>
          <w:tcPr>
            <w:tcW w:w="922" w:type="pct"/>
            <w:gridSpan w:val="2"/>
            <w:shd w:val="clear" w:color="auto" w:fill="auto"/>
          </w:tcPr>
          <w:p w:rsidR="007D57F5" w:rsidRPr="005970A0" w:rsidRDefault="007D57F5" w:rsidP="009D6827">
            <w:pPr>
              <w:pStyle w:val="DQIRowHeadings"/>
            </w:pPr>
            <w:r w:rsidRPr="005970A0">
              <w:t>Key data gaps/ issues</w:t>
            </w:r>
          </w:p>
        </w:tc>
        <w:tc>
          <w:tcPr>
            <w:tcW w:w="4078" w:type="pct"/>
            <w:shd w:val="clear" w:color="auto" w:fill="auto"/>
          </w:tcPr>
          <w:p w:rsidR="007D57F5" w:rsidRPr="005970A0" w:rsidRDefault="00327525" w:rsidP="009D6827">
            <w:pPr>
              <w:pStyle w:val="DQITableText"/>
            </w:pPr>
            <w:r>
              <w:t xml:space="preserve">See performance indicator </w:t>
            </w:r>
            <w:proofErr w:type="spellStart"/>
            <w:r>
              <w:t>DQI</w:t>
            </w:r>
            <w:proofErr w:type="spellEnd"/>
          </w:p>
        </w:tc>
      </w:tr>
    </w:tbl>
    <w:p w:rsidR="00A83ED7" w:rsidRDefault="00A83ED7" w:rsidP="00A83ED7">
      <w:pPr>
        <w:pStyle w:val="BoxSpaceBelow"/>
      </w:pPr>
    </w:p>
    <w:p w:rsidR="00B7743D" w:rsidRPr="009D2BB2" w:rsidRDefault="00B7743D" w:rsidP="00E340A5">
      <w:pPr>
        <w:pStyle w:val="Heading3"/>
      </w:pPr>
      <w:bookmarkStart w:id="26" w:name="StudentOutcomeSurvey"/>
      <w:bookmarkStart w:id="27" w:name="_Toc436148759"/>
      <w:r>
        <w:lastRenderedPageBreak/>
        <w:t xml:space="preserve">Student </w:t>
      </w:r>
      <w:r w:rsidRPr="00E340A5">
        <w:t>Outcome</w:t>
      </w:r>
      <w:r w:rsidR="00333C1E">
        <w:t>s</w:t>
      </w:r>
      <w:r>
        <w:t xml:space="preserve"> Survey</w:t>
      </w:r>
      <w:bookmarkEnd w:id="26"/>
      <w:bookmarkEnd w:id="27"/>
    </w:p>
    <w:p w:rsidR="00B7743D" w:rsidRPr="005970A0" w:rsidRDefault="00B7743D" w:rsidP="00B7743D">
      <w:pPr>
        <w:pStyle w:val="Box"/>
      </w:pPr>
      <w:r w:rsidRPr="005970A0">
        <w:t xml:space="preserve">Data quality information for this indicator has been drafted by the </w:t>
      </w:r>
      <w:proofErr w:type="spellStart"/>
      <w:r w:rsidR="00E22A04">
        <w:t>NCVER</w:t>
      </w:r>
      <w:proofErr w:type="spellEnd"/>
      <w:r w:rsidRPr="005970A0">
        <w:t xml:space="preserve"> and the Secretariat, in consultation with the VET Working Group.</w:t>
      </w:r>
    </w:p>
    <w:tbl>
      <w:tblPr>
        <w:tblW w:w="5000" w:type="pct"/>
        <w:tblCellMar>
          <w:left w:w="0" w:type="dxa"/>
          <w:right w:w="0" w:type="dxa"/>
        </w:tblCellMar>
        <w:tblLook w:val="0000" w:firstRow="0" w:lastRow="0" w:firstColumn="0" w:lastColumn="0" w:noHBand="0" w:noVBand="0"/>
      </w:tblPr>
      <w:tblGrid>
        <w:gridCol w:w="1559"/>
        <w:gridCol w:w="62"/>
        <w:gridCol w:w="7168"/>
      </w:tblGrid>
      <w:tr w:rsidR="00B7743D" w:rsidRPr="005970A0" w:rsidTr="00BB0A68">
        <w:tc>
          <w:tcPr>
            <w:tcW w:w="5000" w:type="pct"/>
            <w:gridSpan w:val="3"/>
          </w:tcPr>
          <w:p w:rsidR="00B7743D" w:rsidRPr="005970A0" w:rsidRDefault="00B7743D" w:rsidP="009D6827">
            <w:pPr>
              <w:pStyle w:val="DQIMainRowHeadings"/>
            </w:pPr>
            <w:r w:rsidRPr="005970A0">
              <w:t>Indicator definition and description</w:t>
            </w:r>
            <w:r w:rsidRPr="005970A0">
              <w:rPr>
                <w:rFonts w:cs="Arial"/>
                <w:sz w:val="22"/>
                <w:szCs w:val="22"/>
              </w:rPr>
              <w:t xml:space="preserve"> </w:t>
            </w:r>
          </w:p>
        </w:tc>
      </w:tr>
      <w:tr w:rsidR="00B7743D" w:rsidRPr="005970A0" w:rsidTr="00BB0A68">
        <w:tc>
          <w:tcPr>
            <w:tcW w:w="887" w:type="pct"/>
          </w:tcPr>
          <w:p w:rsidR="00B7743D" w:rsidRPr="005970A0" w:rsidRDefault="00B7743D" w:rsidP="009D6827">
            <w:pPr>
              <w:pStyle w:val="DQIRowHeadings"/>
              <w:rPr>
                <w:b w:val="0"/>
              </w:rPr>
            </w:pPr>
            <w:r w:rsidRPr="005970A0">
              <w:t>Element</w:t>
            </w:r>
          </w:p>
        </w:tc>
        <w:tc>
          <w:tcPr>
            <w:tcW w:w="4113" w:type="pct"/>
            <w:gridSpan w:val="2"/>
          </w:tcPr>
          <w:p w:rsidR="00B7743D" w:rsidRPr="005970A0" w:rsidRDefault="00B7743D" w:rsidP="009D6827">
            <w:pPr>
              <w:pStyle w:val="DQITableText"/>
            </w:pPr>
            <w:r>
              <w:t>Various</w:t>
            </w:r>
          </w:p>
        </w:tc>
      </w:tr>
      <w:tr w:rsidR="00B7743D" w:rsidRPr="005970A0" w:rsidTr="00BB0A68">
        <w:tc>
          <w:tcPr>
            <w:tcW w:w="887" w:type="pct"/>
          </w:tcPr>
          <w:p w:rsidR="00B7743D" w:rsidRPr="005970A0" w:rsidRDefault="00B7743D" w:rsidP="009D6827">
            <w:pPr>
              <w:pStyle w:val="DQIRowHeadings"/>
            </w:pPr>
            <w:r w:rsidRPr="005970A0">
              <w:t>Indicator</w:t>
            </w:r>
          </w:p>
        </w:tc>
        <w:tc>
          <w:tcPr>
            <w:tcW w:w="4113" w:type="pct"/>
            <w:gridSpan w:val="2"/>
          </w:tcPr>
          <w:p w:rsidR="00B7743D" w:rsidRPr="005970A0" w:rsidRDefault="00B7743D" w:rsidP="00680521">
            <w:pPr>
              <w:pStyle w:val="DQITableText"/>
            </w:pPr>
            <w:r>
              <w:t xml:space="preserve">The </w:t>
            </w:r>
            <w:r w:rsidR="00333C1E" w:rsidRPr="00333C1E">
              <w:t>Student Outcomes Survey</w:t>
            </w:r>
            <w:r w:rsidR="00333C1E">
              <w:t xml:space="preserve"> </w:t>
            </w:r>
            <w:r>
              <w:t>is used as a key data source for the following indicators:</w:t>
            </w:r>
          </w:p>
        </w:tc>
      </w:tr>
      <w:tr w:rsidR="00B7743D" w:rsidRPr="005970A0" w:rsidTr="00BB0A68">
        <w:tc>
          <w:tcPr>
            <w:tcW w:w="887" w:type="pct"/>
          </w:tcPr>
          <w:p w:rsidR="00B7743D" w:rsidRPr="005970A0" w:rsidRDefault="00B7743D" w:rsidP="009D6827">
            <w:pPr>
              <w:pStyle w:val="DQIRowHeadings"/>
            </w:pPr>
            <w:r w:rsidRPr="005970A0">
              <w:t>Measure (computation)</w:t>
            </w:r>
          </w:p>
        </w:tc>
        <w:tc>
          <w:tcPr>
            <w:tcW w:w="4113" w:type="pct"/>
            <w:gridSpan w:val="2"/>
          </w:tcPr>
          <w:p w:rsidR="00680521" w:rsidRPr="00680521" w:rsidRDefault="00680521" w:rsidP="00680521">
            <w:pPr>
              <w:pStyle w:val="DQITableBullet"/>
              <w:rPr>
                <w:b/>
                <w:sz w:val="20"/>
              </w:rPr>
            </w:pPr>
            <w:r w:rsidRPr="007047F5">
              <w:t>Student employment and further study outcomes</w:t>
            </w:r>
            <w:r>
              <w:t xml:space="preserve"> </w:t>
            </w:r>
          </w:p>
          <w:p w:rsidR="00B7743D" w:rsidRPr="000337E3" w:rsidRDefault="00680521" w:rsidP="00680521">
            <w:pPr>
              <w:pStyle w:val="DQITableBullet"/>
              <w:rPr>
                <w:rStyle w:val="DraftingNote"/>
                <w:color w:val="auto"/>
                <w:sz w:val="20"/>
                <w:u w:val="none"/>
              </w:rPr>
            </w:pPr>
            <w:r w:rsidRPr="007047F5">
              <w:t>Student satisfaction with VET</w:t>
            </w:r>
            <w:r>
              <w:t>.</w:t>
            </w:r>
          </w:p>
        </w:tc>
      </w:tr>
      <w:tr w:rsidR="00B7743D" w:rsidRPr="005970A0" w:rsidTr="00BB0A68">
        <w:tc>
          <w:tcPr>
            <w:tcW w:w="887" w:type="pct"/>
          </w:tcPr>
          <w:p w:rsidR="00B7743D" w:rsidRPr="005970A0" w:rsidRDefault="00B7743D" w:rsidP="009D6827">
            <w:pPr>
              <w:pStyle w:val="DQIRowHeadings"/>
            </w:pPr>
            <w:r w:rsidRPr="005970A0">
              <w:t>Data source/s</w:t>
            </w:r>
          </w:p>
        </w:tc>
        <w:tc>
          <w:tcPr>
            <w:tcW w:w="4113" w:type="pct"/>
            <w:gridSpan w:val="2"/>
            <w:shd w:val="clear" w:color="auto" w:fill="auto"/>
          </w:tcPr>
          <w:p w:rsidR="00E70A3A" w:rsidRDefault="00B7743D" w:rsidP="00E70A3A">
            <w:pPr>
              <w:pStyle w:val="DQITableText"/>
            </w:pPr>
            <w:r w:rsidRPr="005970A0">
              <w:rPr>
                <w:i/>
              </w:rPr>
              <w:t>Student Outcomes Survey</w:t>
            </w:r>
            <w:r w:rsidRPr="005970A0">
              <w:t xml:space="preserve"> (SOS)</w:t>
            </w:r>
            <w:r w:rsidR="00E70A3A">
              <w:t xml:space="preserve">, </w:t>
            </w:r>
            <w:proofErr w:type="spellStart"/>
            <w:r w:rsidR="00E22A04">
              <w:t>NCVER</w:t>
            </w:r>
            <w:proofErr w:type="spellEnd"/>
            <w:r w:rsidR="00E70A3A" w:rsidRPr="00115F58">
              <w:t>.</w:t>
            </w:r>
          </w:p>
          <w:p w:rsidR="00E70A3A" w:rsidRDefault="00E70A3A" w:rsidP="00E70A3A">
            <w:pPr>
              <w:pStyle w:val="DQITableBullet"/>
            </w:pPr>
            <w:r>
              <w:t>A</w:t>
            </w:r>
            <w:r w:rsidR="00B7743D" w:rsidRPr="005970A0">
              <w:t xml:space="preserve">n annual survey of students who successfully complete VET in Australia. </w:t>
            </w:r>
          </w:p>
          <w:p w:rsidR="00B7743D" w:rsidRPr="005970A0" w:rsidRDefault="00B7743D" w:rsidP="00E70A3A">
            <w:pPr>
              <w:pStyle w:val="DQITableBullet"/>
            </w:pPr>
            <w:r w:rsidRPr="005970A0">
              <w:t>The sample for the survey is drawn from the National VET Provider Collection.</w:t>
            </w:r>
          </w:p>
        </w:tc>
      </w:tr>
      <w:tr w:rsidR="00B7743D" w:rsidRPr="005970A0" w:rsidTr="00BB0A68">
        <w:tc>
          <w:tcPr>
            <w:tcW w:w="5000" w:type="pct"/>
            <w:gridSpan w:val="3"/>
          </w:tcPr>
          <w:p w:rsidR="00B7743D" w:rsidRPr="005970A0" w:rsidRDefault="00B7743D" w:rsidP="009D6827">
            <w:pPr>
              <w:pStyle w:val="DQIMainRowHeadings"/>
            </w:pPr>
            <w:r w:rsidRPr="005970A0">
              <w:t>Data Quality Framework Dimensions</w:t>
            </w:r>
          </w:p>
        </w:tc>
      </w:tr>
      <w:tr w:rsidR="00B7743D" w:rsidRPr="005970A0" w:rsidTr="00BB0A68">
        <w:tc>
          <w:tcPr>
            <w:tcW w:w="887" w:type="pct"/>
          </w:tcPr>
          <w:p w:rsidR="00B7743D" w:rsidRPr="005970A0" w:rsidRDefault="00B7743D" w:rsidP="009D6827">
            <w:pPr>
              <w:pStyle w:val="DQIRowHeadings"/>
            </w:pPr>
            <w:r w:rsidRPr="005970A0">
              <w:t>Institutional environment</w:t>
            </w:r>
          </w:p>
        </w:tc>
        <w:tc>
          <w:tcPr>
            <w:tcW w:w="4113" w:type="pct"/>
            <w:gridSpan w:val="2"/>
          </w:tcPr>
          <w:p w:rsidR="00B7743D" w:rsidRPr="005970A0" w:rsidRDefault="00B7743D" w:rsidP="009D6827">
            <w:pPr>
              <w:pStyle w:val="DQITableText"/>
            </w:pPr>
            <w:r w:rsidRPr="005970A0">
              <w:t xml:space="preserve">The </w:t>
            </w:r>
            <w:proofErr w:type="spellStart"/>
            <w:r w:rsidR="00E22A04">
              <w:t>NCVER</w:t>
            </w:r>
            <w:proofErr w:type="spellEnd"/>
            <w:r w:rsidRPr="005970A0">
              <w:t xml:space="preserve"> is a not-for-profit company owned by the federal, state and territory ministers responsible for training.</w:t>
            </w:r>
          </w:p>
          <w:p w:rsidR="00B7743D" w:rsidRPr="005970A0" w:rsidRDefault="00B7743D" w:rsidP="009D6827">
            <w:pPr>
              <w:pStyle w:val="DQITableText"/>
            </w:pPr>
            <w:proofErr w:type="spellStart"/>
            <w:r w:rsidRPr="005970A0">
              <w:t>NCVER</w:t>
            </w:r>
            <w:proofErr w:type="spellEnd"/>
            <w:r w:rsidRPr="005970A0">
              <w:t xml:space="preserve"> is a professional and independent body responsible for collecting, managing, analysing, evaluating and communicating research and statistics about </w:t>
            </w:r>
            <w:r w:rsidR="00E22A04">
              <w:t>VET</w:t>
            </w:r>
            <w:r w:rsidRPr="005970A0">
              <w:t xml:space="preserve"> nationally. It is Australia's principal provider of VET research and statistics.</w:t>
            </w:r>
          </w:p>
          <w:p w:rsidR="00B7743D" w:rsidRPr="00115F58" w:rsidRDefault="00B7743D" w:rsidP="00333C1E">
            <w:pPr>
              <w:pStyle w:val="DQITableText"/>
              <w:rPr>
                <w:rFonts w:cs="Arial"/>
                <w:u w:val="single"/>
              </w:rPr>
            </w:pPr>
            <w:r w:rsidRPr="005970A0">
              <w:t xml:space="preserve">For further information on </w:t>
            </w:r>
            <w:proofErr w:type="spellStart"/>
            <w:r w:rsidRPr="005970A0">
              <w:t>NCVER</w:t>
            </w:r>
            <w:proofErr w:type="spellEnd"/>
            <w:r w:rsidRPr="005970A0">
              <w:t xml:space="preserve">, see </w:t>
            </w:r>
            <w:r w:rsidRPr="007047F5">
              <w:rPr>
                <w:rFonts w:cs="Arial"/>
              </w:rPr>
              <w:t>http://</w:t>
            </w:r>
            <w:proofErr w:type="spellStart"/>
            <w:r w:rsidRPr="007047F5">
              <w:rPr>
                <w:rFonts w:cs="Arial"/>
              </w:rPr>
              <w:t>www.ncver.edu.au</w:t>
            </w:r>
            <w:proofErr w:type="spellEnd"/>
            <w:r w:rsidRPr="007047F5">
              <w:rPr>
                <w:rFonts w:cs="Arial"/>
              </w:rPr>
              <w:t>/</w:t>
            </w:r>
            <w:r w:rsidRPr="007047F5">
              <w:rPr>
                <w:rFonts w:cs="Arial"/>
              </w:rPr>
              <w:br/>
            </w:r>
            <w:proofErr w:type="spellStart"/>
            <w:r w:rsidRPr="007047F5">
              <w:rPr>
                <w:rFonts w:cs="Arial"/>
              </w:rPr>
              <w:t>aboutncver</w:t>
            </w:r>
            <w:proofErr w:type="spellEnd"/>
            <w:r w:rsidRPr="007047F5">
              <w:rPr>
                <w:rFonts w:cs="Arial"/>
              </w:rPr>
              <w:t>/</w:t>
            </w:r>
            <w:proofErr w:type="spellStart"/>
            <w:r w:rsidRPr="007047F5">
              <w:rPr>
                <w:rFonts w:cs="Arial"/>
              </w:rPr>
              <w:t>who.html</w:t>
            </w:r>
            <w:proofErr w:type="spellEnd"/>
          </w:p>
        </w:tc>
      </w:tr>
      <w:tr w:rsidR="0090683B" w:rsidRPr="005970A0" w:rsidTr="00BB0A68">
        <w:tc>
          <w:tcPr>
            <w:tcW w:w="887" w:type="pct"/>
          </w:tcPr>
          <w:p w:rsidR="0090683B" w:rsidRPr="005970A0" w:rsidRDefault="0090683B" w:rsidP="00680521">
            <w:pPr>
              <w:pStyle w:val="DQIRowHeadings"/>
            </w:pPr>
            <w:r w:rsidRPr="005970A0">
              <w:t>Relevance</w:t>
            </w:r>
          </w:p>
        </w:tc>
        <w:tc>
          <w:tcPr>
            <w:tcW w:w="4113" w:type="pct"/>
            <w:gridSpan w:val="2"/>
          </w:tcPr>
          <w:p w:rsidR="0090683B" w:rsidRPr="005970A0" w:rsidRDefault="0090683B" w:rsidP="00680521">
            <w:pPr>
              <w:pStyle w:val="DQITableText"/>
            </w:pPr>
            <w:r w:rsidRPr="005970A0">
              <w:t xml:space="preserve">The Student Outcomes Survey collects information on students’ employment outcomes and satisfaction with VET in Australia. </w:t>
            </w:r>
            <w:r w:rsidR="00333C1E" w:rsidRPr="00A121DC">
              <w:t>Students have the option to complete the survey online, or by hard-copy questionnaire. Some students are selected to complete the survey by telephone.</w:t>
            </w:r>
          </w:p>
          <w:p w:rsidR="0090683B" w:rsidRPr="005970A0" w:rsidRDefault="0090683B" w:rsidP="00680521">
            <w:pPr>
              <w:pStyle w:val="DQITableText"/>
            </w:pPr>
            <w:r w:rsidRPr="005970A0">
              <w:t>Information about the level and type of training students undertake, further study patterns and reasons for not continuing with the training (where applicable) is also collected.</w:t>
            </w:r>
          </w:p>
          <w:p w:rsidR="0090683B" w:rsidRPr="005970A0" w:rsidRDefault="0090683B" w:rsidP="00680521">
            <w:pPr>
              <w:pStyle w:val="DQITableText"/>
            </w:pPr>
            <w:r w:rsidRPr="005970A0">
              <w:t xml:space="preserve">The scope of the survey is nationally recognised VET (Figure 1).  </w:t>
            </w:r>
          </w:p>
        </w:tc>
      </w:tr>
      <w:tr w:rsidR="000049CE" w:rsidRPr="005970A0" w:rsidTr="00BB0A68">
        <w:tc>
          <w:tcPr>
            <w:tcW w:w="887" w:type="pct"/>
          </w:tcPr>
          <w:p w:rsidR="000049CE" w:rsidRPr="005970A0" w:rsidRDefault="000049CE" w:rsidP="000049CE">
            <w:pPr>
              <w:pStyle w:val="DQIRowHeadings"/>
            </w:pPr>
          </w:p>
        </w:tc>
        <w:tc>
          <w:tcPr>
            <w:tcW w:w="4113" w:type="pct"/>
            <w:gridSpan w:val="2"/>
            <w:tcBorders>
              <w:top w:val="single" w:sz="6" w:space="0" w:color="78A22F"/>
              <w:bottom w:val="single" w:sz="6" w:space="0" w:color="78A22F"/>
            </w:tcBorders>
          </w:tcPr>
          <w:p w:rsidR="000049CE" w:rsidRDefault="000049CE" w:rsidP="000049CE">
            <w:pPr>
              <w:pStyle w:val="TableTitle"/>
              <w:ind w:left="1135" w:hanging="993"/>
              <w:rPr>
                <w:sz w:val="18"/>
              </w:rPr>
            </w:pPr>
            <w:r>
              <w:rPr>
                <w:b w:val="0"/>
                <w:sz w:val="18"/>
              </w:rPr>
              <w:t>Figure</w:t>
            </w:r>
            <w:r w:rsidRPr="0090683B">
              <w:rPr>
                <w:b w:val="0"/>
                <w:sz w:val="18"/>
              </w:rPr>
              <w:t xml:space="preserve"> 1</w:t>
            </w:r>
            <w:r w:rsidRPr="0090683B">
              <w:rPr>
                <w:sz w:val="18"/>
              </w:rPr>
              <w:tab/>
            </w:r>
            <w:r w:rsidRPr="000049CE">
              <w:rPr>
                <w:sz w:val="18"/>
              </w:rPr>
              <w:t>Scope of the 201</w:t>
            </w:r>
            <w:r w:rsidR="00B80A1B">
              <w:rPr>
                <w:sz w:val="18"/>
              </w:rPr>
              <w:t>4</w:t>
            </w:r>
            <w:r w:rsidRPr="000049CE">
              <w:rPr>
                <w:sz w:val="18"/>
              </w:rPr>
              <w:t xml:space="preserve"> Student Outcomes Survey</w:t>
            </w:r>
          </w:p>
          <w:tbl>
            <w:tblPr>
              <w:tblW w:w="4900" w:type="pct"/>
              <w:jc w:val="center"/>
              <w:tblCellMar>
                <w:top w:w="28" w:type="dxa"/>
                <w:left w:w="0" w:type="dxa"/>
                <w:right w:w="0" w:type="dxa"/>
              </w:tblCellMar>
              <w:tblLook w:val="0000" w:firstRow="0" w:lastRow="0" w:firstColumn="0" w:lastColumn="0" w:noHBand="0" w:noVBand="0"/>
            </w:tblPr>
            <w:tblGrid>
              <w:gridCol w:w="218"/>
              <w:gridCol w:w="356"/>
              <w:gridCol w:w="356"/>
              <w:gridCol w:w="1998"/>
              <w:gridCol w:w="167"/>
              <w:gridCol w:w="1481"/>
              <w:gridCol w:w="1319"/>
              <w:gridCol w:w="1051"/>
              <w:gridCol w:w="139"/>
            </w:tblGrid>
            <w:tr w:rsidR="000D16DE" w:rsidTr="00ED0DD3">
              <w:trPr>
                <w:trHeight w:hRule="exact" w:val="397"/>
                <w:jc w:val="center"/>
              </w:trPr>
              <w:tc>
                <w:tcPr>
                  <w:tcW w:w="2066" w:type="pct"/>
                  <w:gridSpan w:val="4"/>
                  <w:shd w:val="clear" w:color="auto" w:fill="FFFFFF" w:themeFill="background1"/>
                  <w:tcMar>
                    <w:top w:w="28" w:type="dxa"/>
                  </w:tcMar>
                </w:tcPr>
                <w:p w:rsidR="000D16DE" w:rsidRDefault="000D16DE" w:rsidP="00B75870">
                  <w:pPr>
                    <w:pStyle w:val="BoxHeading1"/>
                  </w:pPr>
                </w:p>
              </w:tc>
              <w:tc>
                <w:tcPr>
                  <w:tcW w:w="118" w:type="pct"/>
                  <w:shd w:val="clear" w:color="auto" w:fill="FFFFFF" w:themeFill="background1"/>
                  <w:tcMar>
                    <w:top w:w="28" w:type="dxa"/>
                  </w:tcMar>
                </w:tcPr>
                <w:p w:rsidR="000D16DE" w:rsidRDefault="000D16DE" w:rsidP="00B75870">
                  <w:pPr>
                    <w:pStyle w:val="BoxHeading1"/>
                  </w:pPr>
                </w:p>
              </w:tc>
              <w:tc>
                <w:tcPr>
                  <w:tcW w:w="2816" w:type="pct"/>
                  <w:gridSpan w:val="4"/>
                  <w:tcBorders>
                    <w:bottom w:val="single" w:sz="8" w:space="0" w:color="BFBFBF"/>
                  </w:tcBorders>
                  <w:shd w:val="clear" w:color="auto" w:fill="FFFFFF" w:themeFill="background1"/>
                  <w:vAlign w:val="center"/>
                </w:tcPr>
                <w:p w:rsidR="000D16DE" w:rsidRPr="00BB0A68" w:rsidRDefault="000D16DE" w:rsidP="00B75870">
                  <w:pPr>
                    <w:pStyle w:val="BoxHeading1"/>
                    <w:spacing w:before="0"/>
                    <w:jc w:val="center"/>
                    <w:rPr>
                      <w:sz w:val="19"/>
                      <w:szCs w:val="19"/>
                    </w:rPr>
                  </w:pPr>
                  <w:r w:rsidRPr="00BB0A68">
                    <w:rPr>
                      <w:sz w:val="19"/>
                      <w:szCs w:val="19"/>
                    </w:rPr>
                    <w:t>Registered Training Organisations</w:t>
                  </w:r>
                </w:p>
              </w:tc>
            </w:tr>
            <w:tr w:rsidR="000D16DE" w:rsidTr="00ED0DD3">
              <w:trPr>
                <w:trHeight w:hRule="exact" w:val="1134"/>
                <w:jc w:val="center"/>
              </w:trPr>
              <w:tc>
                <w:tcPr>
                  <w:tcW w:w="2066" w:type="pct"/>
                  <w:gridSpan w:val="4"/>
                  <w:vMerge w:val="restart"/>
                  <w:shd w:val="clear" w:color="auto" w:fill="FFFFFF" w:themeFill="background1"/>
                  <w:tcMar>
                    <w:top w:w="28" w:type="dxa"/>
                  </w:tcMar>
                  <w:vAlign w:val="bottom"/>
                </w:tcPr>
                <w:p w:rsidR="000D16DE" w:rsidRPr="00BB0A68" w:rsidRDefault="000D16DE" w:rsidP="00B75870">
                  <w:pPr>
                    <w:pStyle w:val="BoxHeading1"/>
                    <w:jc w:val="left"/>
                    <w:rPr>
                      <w:sz w:val="19"/>
                      <w:szCs w:val="19"/>
                    </w:rPr>
                  </w:pPr>
                  <w:r w:rsidRPr="00BB0A68">
                    <w:rPr>
                      <w:sz w:val="19"/>
                      <w:szCs w:val="19"/>
                    </w:rPr>
                    <w:t>Source of funding</w:t>
                  </w:r>
                </w:p>
              </w:tc>
              <w:tc>
                <w:tcPr>
                  <w:tcW w:w="118" w:type="pct"/>
                  <w:tcBorders>
                    <w:right w:val="single" w:sz="6" w:space="0" w:color="BFBFBF"/>
                  </w:tcBorders>
                  <w:shd w:val="clear" w:color="auto" w:fill="FFFFFF" w:themeFill="background1"/>
                  <w:tcMar>
                    <w:top w:w="28" w:type="dxa"/>
                  </w:tcMar>
                </w:tcPr>
                <w:p w:rsidR="000D16DE" w:rsidRDefault="000D16DE" w:rsidP="00B75870">
                  <w:pPr>
                    <w:pStyle w:val="TableColumnHeading"/>
                  </w:pPr>
                </w:p>
              </w:tc>
              <w:tc>
                <w:tcPr>
                  <w:tcW w:w="1045" w:type="pct"/>
                  <w:tcBorders>
                    <w:top w:val="single" w:sz="8" w:space="0" w:color="BFBFBF"/>
                    <w:left w:val="single" w:sz="6" w:space="0" w:color="BFBFBF"/>
                    <w:right w:val="single" w:sz="6" w:space="0" w:color="BFBFBF"/>
                  </w:tcBorders>
                  <w:shd w:val="clear" w:color="auto" w:fill="FFFFFF" w:themeFill="background1"/>
                  <w:vAlign w:val="center"/>
                </w:tcPr>
                <w:p w:rsidR="000D16DE" w:rsidRPr="00BB0A68" w:rsidRDefault="000D16DE" w:rsidP="00B75870">
                  <w:pPr>
                    <w:pStyle w:val="TableColumnHeading"/>
                    <w:jc w:val="center"/>
                  </w:pPr>
                  <w:r w:rsidRPr="00BB0A68">
                    <w:t>Government VET providers</w:t>
                  </w:r>
                </w:p>
                <w:p w:rsidR="000D16DE" w:rsidRPr="00BB0A68" w:rsidRDefault="000D16DE" w:rsidP="000D16DE">
                  <w:pPr>
                    <w:pStyle w:val="TableColumnHeading"/>
                    <w:jc w:val="center"/>
                  </w:pPr>
                  <w:r w:rsidRPr="00BB0A68">
                    <w:t xml:space="preserve">— TAFE and other </w:t>
                  </w:r>
                </w:p>
              </w:tc>
              <w:tc>
                <w:tcPr>
                  <w:tcW w:w="931" w:type="pct"/>
                  <w:tcBorders>
                    <w:top w:val="single" w:sz="8" w:space="0" w:color="BFBFBF"/>
                    <w:left w:val="single" w:sz="6" w:space="0" w:color="BFBFBF"/>
                    <w:right w:val="single" w:sz="6" w:space="0" w:color="BFBFBF"/>
                  </w:tcBorders>
                  <w:shd w:val="clear" w:color="auto" w:fill="FFFFFF" w:themeFill="background1"/>
                  <w:vAlign w:val="center"/>
                </w:tcPr>
                <w:p w:rsidR="000D16DE" w:rsidRPr="00BB0A68" w:rsidRDefault="000D16DE" w:rsidP="00B75870">
                  <w:pPr>
                    <w:pStyle w:val="TableColumnHeading"/>
                    <w:jc w:val="center"/>
                  </w:pPr>
                  <w:r w:rsidRPr="00BB0A68">
                    <w:t>Community education providers</w:t>
                  </w:r>
                </w:p>
              </w:tc>
              <w:tc>
                <w:tcPr>
                  <w:tcW w:w="840" w:type="pct"/>
                  <w:gridSpan w:val="2"/>
                  <w:tcBorders>
                    <w:top w:val="single" w:sz="8" w:space="0" w:color="BFBFBF"/>
                    <w:left w:val="single" w:sz="6" w:space="0" w:color="BFBFBF"/>
                    <w:right w:val="single" w:sz="6" w:space="0" w:color="BFBFBF"/>
                  </w:tcBorders>
                  <w:shd w:val="clear" w:color="auto" w:fill="FFFFFF" w:themeFill="background1"/>
                  <w:vAlign w:val="center"/>
                </w:tcPr>
                <w:p w:rsidR="000D16DE" w:rsidRPr="00BB0A68" w:rsidRDefault="000D16DE" w:rsidP="00B75870">
                  <w:pPr>
                    <w:pStyle w:val="TableColumnHeading"/>
                    <w:jc w:val="center"/>
                  </w:pPr>
                  <w:r w:rsidRPr="00BB0A68">
                    <w:t>Other registered providers</w:t>
                  </w:r>
                </w:p>
              </w:tc>
            </w:tr>
            <w:tr w:rsidR="000D16DE" w:rsidTr="00ED0DD3">
              <w:trPr>
                <w:trHeight w:val="20"/>
                <w:jc w:val="center"/>
              </w:trPr>
              <w:tc>
                <w:tcPr>
                  <w:tcW w:w="2066" w:type="pct"/>
                  <w:gridSpan w:val="4"/>
                  <w:vMerge/>
                  <w:tcBorders>
                    <w:bottom w:val="single" w:sz="8" w:space="0" w:color="BFBFBF"/>
                  </w:tcBorders>
                  <w:shd w:val="clear" w:color="auto" w:fill="FFFFFF" w:themeFill="background1"/>
                  <w:tcMar>
                    <w:top w:w="28" w:type="dxa"/>
                  </w:tcMar>
                </w:tcPr>
                <w:p w:rsidR="000D16DE" w:rsidRDefault="000D16DE" w:rsidP="00B75870">
                  <w:pPr>
                    <w:pStyle w:val="BoxHeading1"/>
                  </w:pPr>
                </w:p>
              </w:tc>
              <w:tc>
                <w:tcPr>
                  <w:tcW w:w="118" w:type="pct"/>
                  <w:tcBorders>
                    <w:bottom w:val="single" w:sz="8" w:space="0" w:color="BFBFBF"/>
                    <w:right w:val="single" w:sz="6" w:space="0" w:color="BFBFBF"/>
                  </w:tcBorders>
                  <w:shd w:val="clear" w:color="auto" w:fill="FFFFFF" w:themeFill="background1"/>
                  <w:tcMar>
                    <w:top w:w="28" w:type="dxa"/>
                  </w:tcMar>
                </w:tcPr>
                <w:p w:rsidR="000D16DE" w:rsidRPr="00BB0A68" w:rsidRDefault="000D16DE" w:rsidP="00BB0A68">
                  <w:pPr>
                    <w:pStyle w:val="BoxSpaceBelow"/>
                    <w:spacing w:before="0" w:after="0" w:line="40" w:lineRule="exact"/>
                    <w:rPr>
                      <w:sz w:val="4"/>
                    </w:rPr>
                  </w:pPr>
                </w:p>
              </w:tc>
              <w:tc>
                <w:tcPr>
                  <w:tcW w:w="1045" w:type="pct"/>
                  <w:tcBorders>
                    <w:left w:val="single" w:sz="6" w:space="0" w:color="BFBFBF"/>
                    <w:bottom w:val="single" w:sz="18" w:space="0" w:color="auto"/>
                    <w:right w:val="single" w:sz="6" w:space="0" w:color="BFBFBF"/>
                  </w:tcBorders>
                  <w:shd w:val="clear" w:color="auto" w:fill="FFFFFF" w:themeFill="background1"/>
                </w:tcPr>
                <w:p w:rsidR="000D16DE" w:rsidRPr="00BB0A68" w:rsidRDefault="000D16DE" w:rsidP="00BB0A68">
                  <w:pPr>
                    <w:pStyle w:val="BoxSpaceBelow"/>
                    <w:spacing w:before="0" w:after="0" w:line="40" w:lineRule="exact"/>
                    <w:rPr>
                      <w:sz w:val="4"/>
                    </w:rPr>
                  </w:pPr>
                </w:p>
              </w:tc>
              <w:tc>
                <w:tcPr>
                  <w:tcW w:w="931" w:type="pct"/>
                  <w:tcBorders>
                    <w:left w:val="single" w:sz="6" w:space="0" w:color="BFBFBF"/>
                    <w:bottom w:val="single" w:sz="18" w:space="0" w:color="auto"/>
                    <w:right w:val="single" w:sz="6" w:space="0" w:color="BFBFBF"/>
                  </w:tcBorders>
                  <w:shd w:val="clear" w:color="auto" w:fill="FFFFFF" w:themeFill="background1"/>
                </w:tcPr>
                <w:p w:rsidR="000D16DE" w:rsidRPr="00BB0A68" w:rsidRDefault="000D16DE" w:rsidP="00BB0A68">
                  <w:pPr>
                    <w:pStyle w:val="BoxSpaceBelow"/>
                    <w:spacing w:before="0" w:after="0" w:line="40" w:lineRule="exact"/>
                    <w:rPr>
                      <w:sz w:val="4"/>
                    </w:rPr>
                  </w:pPr>
                </w:p>
              </w:tc>
              <w:tc>
                <w:tcPr>
                  <w:tcW w:w="840" w:type="pct"/>
                  <w:gridSpan w:val="2"/>
                  <w:tcBorders>
                    <w:left w:val="single" w:sz="6" w:space="0" w:color="BFBFBF"/>
                    <w:bottom w:val="single" w:sz="18" w:space="0" w:color="auto"/>
                    <w:right w:val="single" w:sz="6" w:space="0" w:color="BFBFBF"/>
                  </w:tcBorders>
                  <w:shd w:val="clear" w:color="auto" w:fill="FFFFFF" w:themeFill="background1"/>
                </w:tcPr>
                <w:p w:rsidR="000D16DE" w:rsidRPr="00BB0A68" w:rsidRDefault="000D16DE" w:rsidP="00BB0A68">
                  <w:pPr>
                    <w:pStyle w:val="BoxSpaceBelow"/>
                    <w:spacing w:before="0" w:after="0" w:line="40" w:lineRule="exact"/>
                    <w:rPr>
                      <w:sz w:val="4"/>
                    </w:rPr>
                  </w:pPr>
                </w:p>
              </w:tc>
            </w:tr>
            <w:tr w:rsidR="000D16DE" w:rsidTr="00ED0DD3">
              <w:trPr>
                <w:trHeight w:hRule="exact" w:val="397"/>
                <w:jc w:val="center"/>
              </w:trPr>
              <w:tc>
                <w:tcPr>
                  <w:tcW w:w="154" w:type="pct"/>
                  <w:shd w:val="clear" w:color="auto" w:fill="FFFFFF" w:themeFill="background1"/>
                  <w:vAlign w:val="center"/>
                </w:tcPr>
                <w:p w:rsidR="000D16DE" w:rsidRDefault="000D16DE" w:rsidP="00B75870">
                  <w:pPr>
                    <w:pStyle w:val="TableUnitsRow"/>
                    <w:ind w:left="340"/>
                    <w:jc w:val="left"/>
                  </w:pPr>
                </w:p>
              </w:tc>
              <w:tc>
                <w:tcPr>
                  <w:tcW w:w="2030" w:type="pct"/>
                  <w:gridSpan w:val="4"/>
                  <w:tcBorders>
                    <w:top w:val="single" w:sz="8" w:space="0" w:color="BFBFBF"/>
                    <w:bottom w:val="single" w:sz="8" w:space="0" w:color="BFBFBF"/>
                    <w:right w:val="single" w:sz="18" w:space="0" w:color="auto"/>
                  </w:tcBorders>
                  <w:shd w:val="clear" w:color="auto" w:fill="FFFFFF" w:themeFill="background1"/>
                  <w:vAlign w:val="center"/>
                </w:tcPr>
                <w:p w:rsidR="000D16DE" w:rsidRPr="00BB0A68" w:rsidRDefault="000D16DE" w:rsidP="00B75870">
                  <w:pPr>
                    <w:pStyle w:val="TableUnitsRow"/>
                    <w:ind w:left="0"/>
                    <w:jc w:val="left"/>
                  </w:pPr>
                  <w:r w:rsidRPr="00BB0A68">
                    <w:t>Government subsidised/financed</w:t>
                  </w:r>
                  <w:r w:rsidRPr="00BB0A68">
                    <w:rPr>
                      <w:rStyle w:val="NoteLabel"/>
                    </w:rPr>
                    <w:t xml:space="preserve"> </w:t>
                  </w:r>
                </w:p>
              </w:tc>
              <w:tc>
                <w:tcPr>
                  <w:tcW w:w="1045" w:type="pct"/>
                  <w:tcBorders>
                    <w:top w:val="single" w:sz="18" w:space="0" w:color="auto"/>
                    <w:left w:val="single" w:sz="18" w:space="0" w:color="auto"/>
                    <w:bottom w:val="single" w:sz="8" w:space="0" w:color="BFBFBF"/>
                    <w:right w:val="single" w:sz="6" w:space="0" w:color="BFBFBF"/>
                  </w:tcBorders>
                  <w:shd w:val="clear" w:color="auto" w:fill="78A22F"/>
                </w:tcPr>
                <w:p w:rsidR="000D16DE" w:rsidRPr="002872A2" w:rsidRDefault="000D16DE" w:rsidP="00B75870">
                  <w:pPr>
                    <w:pStyle w:val="TableBodyText"/>
                    <w:ind w:right="28"/>
                    <w:jc w:val="center"/>
                    <w:rPr>
                      <w:b/>
                      <w:color w:val="FFFFFF" w:themeColor="background1"/>
                      <w:sz w:val="16"/>
                    </w:rPr>
                  </w:pPr>
                </w:p>
              </w:tc>
              <w:tc>
                <w:tcPr>
                  <w:tcW w:w="931" w:type="pct"/>
                  <w:tcBorders>
                    <w:top w:val="single" w:sz="18" w:space="0" w:color="auto"/>
                    <w:left w:val="single" w:sz="6" w:space="0" w:color="BFBFBF"/>
                    <w:bottom w:val="single" w:sz="18" w:space="0" w:color="auto"/>
                    <w:right w:val="single" w:sz="6" w:space="0" w:color="BFBFBF"/>
                  </w:tcBorders>
                  <w:shd w:val="clear" w:color="auto" w:fill="78A22F"/>
                </w:tcPr>
                <w:p w:rsidR="000D16DE" w:rsidRPr="002872A2" w:rsidRDefault="000D16DE" w:rsidP="00B75870">
                  <w:pPr>
                    <w:pStyle w:val="TableBodyText"/>
                    <w:ind w:right="28"/>
                    <w:jc w:val="center"/>
                    <w:rPr>
                      <w:b/>
                      <w:color w:val="FFFFFF" w:themeColor="background1"/>
                      <w:sz w:val="16"/>
                    </w:rPr>
                  </w:pPr>
                </w:p>
              </w:tc>
              <w:tc>
                <w:tcPr>
                  <w:tcW w:w="840" w:type="pct"/>
                  <w:gridSpan w:val="2"/>
                  <w:tcBorders>
                    <w:top w:val="single" w:sz="18" w:space="0" w:color="auto"/>
                    <w:left w:val="single" w:sz="6" w:space="0" w:color="BFBFBF"/>
                    <w:bottom w:val="single" w:sz="18" w:space="0" w:color="auto"/>
                    <w:right w:val="single" w:sz="18" w:space="0" w:color="auto"/>
                  </w:tcBorders>
                  <w:shd w:val="clear" w:color="auto" w:fill="78A22F"/>
                </w:tcPr>
                <w:p w:rsidR="000D16DE" w:rsidRPr="002872A2" w:rsidRDefault="000D16DE" w:rsidP="00B75870">
                  <w:pPr>
                    <w:pStyle w:val="TableBodyText"/>
                    <w:ind w:right="28"/>
                    <w:jc w:val="center"/>
                    <w:rPr>
                      <w:b/>
                      <w:color w:val="FFFFFF" w:themeColor="background1"/>
                      <w:sz w:val="16"/>
                    </w:rPr>
                  </w:pPr>
                </w:p>
              </w:tc>
            </w:tr>
            <w:tr w:rsidR="000D16DE" w:rsidTr="00ED0DD3">
              <w:trPr>
                <w:trHeight w:hRule="exact" w:val="397"/>
                <w:jc w:val="center"/>
              </w:trPr>
              <w:tc>
                <w:tcPr>
                  <w:tcW w:w="154" w:type="pct"/>
                  <w:shd w:val="clear" w:color="auto" w:fill="FFFFFF" w:themeFill="background1"/>
                  <w:vAlign w:val="center"/>
                </w:tcPr>
                <w:p w:rsidR="000D16DE" w:rsidRDefault="000D16DE" w:rsidP="00B75870">
                  <w:pPr>
                    <w:pStyle w:val="TableUnitsRow"/>
                    <w:ind w:left="340"/>
                    <w:jc w:val="left"/>
                  </w:pPr>
                </w:p>
              </w:tc>
              <w:tc>
                <w:tcPr>
                  <w:tcW w:w="2030" w:type="pct"/>
                  <w:gridSpan w:val="4"/>
                  <w:tcBorders>
                    <w:top w:val="single" w:sz="8" w:space="0" w:color="BFBFBF"/>
                    <w:bottom w:val="single" w:sz="8" w:space="0" w:color="BFBFBF"/>
                    <w:right w:val="single" w:sz="18" w:space="0" w:color="auto"/>
                  </w:tcBorders>
                  <w:shd w:val="clear" w:color="auto" w:fill="FFFFFF" w:themeFill="background1"/>
                  <w:vAlign w:val="center"/>
                </w:tcPr>
                <w:p w:rsidR="000D16DE" w:rsidRPr="00BB0A68" w:rsidRDefault="000D16DE" w:rsidP="00B75870">
                  <w:pPr>
                    <w:pStyle w:val="TableUnitsRow"/>
                    <w:ind w:left="0"/>
                    <w:jc w:val="left"/>
                  </w:pPr>
                  <w:r w:rsidRPr="00BB0A68">
                    <w:t>Domestic fee-for-service</w:t>
                  </w:r>
                </w:p>
              </w:tc>
              <w:tc>
                <w:tcPr>
                  <w:tcW w:w="1045" w:type="pct"/>
                  <w:tcBorders>
                    <w:top w:val="single" w:sz="8" w:space="0" w:color="BFBFBF"/>
                    <w:left w:val="single" w:sz="18" w:space="0" w:color="auto"/>
                    <w:bottom w:val="single" w:sz="18" w:space="0" w:color="auto"/>
                    <w:right w:val="single" w:sz="18" w:space="0" w:color="auto"/>
                  </w:tcBorders>
                  <w:shd w:val="clear" w:color="auto" w:fill="265A9A"/>
                </w:tcPr>
                <w:p w:rsidR="000D16DE" w:rsidRPr="002872A2" w:rsidRDefault="000D16DE" w:rsidP="00B75870">
                  <w:pPr>
                    <w:pStyle w:val="TableBodyText"/>
                    <w:ind w:right="28"/>
                    <w:jc w:val="center"/>
                    <w:rPr>
                      <w:b/>
                      <w:color w:val="FFFFFF" w:themeColor="background1"/>
                      <w:sz w:val="16"/>
                    </w:rPr>
                  </w:pPr>
                </w:p>
              </w:tc>
              <w:tc>
                <w:tcPr>
                  <w:tcW w:w="931" w:type="pct"/>
                  <w:tcBorders>
                    <w:top w:val="single" w:sz="18" w:space="0" w:color="auto"/>
                    <w:left w:val="single" w:sz="18" w:space="0" w:color="auto"/>
                    <w:bottom w:val="single" w:sz="8" w:space="0" w:color="BFBFBF"/>
                    <w:right w:val="single" w:sz="6" w:space="0" w:color="BFBFBF"/>
                  </w:tcBorders>
                  <w:shd w:val="clear" w:color="auto" w:fill="auto"/>
                </w:tcPr>
                <w:p w:rsidR="000D16DE" w:rsidRPr="00C74AC7" w:rsidRDefault="000D16DE" w:rsidP="00B75870">
                  <w:pPr>
                    <w:pStyle w:val="TableBodyText"/>
                    <w:ind w:right="28"/>
                    <w:jc w:val="center"/>
                    <w:rPr>
                      <w:b/>
                      <w:sz w:val="16"/>
                    </w:rPr>
                  </w:pPr>
                </w:p>
              </w:tc>
              <w:tc>
                <w:tcPr>
                  <w:tcW w:w="840" w:type="pct"/>
                  <w:gridSpan w:val="2"/>
                  <w:tcBorders>
                    <w:top w:val="single" w:sz="18" w:space="0" w:color="auto"/>
                    <w:left w:val="single" w:sz="6" w:space="0" w:color="BFBFBF"/>
                    <w:bottom w:val="single" w:sz="8" w:space="0" w:color="BFBFBF"/>
                    <w:right w:val="single" w:sz="6" w:space="0" w:color="BFBFBF"/>
                  </w:tcBorders>
                  <w:shd w:val="clear" w:color="auto" w:fill="auto"/>
                </w:tcPr>
                <w:p w:rsidR="000D16DE" w:rsidRPr="00C74AC7" w:rsidRDefault="000D16DE" w:rsidP="00B75870">
                  <w:pPr>
                    <w:pStyle w:val="TableBodyText"/>
                    <w:ind w:right="28"/>
                    <w:jc w:val="center"/>
                    <w:rPr>
                      <w:b/>
                      <w:sz w:val="16"/>
                    </w:rPr>
                  </w:pPr>
                </w:p>
              </w:tc>
            </w:tr>
            <w:tr w:rsidR="00BB0A68" w:rsidTr="00ED0DD3">
              <w:trPr>
                <w:trHeight w:hRule="exact" w:val="397"/>
                <w:jc w:val="center"/>
              </w:trPr>
              <w:tc>
                <w:tcPr>
                  <w:tcW w:w="154" w:type="pct"/>
                  <w:tcBorders>
                    <w:bottom w:val="single" w:sz="8" w:space="0" w:color="BFBFBF"/>
                  </w:tcBorders>
                  <w:shd w:val="clear" w:color="auto" w:fill="FFFFFF" w:themeFill="background1"/>
                  <w:vAlign w:val="center"/>
                </w:tcPr>
                <w:p w:rsidR="00BB0A68" w:rsidRDefault="00BB0A68" w:rsidP="00B75870">
                  <w:pPr>
                    <w:pStyle w:val="TableUnitsRow"/>
                    <w:ind w:left="340"/>
                    <w:jc w:val="left"/>
                  </w:pPr>
                </w:p>
              </w:tc>
              <w:tc>
                <w:tcPr>
                  <w:tcW w:w="2030" w:type="pct"/>
                  <w:gridSpan w:val="4"/>
                  <w:tcBorders>
                    <w:top w:val="single" w:sz="8" w:space="0" w:color="BFBFBF"/>
                    <w:bottom w:val="single" w:sz="8" w:space="0" w:color="BFBFBF"/>
                    <w:right w:val="single" w:sz="6" w:space="0" w:color="BFBFBF"/>
                  </w:tcBorders>
                  <w:shd w:val="clear" w:color="auto" w:fill="FFFFFF" w:themeFill="background1"/>
                  <w:vAlign w:val="center"/>
                </w:tcPr>
                <w:p w:rsidR="00BB0A68" w:rsidRPr="00BB0A68" w:rsidRDefault="00BB0A68" w:rsidP="00B75870">
                  <w:pPr>
                    <w:pStyle w:val="TableUnitsRow"/>
                    <w:ind w:left="0"/>
                    <w:jc w:val="left"/>
                  </w:pPr>
                  <w:r w:rsidRPr="00BB0A68">
                    <w:t>International fee-for-service</w:t>
                  </w:r>
                </w:p>
              </w:tc>
              <w:tc>
                <w:tcPr>
                  <w:tcW w:w="1045" w:type="pct"/>
                  <w:tcBorders>
                    <w:top w:val="single" w:sz="18" w:space="0" w:color="auto"/>
                    <w:left w:val="single" w:sz="6" w:space="0" w:color="BFBFBF"/>
                    <w:bottom w:val="single" w:sz="6" w:space="0" w:color="BFBFBF"/>
                    <w:right w:val="single" w:sz="6" w:space="0" w:color="BFBFBF"/>
                  </w:tcBorders>
                  <w:shd w:val="clear" w:color="auto" w:fill="auto"/>
                </w:tcPr>
                <w:p w:rsidR="00BB0A68" w:rsidRPr="00C74AC7" w:rsidRDefault="00BB0A68" w:rsidP="00B75870">
                  <w:pPr>
                    <w:pStyle w:val="TableBodyText"/>
                    <w:ind w:right="28"/>
                    <w:jc w:val="center"/>
                    <w:rPr>
                      <w:b/>
                      <w:sz w:val="16"/>
                    </w:rPr>
                  </w:pPr>
                </w:p>
              </w:tc>
              <w:tc>
                <w:tcPr>
                  <w:tcW w:w="931" w:type="pct"/>
                  <w:tcBorders>
                    <w:top w:val="single" w:sz="8" w:space="0" w:color="BFBFBF"/>
                    <w:left w:val="single" w:sz="6" w:space="0" w:color="BFBFBF"/>
                    <w:bottom w:val="single" w:sz="6" w:space="0" w:color="BFBFBF"/>
                    <w:right w:val="single" w:sz="6" w:space="0" w:color="BFBFBF"/>
                  </w:tcBorders>
                  <w:shd w:val="clear" w:color="auto" w:fill="auto"/>
                </w:tcPr>
                <w:p w:rsidR="00BB0A68" w:rsidRPr="00C74AC7" w:rsidRDefault="00BB0A68" w:rsidP="00B75870">
                  <w:pPr>
                    <w:pStyle w:val="TableBodyText"/>
                    <w:ind w:right="28"/>
                    <w:jc w:val="center"/>
                    <w:rPr>
                      <w:b/>
                      <w:sz w:val="16"/>
                    </w:rPr>
                  </w:pPr>
                </w:p>
              </w:tc>
              <w:tc>
                <w:tcPr>
                  <w:tcW w:w="840" w:type="pct"/>
                  <w:gridSpan w:val="2"/>
                  <w:tcBorders>
                    <w:top w:val="single" w:sz="8" w:space="0" w:color="BFBFBF"/>
                    <w:left w:val="single" w:sz="6" w:space="0" w:color="BFBFBF"/>
                    <w:bottom w:val="single" w:sz="6" w:space="0" w:color="BFBFBF"/>
                    <w:right w:val="single" w:sz="6" w:space="0" w:color="BFBFBF"/>
                  </w:tcBorders>
                  <w:shd w:val="clear" w:color="auto" w:fill="auto"/>
                </w:tcPr>
                <w:p w:rsidR="00BB0A68" w:rsidRPr="00C74AC7" w:rsidRDefault="00BB0A68" w:rsidP="00B75870">
                  <w:pPr>
                    <w:pStyle w:val="TableBodyText"/>
                    <w:ind w:right="28"/>
                    <w:jc w:val="center"/>
                    <w:rPr>
                      <w:b/>
                      <w:sz w:val="16"/>
                    </w:rPr>
                  </w:pPr>
                </w:p>
              </w:tc>
            </w:tr>
            <w:tr w:rsidR="00BB0A68" w:rsidTr="00ED0DD3">
              <w:trPr>
                <w:trHeight w:hRule="exact" w:val="57"/>
                <w:jc w:val="center"/>
              </w:trPr>
              <w:tc>
                <w:tcPr>
                  <w:tcW w:w="5000" w:type="pct"/>
                  <w:gridSpan w:val="9"/>
                  <w:tcBorders>
                    <w:top w:val="single" w:sz="8" w:space="0" w:color="BFBFBF"/>
                  </w:tcBorders>
                  <w:shd w:val="clear" w:color="auto" w:fill="FFFFFF" w:themeFill="background1"/>
                </w:tcPr>
                <w:p w:rsidR="00BB0A68" w:rsidRDefault="00BB0A68" w:rsidP="00B75870">
                  <w:pPr>
                    <w:pStyle w:val="FooterEnd"/>
                  </w:pPr>
                </w:p>
              </w:tc>
            </w:tr>
            <w:tr w:rsidR="00BB0A68" w:rsidTr="00ED0DD3">
              <w:trPr>
                <w:gridAfter w:val="1"/>
                <w:wAfter w:w="98" w:type="pct"/>
                <w:trHeight w:hRule="exact" w:val="510"/>
                <w:jc w:val="center"/>
              </w:trPr>
              <w:tc>
                <w:tcPr>
                  <w:tcW w:w="154" w:type="pct"/>
                  <w:shd w:val="clear" w:color="auto" w:fill="FFFFFF" w:themeFill="background1"/>
                </w:tcPr>
                <w:p w:rsidR="00BB0A68" w:rsidRDefault="00BB0A68" w:rsidP="00B75870">
                  <w:pPr>
                    <w:pStyle w:val="Box"/>
                    <w:ind w:left="340"/>
                  </w:pPr>
                </w:p>
              </w:tc>
              <w:tc>
                <w:tcPr>
                  <w:tcW w:w="502" w:type="pct"/>
                  <w:gridSpan w:val="2"/>
                  <w:tcBorders>
                    <w:bottom w:val="single" w:sz="18" w:space="0" w:color="auto"/>
                  </w:tcBorders>
                  <w:shd w:val="clear" w:color="auto" w:fill="78A22F"/>
                </w:tcPr>
                <w:p w:rsidR="00BB0A68" w:rsidRPr="005A0E23" w:rsidRDefault="00BB0A68" w:rsidP="00B75870">
                  <w:pPr>
                    <w:pStyle w:val="Note"/>
                    <w:jc w:val="center"/>
                    <w:rPr>
                      <w:b/>
                      <w:color w:val="FFFFFF" w:themeColor="background1"/>
                      <w:sz w:val="16"/>
                    </w:rPr>
                  </w:pPr>
                </w:p>
              </w:tc>
              <w:tc>
                <w:tcPr>
                  <w:tcW w:w="4246" w:type="pct"/>
                  <w:gridSpan w:val="5"/>
                  <w:shd w:val="clear" w:color="auto" w:fill="FFFFFF" w:themeFill="background1"/>
                  <w:vAlign w:val="center"/>
                </w:tcPr>
                <w:p w:rsidR="00BB0A68" w:rsidRDefault="00BB0A68" w:rsidP="00100CAF">
                  <w:pPr>
                    <w:pStyle w:val="TableBullet"/>
                    <w:numPr>
                      <w:ilvl w:val="0"/>
                      <w:numId w:val="0"/>
                    </w:numPr>
                    <w:ind w:left="470" w:hanging="300"/>
                  </w:pPr>
                  <w:r>
                    <w:t>Government Funded VET:</w:t>
                  </w:r>
                  <w:r w:rsidR="00100CAF">
                    <w:t xml:space="preserve">   </w:t>
                  </w:r>
                  <w:r w:rsidRPr="00BB0A68">
                    <w:t>Scope</w:t>
                  </w:r>
                  <w:r>
                    <w:t xml:space="preserve"> of Student Outcomes Survey data reported in th</w:t>
                  </w:r>
                  <w:r w:rsidR="00100CAF">
                    <w:t>e</w:t>
                  </w:r>
                  <w:r>
                    <w:t xml:space="preserve"> Report </w:t>
                  </w:r>
                  <w:r w:rsidR="00100CAF">
                    <w:t>on Government Services.</w:t>
                  </w:r>
                </w:p>
              </w:tc>
            </w:tr>
            <w:tr w:rsidR="00BB0A68" w:rsidTr="00ED0DD3">
              <w:trPr>
                <w:gridAfter w:val="1"/>
                <w:wAfter w:w="98" w:type="pct"/>
                <w:trHeight w:hRule="exact" w:val="510"/>
                <w:jc w:val="center"/>
              </w:trPr>
              <w:tc>
                <w:tcPr>
                  <w:tcW w:w="154" w:type="pct"/>
                  <w:tcBorders>
                    <w:right w:val="single" w:sz="18" w:space="0" w:color="auto"/>
                  </w:tcBorders>
                  <w:shd w:val="clear" w:color="auto" w:fill="FFFFFF" w:themeFill="background1"/>
                </w:tcPr>
                <w:p w:rsidR="00BB0A68" w:rsidRDefault="00BB0A68" w:rsidP="00B75870">
                  <w:pPr>
                    <w:pStyle w:val="Box"/>
                    <w:ind w:left="340"/>
                  </w:pPr>
                </w:p>
              </w:tc>
              <w:tc>
                <w:tcPr>
                  <w:tcW w:w="251" w:type="pct"/>
                  <w:tcBorders>
                    <w:top w:val="single" w:sz="18" w:space="0" w:color="auto"/>
                    <w:left w:val="single" w:sz="18" w:space="0" w:color="auto"/>
                    <w:bottom w:val="single" w:sz="18" w:space="0" w:color="auto"/>
                  </w:tcBorders>
                  <w:shd w:val="clear" w:color="auto" w:fill="78A22F"/>
                </w:tcPr>
                <w:p w:rsidR="00BB0A68" w:rsidRPr="005A0E23" w:rsidRDefault="00BB0A68" w:rsidP="00B75870">
                  <w:pPr>
                    <w:pStyle w:val="Note"/>
                    <w:rPr>
                      <w:rStyle w:val="NoteLabel"/>
                      <w:color w:val="FFFFFF" w:themeColor="background1"/>
                      <w:sz w:val="16"/>
                    </w:rPr>
                  </w:pPr>
                </w:p>
              </w:tc>
              <w:tc>
                <w:tcPr>
                  <w:tcW w:w="251" w:type="pct"/>
                  <w:tcBorders>
                    <w:top w:val="single" w:sz="18" w:space="0" w:color="auto"/>
                    <w:bottom w:val="single" w:sz="18" w:space="0" w:color="auto"/>
                  </w:tcBorders>
                  <w:shd w:val="clear" w:color="auto" w:fill="265A9A"/>
                </w:tcPr>
                <w:p w:rsidR="00BB0A68" w:rsidRPr="005A0E23" w:rsidRDefault="00BB0A68" w:rsidP="00B75870">
                  <w:pPr>
                    <w:pStyle w:val="Note"/>
                    <w:jc w:val="center"/>
                    <w:rPr>
                      <w:rStyle w:val="NoteLabel"/>
                      <w:color w:val="FFFFFF" w:themeColor="background1"/>
                      <w:sz w:val="16"/>
                    </w:rPr>
                  </w:pPr>
                </w:p>
              </w:tc>
              <w:tc>
                <w:tcPr>
                  <w:tcW w:w="4246" w:type="pct"/>
                  <w:gridSpan w:val="5"/>
                  <w:tcBorders>
                    <w:left w:val="single" w:sz="18" w:space="0" w:color="auto"/>
                  </w:tcBorders>
                  <w:shd w:val="clear" w:color="auto" w:fill="FFFFFF" w:themeFill="background1"/>
                  <w:vAlign w:val="center"/>
                </w:tcPr>
                <w:p w:rsidR="00BB0A68" w:rsidRDefault="00BB0A68" w:rsidP="00B80A1B">
                  <w:pPr>
                    <w:pStyle w:val="TableBullet"/>
                    <w:numPr>
                      <w:ilvl w:val="0"/>
                      <w:numId w:val="0"/>
                    </w:numPr>
                    <w:ind w:left="170"/>
                  </w:pPr>
                  <w:r>
                    <w:t>Scope of the 201</w:t>
                  </w:r>
                  <w:r w:rsidR="00B80A1B">
                    <w:t>4</w:t>
                  </w:r>
                  <w:r>
                    <w:t xml:space="preserve"> Student Outcomes Survey</w:t>
                  </w:r>
                </w:p>
              </w:tc>
            </w:tr>
          </w:tbl>
          <w:p w:rsidR="000049CE" w:rsidRPr="0090683B" w:rsidRDefault="000049CE" w:rsidP="00B80A1B">
            <w:pPr>
              <w:pStyle w:val="DQITableText"/>
              <w:keepNext w:val="0"/>
            </w:pPr>
            <w:proofErr w:type="spellStart"/>
            <w:r w:rsidRPr="008E77FE">
              <w:rPr>
                <w:rStyle w:val="NoteLabel"/>
              </w:rPr>
              <w:t>a</w:t>
            </w:r>
            <w:proofErr w:type="spellEnd"/>
            <w:r>
              <w:t xml:space="preserve"> </w:t>
            </w:r>
            <w:r w:rsidR="00333C1E" w:rsidRPr="00A121DC">
              <w:t>In 2014, the scope was expanded to include students from all jurisdictions who completed their training with a community education provider. This resulted in information being collected for New South Wales, Victoria, Queensland and Western Australia. Prior to this only students from community education providers in New South Wales and Victoria were included. From 201</w:t>
            </w:r>
            <w:r w:rsidR="00B80A1B" w:rsidRPr="00A121DC">
              <w:t>4</w:t>
            </w:r>
            <w:r w:rsidR="00333C1E" w:rsidRPr="00A121DC">
              <w:t>, fee-for-service activity from community education providers has been excluded from the scope of this publication. Data have been backdated to 2006.</w:t>
            </w:r>
          </w:p>
        </w:tc>
      </w:tr>
      <w:tr w:rsidR="00004672" w:rsidRPr="005970A0" w:rsidTr="007B68DE">
        <w:trPr>
          <w:cantSplit/>
        </w:trPr>
        <w:tc>
          <w:tcPr>
            <w:tcW w:w="887" w:type="pct"/>
          </w:tcPr>
          <w:p w:rsidR="00004672" w:rsidRPr="005970A0" w:rsidRDefault="00004672" w:rsidP="009D6827">
            <w:pPr>
              <w:pStyle w:val="DQIRowHeadings"/>
              <w:keepNext w:val="0"/>
            </w:pPr>
          </w:p>
        </w:tc>
        <w:tc>
          <w:tcPr>
            <w:tcW w:w="4113" w:type="pct"/>
            <w:gridSpan w:val="2"/>
          </w:tcPr>
          <w:p w:rsidR="00004672" w:rsidRPr="005970A0" w:rsidRDefault="00004672" w:rsidP="007B68DE">
            <w:pPr>
              <w:pStyle w:val="DQITableText"/>
            </w:pPr>
            <w:r w:rsidRPr="005970A0">
              <w:t>The survey includes:</w:t>
            </w:r>
          </w:p>
          <w:p w:rsidR="00004672" w:rsidRDefault="00004672" w:rsidP="00004672">
            <w:pPr>
              <w:pStyle w:val="DQITableBullet"/>
              <w:keepNext w:val="0"/>
            </w:pPr>
            <w:r w:rsidRPr="005970A0">
              <w:t>Publicly funded VET activity (all providers)</w:t>
            </w:r>
          </w:p>
          <w:p w:rsidR="00004672" w:rsidRDefault="00ED0DD3" w:rsidP="00004672">
            <w:pPr>
              <w:pStyle w:val="DQITableBullet"/>
              <w:keepNext w:val="0"/>
            </w:pPr>
            <w:r w:rsidRPr="00A121DC">
              <w:t>Domestic fee</w:t>
            </w:r>
            <w:r w:rsidRPr="00A121DC">
              <w:noBreakHyphen/>
              <w:t>for</w:t>
            </w:r>
            <w:r w:rsidRPr="00A121DC">
              <w:noBreakHyphen/>
              <w:t xml:space="preserve">service </w:t>
            </w:r>
            <w:r w:rsidR="00004672" w:rsidRPr="00A121DC">
              <w:t>activity delivered by TAFE and other government</w:t>
            </w:r>
            <w:r w:rsidRPr="00A121DC">
              <w:t xml:space="preserve"> VET </w:t>
            </w:r>
            <w:r w:rsidR="00004672" w:rsidRPr="00A121DC">
              <w:t>providers.</w:t>
            </w:r>
            <w:r w:rsidR="00BB0A68" w:rsidRPr="00A121DC">
              <w:t xml:space="preserve"> </w:t>
            </w:r>
            <w:r w:rsidRPr="00A121DC">
              <w:t>Domestic fee</w:t>
            </w:r>
            <w:r w:rsidRPr="00A121DC">
              <w:noBreakHyphen/>
              <w:t>for</w:t>
            </w:r>
            <w:r w:rsidRPr="00A121DC">
              <w:noBreakHyphen/>
              <w:t>service activity is</w:t>
            </w:r>
            <w:r w:rsidR="00BB0A68" w:rsidRPr="00A121DC">
              <w:t xml:space="preserve"> </w:t>
            </w:r>
            <w:r w:rsidR="00BB0A68" w:rsidRPr="00A121DC">
              <w:rPr>
                <w:i/>
              </w:rPr>
              <w:t>excluded</w:t>
            </w:r>
            <w:r w:rsidR="00BB0A68" w:rsidRPr="00A121DC">
              <w:t xml:space="preserve"> for the measures reported in the Report on Government Services. </w:t>
            </w:r>
          </w:p>
          <w:p w:rsidR="00004672" w:rsidRPr="005970A0" w:rsidRDefault="00004672" w:rsidP="00004672">
            <w:pPr>
              <w:pStyle w:val="DQITableText"/>
              <w:keepNext w:val="0"/>
            </w:pPr>
            <w:r w:rsidRPr="005970A0">
              <w:t>The survey excludes:</w:t>
            </w:r>
          </w:p>
          <w:p w:rsidR="00004672" w:rsidRPr="005970A0" w:rsidRDefault="00004672" w:rsidP="00004672">
            <w:pPr>
              <w:pStyle w:val="DQITableBullet"/>
              <w:keepNext w:val="0"/>
            </w:pPr>
            <w:r w:rsidRPr="005970A0">
              <w:t>Recreation, leisure and personal enrichment (non-vocational programs)</w:t>
            </w:r>
          </w:p>
          <w:p w:rsidR="00004672" w:rsidRPr="005970A0" w:rsidRDefault="00ED0DD3" w:rsidP="00004672">
            <w:pPr>
              <w:pStyle w:val="DQITableBullet"/>
              <w:keepNext w:val="0"/>
            </w:pPr>
            <w:r>
              <w:t>Fee</w:t>
            </w:r>
            <w:r>
              <w:noBreakHyphen/>
              <w:t>for</w:t>
            </w:r>
            <w:r>
              <w:noBreakHyphen/>
              <w:t xml:space="preserve">service </w:t>
            </w:r>
            <w:r w:rsidR="00004672" w:rsidRPr="005970A0">
              <w:t>VET activity delivered by private providers</w:t>
            </w:r>
          </w:p>
          <w:p w:rsidR="00004672" w:rsidRPr="005970A0" w:rsidRDefault="00004672" w:rsidP="00004672">
            <w:pPr>
              <w:pStyle w:val="DQITableBullet"/>
              <w:keepNext w:val="0"/>
            </w:pPr>
            <w:r w:rsidRPr="005970A0">
              <w:t>VET activity delivered at overseas campuses of Australian VET institutions</w:t>
            </w:r>
          </w:p>
          <w:p w:rsidR="00004672" w:rsidRDefault="00004672" w:rsidP="00004672">
            <w:pPr>
              <w:pStyle w:val="DQITableBullet"/>
              <w:keepNext w:val="0"/>
            </w:pPr>
            <w:r w:rsidRPr="005970A0">
              <w:t>VET activity delivered in schools.</w:t>
            </w:r>
          </w:p>
          <w:p w:rsidR="00004672" w:rsidRPr="005970A0" w:rsidRDefault="00004672" w:rsidP="00004672">
            <w:pPr>
              <w:pStyle w:val="DQITableText"/>
            </w:pPr>
            <w:r w:rsidRPr="005970A0">
              <w:t>This scope has been in place since 2005. Prior to 2005, information was only collected from students undertaking Commonwealth/State funded programs through TAFE.</w:t>
            </w:r>
          </w:p>
        </w:tc>
      </w:tr>
      <w:tr w:rsidR="0090683B" w:rsidRPr="005970A0" w:rsidTr="00BB0A68">
        <w:tc>
          <w:tcPr>
            <w:tcW w:w="887" w:type="pct"/>
          </w:tcPr>
          <w:p w:rsidR="0090683B" w:rsidRPr="005970A0" w:rsidRDefault="0090683B" w:rsidP="009D6827">
            <w:pPr>
              <w:pStyle w:val="DQIRowHeadings"/>
              <w:keepNext w:val="0"/>
            </w:pPr>
            <w:r w:rsidRPr="005970A0">
              <w:t>Timeliness</w:t>
            </w:r>
          </w:p>
        </w:tc>
        <w:tc>
          <w:tcPr>
            <w:tcW w:w="4113" w:type="pct"/>
            <w:gridSpan w:val="2"/>
          </w:tcPr>
          <w:p w:rsidR="00BB0A68" w:rsidRDefault="0090683B" w:rsidP="009D6827">
            <w:pPr>
              <w:pStyle w:val="DQITableText"/>
            </w:pPr>
            <w:r w:rsidRPr="005970A0">
              <w:t xml:space="preserve">The </w:t>
            </w:r>
            <w:r w:rsidRPr="005970A0">
              <w:rPr>
                <w:i/>
              </w:rPr>
              <w:t>Student Outcomes Survey</w:t>
            </w:r>
            <w:r w:rsidRPr="005970A0">
              <w:t xml:space="preserve"> (SOS) is conducted every year. The reference date is the last Friday in May of the year after the training was completed. </w:t>
            </w:r>
          </w:p>
          <w:p w:rsidR="0090683B" w:rsidRPr="005970A0" w:rsidRDefault="0090683B" w:rsidP="00BB0A68">
            <w:pPr>
              <w:pStyle w:val="DQITableText"/>
            </w:pPr>
            <w:r w:rsidRPr="00A121DC">
              <w:t>Results from the 201</w:t>
            </w:r>
            <w:r w:rsidR="00BB0A68" w:rsidRPr="00A121DC">
              <w:t>4</w:t>
            </w:r>
            <w:r w:rsidRPr="00A121DC">
              <w:t xml:space="preserve"> survey (for students who completed their training in 201</w:t>
            </w:r>
            <w:r w:rsidR="00BB0A68" w:rsidRPr="00A121DC">
              <w:t>3</w:t>
            </w:r>
            <w:r w:rsidRPr="00A121DC">
              <w:t xml:space="preserve">) were released on the </w:t>
            </w:r>
            <w:proofErr w:type="spellStart"/>
            <w:r w:rsidRPr="00A121DC">
              <w:t>NCVER</w:t>
            </w:r>
            <w:proofErr w:type="spellEnd"/>
            <w:r w:rsidRPr="00A121DC">
              <w:t xml:space="preserve"> website in December 201</w:t>
            </w:r>
            <w:r w:rsidR="00BB0A68" w:rsidRPr="00A121DC">
              <w:t>4</w:t>
            </w:r>
            <w:r w:rsidRPr="00A121DC">
              <w:t>.</w:t>
            </w:r>
          </w:p>
        </w:tc>
      </w:tr>
      <w:tr w:rsidR="0090683B" w:rsidRPr="005970A0" w:rsidTr="00BB0A68">
        <w:tc>
          <w:tcPr>
            <w:tcW w:w="887" w:type="pct"/>
          </w:tcPr>
          <w:p w:rsidR="0090683B" w:rsidRPr="005970A0" w:rsidRDefault="0090683B" w:rsidP="0090683B">
            <w:pPr>
              <w:pStyle w:val="DQIRowHeadings"/>
              <w:keepNext w:val="0"/>
            </w:pPr>
            <w:r w:rsidRPr="005970A0">
              <w:t>Accuracy</w:t>
            </w:r>
          </w:p>
        </w:tc>
        <w:tc>
          <w:tcPr>
            <w:tcW w:w="4113" w:type="pct"/>
            <w:gridSpan w:val="2"/>
            <w:tcBorders>
              <w:bottom w:val="single" w:sz="6" w:space="0" w:color="78A22F"/>
            </w:tcBorders>
          </w:tcPr>
          <w:p w:rsidR="0090683B" w:rsidRPr="005970A0" w:rsidRDefault="0090683B" w:rsidP="0090683B">
            <w:pPr>
              <w:pStyle w:val="DQITableText"/>
              <w:keepNext w:val="0"/>
            </w:pPr>
            <w:r w:rsidRPr="005970A0">
              <w:t>In odd years, the sample is designed for reporting at the national, state/territory and institute level.  In even years, a smaller sample is used for reporting at the national and state/territory level only. The survey is undertaken as a stratified, randomly selected sample, with survey responses weighted to population benchmarks from the National VET Provider Collection.</w:t>
            </w:r>
          </w:p>
          <w:p w:rsidR="0090683B" w:rsidRPr="005970A0" w:rsidRDefault="0090683B" w:rsidP="0090683B">
            <w:pPr>
              <w:pStyle w:val="DQITableText"/>
              <w:keepNext w:val="0"/>
            </w:pPr>
            <w:r w:rsidRPr="005970A0">
              <w:t xml:space="preserve">Potential sources of error in survey data include failure to complete the survey or failure to answer every applicable question. Neither of these sources of error is considered, by </w:t>
            </w:r>
            <w:proofErr w:type="spellStart"/>
            <w:r w:rsidRPr="005970A0">
              <w:t>NCVER</w:t>
            </w:r>
            <w:proofErr w:type="spellEnd"/>
            <w:r w:rsidRPr="005970A0">
              <w:t>, to have affected the quality of data. Three analyses are conducted to determine the impact of non-response and mode bias. They are performed on weighted and unweighted data and include:</w:t>
            </w:r>
          </w:p>
          <w:p w:rsidR="0090683B" w:rsidRPr="005970A0" w:rsidRDefault="0090683B" w:rsidP="0090683B">
            <w:pPr>
              <w:pStyle w:val="DQITableBullet"/>
              <w:keepNext w:val="0"/>
            </w:pPr>
            <w:r w:rsidRPr="005970A0">
              <w:t>a comparison of the responding sample with the mailing list sample</w:t>
            </w:r>
          </w:p>
          <w:p w:rsidR="0090683B" w:rsidRPr="005970A0" w:rsidRDefault="0090683B" w:rsidP="0090683B">
            <w:pPr>
              <w:pStyle w:val="DQITableBullet"/>
              <w:keepNext w:val="0"/>
            </w:pPr>
            <w:r w:rsidRPr="005970A0">
              <w:t>a comparison of the characteristics of the responding sample with non-respondents. Information on a sample of non-respondents is collected via telephone interview</w:t>
            </w:r>
          </w:p>
          <w:p w:rsidR="0090683B" w:rsidRPr="005970A0" w:rsidRDefault="0090683B" w:rsidP="0090683B">
            <w:pPr>
              <w:pStyle w:val="DQITableBullet"/>
              <w:keepNext w:val="0"/>
            </w:pPr>
            <w:r w:rsidRPr="005970A0">
              <w:t>a comparison of the results obtained from mail and online completion.</w:t>
            </w:r>
          </w:p>
          <w:p w:rsidR="0090683B" w:rsidRPr="005970A0" w:rsidRDefault="0090683B" w:rsidP="00BB0A68">
            <w:pPr>
              <w:pStyle w:val="DQITableText"/>
              <w:keepNext w:val="0"/>
              <w:spacing w:after="80"/>
            </w:pPr>
            <w:r w:rsidRPr="005970A0">
              <w:t>Response rates to the 201</w:t>
            </w:r>
            <w:r w:rsidR="00BB0A68">
              <w:t>4</w:t>
            </w:r>
            <w:r w:rsidRPr="005970A0">
              <w:t xml:space="preserve"> survey are shown in table 1.</w:t>
            </w:r>
            <w:r>
              <w:t xml:space="preserve"> </w:t>
            </w:r>
          </w:p>
        </w:tc>
      </w:tr>
      <w:tr w:rsidR="0090683B" w:rsidRPr="005970A0" w:rsidTr="00BB0A68">
        <w:tc>
          <w:tcPr>
            <w:tcW w:w="887" w:type="pct"/>
          </w:tcPr>
          <w:p w:rsidR="0090683B" w:rsidRPr="005970A0" w:rsidRDefault="0090683B" w:rsidP="0090683B">
            <w:pPr>
              <w:pStyle w:val="DQIRowHeadings"/>
              <w:keepNext w:val="0"/>
            </w:pPr>
          </w:p>
        </w:tc>
        <w:tc>
          <w:tcPr>
            <w:tcW w:w="4113" w:type="pct"/>
            <w:gridSpan w:val="2"/>
            <w:tcBorders>
              <w:top w:val="single" w:sz="6" w:space="0" w:color="78A22F"/>
              <w:bottom w:val="single" w:sz="6" w:space="0" w:color="78A22F"/>
            </w:tcBorders>
          </w:tcPr>
          <w:p w:rsidR="0090683B" w:rsidRDefault="0090683B" w:rsidP="0090683B">
            <w:pPr>
              <w:pStyle w:val="TableTitle"/>
              <w:ind w:left="1135" w:hanging="993"/>
              <w:rPr>
                <w:sz w:val="18"/>
              </w:rPr>
            </w:pPr>
            <w:r w:rsidRPr="0090683B">
              <w:rPr>
                <w:b w:val="0"/>
                <w:sz w:val="18"/>
              </w:rPr>
              <w:t>Table 1</w:t>
            </w:r>
            <w:r w:rsidRPr="0090683B">
              <w:rPr>
                <w:sz w:val="18"/>
              </w:rPr>
              <w:tab/>
              <w:t>Response rates for graduates to t</w:t>
            </w:r>
            <w:r>
              <w:rPr>
                <w:sz w:val="18"/>
              </w:rPr>
              <w:t>he 201</w:t>
            </w:r>
            <w:r w:rsidR="00B80A1B">
              <w:rPr>
                <w:sz w:val="18"/>
              </w:rPr>
              <w:t>4</w:t>
            </w:r>
            <w:r>
              <w:rPr>
                <w:sz w:val="18"/>
              </w:rPr>
              <w:t xml:space="preserve"> Student Outcomes Survey</w:t>
            </w:r>
          </w:p>
          <w:tbl>
            <w:tblPr>
              <w:tblW w:w="4018" w:type="pct"/>
              <w:tblInd w:w="1135" w:type="dxa"/>
              <w:tblCellMar>
                <w:top w:w="28" w:type="dxa"/>
                <w:left w:w="0" w:type="dxa"/>
                <w:right w:w="0" w:type="dxa"/>
              </w:tblCellMar>
              <w:tblLook w:val="0000" w:firstRow="0" w:lastRow="0" w:firstColumn="0" w:lastColumn="0" w:noHBand="0" w:noVBand="0"/>
            </w:tblPr>
            <w:tblGrid>
              <w:gridCol w:w="2905"/>
              <w:gridCol w:w="2905"/>
            </w:tblGrid>
            <w:tr w:rsidR="0090683B" w:rsidTr="000049CE">
              <w:tc>
                <w:tcPr>
                  <w:tcW w:w="2500" w:type="pct"/>
                  <w:tcBorders>
                    <w:top w:val="single" w:sz="6" w:space="0" w:color="BFBFBF"/>
                    <w:bottom w:val="single" w:sz="6" w:space="0" w:color="BFBFBF"/>
                  </w:tcBorders>
                  <w:shd w:val="clear" w:color="auto" w:fill="auto"/>
                  <w:tcMar>
                    <w:top w:w="28" w:type="dxa"/>
                  </w:tcMar>
                </w:tcPr>
                <w:p w:rsidR="0090683B" w:rsidRPr="00B0510B" w:rsidRDefault="0090683B" w:rsidP="009D6827">
                  <w:pPr>
                    <w:pStyle w:val="DQITableText"/>
                    <w:spacing w:before="80" w:after="80"/>
                    <w:rPr>
                      <w:i/>
                    </w:rPr>
                  </w:pPr>
                  <w:r>
                    <w:rPr>
                      <w:i/>
                    </w:rPr>
                    <w:t>State/Territory</w:t>
                  </w:r>
                </w:p>
              </w:tc>
              <w:tc>
                <w:tcPr>
                  <w:tcW w:w="2500" w:type="pct"/>
                  <w:tcBorders>
                    <w:top w:val="single" w:sz="6" w:space="0" w:color="BFBFBF"/>
                    <w:bottom w:val="single" w:sz="6" w:space="0" w:color="BFBFBF"/>
                  </w:tcBorders>
                  <w:shd w:val="clear" w:color="auto" w:fill="auto"/>
                  <w:tcMar>
                    <w:top w:w="28" w:type="dxa"/>
                  </w:tcMar>
                </w:tcPr>
                <w:p w:rsidR="0090683B" w:rsidRPr="00B0510B" w:rsidRDefault="0090683B" w:rsidP="009D6827">
                  <w:pPr>
                    <w:pStyle w:val="DQITableText"/>
                    <w:spacing w:before="80" w:after="80"/>
                    <w:jc w:val="right"/>
                    <w:rPr>
                      <w:i/>
                    </w:rPr>
                  </w:pPr>
                  <w:r>
                    <w:rPr>
                      <w:i/>
                    </w:rPr>
                    <w:t>Response rate (%)</w:t>
                  </w:r>
                </w:p>
              </w:tc>
            </w:tr>
            <w:tr w:rsidR="0090683B" w:rsidTr="000049CE">
              <w:tc>
                <w:tcPr>
                  <w:tcW w:w="2500" w:type="pct"/>
                  <w:tcBorders>
                    <w:top w:val="single" w:sz="6" w:space="0" w:color="BFBFBF"/>
                  </w:tcBorders>
                </w:tcPr>
                <w:p w:rsidR="0090683B" w:rsidRPr="005970A0" w:rsidRDefault="0090683B" w:rsidP="009D6827">
                  <w:pPr>
                    <w:pStyle w:val="DQITableText"/>
                    <w:spacing w:before="40" w:after="40"/>
                  </w:pPr>
                  <w:r>
                    <w:t>New South Wales</w:t>
                  </w:r>
                </w:p>
              </w:tc>
              <w:tc>
                <w:tcPr>
                  <w:tcW w:w="2500" w:type="pct"/>
                  <w:tcBorders>
                    <w:top w:val="single" w:sz="6" w:space="0" w:color="BFBFBF"/>
                  </w:tcBorders>
                </w:tcPr>
                <w:p w:rsidR="0090683B" w:rsidRPr="005970A0" w:rsidRDefault="00BB0A68" w:rsidP="009D6827">
                  <w:pPr>
                    <w:pStyle w:val="DQITableText"/>
                    <w:spacing w:before="40" w:after="40"/>
                    <w:jc w:val="right"/>
                  </w:pPr>
                  <w:r>
                    <w:t>41.3</w:t>
                  </w:r>
                </w:p>
              </w:tc>
            </w:tr>
            <w:tr w:rsidR="0090683B" w:rsidTr="000049CE">
              <w:tc>
                <w:tcPr>
                  <w:tcW w:w="2500" w:type="pct"/>
                </w:tcPr>
                <w:p w:rsidR="0090683B" w:rsidRPr="005970A0" w:rsidRDefault="0090683B" w:rsidP="009D6827">
                  <w:pPr>
                    <w:pStyle w:val="DQITableText"/>
                    <w:spacing w:before="0" w:after="40"/>
                  </w:pPr>
                  <w:r>
                    <w:t>Victoria</w:t>
                  </w:r>
                </w:p>
              </w:tc>
              <w:tc>
                <w:tcPr>
                  <w:tcW w:w="2500" w:type="pct"/>
                </w:tcPr>
                <w:p w:rsidR="0090683B" w:rsidRPr="005970A0" w:rsidRDefault="00BB0A68" w:rsidP="009D6827">
                  <w:pPr>
                    <w:pStyle w:val="DQITableText"/>
                    <w:spacing w:before="0" w:after="40"/>
                    <w:jc w:val="right"/>
                  </w:pPr>
                  <w:r>
                    <w:t>36.2</w:t>
                  </w:r>
                </w:p>
              </w:tc>
            </w:tr>
            <w:tr w:rsidR="0090683B" w:rsidTr="000049CE">
              <w:tc>
                <w:tcPr>
                  <w:tcW w:w="2500" w:type="pct"/>
                  <w:shd w:val="clear" w:color="auto" w:fill="auto"/>
                </w:tcPr>
                <w:p w:rsidR="0090683B" w:rsidRPr="005970A0" w:rsidRDefault="0090683B" w:rsidP="009D6827">
                  <w:pPr>
                    <w:pStyle w:val="DQITableText"/>
                    <w:spacing w:before="0" w:after="40"/>
                  </w:pPr>
                  <w:r>
                    <w:t>Queensland</w:t>
                  </w:r>
                </w:p>
              </w:tc>
              <w:tc>
                <w:tcPr>
                  <w:tcW w:w="2500" w:type="pct"/>
                  <w:shd w:val="clear" w:color="auto" w:fill="auto"/>
                </w:tcPr>
                <w:p w:rsidR="0090683B" w:rsidRPr="005970A0" w:rsidRDefault="00BB0A68" w:rsidP="009D6827">
                  <w:pPr>
                    <w:pStyle w:val="DQITableText"/>
                    <w:spacing w:before="0" w:after="40"/>
                    <w:jc w:val="right"/>
                  </w:pPr>
                  <w:r>
                    <w:t>35.7</w:t>
                  </w:r>
                </w:p>
              </w:tc>
            </w:tr>
            <w:tr w:rsidR="0090683B" w:rsidTr="000049CE">
              <w:tc>
                <w:tcPr>
                  <w:tcW w:w="2500" w:type="pct"/>
                  <w:shd w:val="clear" w:color="auto" w:fill="auto"/>
                </w:tcPr>
                <w:p w:rsidR="0090683B" w:rsidRPr="005970A0" w:rsidRDefault="0090683B" w:rsidP="009D6827">
                  <w:pPr>
                    <w:pStyle w:val="DQITableText"/>
                    <w:spacing w:before="0" w:after="40"/>
                  </w:pPr>
                  <w:r>
                    <w:t>Western Australia</w:t>
                  </w:r>
                </w:p>
              </w:tc>
              <w:tc>
                <w:tcPr>
                  <w:tcW w:w="2500" w:type="pct"/>
                  <w:shd w:val="clear" w:color="auto" w:fill="auto"/>
                </w:tcPr>
                <w:p w:rsidR="0090683B" w:rsidRPr="005970A0" w:rsidRDefault="00BB0A68" w:rsidP="009D6827">
                  <w:pPr>
                    <w:pStyle w:val="DQITableText"/>
                    <w:spacing w:before="0" w:after="40"/>
                    <w:jc w:val="right"/>
                  </w:pPr>
                  <w:r>
                    <w:t>41.6</w:t>
                  </w:r>
                </w:p>
              </w:tc>
            </w:tr>
            <w:tr w:rsidR="0090683B" w:rsidTr="000049CE">
              <w:tc>
                <w:tcPr>
                  <w:tcW w:w="2500" w:type="pct"/>
                  <w:shd w:val="clear" w:color="auto" w:fill="auto"/>
                </w:tcPr>
                <w:p w:rsidR="0090683B" w:rsidRPr="005970A0" w:rsidRDefault="0090683B" w:rsidP="009D6827">
                  <w:pPr>
                    <w:pStyle w:val="DQITableText"/>
                    <w:spacing w:before="0" w:after="40"/>
                  </w:pPr>
                  <w:r>
                    <w:t>South Australia</w:t>
                  </w:r>
                </w:p>
              </w:tc>
              <w:tc>
                <w:tcPr>
                  <w:tcW w:w="2500" w:type="pct"/>
                  <w:shd w:val="clear" w:color="auto" w:fill="auto"/>
                </w:tcPr>
                <w:p w:rsidR="0090683B" w:rsidRPr="005970A0" w:rsidRDefault="00BB0A68" w:rsidP="009D6827">
                  <w:pPr>
                    <w:pStyle w:val="DQITableText"/>
                    <w:spacing w:before="0" w:after="40"/>
                    <w:jc w:val="right"/>
                  </w:pPr>
                  <w:r>
                    <w:t>33.3</w:t>
                  </w:r>
                </w:p>
              </w:tc>
            </w:tr>
            <w:tr w:rsidR="0090683B" w:rsidTr="000049CE">
              <w:tc>
                <w:tcPr>
                  <w:tcW w:w="2500" w:type="pct"/>
                  <w:shd w:val="clear" w:color="auto" w:fill="auto"/>
                </w:tcPr>
                <w:p w:rsidR="0090683B" w:rsidRPr="005970A0" w:rsidRDefault="0090683B" w:rsidP="009D6827">
                  <w:pPr>
                    <w:pStyle w:val="DQITableText"/>
                    <w:spacing w:before="0" w:after="40"/>
                  </w:pPr>
                  <w:r>
                    <w:t>Tasmania</w:t>
                  </w:r>
                </w:p>
              </w:tc>
              <w:tc>
                <w:tcPr>
                  <w:tcW w:w="2500" w:type="pct"/>
                  <w:shd w:val="clear" w:color="auto" w:fill="auto"/>
                </w:tcPr>
                <w:p w:rsidR="0090683B" w:rsidRPr="005970A0" w:rsidRDefault="00BB0A68" w:rsidP="009D6827">
                  <w:pPr>
                    <w:pStyle w:val="DQITableText"/>
                    <w:spacing w:before="0" w:after="40"/>
                    <w:jc w:val="right"/>
                  </w:pPr>
                  <w:r>
                    <w:t>40.9</w:t>
                  </w:r>
                </w:p>
              </w:tc>
            </w:tr>
            <w:tr w:rsidR="0090683B" w:rsidTr="000049CE">
              <w:tc>
                <w:tcPr>
                  <w:tcW w:w="2500" w:type="pct"/>
                  <w:shd w:val="clear" w:color="auto" w:fill="auto"/>
                </w:tcPr>
                <w:p w:rsidR="0090683B" w:rsidRPr="005970A0" w:rsidRDefault="0090683B" w:rsidP="009D6827">
                  <w:pPr>
                    <w:pStyle w:val="DQITableText"/>
                    <w:spacing w:before="0" w:after="40"/>
                  </w:pPr>
                  <w:r>
                    <w:t>Australian Capital Territory</w:t>
                  </w:r>
                </w:p>
              </w:tc>
              <w:tc>
                <w:tcPr>
                  <w:tcW w:w="2500" w:type="pct"/>
                  <w:shd w:val="clear" w:color="auto" w:fill="auto"/>
                </w:tcPr>
                <w:p w:rsidR="0090683B" w:rsidRPr="005970A0" w:rsidRDefault="00BB0A68" w:rsidP="009D6827">
                  <w:pPr>
                    <w:pStyle w:val="DQITableText"/>
                    <w:spacing w:before="0" w:after="40"/>
                    <w:jc w:val="right"/>
                  </w:pPr>
                  <w:r>
                    <w:t>38.6</w:t>
                  </w:r>
                </w:p>
              </w:tc>
            </w:tr>
            <w:tr w:rsidR="0090683B" w:rsidTr="000049CE">
              <w:tc>
                <w:tcPr>
                  <w:tcW w:w="2500" w:type="pct"/>
                  <w:shd w:val="clear" w:color="auto" w:fill="auto"/>
                </w:tcPr>
                <w:p w:rsidR="0090683B" w:rsidRPr="005970A0" w:rsidRDefault="0090683B" w:rsidP="009D6827">
                  <w:pPr>
                    <w:pStyle w:val="DQITableText"/>
                    <w:spacing w:before="0" w:after="40"/>
                  </w:pPr>
                  <w:r>
                    <w:t>Northern Territory</w:t>
                  </w:r>
                </w:p>
              </w:tc>
              <w:tc>
                <w:tcPr>
                  <w:tcW w:w="2500" w:type="pct"/>
                  <w:shd w:val="clear" w:color="auto" w:fill="auto"/>
                </w:tcPr>
                <w:p w:rsidR="0090683B" w:rsidRPr="005970A0" w:rsidRDefault="00BB0A68" w:rsidP="009D6827">
                  <w:pPr>
                    <w:pStyle w:val="DQITableText"/>
                    <w:spacing w:before="0" w:after="40"/>
                    <w:jc w:val="right"/>
                  </w:pPr>
                  <w:r>
                    <w:t>44.3</w:t>
                  </w:r>
                </w:p>
              </w:tc>
            </w:tr>
            <w:tr w:rsidR="0090683B" w:rsidTr="000049CE">
              <w:tc>
                <w:tcPr>
                  <w:tcW w:w="2500" w:type="pct"/>
                  <w:tcBorders>
                    <w:bottom w:val="single" w:sz="6" w:space="0" w:color="BFBFBF"/>
                  </w:tcBorders>
                  <w:shd w:val="clear" w:color="auto" w:fill="auto"/>
                </w:tcPr>
                <w:p w:rsidR="0090683B" w:rsidRPr="00B0510B" w:rsidRDefault="0090683B" w:rsidP="009D6827">
                  <w:pPr>
                    <w:pStyle w:val="DQITableText"/>
                    <w:spacing w:before="0" w:after="40"/>
                    <w:rPr>
                      <w:b/>
                    </w:rPr>
                  </w:pPr>
                  <w:r w:rsidRPr="00B0510B">
                    <w:rPr>
                      <w:b/>
                    </w:rPr>
                    <w:t>Australia</w:t>
                  </w:r>
                </w:p>
              </w:tc>
              <w:tc>
                <w:tcPr>
                  <w:tcW w:w="2500" w:type="pct"/>
                  <w:tcBorders>
                    <w:bottom w:val="single" w:sz="6" w:space="0" w:color="BFBFBF"/>
                  </w:tcBorders>
                  <w:shd w:val="clear" w:color="auto" w:fill="auto"/>
                </w:tcPr>
                <w:p w:rsidR="0090683B" w:rsidRPr="00B0510B" w:rsidRDefault="00BB0A68" w:rsidP="009D6827">
                  <w:pPr>
                    <w:pStyle w:val="DQITableText"/>
                    <w:spacing w:before="0" w:after="40"/>
                    <w:jc w:val="right"/>
                    <w:rPr>
                      <w:b/>
                    </w:rPr>
                  </w:pPr>
                  <w:r>
                    <w:rPr>
                      <w:b/>
                    </w:rPr>
                    <w:t>38.2</w:t>
                  </w:r>
                </w:p>
              </w:tc>
            </w:tr>
          </w:tbl>
          <w:p w:rsidR="0090683B" w:rsidRPr="0090683B" w:rsidRDefault="0090683B" w:rsidP="0090683B">
            <w:pPr>
              <w:pStyle w:val="Box"/>
            </w:pPr>
          </w:p>
        </w:tc>
      </w:tr>
      <w:tr w:rsidR="0090683B" w:rsidRPr="005970A0" w:rsidTr="00BB0A68">
        <w:tc>
          <w:tcPr>
            <w:tcW w:w="887" w:type="pct"/>
          </w:tcPr>
          <w:p w:rsidR="0090683B" w:rsidRPr="005970A0" w:rsidRDefault="0090683B" w:rsidP="0090683B">
            <w:pPr>
              <w:pStyle w:val="DQIRowHeadings"/>
              <w:keepNext w:val="0"/>
            </w:pPr>
          </w:p>
        </w:tc>
        <w:tc>
          <w:tcPr>
            <w:tcW w:w="4113" w:type="pct"/>
            <w:gridSpan w:val="2"/>
            <w:tcBorders>
              <w:top w:val="single" w:sz="6" w:space="0" w:color="78A22F"/>
            </w:tcBorders>
          </w:tcPr>
          <w:p w:rsidR="0090683B" w:rsidRPr="005970A0" w:rsidRDefault="0090683B" w:rsidP="00BB0A68">
            <w:pPr>
              <w:pStyle w:val="DQITableText"/>
              <w:keepNext w:val="0"/>
            </w:pPr>
            <w:r w:rsidRPr="005970A0">
              <w:t>For 201</w:t>
            </w:r>
            <w:r w:rsidR="00BB0A68">
              <w:t>4</w:t>
            </w:r>
            <w:r w:rsidRPr="005970A0">
              <w:t>, the indicator has acceptable (less than 25</w:t>
            </w:r>
            <w:r>
              <w:t xml:space="preserve"> per cent</w:t>
            </w:r>
            <w:r w:rsidRPr="005970A0">
              <w:t>) relative standard errors (</w:t>
            </w:r>
            <w:proofErr w:type="spellStart"/>
            <w:r w:rsidRPr="005970A0">
              <w:t>RSEs</w:t>
            </w:r>
            <w:proofErr w:type="spellEnd"/>
            <w:r w:rsidRPr="005970A0">
              <w:t>) for all VET graduates at the national</w:t>
            </w:r>
            <w:r>
              <w:t xml:space="preserve"> and</w:t>
            </w:r>
            <w:r w:rsidRPr="005970A0">
              <w:t xml:space="preserve"> state/territory level. </w:t>
            </w:r>
            <w:r>
              <w:t xml:space="preserve">When data are disaggregated by Indigenous status, some </w:t>
            </w:r>
            <w:proofErr w:type="spellStart"/>
            <w:r>
              <w:t>RSEs</w:t>
            </w:r>
            <w:proofErr w:type="spellEnd"/>
            <w:r>
              <w:t xml:space="preserve"> are consistently above 25 per cent due to small sample sizes.</w:t>
            </w:r>
          </w:p>
        </w:tc>
      </w:tr>
      <w:tr w:rsidR="000049CE" w:rsidRPr="005970A0" w:rsidTr="00BB0A68">
        <w:tc>
          <w:tcPr>
            <w:tcW w:w="887" w:type="pct"/>
          </w:tcPr>
          <w:p w:rsidR="000049CE" w:rsidRPr="005970A0" w:rsidRDefault="000049CE" w:rsidP="00004672">
            <w:pPr>
              <w:pStyle w:val="DQIRowHeadings"/>
            </w:pPr>
            <w:r w:rsidRPr="005970A0">
              <w:lastRenderedPageBreak/>
              <w:t>Coherence</w:t>
            </w:r>
          </w:p>
          <w:p w:rsidR="000049CE" w:rsidRPr="005970A0" w:rsidRDefault="000049CE" w:rsidP="00004672">
            <w:pPr>
              <w:pStyle w:val="DQIRowHeadings"/>
            </w:pPr>
          </w:p>
        </w:tc>
        <w:tc>
          <w:tcPr>
            <w:tcW w:w="4113" w:type="pct"/>
            <w:gridSpan w:val="2"/>
          </w:tcPr>
          <w:p w:rsidR="000049CE" w:rsidRPr="005970A0" w:rsidRDefault="000049CE" w:rsidP="00004672">
            <w:pPr>
              <w:pStyle w:val="DQITableText"/>
            </w:pPr>
            <w:r w:rsidRPr="005970A0">
              <w:t xml:space="preserve">The majority of data items have not changed since the survey was first conducted in 1997. The scope of the survey has increased over time. Until 2000, the survey was restricted to TAFE students. From 2000, it was expanded to include students from Adult and Community Education, private and other government providers. </w:t>
            </w:r>
          </w:p>
          <w:p w:rsidR="000049CE" w:rsidRPr="005970A0" w:rsidRDefault="000049CE" w:rsidP="00004672">
            <w:pPr>
              <w:pStyle w:val="DQITableText"/>
            </w:pPr>
            <w:r w:rsidRPr="005970A0">
              <w:t>Two questionnaires are used to collect the data. The main questionnaire is sent to students from TAFE, other Government and private providers. A separate shorter questionnaire is sent to students from Adult and Community Education (ACE) providers.</w:t>
            </w:r>
          </w:p>
        </w:tc>
      </w:tr>
      <w:tr w:rsidR="000049CE" w:rsidRPr="005970A0" w:rsidTr="00BB0A68">
        <w:tc>
          <w:tcPr>
            <w:tcW w:w="887" w:type="pct"/>
          </w:tcPr>
          <w:p w:rsidR="000049CE" w:rsidRPr="005970A0" w:rsidRDefault="000049CE" w:rsidP="00004672">
            <w:pPr>
              <w:pStyle w:val="DQIRowHeadings"/>
              <w:keepNext w:val="0"/>
            </w:pPr>
            <w:r w:rsidRPr="005970A0">
              <w:t>Accessibility</w:t>
            </w:r>
          </w:p>
          <w:p w:rsidR="000049CE" w:rsidRPr="005970A0" w:rsidRDefault="000049CE" w:rsidP="00004672">
            <w:pPr>
              <w:pStyle w:val="DQIRowHeadings"/>
              <w:keepNext w:val="0"/>
            </w:pPr>
          </w:p>
        </w:tc>
        <w:tc>
          <w:tcPr>
            <w:tcW w:w="4113" w:type="pct"/>
            <w:gridSpan w:val="2"/>
          </w:tcPr>
          <w:p w:rsidR="000049CE" w:rsidRPr="005D5C2F" w:rsidRDefault="000049CE" w:rsidP="00004672">
            <w:pPr>
              <w:pStyle w:val="DQITableText"/>
              <w:keepNext w:val="0"/>
              <w:rPr>
                <w:szCs w:val="18"/>
                <w:u w:val="single"/>
              </w:rPr>
            </w:pPr>
            <w:r w:rsidRPr="005970A0">
              <w:t xml:space="preserve">Results of the </w:t>
            </w:r>
            <w:r w:rsidRPr="005D5C2F">
              <w:rPr>
                <w:szCs w:val="18"/>
              </w:rPr>
              <w:t xml:space="preserve">survey are available free of charge on </w:t>
            </w:r>
            <w:proofErr w:type="spellStart"/>
            <w:r w:rsidRPr="005D5C2F">
              <w:rPr>
                <w:szCs w:val="18"/>
              </w:rPr>
              <w:t>NCVER’s</w:t>
            </w:r>
            <w:proofErr w:type="spellEnd"/>
            <w:r w:rsidRPr="005D5C2F">
              <w:rPr>
                <w:szCs w:val="18"/>
              </w:rPr>
              <w:t xml:space="preserve"> website at: </w:t>
            </w:r>
            <w:r w:rsidRPr="007047F5">
              <w:rPr>
                <w:rFonts w:cs="Arial"/>
                <w:szCs w:val="18"/>
              </w:rPr>
              <w:t>http://</w:t>
            </w:r>
            <w:proofErr w:type="spellStart"/>
            <w:r w:rsidRPr="007047F5">
              <w:rPr>
                <w:rFonts w:cs="Arial"/>
                <w:szCs w:val="18"/>
              </w:rPr>
              <w:t>www.ncver.edu.au</w:t>
            </w:r>
            <w:proofErr w:type="spellEnd"/>
            <w:r w:rsidRPr="007047F5">
              <w:rPr>
                <w:rFonts w:cs="Arial"/>
                <w:szCs w:val="18"/>
              </w:rPr>
              <w:t>/statistic/</w:t>
            </w:r>
            <w:proofErr w:type="spellStart"/>
            <w:r w:rsidRPr="007047F5">
              <w:rPr>
                <w:rFonts w:cs="Arial"/>
                <w:szCs w:val="18"/>
              </w:rPr>
              <w:t>21065.html</w:t>
            </w:r>
            <w:proofErr w:type="spellEnd"/>
            <w:r w:rsidRPr="005D5C2F">
              <w:rPr>
                <w:szCs w:val="18"/>
              </w:rPr>
              <w:t xml:space="preserve">. Requests for more detailed statistical information or further information about the Student Outcomes Survey can be made to </w:t>
            </w:r>
            <w:proofErr w:type="spellStart"/>
            <w:r w:rsidRPr="005D5C2F">
              <w:rPr>
                <w:bCs/>
                <w:szCs w:val="18"/>
              </w:rPr>
              <w:t>NCVER</w:t>
            </w:r>
            <w:proofErr w:type="spellEnd"/>
            <w:r w:rsidRPr="005D5C2F">
              <w:rPr>
                <w:bCs/>
                <w:szCs w:val="18"/>
              </w:rPr>
              <w:t xml:space="preserve"> on</w:t>
            </w:r>
            <w:r w:rsidRPr="005D5C2F">
              <w:rPr>
                <w:szCs w:val="18"/>
              </w:rPr>
              <w:t xml:space="preserve"> (08) 8230 8400 or </w:t>
            </w:r>
            <w:proofErr w:type="spellStart"/>
            <w:r w:rsidRPr="007047F5">
              <w:rPr>
                <w:rFonts w:cs="Arial"/>
                <w:szCs w:val="18"/>
              </w:rPr>
              <w:t>surveys_req@ncver.edu.au</w:t>
            </w:r>
            <w:proofErr w:type="spellEnd"/>
          </w:p>
          <w:p w:rsidR="000049CE" w:rsidRPr="005970A0" w:rsidRDefault="000049CE" w:rsidP="00004672">
            <w:pPr>
              <w:pStyle w:val="DQITableText"/>
              <w:keepNext w:val="0"/>
            </w:pPr>
            <w:r w:rsidRPr="005D5C2F">
              <w:rPr>
                <w:szCs w:val="18"/>
              </w:rPr>
              <w:t xml:space="preserve">A charge will be generally made by </w:t>
            </w:r>
            <w:proofErr w:type="spellStart"/>
            <w:r w:rsidR="00C90987">
              <w:rPr>
                <w:szCs w:val="18"/>
              </w:rPr>
              <w:t>NCVER</w:t>
            </w:r>
            <w:proofErr w:type="spellEnd"/>
            <w:r w:rsidRPr="005D5C2F">
              <w:rPr>
                <w:szCs w:val="18"/>
              </w:rPr>
              <w:t xml:space="preserve"> for more complex requests for information. See </w:t>
            </w:r>
            <w:proofErr w:type="spellStart"/>
            <w:r w:rsidRPr="005D5C2F">
              <w:rPr>
                <w:szCs w:val="18"/>
              </w:rPr>
              <w:t>NCVER’s</w:t>
            </w:r>
            <w:proofErr w:type="spellEnd"/>
            <w:r w:rsidRPr="005D5C2F">
              <w:rPr>
                <w:szCs w:val="18"/>
              </w:rPr>
              <w:t xml:space="preserve"> fees and charges policy at </w:t>
            </w:r>
            <w:r w:rsidRPr="007047F5">
              <w:rPr>
                <w:rFonts w:cs="Arial"/>
                <w:szCs w:val="18"/>
              </w:rPr>
              <w:t>http://</w:t>
            </w:r>
            <w:proofErr w:type="spellStart"/>
            <w:r w:rsidRPr="007047F5">
              <w:rPr>
                <w:rFonts w:cs="Arial"/>
                <w:szCs w:val="18"/>
              </w:rPr>
              <w:t>www.ncver.edu.au</w:t>
            </w:r>
            <w:proofErr w:type="spellEnd"/>
            <w:r w:rsidRPr="007047F5">
              <w:rPr>
                <w:rFonts w:cs="Arial"/>
                <w:szCs w:val="18"/>
              </w:rPr>
              <w:t>/statistic/</w:t>
            </w:r>
            <w:proofErr w:type="spellStart"/>
            <w:r w:rsidRPr="007047F5">
              <w:rPr>
                <w:rFonts w:cs="Arial"/>
                <w:szCs w:val="18"/>
              </w:rPr>
              <w:t>21075.html</w:t>
            </w:r>
            <w:proofErr w:type="spellEnd"/>
          </w:p>
        </w:tc>
      </w:tr>
      <w:tr w:rsidR="000049CE" w:rsidRPr="005970A0" w:rsidTr="00BB0A68">
        <w:tc>
          <w:tcPr>
            <w:tcW w:w="887" w:type="pct"/>
          </w:tcPr>
          <w:p w:rsidR="000049CE" w:rsidRPr="005970A0" w:rsidRDefault="000049CE" w:rsidP="009D6827">
            <w:pPr>
              <w:pStyle w:val="DQIRowHeadings"/>
            </w:pPr>
            <w:r w:rsidRPr="005970A0">
              <w:t>Interpretability</w:t>
            </w:r>
          </w:p>
          <w:p w:rsidR="000049CE" w:rsidRPr="005970A0" w:rsidRDefault="000049CE" w:rsidP="009D6827">
            <w:pPr>
              <w:pStyle w:val="DQIRowHeadings"/>
            </w:pPr>
          </w:p>
        </w:tc>
        <w:tc>
          <w:tcPr>
            <w:tcW w:w="4113" w:type="pct"/>
            <w:gridSpan w:val="2"/>
          </w:tcPr>
          <w:p w:rsidR="000049CE" w:rsidRPr="005970A0" w:rsidRDefault="000049CE" w:rsidP="009D6827">
            <w:pPr>
              <w:pStyle w:val="DQITableText"/>
            </w:pPr>
            <w:r w:rsidRPr="005970A0">
              <w:t xml:space="preserve">To aid interpretation of the data, information on the Student Outcomes Survey is available on the </w:t>
            </w:r>
            <w:proofErr w:type="spellStart"/>
            <w:r w:rsidRPr="005970A0">
              <w:t>NCVER</w:t>
            </w:r>
            <w:proofErr w:type="spellEnd"/>
            <w:r w:rsidRPr="005970A0">
              <w:t xml:space="preserve"> website.</w:t>
            </w:r>
          </w:p>
          <w:p w:rsidR="000049CE" w:rsidRPr="005970A0" w:rsidRDefault="000049CE" w:rsidP="009D6827">
            <w:pPr>
              <w:pStyle w:val="DQITableText"/>
            </w:pPr>
            <w:r w:rsidRPr="005970A0">
              <w:t>The survey uses the:</w:t>
            </w:r>
          </w:p>
          <w:p w:rsidR="000049CE" w:rsidRPr="00E01646" w:rsidRDefault="000049CE" w:rsidP="009D6827">
            <w:pPr>
              <w:pStyle w:val="DQITableBullet"/>
            </w:pPr>
            <w:proofErr w:type="spellStart"/>
            <w:r w:rsidRPr="00E01646">
              <w:t>ASCED</w:t>
            </w:r>
            <w:proofErr w:type="spellEnd"/>
            <w:r w:rsidRPr="00E01646">
              <w:t xml:space="preserve"> (ABS cat. no. 1272.0) to classify the level and field of education</w:t>
            </w:r>
          </w:p>
          <w:p w:rsidR="000049CE" w:rsidRPr="00E01646" w:rsidRDefault="000049CE" w:rsidP="009D6827">
            <w:pPr>
              <w:pStyle w:val="DQITableBullet"/>
            </w:pPr>
            <w:r w:rsidRPr="00E01646">
              <w:t>Australian and New Zealand Standard Industry Classification (</w:t>
            </w:r>
            <w:proofErr w:type="spellStart"/>
            <w:r w:rsidRPr="00E01646">
              <w:t>ANZSIC</w:t>
            </w:r>
            <w:proofErr w:type="spellEnd"/>
            <w:r w:rsidRPr="00E01646">
              <w:t>) (ABS cat. no. 1292.0) to classify industry</w:t>
            </w:r>
          </w:p>
          <w:p w:rsidR="000049CE" w:rsidRPr="00E01646" w:rsidRDefault="000049CE" w:rsidP="009D6827">
            <w:pPr>
              <w:pStyle w:val="DQITableBullet"/>
            </w:pPr>
            <w:proofErr w:type="spellStart"/>
            <w:r w:rsidRPr="00E01646">
              <w:t>ANZSCO</w:t>
            </w:r>
            <w:proofErr w:type="spellEnd"/>
            <w:r w:rsidRPr="00E01646">
              <w:t xml:space="preserve"> </w:t>
            </w:r>
            <w:r w:rsidR="007B68DE">
              <w:t>(</w:t>
            </w:r>
            <w:r w:rsidRPr="00E01646">
              <w:t xml:space="preserve">previously </w:t>
            </w:r>
            <w:proofErr w:type="spellStart"/>
            <w:r w:rsidRPr="00E01646">
              <w:t>ASCO</w:t>
            </w:r>
            <w:proofErr w:type="spellEnd"/>
            <w:r w:rsidRPr="00E01646">
              <w:t>) (ABS cat. no. 1220.0) to classify occupation</w:t>
            </w:r>
          </w:p>
          <w:p w:rsidR="000049CE" w:rsidRPr="00E01646" w:rsidRDefault="000049CE" w:rsidP="009D6827">
            <w:pPr>
              <w:pStyle w:val="DQITableBullet"/>
            </w:pPr>
            <w:r w:rsidRPr="00E01646">
              <w:t>Australian Statistical Geography Standard (</w:t>
            </w:r>
            <w:proofErr w:type="spellStart"/>
            <w:r w:rsidRPr="00E01646">
              <w:t>ASGS</w:t>
            </w:r>
            <w:proofErr w:type="spellEnd"/>
            <w:r w:rsidRPr="00E01646">
              <w:t xml:space="preserve">): Volume 5 - Remoteness Structure (ABS cat. </w:t>
            </w:r>
            <w:proofErr w:type="spellStart"/>
            <w:r w:rsidRPr="00E01646">
              <w:t>no.1270.0.55.005</w:t>
            </w:r>
            <w:proofErr w:type="spellEnd"/>
            <w:r w:rsidRPr="00E01646">
              <w:t>) together with the Accessibility/Remoteness Index of Australia (ARIA) to classify remoteness.</w:t>
            </w:r>
          </w:p>
          <w:p w:rsidR="000049CE" w:rsidRPr="005970A0" w:rsidRDefault="000049CE" w:rsidP="009D6827">
            <w:pPr>
              <w:pStyle w:val="DQITableText"/>
            </w:pPr>
            <w:r w:rsidRPr="005970A0">
              <w:t>Other standards used include the ABS standard question</w:t>
            </w:r>
            <w:r w:rsidR="00BB0A68">
              <w:t>s</w:t>
            </w:r>
            <w:r w:rsidRPr="005970A0">
              <w:t xml:space="preserve"> on:</w:t>
            </w:r>
          </w:p>
          <w:p w:rsidR="000049CE" w:rsidRPr="005970A0" w:rsidRDefault="000049CE" w:rsidP="009D6827">
            <w:pPr>
              <w:pStyle w:val="DQITableBullet"/>
            </w:pPr>
            <w:r w:rsidRPr="005970A0">
              <w:t>Indigenous status</w:t>
            </w:r>
          </w:p>
          <w:p w:rsidR="000049CE" w:rsidRPr="005970A0" w:rsidRDefault="000049CE" w:rsidP="009D6827">
            <w:pPr>
              <w:pStyle w:val="DQITableBullet"/>
            </w:pPr>
            <w:r w:rsidRPr="005970A0">
              <w:t>Country of birth</w:t>
            </w:r>
          </w:p>
          <w:p w:rsidR="000049CE" w:rsidRPr="005970A0" w:rsidRDefault="000049CE" w:rsidP="009D6827">
            <w:pPr>
              <w:pStyle w:val="DQITableBullet"/>
            </w:pPr>
            <w:r w:rsidRPr="005970A0">
              <w:t>Main Language Spoken at Home</w:t>
            </w:r>
          </w:p>
          <w:p w:rsidR="000049CE" w:rsidRPr="00582952" w:rsidRDefault="000049CE" w:rsidP="009D6827">
            <w:pPr>
              <w:pStyle w:val="DQITableBullet"/>
              <w:rPr>
                <w:u w:val="single"/>
              </w:rPr>
            </w:pPr>
            <w:r w:rsidRPr="005970A0">
              <w:t>Labour force status</w:t>
            </w:r>
          </w:p>
          <w:p w:rsidR="000049CE" w:rsidRPr="005970A0" w:rsidRDefault="000049CE" w:rsidP="009D6827">
            <w:pPr>
              <w:pStyle w:val="DQITableText"/>
            </w:pPr>
            <w:r w:rsidRPr="00582952">
              <w:t xml:space="preserve">Student remoteness is based on the Access/Remoteness Index of Australia (ARIA+), which was developed by the National Centre for Social Applications of </w:t>
            </w:r>
            <w:proofErr w:type="spellStart"/>
            <w:r w:rsidR="007B68DE">
              <w:t>GISCA</w:t>
            </w:r>
            <w:proofErr w:type="spellEnd"/>
            <w:r w:rsidRPr="00582952">
              <w:t xml:space="preserve">. ARIA+ is now the standard ABS-endorsed measure of remoteness. From 2012, Student remoteness (ARIA+) is determined from ARIA+ remoteness regions and ABS </w:t>
            </w:r>
            <w:proofErr w:type="spellStart"/>
            <w:r w:rsidRPr="00582952">
              <w:t>SA2</w:t>
            </w:r>
            <w:proofErr w:type="spellEnd"/>
            <w:r w:rsidRPr="00582952">
              <w:t xml:space="preserve"> regions. Data prior to 2012 is based on ABS postal areas and ARIA+. Student remoteness (ARIA+) regions use the same ARIA+ ranges as the ABS remoteness areas and are therefore an </w:t>
            </w:r>
            <w:r w:rsidRPr="005D5C2F">
              <w:rPr>
                <w:szCs w:val="18"/>
              </w:rPr>
              <w:t>approximation of the ABS remoteness areas. For more details of ARIA+ refer to &lt;</w:t>
            </w:r>
            <w:proofErr w:type="spellStart"/>
            <w:r w:rsidRPr="007047F5">
              <w:rPr>
                <w:rFonts w:cs="Arial"/>
                <w:szCs w:val="18"/>
              </w:rPr>
              <w:t>www.adelaide.edu.au</w:t>
            </w:r>
            <w:proofErr w:type="spellEnd"/>
            <w:r w:rsidRPr="007047F5">
              <w:rPr>
                <w:rFonts w:cs="Arial"/>
                <w:szCs w:val="18"/>
              </w:rPr>
              <w:t>/</w:t>
            </w:r>
            <w:proofErr w:type="spellStart"/>
            <w:r w:rsidRPr="007047F5">
              <w:rPr>
                <w:rFonts w:cs="Arial"/>
                <w:szCs w:val="18"/>
              </w:rPr>
              <w:t>apmrc</w:t>
            </w:r>
            <w:proofErr w:type="spellEnd"/>
            <w:r w:rsidRPr="007047F5">
              <w:rPr>
                <w:rFonts w:cs="Arial"/>
                <w:szCs w:val="18"/>
              </w:rPr>
              <w:t>/research/ projects/category/</w:t>
            </w:r>
            <w:proofErr w:type="spellStart"/>
            <w:r w:rsidRPr="007047F5">
              <w:rPr>
                <w:rFonts w:cs="Arial"/>
                <w:szCs w:val="18"/>
              </w:rPr>
              <w:t>about_aria.html</w:t>
            </w:r>
            <w:proofErr w:type="spellEnd"/>
            <w:r w:rsidRPr="00582952">
              <w:t>&gt;</w:t>
            </w:r>
          </w:p>
        </w:tc>
      </w:tr>
      <w:tr w:rsidR="000049CE" w:rsidRPr="005970A0" w:rsidTr="00BB0A68">
        <w:tc>
          <w:tcPr>
            <w:tcW w:w="5000" w:type="pct"/>
            <w:gridSpan w:val="3"/>
            <w:shd w:val="clear" w:color="auto" w:fill="auto"/>
          </w:tcPr>
          <w:p w:rsidR="000049CE" w:rsidRPr="005970A0" w:rsidRDefault="000049CE" w:rsidP="009D6827">
            <w:pPr>
              <w:pStyle w:val="DQIMainRowHeadings"/>
            </w:pPr>
            <w:r w:rsidRPr="005970A0">
              <w:t>Data Gaps/Issues Analysis</w:t>
            </w:r>
          </w:p>
        </w:tc>
      </w:tr>
      <w:tr w:rsidR="000049CE" w:rsidRPr="005970A0" w:rsidTr="00BB0A68">
        <w:tc>
          <w:tcPr>
            <w:tcW w:w="922" w:type="pct"/>
            <w:gridSpan w:val="2"/>
            <w:shd w:val="clear" w:color="auto" w:fill="auto"/>
          </w:tcPr>
          <w:p w:rsidR="000049CE" w:rsidRPr="005970A0" w:rsidRDefault="000049CE" w:rsidP="009D6827">
            <w:pPr>
              <w:pStyle w:val="DQIRowHeadings"/>
            </w:pPr>
            <w:r w:rsidRPr="005970A0">
              <w:t>Key data gaps/ issues</w:t>
            </w:r>
          </w:p>
        </w:tc>
        <w:tc>
          <w:tcPr>
            <w:tcW w:w="4078" w:type="pct"/>
            <w:shd w:val="clear" w:color="auto" w:fill="auto"/>
          </w:tcPr>
          <w:p w:rsidR="000049CE" w:rsidRPr="005970A0" w:rsidRDefault="00327525" w:rsidP="000049CE">
            <w:pPr>
              <w:pStyle w:val="DQITableText"/>
            </w:pPr>
            <w:r>
              <w:t xml:space="preserve">See performance indicator </w:t>
            </w:r>
            <w:proofErr w:type="spellStart"/>
            <w:r>
              <w:t>DQI</w:t>
            </w:r>
            <w:proofErr w:type="spellEnd"/>
          </w:p>
        </w:tc>
      </w:tr>
    </w:tbl>
    <w:p w:rsidR="00B7743D" w:rsidRDefault="00B7743D" w:rsidP="00E340A5">
      <w:pPr>
        <w:pStyle w:val="BodyText"/>
      </w:pPr>
      <w:r>
        <w:br w:type="page"/>
      </w:r>
    </w:p>
    <w:p w:rsidR="00E70A3A" w:rsidRPr="00E70A3A" w:rsidRDefault="00E70A3A" w:rsidP="00E70A3A">
      <w:pPr>
        <w:pStyle w:val="Heading3"/>
      </w:pPr>
      <w:bookmarkStart w:id="28" w:name="SurveyEmployerUseViews"/>
      <w:bookmarkStart w:id="29" w:name="_Toc436148760"/>
      <w:r w:rsidRPr="00E70A3A">
        <w:lastRenderedPageBreak/>
        <w:t>Survey of Employer Use and Views of the VET System</w:t>
      </w:r>
      <w:bookmarkEnd w:id="28"/>
      <w:bookmarkEnd w:id="29"/>
    </w:p>
    <w:p w:rsidR="00E70A3A" w:rsidRPr="005970A0" w:rsidRDefault="00E70A3A" w:rsidP="00E70A3A">
      <w:pPr>
        <w:pStyle w:val="Box"/>
      </w:pPr>
      <w:r w:rsidRPr="005970A0">
        <w:t xml:space="preserve">Data quality information for this indicator has been drafted by the </w:t>
      </w:r>
      <w:proofErr w:type="spellStart"/>
      <w:r w:rsidR="00E22A04">
        <w:t>NCVER</w:t>
      </w:r>
      <w:proofErr w:type="spellEnd"/>
      <w:r w:rsidRPr="005970A0">
        <w:t xml:space="preserve"> and the Secretariat, in consultation with the VET Working Group.</w:t>
      </w:r>
    </w:p>
    <w:tbl>
      <w:tblPr>
        <w:tblW w:w="5000" w:type="pct"/>
        <w:tblCellMar>
          <w:left w:w="0" w:type="dxa"/>
          <w:right w:w="0" w:type="dxa"/>
        </w:tblCellMar>
        <w:tblLook w:val="0000" w:firstRow="0" w:lastRow="0" w:firstColumn="0" w:lastColumn="0" w:noHBand="0" w:noVBand="0"/>
      </w:tblPr>
      <w:tblGrid>
        <w:gridCol w:w="1559"/>
        <w:gridCol w:w="62"/>
        <w:gridCol w:w="7168"/>
      </w:tblGrid>
      <w:tr w:rsidR="00E70A3A" w:rsidRPr="005970A0" w:rsidTr="009D6827">
        <w:tc>
          <w:tcPr>
            <w:tcW w:w="5000" w:type="pct"/>
            <w:gridSpan w:val="3"/>
          </w:tcPr>
          <w:p w:rsidR="00E70A3A" w:rsidRPr="005970A0" w:rsidRDefault="00E70A3A" w:rsidP="009D6827">
            <w:pPr>
              <w:pStyle w:val="DQIMainRowHeadings"/>
            </w:pPr>
            <w:r w:rsidRPr="005970A0">
              <w:t>Indicator definition and description</w:t>
            </w:r>
            <w:r w:rsidRPr="005970A0">
              <w:rPr>
                <w:rFonts w:cs="Arial"/>
                <w:sz w:val="22"/>
                <w:szCs w:val="22"/>
              </w:rPr>
              <w:t xml:space="preserve"> </w:t>
            </w:r>
          </w:p>
        </w:tc>
      </w:tr>
      <w:tr w:rsidR="00E70A3A" w:rsidRPr="005970A0" w:rsidTr="00E70A3A">
        <w:tc>
          <w:tcPr>
            <w:tcW w:w="887" w:type="pct"/>
          </w:tcPr>
          <w:p w:rsidR="00E70A3A" w:rsidRPr="005970A0" w:rsidRDefault="00E70A3A" w:rsidP="009D6827">
            <w:pPr>
              <w:pStyle w:val="DQIRowHeadings"/>
            </w:pPr>
            <w:r w:rsidRPr="005970A0">
              <w:t>Element</w:t>
            </w:r>
          </w:p>
        </w:tc>
        <w:tc>
          <w:tcPr>
            <w:tcW w:w="4113" w:type="pct"/>
            <w:gridSpan w:val="2"/>
          </w:tcPr>
          <w:p w:rsidR="00E70A3A" w:rsidRPr="005970A0" w:rsidRDefault="00E70A3A" w:rsidP="009D6827">
            <w:pPr>
              <w:pStyle w:val="DQITableText"/>
            </w:pPr>
            <w:r>
              <w:t>Various</w:t>
            </w:r>
          </w:p>
        </w:tc>
      </w:tr>
      <w:tr w:rsidR="00E70A3A" w:rsidRPr="005970A0" w:rsidTr="00E70A3A">
        <w:tc>
          <w:tcPr>
            <w:tcW w:w="887" w:type="pct"/>
          </w:tcPr>
          <w:p w:rsidR="00E70A3A" w:rsidRPr="005970A0" w:rsidRDefault="00E70A3A" w:rsidP="009D6827">
            <w:pPr>
              <w:pStyle w:val="DQIRowHeadings"/>
            </w:pPr>
            <w:r w:rsidRPr="005970A0">
              <w:t>Indicator</w:t>
            </w:r>
          </w:p>
        </w:tc>
        <w:tc>
          <w:tcPr>
            <w:tcW w:w="4113" w:type="pct"/>
            <w:gridSpan w:val="2"/>
          </w:tcPr>
          <w:p w:rsidR="00E70A3A" w:rsidRPr="005970A0" w:rsidRDefault="00E70A3A" w:rsidP="00680521">
            <w:pPr>
              <w:pStyle w:val="DQITableText"/>
            </w:pPr>
            <w:r>
              <w:t xml:space="preserve">The </w:t>
            </w:r>
            <w:r w:rsidRPr="00E70A3A">
              <w:t>Survey of Employer Use and Views of the VET System</w:t>
            </w:r>
            <w:r>
              <w:t xml:space="preserve"> is used as a key data source for the following indicators:</w:t>
            </w:r>
          </w:p>
        </w:tc>
      </w:tr>
      <w:tr w:rsidR="00E70A3A" w:rsidRPr="005970A0" w:rsidTr="00E70A3A">
        <w:tc>
          <w:tcPr>
            <w:tcW w:w="887" w:type="pct"/>
          </w:tcPr>
          <w:p w:rsidR="00E70A3A" w:rsidRPr="005970A0" w:rsidRDefault="00E70A3A" w:rsidP="009D6827">
            <w:pPr>
              <w:pStyle w:val="DQIRowHeadings"/>
            </w:pPr>
            <w:r w:rsidRPr="005970A0">
              <w:t>Measure (computation)</w:t>
            </w:r>
          </w:p>
        </w:tc>
        <w:tc>
          <w:tcPr>
            <w:tcW w:w="4113" w:type="pct"/>
            <w:gridSpan w:val="2"/>
          </w:tcPr>
          <w:p w:rsidR="00680521" w:rsidRPr="00680521" w:rsidRDefault="00680521" w:rsidP="00680521">
            <w:pPr>
              <w:pStyle w:val="DQITableBullet"/>
              <w:rPr>
                <w:b/>
                <w:sz w:val="20"/>
              </w:rPr>
            </w:pPr>
            <w:r w:rsidRPr="007047F5">
              <w:t>Employer engagement with VET</w:t>
            </w:r>
            <w:r>
              <w:t xml:space="preserve"> </w:t>
            </w:r>
          </w:p>
          <w:p w:rsidR="00E70A3A" w:rsidRPr="000337E3" w:rsidRDefault="00680521" w:rsidP="00680521">
            <w:pPr>
              <w:pStyle w:val="DQITableBullet"/>
              <w:rPr>
                <w:rStyle w:val="DraftingNote"/>
                <w:color w:val="auto"/>
                <w:sz w:val="20"/>
                <w:u w:val="none"/>
              </w:rPr>
            </w:pPr>
            <w:r w:rsidRPr="007047F5">
              <w:t>Employer satisfaction with VET</w:t>
            </w:r>
          </w:p>
        </w:tc>
      </w:tr>
      <w:tr w:rsidR="00E70A3A" w:rsidRPr="005970A0" w:rsidTr="00E70A3A">
        <w:tc>
          <w:tcPr>
            <w:tcW w:w="887" w:type="pct"/>
          </w:tcPr>
          <w:p w:rsidR="00E70A3A" w:rsidRPr="005970A0" w:rsidRDefault="00E70A3A" w:rsidP="009D6827">
            <w:pPr>
              <w:pStyle w:val="DQIRowHeadings"/>
            </w:pPr>
            <w:r w:rsidRPr="005970A0">
              <w:t>Data source/s</w:t>
            </w:r>
          </w:p>
        </w:tc>
        <w:tc>
          <w:tcPr>
            <w:tcW w:w="4113" w:type="pct"/>
            <w:gridSpan w:val="2"/>
          </w:tcPr>
          <w:p w:rsidR="00E70A3A" w:rsidRDefault="00E70A3A" w:rsidP="00E70A3A">
            <w:pPr>
              <w:pStyle w:val="DQITableText"/>
            </w:pPr>
            <w:r w:rsidRPr="005970A0">
              <w:rPr>
                <w:i/>
              </w:rPr>
              <w:t>Survey of Employer Use and Views of the VET System</w:t>
            </w:r>
            <w:r w:rsidRPr="005970A0">
              <w:t xml:space="preserve"> (</w:t>
            </w:r>
            <w:proofErr w:type="spellStart"/>
            <w:r w:rsidRPr="005970A0">
              <w:t>SEUV</w:t>
            </w:r>
            <w:proofErr w:type="spellEnd"/>
            <w:r w:rsidRPr="005970A0">
              <w:t>)</w:t>
            </w:r>
            <w:r>
              <w:t xml:space="preserve"> , </w:t>
            </w:r>
            <w:proofErr w:type="spellStart"/>
            <w:r w:rsidR="00E22A04">
              <w:t>NCVER</w:t>
            </w:r>
            <w:proofErr w:type="spellEnd"/>
            <w:r w:rsidRPr="00115F58">
              <w:t>.</w:t>
            </w:r>
          </w:p>
          <w:p w:rsidR="00E70A3A" w:rsidRPr="005970A0" w:rsidRDefault="00E70A3A" w:rsidP="00E70A3A">
            <w:pPr>
              <w:pStyle w:val="DQITableBullet"/>
            </w:pPr>
            <w:r>
              <w:t>A</w:t>
            </w:r>
            <w:r w:rsidRPr="005970A0">
              <w:t xml:space="preserve"> biennial survey. This survey collects information about employers' use and views of the VET system and the various ways employers use the VET system to meet their skill needs.</w:t>
            </w:r>
          </w:p>
        </w:tc>
      </w:tr>
      <w:tr w:rsidR="00E70A3A" w:rsidRPr="005970A0" w:rsidTr="009D6827">
        <w:tc>
          <w:tcPr>
            <w:tcW w:w="5000" w:type="pct"/>
            <w:gridSpan w:val="3"/>
          </w:tcPr>
          <w:p w:rsidR="00E70A3A" w:rsidRPr="005970A0" w:rsidRDefault="00E70A3A" w:rsidP="009D6827">
            <w:pPr>
              <w:pStyle w:val="DQIMainRowHeadings"/>
            </w:pPr>
            <w:r w:rsidRPr="005970A0">
              <w:t>Data Quality Framework Dimensions</w:t>
            </w:r>
          </w:p>
        </w:tc>
      </w:tr>
      <w:tr w:rsidR="00E70A3A" w:rsidRPr="005970A0" w:rsidTr="00E70A3A">
        <w:tc>
          <w:tcPr>
            <w:tcW w:w="887" w:type="pct"/>
          </w:tcPr>
          <w:p w:rsidR="00E70A3A" w:rsidRPr="005970A0" w:rsidRDefault="00E70A3A" w:rsidP="009D6827">
            <w:pPr>
              <w:pStyle w:val="DQIRowHeadings"/>
            </w:pPr>
            <w:r w:rsidRPr="005970A0">
              <w:t>Institutional environment</w:t>
            </w:r>
          </w:p>
        </w:tc>
        <w:tc>
          <w:tcPr>
            <w:tcW w:w="4113" w:type="pct"/>
            <w:gridSpan w:val="2"/>
          </w:tcPr>
          <w:p w:rsidR="00E70A3A" w:rsidRPr="005970A0" w:rsidRDefault="00E70A3A" w:rsidP="009D6827">
            <w:pPr>
              <w:pStyle w:val="DQITableText"/>
            </w:pPr>
            <w:r w:rsidRPr="005970A0">
              <w:t xml:space="preserve">The </w:t>
            </w:r>
            <w:proofErr w:type="spellStart"/>
            <w:r w:rsidR="00E22A04">
              <w:t>NCVER</w:t>
            </w:r>
            <w:proofErr w:type="spellEnd"/>
            <w:r w:rsidRPr="005970A0">
              <w:t xml:space="preserve"> is a not for-profit company owned by the federal, state and territory ministers responsible for training.</w:t>
            </w:r>
          </w:p>
          <w:p w:rsidR="00E70A3A" w:rsidRPr="005970A0" w:rsidRDefault="00E70A3A" w:rsidP="009D6827">
            <w:pPr>
              <w:pStyle w:val="DQITableText"/>
            </w:pPr>
            <w:proofErr w:type="spellStart"/>
            <w:r w:rsidRPr="005970A0">
              <w:t>NCVER</w:t>
            </w:r>
            <w:proofErr w:type="spellEnd"/>
            <w:r w:rsidRPr="005970A0">
              <w:t xml:space="preserve"> is a professional and independent body responsible for collecting, managing, analysing, evaluating and communicating research and statistics about </w:t>
            </w:r>
            <w:r w:rsidR="00E22A04">
              <w:t>VET</w:t>
            </w:r>
            <w:r w:rsidRPr="005970A0">
              <w:t xml:space="preserve"> nationally. It is Australia's principal provider of VET research and statistics.</w:t>
            </w:r>
          </w:p>
          <w:p w:rsidR="00E70A3A" w:rsidRPr="005970A0" w:rsidRDefault="00E70A3A" w:rsidP="00BB0A68">
            <w:pPr>
              <w:pStyle w:val="DQITableText"/>
            </w:pPr>
            <w:r w:rsidRPr="005970A0">
              <w:t xml:space="preserve">For further information on </w:t>
            </w:r>
            <w:proofErr w:type="spellStart"/>
            <w:r w:rsidRPr="005970A0">
              <w:t>NCVER</w:t>
            </w:r>
            <w:proofErr w:type="spellEnd"/>
            <w:r w:rsidRPr="005970A0">
              <w:t xml:space="preserve">, see </w:t>
            </w:r>
            <w:r w:rsidRPr="00DA7DA1">
              <w:rPr>
                <w:color w:val="0000FF" w:themeColor="hyperlink"/>
                <w:u w:val="single"/>
              </w:rPr>
              <w:t>http://</w:t>
            </w:r>
            <w:proofErr w:type="spellStart"/>
            <w:r w:rsidRPr="00DA7DA1">
              <w:rPr>
                <w:color w:val="0000FF" w:themeColor="hyperlink"/>
                <w:u w:val="single"/>
              </w:rPr>
              <w:t>www.ncver.edu.au</w:t>
            </w:r>
            <w:proofErr w:type="spellEnd"/>
            <w:r w:rsidRPr="00DA7DA1">
              <w:rPr>
                <w:color w:val="0000FF" w:themeColor="hyperlink"/>
                <w:u w:val="single"/>
              </w:rPr>
              <w:t>/</w:t>
            </w:r>
            <w:proofErr w:type="spellStart"/>
            <w:r w:rsidRPr="00DA7DA1">
              <w:rPr>
                <w:color w:val="0000FF" w:themeColor="hyperlink"/>
                <w:u w:val="single"/>
              </w:rPr>
              <w:t>aboutncver</w:t>
            </w:r>
            <w:proofErr w:type="spellEnd"/>
            <w:r w:rsidRPr="00DA7DA1">
              <w:rPr>
                <w:color w:val="0000FF" w:themeColor="hyperlink"/>
                <w:u w:val="single"/>
              </w:rPr>
              <w:t>/</w:t>
            </w:r>
            <w:proofErr w:type="spellStart"/>
            <w:r w:rsidRPr="00DA7DA1">
              <w:rPr>
                <w:color w:val="0000FF" w:themeColor="hyperlink"/>
                <w:u w:val="single"/>
              </w:rPr>
              <w:t>who.html</w:t>
            </w:r>
            <w:proofErr w:type="spellEnd"/>
          </w:p>
        </w:tc>
      </w:tr>
      <w:tr w:rsidR="00E70A3A" w:rsidRPr="005970A0" w:rsidTr="00E70A3A">
        <w:tc>
          <w:tcPr>
            <w:tcW w:w="887" w:type="pct"/>
          </w:tcPr>
          <w:p w:rsidR="00E70A3A" w:rsidRPr="005970A0" w:rsidRDefault="00E70A3A" w:rsidP="009D6827">
            <w:pPr>
              <w:pStyle w:val="DQIRowHeadings"/>
            </w:pPr>
            <w:r w:rsidRPr="005970A0">
              <w:t>Relevance</w:t>
            </w:r>
          </w:p>
          <w:p w:rsidR="00E70A3A" w:rsidRPr="005970A0" w:rsidRDefault="00E70A3A" w:rsidP="009D6827">
            <w:pPr>
              <w:pStyle w:val="DQIRowHeadings"/>
            </w:pPr>
          </w:p>
        </w:tc>
        <w:tc>
          <w:tcPr>
            <w:tcW w:w="4113" w:type="pct"/>
            <w:gridSpan w:val="2"/>
          </w:tcPr>
          <w:p w:rsidR="00E70A3A" w:rsidRPr="005970A0" w:rsidRDefault="00E70A3A" w:rsidP="009D6827">
            <w:pPr>
              <w:pStyle w:val="DQITableText"/>
            </w:pPr>
            <w:r w:rsidRPr="005970A0">
              <w:t xml:space="preserve">The Survey of Employer Use and Views of the VET System collects information on employers’ use and views of the </w:t>
            </w:r>
            <w:r w:rsidR="00E22A04">
              <w:t>VET</w:t>
            </w:r>
            <w:r w:rsidRPr="005970A0">
              <w:t xml:space="preserve"> system.  Data are collected by computer assisted telephone interview.</w:t>
            </w:r>
          </w:p>
          <w:p w:rsidR="00E70A3A" w:rsidRPr="005970A0" w:rsidRDefault="00E70A3A" w:rsidP="009D6827">
            <w:pPr>
              <w:pStyle w:val="DQITableText"/>
            </w:pPr>
            <w:r w:rsidRPr="005970A0">
              <w:t>Information about the various ways in which Australian employers use the VET system and unaccredited training to meet their skill needs and their satisfaction with these methods of training is also collected.</w:t>
            </w:r>
          </w:p>
          <w:p w:rsidR="00E70A3A" w:rsidRPr="005970A0" w:rsidRDefault="00E70A3A" w:rsidP="009D6827">
            <w:pPr>
              <w:pStyle w:val="DQITableText"/>
            </w:pPr>
            <w:r w:rsidRPr="005970A0">
              <w:t>The scope of the survey is all organisations in Australia with at least one employee. For this survey, an employee is defined as “a person working in, or operating from, this organisation including full time, part time and casual employees.” An owner/operator is not classed as an employee, regardless of whether they pay themselves a wage.</w:t>
            </w:r>
          </w:p>
          <w:p w:rsidR="00E70A3A" w:rsidRPr="005970A0" w:rsidRDefault="00E70A3A" w:rsidP="009D6827">
            <w:pPr>
              <w:pStyle w:val="DQITableText"/>
            </w:pPr>
            <w:r w:rsidRPr="005970A0">
              <w:t>The following organisations are out of scope of the survey:</w:t>
            </w:r>
          </w:p>
          <w:p w:rsidR="00E70A3A" w:rsidRPr="005970A0" w:rsidRDefault="00E70A3A" w:rsidP="009D6827">
            <w:pPr>
              <w:pStyle w:val="DQITableBullet"/>
            </w:pPr>
            <w:r w:rsidRPr="005970A0">
              <w:t>self-employed and not employing staff</w:t>
            </w:r>
          </w:p>
          <w:p w:rsidR="00E70A3A" w:rsidRPr="005970A0" w:rsidRDefault="00E70A3A" w:rsidP="009D6827">
            <w:pPr>
              <w:pStyle w:val="DQITableBullet"/>
            </w:pPr>
            <w:r w:rsidRPr="005970A0">
              <w:t>private households employing staff</w:t>
            </w:r>
          </w:p>
          <w:p w:rsidR="00E70A3A" w:rsidRPr="005970A0" w:rsidRDefault="00E70A3A" w:rsidP="009D6827">
            <w:pPr>
              <w:pStyle w:val="DQITableBullet"/>
            </w:pPr>
            <w:r w:rsidRPr="005970A0">
              <w:t>foreign diplomatic missions</w:t>
            </w:r>
          </w:p>
          <w:p w:rsidR="00E70A3A" w:rsidRPr="005970A0" w:rsidRDefault="00E70A3A" w:rsidP="009D6827">
            <w:pPr>
              <w:pStyle w:val="DQITableBullet"/>
            </w:pPr>
            <w:r w:rsidRPr="005970A0">
              <w:t>consulates in Australia</w:t>
            </w:r>
          </w:p>
          <w:p w:rsidR="00E70A3A" w:rsidRPr="005970A0" w:rsidRDefault="00E70A3A" w:rsidP="009D6827">
            <w:pPr>
              <w:pStyle w:val="DQITableBullet"/>
            </w:pPr>
            <w:r w:rsidRPr="005970A0">
              <w:t>defence force establishments</w:t>
            </w:r>
          </w:p>
          <w:p w:rsidR="00E70A3A" w:rsidRPr="005970A0" w:rsidRDefault="00E70A3A" w:rsidP="009D6827">
            <w:pPr>
              <w:pStyle w:val="DQITableBullet"/>
            </w:pPr>
            <w:r w:rsidRPr="005970A0">
              <w:t>superannuation funds.</w:t>
            </w:r>
          </w:p>
        </w:tc>
      </w:tr>
      <w:tr w:rsidR="00E70A3A" w:rsidRPr="005970A0" w:rsidTr="00E70A3A">
        <w:tc>
          <w:tcPr>
            <w:tcW w:w="887" w:type="pct"/>
          </w:tcPr>
          <w:p w:rsidR="00E70A3A" w:rsidRPr="005970A0" w:rsidRDefault="00E70A3A" w:rsidP="00327525">
            <w:pPr>
              <w:pStyle w:val="DQIRowHeadings"/>
            </w:pPr>
            <w:r w:rsidRPr="005970A0">
              <w:t>Timeliness</w:t>
            </w:r>
          </w:p>
          <w:p w:rsidR="00E70A3A" w:rsidRPr="005970A0" w:rsidRDefault="00E70A3A" w:rsidP="00327525">
            <w:pPr>
              <w:pStyle w:val="DQIRowHeadings"/>
            </w:pPr>
          </w:p>
        </w:tc>
        <w:tc>
          <w:tcPr>
            <w:tcW w:w="4113" w:type="pct"/>
            <w:gridSpan w:val="2"/>
          </w:tcPr>
          <w:p w:rsidR="00E70A3A" w:rsidRPr="005970A0" w:rsidRDefault="00E70A3A" w:rsidP="005926CE">
            <w:pPr>
              <w:pStyle w:val="DQITableText"/>
            </w:pPr>
            <w:r w:rsidRPr="005970A0">
              <w:t>The Survey of Employer Use and Views is conducted every second year. The survey is conducted by telephone interview between March and May and the results relate to employers’ training experiences in the 12 months preceding their interview. Results from the 201</w:t>
            </w:r>
            <w:r w:rsidR="00BB0A68">
              <w:t>5</w:t>
            </w:r>
            <w:r w:rsidRPr="005970A0">
              <w:t xml:space="preserve"> survey were released on the </w:t>
            </w:r>
            <w:proofErr w:type="spellStart"/>
            <w:r w:rsidRPr="005970A0">
              <w:t>NCVER</w:t>
            </w:r>
            <w:proofErr w:type="spellEnd"/>
            <w:r w:rsidRPr="005970A0">
              <w:t xml:space="preserve"> website on </w:t>
            </w:r>
            <w:r w:rsidR="00BB0A68">
              <w:t>26 </w:t>
            </w:r>
            <w:r>
              <w:t>October 201</w:t>
            </w:r>
            <w:r w:rsidR="00BB0A68">
              <w:t>5</w:t>
            </w:r>
            <w:r w:rsidRPr="005970A0">
              <w:t>.</w:t>
            </w:r>
          </w:p>
        </w:tc>
      </w:tr>
      <w:tr w:rsidR="00E70A3A" w:rsidRPr="005970A0" w:rsidTr="00E70A3A">
        <w:tc>
          <w:tcPr>
            <w:tcW w:w="887" w:type="pct"/>
          </w:tcPr>
          <w:p w:rsidR="00E70A3A" w:rsidRPr="005970A0" w:rsidRDefault="00E70A3A" w:rsidP="009D6827">
            <w:pPr>
              <w:pStyle w:val="DQIRowHeadings"/>
            </w:pPr>
            <w:r w:rsidRPr="005970A0">
              <w:t>Accuracy</w:t>
            </w:r>
          </w:p>
          <w:p w:rsidR="00E70A3A" w:rsidRPr="005970A0" w:rsidRDefault="00E70A3A" w:rsidP="009D6827">
            <w:pPr>
              <w:pStyle w:val="DQIRowHeadings"/>
            </w:pPr>
          </w:p>
        </w:tc>
        <w:tc>
          <w:tcPr>
            <w:tcW w:w="4113" w:type="pct"/>
            <w:gridSpan w:val="2"/>
          </w:tcPr>
          <w:p w:rsidR="00E70A3A" w:rsidRDefault="00E70A3A" w:rsidP="009D6827">
            <w:pPr>
              <w:pStyle w:val="DQITableText"/>
            </w:pPr>
            <w:r>
              <w:t>In 201</w:t>
            </w:r>
            <w:r w:rsidR="00BB0A68">
              <w:t>5</w:t>
            </w:r>
            <w:r>
              <w:t>, the survey was designed to produce estimates at the state, industry and employer size levels, with the following approximate standard errors (SE):</w:t>
            </w:r>
          </w:p>
          <w:p w:rsidR="00E70A3A" w:rsidRDefault="00E70A3A" w:rsidP="009D6827">
            <w:pPr>
              <w:pStyle w:val="DQITableBullet"/>
            </w:pPr>
            <w:r>
              <w:t>2.5 per cent for state-level estimates</w:t>
            </w:r>
          </w:p>
          <w:p w:rsidR="00E70A3A" w:rsidRDefault="00E70A3A" w:rsidP="009D6827">
            <w:pPr>
              <w:pStyle w:val="DQITableBullet"/>
            </w:pPr>
            <w:r>
              <w:t>5 per cent for industry-level estimates</w:t>
            </w:r>
          </w:p>
          <w:p w:rsidR="00E70A3A" w:rsidRDefault="00E70A3A" w:rsidP="009D6827">
            <w:pPr>
              <w:pStyle w:val="DQITableBullet"/>
            </w:pPr>
            <w:r>
              <w:t>1.5 per cent for employer-size level estimates</w:t>
            </w:r>
          </w:p>
          <w:p w:rsidR="00E70A3A" w:rsidRDefault="00E70A3A" w:rsidP="009D6827">
            <w:pPr>
              <w:pStyle w:val="DQITableBullet"/>
            </w:pPr>
            <w:r>
              <w:t>1 per cent for Australia level estimates.</w:t>
            </w:r>
          </w:p>
          <w:p w:rsidR="00E70A3A" w:rsidRPr="005970A0" w:rsidRDefault="00E70A3A" w:rsidP="009D6827">
            <w:pPr>
              <w:pStyle w:val="DQITableText"/>
            </w:pPr>
            <w:r>
              <w:t>Previous surveys were designed to produce estimates with the following approximate relative standard errors (</w:t>
            </w:r>
            <w:proofErr w:type="spellStart"/>
            <w:r>
              <w:t>RSE</w:t>
            </w:r>
            <w:proofErr w:type="spellEnd"/>
            <w:r>
              <w:t>):</w:t>
            </w:r>
            <w:r w:rsidRPr="005970A0">
              <w:t>less than 8 per cent for state-level estimates</w:t>
            </w:r>
          </w:p>
          <w:p w:rsidR="00E70A3A" w:rsidRPr="005970A0" w:rsidRDefault="00E70A3A" w:rsidP="009D6827">
            <w:pPr>
              <w:pStyle w:val="DQITableBullet"/>
            </w:pPr>
            <w:r w:rsidRPr="005970A0">
              <w:t>less than 16 per cent for industry-level estimates</w:t>
            </w:r>
          </w:p>
          <w:p w:rsidR="00E70A3A" w:rsidRPr="005970A0" w:rsidRDefault="00E70A3A" w:rsidP="009D6827">
            <w:pPr>
              <w:pStyle w:val="DQITableBullet"/>
            </w:pPr>
            <w:r w:rsidRPr="005970A0">
              <w:t>less than 6 per cent for employer-size level estimates</w:t>
            </w:r>
          </w:p>
          <w:p w:rsidR="00E70A3A" w:rsidRPr="005970A0" w:rsidRDefault="00E70A3A" w:rsidP="009D6827">
            <w:pPr>
              <w:pStyle w:val="DQITableBullet"/>
            </w:pPr>
            <w:r w:rsidRPr="005970A0">
              <w:lastRenderedPageBreak/>
              <w:t>less than 3 per cent for Australia level estimates.</w:t>
            </w:r>
          </w:p>
          <w:p w:rsidR="00E70A3A" w:rsidRPr="005970A0" w:rsidRDefault="00E70A3A" w:rsidP="009D6827">
            <w:pPr>
              <w:pStyle w:val="DQITableText"/>
            </w:pPr>
            <w:r w:rsidRPr="005970A0">
              <w:t>Employers in scope of the survey were randomly selected and stratified by:</w:t>
            </w:r>
          </w:p>
          <w:p w:rsidR="00E70A3A" w:rsidRPr="005970A0" w:rsidRDefault="00E70A3A" w:rsidP="009D6827">
            <w:pPr>
              <w:pStyle w:val="DQITableBullet"/>
            </w:pPr>
            <w:r w:rsidRPr="005970A0">
              <w:t>State (each of the 8 states and territories)</w:t>
            </w:r>
          </w:p>
          <w:p w:rsidR="00E70A3A" w:rsidRPr="005970A0" w:rsidRDefault="00E70A3A" w:rsidP="009D6827">
            <w:pPr>
              <w:pStyle w:val="DQITableBullet"/>
              <w:rPr>
                <w:bCs/>
              </w:rPr>
            </w:pPr>
            <w:r w:rsidRPr="005970A0">
              <w:t xml:space="preserve">Industry </w:t>
            </w:r>
            <w:r w:rsidRPr="005970A0">
              <w:rPr>
                <w:bCs/>
              </w:rPr>
              <w:t xml:space="preserve">(19 </w:t>
            </w:r>
            <w:proofErr w:type="spellStart"/>
            <w:r w:rsidRPr="005970A0">
              <w:rPr>
                <w:bCs/>
              </w:rPr>
              <w:t>ANZSIC</w:t>
            </w:r>
            <w:proofErr w:type="spellEnd"/>
            <w:r w:rsidRPr="005970A0">
              <w:rPr>
                <w:bCs/>
              </w:rPr>
              <w:t xml:space="preserve"> divisions)</w:t>
            </w:r>
          </w:p>
          <w:p w:rsidR="00E70A3A" w:rsidRPr="005970A0" w:rsidRDefault="00E70A3A" w:rsidP="009D6827">
            <w:pPr>
              <w:pStyle w:val="DQITableBullet"/>
              <w:rPr>
                <w:bCs/>
              </w:rPr>
            </w:pPr>
            <w:r w:rsidRPr="005970A0">
              <w:t xml:space="preserve">Employer size </w:t>
            </w:r>
            <w:r w:rsidRPr="005970A0">
              <w:rPr>
                <w:bCs/>
              </w:rPr>
              <w:t>(small = 1-9 employees, medium = 10-99 employees, large = 100 or more employees).</w:t>
            </w:r>
          </w:p>
          <w:p w:rsidR="00E70A3A" w:rsidRPr="005970A0" w:rsidRDefault="00E70A3A" w:rsidP="009D6827">
            <w:pPr>
              <w:pStyle w:val="DQITableText"/>
            </w:pPr>
            <w:r w:rsidRPr="005970A0">
              <w:t xml:space="preserve">Potential sources of error in survey data include failure to complete the survey or failure to answer every applicable question. Neither of these sources of error is considered, by </w:t>
            </w:r>
            <w:proofErr w:type="spellStart"/>
            <w:r w:rsidRPr="005970A0">
              <w:t>NCVER</w:t>
            </w:r>
            <w:proofErr w:type="spellEnd"/>
            <w:r w:rsidRPr="005970A0">
              <w:t xml:space="preserve">, to have affected the quality of data. </w:t>
            </w:r>
          </w:p>
          <w:p w:rsidR="00E70A3A" w:rsidRPr="005970A0" w:rsidRDefault="00E70A3A" w:rsidP="005926CE">
            <w:pPr>
              <w:pStyle w:val="DQITableText"/>
            </w:pPr>
            <w:r w:rsidRPr="005970A0">
              <w:t>In 201</w:t>
            </w:r>
            <w:r w:rsidR="005926CE">
              <w:t>5</w:t>
            </w:r>
            <w:r w:rsidRPr="005970A0">
              <w:t xml:space="preserve">, a total of </w:t>
            </w:r>
            <w:r>
              <w:t>9</w:t>
            </w:r>
            <w:r w:rsidR="005926CE">
              <w:t>210</w:t>
            </w:r>
            <w:r w:rsidRPr="005970A0">
              <w:t xml:space="preserve"> interviews were </w:t>
            </w:r>
            <w:r w:rsidR="005926CE">
              <w:t>achieved</w:t>
            </w:r>
            <w:r w:rsidRPr="005970A0">
              <w:t>. Response rates to the 201</w:t>
            </w:r>
            <w:r w:rsidR="005926CE">
              <w:t>5</w:t>
            </w:r>
            <w:r w:rsidRPr="005970A0">
              <w:t xml:space="preserve"> survey are shown in table</w:t>
            </w:r>
            <w:r>
              <w:t xml:space="preserve"> 1.</w:t>
            </w:r>
          </w:p>
        </w:tc>
      </w:tr>
      <w:tr w:rsidR="00E70A3A" w:rsidRPr="005970A0" w:rsidTr="009D6827">
        <w:tc>
          <w:tcPr>
            <w:tcW w:w="887" w:type="pct"/>
          </w:tcPr>
          <w:p w:rsidR="00E70A3A" w:rsidRPr="005970A0" w:rsidRDefault="00E70A3A" w:rsidP="009D6827">
            <w:pPr>
              <w:pStyle w:val="DQIRowHeadings"/>
              <w:keepNext w:val="0"/>
            </w:pPr>
          </w:p>
        </w:tc>
        <w:tc>
          <w:tcPr>
            <w:tcW w:w="4113" w:type="pct"/>
            <w:gridSpan w:val="2"/>
            <w:tcBorders>
              <w:top w:val="single" w:sz="6" w:space="0" w:color="78A22F"/>
              <w:bottom w:val="single" w:sz="6" w:space="0" w:color="78A22F"/>
            </w:tcBorders>
          </w:tcPr>
          <w:p w:rsidR="00E70A3A" w:rsidRDefault="00E70A3A" w:rsidP="005926CE">
            <w:pPr>
              <w:pStyle w:val="TableTitle"/>
              <w:ind w:left="1135" w:hanging="993"/>
              <w:rPr>
                <w:sz w:val="18"/>
              </w:rPr>
            </w:pPr>
            <w:r w:rsidRPr="0090683B">
              <w:rPr>
                <w:b w:val="0"/>
                <w:sz w:val="18"/>
              </w:rPr>
              <w:t>Table 1</w:t>
            </w:r>
            <w:r w:rsidRPr="0090683B">
              <w:rPr>
                <w:sz w:val="18"/>
              </w:rPr>
              <w:tab/>
              <w:t xml:space="preserve">Response rates for </w:t>
            </w:r>
            <w:r w:rsidR="005926CE">
              <w:rPr>
                <w:sz w:val="18"/>
              </w:rPr>
              <w:t>employers</w:t>
            </w:r>
            <w:r w:rsidRPr="0090683B">
              <w:rPr>
                <w:sz w:val="18"/>
              </w:rPr>
              <w:t xml:space="preserve"> to t</w:t>
            </w:r>
            <w:r>
              <w:rPr>
                <w:sz w:val="18"/>
              </w:rPr>
              <w:t>he 201</w:t>
            </w:r>
            <w:r w:rsidR="005926CE">
              <w:rPr>
                <w:sz w:val="18"/>
              </w:rPr>
              <w:t>5</w:t>
            </w:r>
            <w:r>
              <w:rPr>
                <w:sz w:val="18"/>
              </w:rPr>
              <w:t xml:space="preserve"> Survey</w:t>
            </w:r>
            <w:r w:rsidR="005926CE">
              <w:rPr>
                <w:sz w:val="18"/>
              </w:rPr>
              <w:t xml:space="preserve"> </w:t>
            </w:r>
            <w:r w:rsidR="005926CE" w:rsidRPr="005926CE">
              <w:rPr>
                <w:sz w:val="18"/>
              </w:rPr>
              <w:t>Employer use and</w:t>
            </w:r>
            <w:r w:rsidR="005926CE">
              <w:rPr>
                <w:sz w:val="18"/>
              </w:rPr>
              <w:t xml:space="preserve"> </w:t>
            </w:r>
            <w:r w:rsidR="005926CE" w:rsidRPr="005926CE">
              <w:rPr>
                <w:sz w:val="18"/>
              </w:rPr>
              <w:t xml:space="preserve">views </w:t>
            </w:r>
          </w:p>
          <w:tbl>
            <w:tblPr>
              <w:tblW w:w="4018" w:type="pct"/>
              <w:tblInd w:w="1135" w:type="dxa"/>
              <w:tblCellMar>
                <w:top w:w="28" w:type="dxa"/>
                <w:left w:w="0" w:type="dxa"/>
                <w:right w:w="0" w:type="dxa"/>
              </w:tblCellMar>
              <w:tblLook w:val="0000" w:firstRow="0" w:lastRow="0" w:firstColumn="0" w:lastColumn="0" w:noHBand="0" w:noVBand="0"/>
            </w:tblPr>
            <w:tblGrid>
              <w:gridCol w:w="2905"/>
              <w:gridCol w:w="2905"/>
            </w:tblGrid>
            <w:tr w:rsidR="00E70A3A" w:rsidTr="009D6827">
              <w:tc>
                <w:tcPr>
                  <w:tcW w:w="2500" w:type="pct"/>
                  <w:tcBorders>
                    <w:top w:val="single" w:sz="6" w:space="0" w:color="BFBFBF"/>
                    <w:bottom w:val="single" w:sz="6" w:space="0" w:color="BFBFBF"/>
                  </w:tcBorders>
                  <w:shd w:val="clear" w:color="auto" w:fill="auto"/>
                  <w:tcMar>
                    <w:top w:w="28" w:type="dxa"/>
                  </w:tcMar>
                </w:tcPr>
                <w:p w:rsidR="00E70A3A" w:rsidRPr="009626EE" w:rsidRDefault="00E70A3A" w:rsidP="009D6827">
                  <w:pPr>
                    <w:pStyle w:val="DQITableText"/>
                    <w:spacing w:before="80" w:after="80"/>
                    <w:rPr>
                      <w:i/>
                    </w:rPr>
                  </w:pPr>
                  <w:r>
                    <w:rPr>
                      <w:i/>
                    </w:rPr>
                    <w:t>State/Territory</w:t>
                  </w:r>
                </w:p>
              </w:tc>
              <w:tc>
                <w:tcPr>
                  <w:tcW w:w="2500" w:type="pct"/>
                  <w:tcBorders>
                    <w:top w:val="single" w:sz="6" w:space="0" w:color="BFBFBF"/>
                    <w:bottom w:val="single" w:sz="6" w:space="0" w:color="BFBFBF"/>
                  </w:tcBorders>
                  <w:shd w:val="clear" w:color="auto" w:fill="auto"/>
                  <w:tcMar>
                    <w:top w:w="28" w:type="dxa"/>
                  </w:tcMar>
                </w:tcPr>
                <w:p w:rsidR="00E70A3A" w:rsidRPr="009626EE" w:rsidRDefault="00E70A3A" w:rsidP="009D6827">
                  <w:pPr>
                    <w:pStyle w:val="DQITableText"/>
                    <w:spacing w:before="80" w:after="80"/>
                    <w:jc w:val="right"/>
                    <w:rPr>
                      <w:i/>
                    </w:rPr>
                  </w:pPr>
                  <w:r>
                    <w:rPr>
                      <w:i/>
                    </w:rPr>
                    <w:t>Response rate (%)</w:t>
                  </w:r>
                </w:p>
              </w:tc>
            </w:tr>
            <w:tr w:rsidR="00E70A3A" w:rsidTr="009D6827">
              <w:tc>
                <w:tcPr>
                  <w:tcW w:w="2500" w:type="pct"/>
                  <w:tcBorders>
                    <w:top w:val="single" w:sz="6" w:space="0" w:color="BFBFBF"/>
                  </w:tcBorders>
                </w:tcPr>
                <w:p w:rsidR="00E70A3A" w:rsidRPr="005970A0" w:rsidRDefault="00E70A3A" w:rsidP="009D6827">
                  <w:pPr>
                    <w:pStyle w:val="DQITableText"/>
                    <w:spacing w:before="40" w:after="40"/>
                  </w:pPr>
                  <w:r>
                    <w:t>New South Wales</w:t>
                  </w:r>
                </w:p>
              </w:tc>
              <w:tc>
                <w:tcPr>
                  <w:tcW w:w="2500" w:type="pct"/>
                  <w:tcBorders>
                    <w:top w:val="single" w:sz="6" w:space="0" w:color="BFBFBF"/>
                  </w:tcBorders>
                </w:tcPr>
                <w:p w:rsidR="00E70A3A" w:rsidRPr="005970A0" w:rsidRDefault="00BB0A68" w:rsidP="009D6827">
                  <w:pPr>
                    <w:pStyle w:val="DQITableText"/>
                    <w:spacing w:before="40" w:after="40"/>
                    <w:jc w:val="right"/>
                  </w:pPr>
                  <w:r>
                    <w:t>67.3</w:t>
                  </w:r>
                </w:p>
              </w:tc>
            </w:tr>
            <w:tr w:rsidR="00E70A3A" w:rsidTr="009D6827">
              <w:tc>
                <w:tcPr>
                  <w:tcW w:w="2500" w:type="pct"/>
                </w:tcPr>
                <w:p w:rsidR="00E70A3A" w:rsidRPr="005970A0" w:rsidRDefault="00E70A3A" w:rsidP="009D6827">
                  <w:pPr>
                    <w:pStyle w:val="DQITableText"/>
                    <w:spacing w:before="40"/>
                  </w:pPr>
                  <w:r>
                    <w:t>Victoria</w:t>
                  </w:r>
                </w:p>
              </w:tc>
              <w:tc>
                <w:tcPr>
                  <w:tcW w:w="2500" w:type="pct"/>
                </w:tcPr>
                <w:p w:rsidR="00E70A3A" w:rsidRPr="005970A0" w:rsidRDefault="00BB0A68" w:rsidP="009D6827">
                  <w:pPr>
                    <w:pStyle w:val="DQITableText"/>
                    <w:spacing w:before="40"/>
                    <w:jc w:val="right"/>
                  </w:pPr>
                  <w:r>
                    <w:t>68.2</w:t>
                  </w:r>
                </w:p>
              </w:tc>
            </w:tr>
            <w:tr w:rsidR="00E70A3A" w:rsidTr="009D6827">
              <w:tc>
                <w:tcPr>
                  <w:tcW w:w="2500" w:type="pct"/>
                  <w:shd w:val="clear" w:color="auto" w:fill="auto"/>
                </w:tcPr>
                <w:p w:rsidR="00E70A3A" w:rsidRPr="005970A0" w:rsidRDefault="00E70A3A" w:rsidP="009D6827">
                  <w:pPr>
                    <w:pStyle w:val="DQITableText"/>
                    <w:spacing w:before="40"/>
                  </w:pPr>
                  <w:r>
                    <w:t>Queensland</w:t>
                  </w:r>
                </w:p>
              </w:tc>
              <w:tc>
                <w:tcPr>
                  <w:tcW w:w="2500" w:type="pct"/>
                  <w:shd w:val="clear" w:color="auto" w:fill="auto"/>
                </w:tcPr>
                <w:p w:rsidR="00E70A3A" w:rsidRPr="005970A0" w:rsidRDefault="00BB0A68" w:rsidP="009D6827">
                  <w:pPr>
                    <w:pStyle w:val="DQITableText"/>
                    <w:spacing w:before="40"/>
                    <w:jc w:val="right"/>
                  </w:pPr>
                  <w:r>
                    <w:t>69.3</w:t>
                  </w:r>
                </w:p>
              </w:tc>
            </w:tr>
            <w:tr w:rsidR="00E70A3A" w:rsidTr="009D6827">
              <w:tc>
                <w:tcPr>
                  <w:tcW w:w="2500" w:type="pct"/>
                  <w:shd w:val="clear" w:color="auto" w:fill="auto"/>
                </w:tcPr>
                <w:p w:rsidR="00E70A3A" w:rsidRPr="005970A0" w:rsidRDefault="00E70A3A" w:rsidP="009D6827">
                  <w:pPr>
                    <w:pStyle w:val="DQITableText"/>
                    <w:spacing w:before="40"/>
                  </w:pPr>
                  <w:r>
                    <w:t>Western Australia</w:t>
                  </w:r>
                </w:p>
              </w:tc>
              <w:tc>
                <w:tcPr>
                  <w:tcW w:w="2500" w:type="pct"/>
                  <w:shd w:val="clear" w:color="auto" w:fill="auto"/>
                </w:tcPr>
                <w:p w:rsidR="00E70A3A" w:rsidRPr="005970A0" w:rsidRDefault="00BB0A68" w:rsidP="009D6827">
                  <w:pPr>
                    <w:pStyle w:val="DQITableText"/>
                    <w:spacing w:before="40"/>
                    <w:jc w:val="right"/>
                  </w:pPr>
                  <w:r>
                    <w:t>71.7</w:t>
                  </w:r>
                </w:p>
              </w:tc>
            </w:tr>
            <w:tr w:rsidR="00E70A3A" w:rsidTr="009D6827">
              <w:tc>
                <w:tcPr>
                  <w:tcW w:w="2500" w:type="pct"/>
                  <w:shd w:val="clear" w:color="auto" w:fill="auto"/>
                </w:tcPr>
                <w:p w:rsidR="00E70A3A" w:rsidRPr="005970A0" w:rsidRDefault="00E70A3A" w:rsidP="009D6827">
                  <w:pPr>
                    <w:pStyle w:val="DQITableText"/>
                    <w:spacing w:before="40"/>
                  </w:pPr>
                  <w:r>
                    <w:t>South Australia</w:t>
                  </w:r>
                </w:p>
              </w:tc>
              <w:tc>
                <w:tcPr>
                  <w:tcW w:w="2500" w:type="pct"/>
                  <w:shd w:val="clear" w:color="auto" w:fill="auto"/>
                </w:tcPr>
                <w:p w:rsidR="00E70A3A" w:rsidRPr="005970A0" w:rsidRDefault="00BB0A68" w:rsidP="009D6827">
                  <w:pPr>
                    <w:pStyle w:val="DQITableText"/>
                    <w:spacing w:before="40"/>
                    <w:jc w:val="right"/>
                  </w:pPr>
                  <w:r>
                    <w:t>72.5</w:t>
                  </w:r>
                </w:p>
              </w:tc>
            </w:tr>
            <w:tr w:rsidR="00E70A3A" w:rsidTr="009D6827">
              <w:tc>
                <w:tcPr>
                  <w:tcW w:w="2500" w:type="pct"/>
                  <w:shd w:val="clear" w:color="auto" w:fill="auto"/>
                </w:tcPr>
                <w:p w:rsidR="00E70A3A" w:rsidRPr="005970A0" w:rsidRDefault="00E70A3A" w:rsidP="009D6827">
                  <w:pPr>
                    <w:pStyle w:val="DQITableText"/>
                    <w:spacing w:before="40"/>
                  </w:pPr>
                  <w:r>
                    <w:t>Tasmania</w:t>
                  </w:r>
                </w:p>
              </w:tc>
              <w:tc>
                <w:tcPr>
                  <w:tcW w:w="2500" w:type="pct"/>
                  <w:shd w:val="clear" w:color="auto" w:fill="auto"/>
                </w:tcPr>
                <w:p w:rsidR="00E70A3A" w:rsidRPr="005970A0" w:rsidRDefault="00BB0A68" w:rsidP="009D6827">
                  <w:pPr>
                    <w:pStyle w:val="DQITableText"/>
                    <w:spacing w:before="40"/>
                    <w:jc w:val="right"/>
                  </w:pPr>
                  <w:r>
                    <w:t>76.4</w:t>
                  </w:r>
                </w:p>
              </w:tc>
            </w:tr>
            <w:tr w:rsidR="00E70A3A" w:rsidTr="009D6827">
              <w:tc>
                <w:tcPr>
                  <w:tcW w:w="2500" w:type="pct"/>
                  <w:shd w:val="clear" w:color="auto" w:fill="auto"/>
                </w:tcPr>
                <w:p w:rsidR="00E70A3A" w:rsidRPr="005970A0" w:rsidRDefault="00E70A3A" w:rsidP="009D6827">
                  <w:pPr>
                    <w:pStyle w:val="DQITableText"/>
                    <w:spacing w:before="40"/>
                  </w:pPr>
                  <w:r>
                    <w:t>Australian Capital Territory</w:t>
                  </w:r>
                </w:p>
              </w:tc>
              <w:tc>
                <w:tcPr>
                  <w:tcW w:w="2500" w:type="pct"/>
                  <w:shd w:val="clear" w:color="auto" w:fill="auto"/>
                </w:tcPr>
                <w:p w:rsidR="00E70A3A" w:rsidRPr="005970A0" w:rsidRDefault="00BB0A68" w:rsidP="009D6827">
                  <w:pPr>
                    <w:pStyle w:val="DQITableText"/>
                    <w:spacing w:before="40"/>
                    <w:jc w:val="right"/>
                  </w:pPr>
                  <w:r>
                    <w:t>74.6</w:t>
                  </w:r>
                </w:p>
              </w:tc>
            </w:tr>
            <w:tr w:rsidR="00E70A3A" w:rsidTr="009D6827">
              <w:tc>
                <w:tcPr>
                  <w:tcW w:w="2500" w:type="pct"/>
                  <w:shd w:val="clear" w:color="auto" w:fill="auto"/>
                </w:tcPr>
                <w:p w:rsidR="00E70A3A" w:rsidRPr="005970A0" w:rsidRDefault="00E70A3A" w:rsidP="009D6827">
                  <w:pPr>
                    <w:pStyle w:val="DQITableText"/>
                    <w:spacing w:before="40"/>
                  </w:pPr>
                  <w:r>
                    <w:t>Northern Territory</w:t>
                  </w:r>
                </w:p>
              </w:tc>
              <w:tc>
                <w:tcPr>
                  <w:tcW w:w="2500" w:type="pct"/>
                  <w:shd w:val="clear" w:color="auto" w:fill="auto"/>
                </w:tcPr>
                <w:p w:rsidR="00E70A3A" w:rsidRPr="005970A0" w:rsidRDefault="00BB0A68" w:rsidP="009D6827">
                  <w:pPr>
                    <w:pStyle w:val="DQITableText"/>
                    <w:spacing w:before="40"/>
                    <w:jc w:val="right"/>
                  </w:pPr>
                  <w:r>
                    <w:t>77.4</w:t>
                  </w:r>
                </w:p>
              </w:tc>
            </w:tr>
            <w:tr w:rsidR="00E70A3A" w:rsidTr="009D6827">
              <w:tc>
                <w:tcPr>
                  <w:tcW w:w="2500" w:type="pct"/>
                  <w:tcBorders>
                    <w:bottom w:val="single" w:sz="6" w:space="0" w:color="BFBFBF"/>
                  </w:tcBorders>
                  <w:shd w:val="clear" w:color="auto" w:fill="auto"/>
                </w:tcPr>
                <w:p w:rsidR="00E70A3A" w:rsidRPr="009626EE" w:rsidRDefault="00E70A3A" w:rsidP="009D6827">
                  <w:pPr>
                    <w:pStyle w:val="DQITableText"/>
                    <w:spacing w:before="40" w:after="40"/>
                    <w:rPr>
                      <w:b/>
                    </w:rPr>
                  </w:pPr>
                  <w:r w:rsidRPr="009626EE">
                    <w:rPr>
                      <w:b/>
                    </w:rPr>
                    <w:t>Australia</w:t>
                  </w:r>
                </w:p>
              </w:tc>
              <w:tc>
                <w:tcPr>
                  <w:tcW w:w="2500" w:type="pct"/>
                  <w:tcBorders>
                    <w:bottom w:val="single" w:sz="6" w:space="0" w:color="BFBFBF"/>
                  </w:tcBorders>
                  <w:shd w:val="clear" w:color="auto" w:fill="auto"/>
                </w:tcPr>
                <w:p w:rsidR="00E70A3A" w:rsidRPr="009626EE" w:rsidRDefault="00BB0A68" w:rsidP="009D6827">
                  <w:pPr>
                    <w:pStyle w:val="DQITableText"/>
                    <w:spacing w:before="40" w:after="40"/>
                    <w:jc w:val="right"/>
                    <w:rPr>
                      <w:b/>
                    </w:rPr>
                  </w:pPr>
                  <w:r>
                    <w:rPr>
                      <w:b/>
                    </w:rPr>
                    <w:t>70.3</w:t>
                  </w:r>
                </w:p>
              </w:tc>
            </w:tr>
          </w:tbl>
          <w:p w:rsidR="00E70A3A" w:rsidRPr="0090683B" w:rsidRDefault="00E70A3A" w:rsidP="009D6827">
            <w:pPr>
              <w:pStyle w:val="Box"/>
            </w:pPr>
          </w:p>
        </w:tc>
      </w:tr>
      <w:tr w:rsidR="00E70A3A" w:rsidRPr="005970A0" w:rsidTr="00E70A3A">
        <w:trPr>
          <w:trHeight w:val="87"/>
        </w:trPr>
        <w:tc>
          <w:tcPr>
            <w:tcW w:w="887" w:type="pct"/>
          </w:tcPr>
          <w:p w:rsidR="00E70A3A" w:rsidRPr="005970A0" w:rsidRDefault="00E70A3A" w:rsidP="00E70A3A">
            <w:pPr>
              <w:pStyle w:val="DQIRowHeadings"/>
              <w:keepNext w:val="0"/>
            </w:pPr>
          </w:p>
        </w:tc>
        <w:tc>
          <w:tcPr>
            <w:tcW w:w="4113" w:type="pct"/>
            <w:gridSpan w:val="2"/>
            <w:tcBorders>
              <w:top w:val="single" w:sz="6" w:space="0" w:color="9BBB59" w:themeColor="accent3"/>
            </w:tcBorders>
          </w:tcPr>
          <w:p w:rsidR="00E70A3A" w:rsidRPr="005970A0" w:rsidRDefault="00E70A3A" w:rsidP="00E70A3A">
            <w:pPr>
              <w:pStyle w:val="DQITableText"/>
              <w:keepNext w:val="0"/>
            </w:pPr>
            <w:r w:rsidRPr="005970A0">
              <w:t>The indicator has acceptable (less than 25</w:t>
            </w:r>
            <w:r>
              <w:t xml:space="preserve"> per cent</w:t>
            </w:r>
            <w:r w:rsidRPr="005970A0">
              <w:t>) relative standard errors (</w:t>
            </w:r>
            <w:proofErr w:type="spellStart"/>
            <w:r w:rsidRPr="005970A0">
              <w:t>RSEs</w:t>
            </w:r>
            <w:proofErr w:type="spellEnd"/>
            <w:r w:rsidRPr="005970A0">
              <w:t>).</w:t>
            </w:r>
          </w:p>
        </w:tc>
      </w:tr>
      <w:tr w:rsidR="00E70A3A" w:rsidRPr="005970A0" w:rsidTr="00E70A3A">
        <w:trPr>
          <w:trHeight w:val="87"/>
        </w:trPr>
        <w:tc>
          <w:tcPr>
            <w:tcW w:w="887" w:type="pct"/>
          </w:tcPr>
          <w:p w:rsidR="00E70A3A" w:rsidRPr="005970A0" w:rsidRDefault="00E70A3A" w:rsidP="00E70A3A">
            <w:pPr>
              <w:pStyle w:val="DQIRowHeadings"/>
              <w:keepNext w:val="0"/>
            </w:pPr>
            <w:r w:rsidRPr="005970A0">
              <w:t>Coherence</w:t>
            </w:r>
          </w:p>
          <w:p w:rsidR="00E70A3A" w:rsidRPr="005970A0" w:rsidRDefault="00E70A3A" w:rsidP="00E70A3A">
            <w:pPr>
              <w:pStyle w:val="DQIRowHeadings"/>
              <w:keepNext w:val="0"/>
            </w:pPr>
          </w:p>
        </w:tc>
        <w:tc>
          <w:tcPr>
            <w:tcW w:w="4113" w:type="pct"/>
            <w:gridSpan w:val="2"/>
          </w:tcPr>
          <w:p w:rsidR="00E70A3A" w:rsidRPr="005970A0" w:rsidRDefault="00BB0A68" w:rsidP="00E70A3A">
            <w:pPr>
              <w:pStyle w:val="DQITableText"/>
              <w:keepNext w:val="0"/>
            </w:pPr>
            <w:r w:rsidRPr="006C319A">
              <w:t>This is the sixth time the survey has been conducted in this form. Previous surveys were conducted in 2005, 2007, 2009, 2011 and 2013.</w:t>
            </w:r>
          </w:p>
        </w:tc>
      </w:tr>
      <w:tr w:rsidR="00E70A3A" w:rsidRPr="005970A0" w:rsidTr="00E70A3A">
        <w:tc>
          <w:tcPr>
            <w:tcW w:w="887" w:type="pct"/>
          </w:tcPr>
          <w:p w:rsidR="00E70A3A" w:rsidRPr="005970A0" w:rsidRDefault="00E70A3A" w:rsidP="00E70A3A">
            <w:pPr>
              <w:pStyle w:val="DQIRowHeadings"/>
              <w:keepNext w:val="0"/>
            </w:pPr>
            <w:r w:rsidRPr="005970A0">
              <w:t>Accessibility</w:t>
            </w:r>
          </w:p>
          <w:p w:rsidR="00E70A3A" w:rsidRPr="005970A0" w:rsidRDefault="00E70A3A" w:rsidP="00E70A3A">
            <w:pPr>
              <w:pStyle w:val="DQIRowHeadings"/>
              <w:keepNext w:val="0"/>
            </w:pPr>
          </w:p>
        </w:tc>
        <w:tc>
          <w:tcPr>
            <w:tcW w:w="4113" w:type="pct"/>
            <w:gridSpan w:val="2"/>
          </w:tcPr>
          <w:p w:rsidR="00E70A3A" w:rsidRPr="005970A0" w:rsidRDefault="00E70A3A" w:rsidP="00E70A3A">
            <w:pPr>
              <w:pStyle w:val="DQITableText"/>
              <w:keepNext w:val="0"/>
            </w:pPr>
            <w:r w:rsidRPr="005970A0">
              <w:t xml:space="preserve">Results of the survey are available free of charge on </w:t>
            </w:r>
            <w:proofErr w:type="spellStart"/>
            <w:r w:rsidRPr="005970A0">
              <w:t>NCVER’s</w:t>
            </w:r>
            <w:proofErr w:type="spellEnd"/>
            <w:r w:rsidRPr="005970A0">
              <w:t xml:space="preserve"> website at: </w:t>
            </w:r>
            <w:proofErr w:type="spellStart"/>
            <w:r w:rsidRPr="005970A0">
              <w:t>www.ncver.edu.au</w:t>
            </w:r>
            <w:proofErr w:type="spellEnd"/>
            <w:r w:rsidRPr="005970A0">
              <w:t>/statistic/</w:t>
            </w:r>
            <w:proofErr w:type="spellStart"/>
            <w:r w:rsidRPr="005970A0">
              <w:t>21066.html</w:t>
            </w:r>
            <w:proofErr w:type="spellEnd"/>
            <w:r w:rsidRPr="005970A0">
              <w:t xml:space="preserve">. Requests for more detailed statistical information or further information about the Survey of Employer Use and Views of the VET System can be made to: </w:t>
            </w:r>
          </w:p>
          <w:p w:rsidR="00E70A3A" w:rsidRPr="005970A0" w:rsidRDefault="00E70A3A" w:rsidP="00E70A3A">
            <w:pPr>
              <w:pStyle w:val="DQITableText"/>
              <w:keepNext w:val="0"/>
            </w:pPr>
            <w:proofErr w:type="spellStart"/>
            <w:r w:rsidRPr="005970A0">
              <w:t>NCVER</w:t>
            </w:r>
            <w:proofErr w:type="spellEnd"/>
            <w:r w:rsidRPr="005970A0">
              <w:t xml:space="preserve"> on (08) 8230 8400 or </w:t>
            </w:r>
            <w:proofErr w:type="spellStart"/>
            <w:r w:rsidRPr="005970A0">
              <w:t>surveys_req@ncver.edu.au</w:t>
            </w:r>
            <w:proofErr w:type="spellEnd"/>
          </w:p>
          <w:p w:rsidR="00E70A3A" w:rsidRPr="005970A0" w:rsidRDefault="00E70A3A" w:rsidP="00E70A3A">
            <w:pPr>
              <w:pStyle w:val="DQITableText"/>
              <w:keepNext w:val="0"/>
              <w:rPr>
                <w:u w:val="single"/>
              </w:rPr>
            </w:pPr>
            <w:r w:rsidRPr="005970A0">
              <w:t xml:space="preserve">A charge will be generally made by </w:t>
            </w:r>
            <w:proofErr w:type="spellStart"/>
            <w:r w:rsidR="00C90987">
              <w:t>NCVER</w:t>
            </w:r>
            <w:proofErr w:type="spellEnd"/>
            <w:r w:rsidRPr="005970A0">
              <w:t xml:space="preserve"> for more complex requests for information. See </w:t>
            </w:r>
            <w:proofErr w:type="spellStart"/>
            <w:r w:rsidRPr="005970A0">
              <w:t>NCVER’s</w:t>
            </w:r>
            <w:proofErr w:type="spellEnd"/>
            <w:r w:rsidRPr="005970A0">
              <w:t xml:space="preserve"> fees and charges policy at [</w:t>
            </w:r>
            <w:proofErr w:type="spellStart"/>
            <w:r w:rsidRPr="005970A0">
              <w:t>www.ncver.edu.au</w:t>
            </w:r>
            <w:proofErr w:type="spellEnd"/>
            <w:r w:rsidRPr="005970A0">
              <w:t>/statistic/</w:t>
            </w:r>
            <w:proofErr w:type="spellStart"/>
            <w:r w:rsidRPr="005970A0">
              <w:t>21075.html</w:t>
            </w:r>
            <w:proofErr w:type="spellEnd"/>
            <w:r w:rsidRPr="005970A0">
              <w:t>]</w:t>
            </w:r>
          </w:p>
        </w:tc>
      </w:tr>
      <w:tr w:rsidR="00E70A3A" w:rsidRPr="005970A0" w:rsidTr="00E70A3A">
        <w:tc>
          <w:tcPr>
            <w:tcW w:w="887" w:type="pct"/>
          </w:tcPr>
          <w:p w:rsidR="00E70A3A" w:rsidRPr="005970A0" w:rsidRDefault="00E70A3A" w:rsidP="00E70A3A">
            <w:pPr>
              <w:pStyle w:val="DQIRowHeadings"/>
              <w:keepNext w:val="0"/>
            </w:pPr>
            <w:r w:rsidRPr="005970A0">
              <w:t>Interpretability</w:t>
            </w:r>
          </w:p>
          <w:p w:rsidR="00E70A3A" w:rsidRPr="005970A0" w:rsidRDefault="00E70A3A" w:rsidP="00E70A3A">
            <w:pPr>
              <w:pStyle w:val="DQIRowHeadings"/>
              <w:keepNext w:val="0"/>
            </w:pPr>
          </w:p>
        </w:tc>
        <w:tc>
          <w:tcPr>
            <w:tcW w:w="4113" w:type="pct"/>
            <w:gridSpan w:val="2"/>
          </w:tcPr>
          <w:p w:rsidR="00E70A3A" w:rsidRPr="005970A0" w:rsidRDefault="00E70A3A" w:rsidP="00E70A3A">
            <w:pPr>
              <w:pStyle w:val="DQITableText"/>
              <w:keepNext w:val="0"/>
            </w:pPr>
            <w:r w:rsidRPr="005970A0">
              <w:t xml:space="preserve">To aid interpretation of the data, information on the Survey of Employer Use and Views of the VET System is available on the </w:t>
            </w:r>
            <w:proofErr w:type="spellStart"/>
            <w:r w:rsidRPr="005970A0">
              <w:t>NCVER</w:t>
            </w:r>
            <w:proofErr w:type="spellEnd"/>
            <w:r w:rsidRPr="005970A0">
              <w:t xml:space="preserve"> website.</w:t>
            </w:r>
          </w:p>
          <w:p w:rsidR="00E70A3A" w:rsidRPr="005970A0" w:rsidRDefault="00E70A3A" w:rsidP="00E70A3A">
            <w:pPr>
              <w:pStyle w:val="DQITableText"/>
              <w:keepNext w:val="0"/>
            </w:pPr>
            <w:r w:rsidRPr="005970A0">
              <w:t>The survey uses the Australian and New Zealand Standard Industry Classification (</w:t>
            </w:r>
            <w:proofErr w:type="spellStart"/>
            <w:r w:rsidRPr="005970A0">
              <w:t>ANZSIC</w:t>
            </w:r>
            <w:proofErr w:type="spellEnd"/>
            <w:r w:rsidRPr="005970A0">
              <w:t>)</w:t>
            </w:r>
          </w:p>
        </w:tc>
      </w:tr>
      <w:tr w:rsidR="00E70A3A" w:rsidRPr="005970A0" w:rsidTr="009D6827">
        <w:tc>
          <w:tcPr>
            <w:tcW w:w="5000" w:type="pct"/>
            <w:gridSpan w:val="3"/>
            <w:shd w:val="clear" w:color="auto" w:fill="auto"/>
          </w:tcPr>
          <w:p w:rsidR="00E70A3A" w:rsidRPr="005970A0" w:rsidRDefault="00E70A3A" w:rsidP="00E340A5">
            <w:pPr>
              <w:pStyle w:val="DQIMainRowHeadings"/>
            </w:pPr>
            <w:r w:rsidRPr="005970A0">
              <w:t>Data Gaps/Issues Analysis</w:t>
            </w:r>
          </w:p>
        </w:tc>
      </w:tr>
      <w:tr w:rsidR="00E70A3A" w:rsidRPr="005970A0" w:rsidTr="009D6827">
        <w:tc>
          <w:tcPr>
            <w:tcW w:w="922" w:type="pct"/>
            <w:gridSpan w:val="2"/>
            <w:shd w:val="clear" w:color="auto" w:fill="auto"/>
          </w:tcPr>
          <w:p w:rsidR="00E70A3A" w:rsidRPr="005970A0" w:rsidRDefault="00E70A3A" w:rsidP="009E150E">
            <w:pPr>
              <w:pStyle w:val="DQIRowHeadings"/>
              <w:keepNext w:val="0"/>
            </w:pPr>
            <w:r w:rsidRPr="005970A0">
              <w:t>Key data gaps/ issues</w:t>
            </w:r>
          </w:p>
        </w:tc>
        <w:tc>
          <w:tcPr>
            <w:tcW w:w="4078" w:type="pct"/>
            <w:shd w:val="clear" w:color="auto" w:fill="auto"/>
          </w:tcPr>
          <w:p w:rsidR="00E70A3A" w:rsidRPr="005970A0" w:rsidRDefault="00327525" w:rsidP="009E150E">
            <w:pPr>
              <w:pStyle w:val="DQITableText"/>
              <w:keepNext w:val="0"/>
              <w:rPr>
                <w:i/>
              </w:rPr>
            </w:pPr>
            <w:r>
              <w:t xml:space="preserve">See performance indicator </w:t>
            </w:r>
            <w:proofErr w:type="spellStart"/>
            <w:r>
              <w:t>DQI</w:t>
            </w:r>
            <w:proofErr w:type="spellEnd"/>
          </w:p>
        </w:tc>
      </w:tr>
    </w:tbl>
    <w:p w:rsidR="009E150E" w:rsidRDefault="009E150E" w:rsidP="009E150E">
      <w:pPr>
        <w:pStyle w:val="BodyText"/>
      </w:pPr>
    </w:p>
    <w:p w:rsidR="00E340A5" w:rsidRPr="00E70A3A" w:rsidRDefault="00FC6539" w:rsidP="00E340A5">
      <w:pPr>
        <w:pStyle w:val="Heading3"/>
      </w:pPr>
      <w:bookmarkStart w:id="30" w:name="EstimatedResidentPopulation"/>
      <w:bookmarkStart w:id="31" w:name="_Toc436148761"/>
      <w:r>
        <w:lastRenderedPageBreak/>
        <w:t xml:space="preserve">Estimated Resident Population </w:t>
      </w:r>
      <w:bookmarkEnd w:id="30"/>
      <w:r>
        <w:t>and Aboriginal and Torres Strait Islander population</w:t>
      </w:r>
      <w:bookmarkEnd w:id="31"/>
    </w:p>
    <w:p w:rsidR="00E340A5" w:rsidRPr="005970A0" w:rsidRDefault="00E340A5" w:rsidP="00E340A5">
      <w:pPr>
        <w:pStyle w:val="Box"/>
      </w:pPr>
      <w:r w:rsidRPr="005970A0">
        <w:t xml:space="preserve">Data quality information for this indicator has been drafted by the Secretariat, in consultation with the </w:t>
      </w:r>
      <w:r w:rsidR="007B68DE">
        <w:t>ABS</w:t>
      </w:r>
      <w:r w:rsidR="00FC6539">
        <w:t xml:space="preserve"> and the </w:t>
      </w:r>
      <w:r w:rsidRPr="005970A0">
        <w:t>VET Working Group.</w:t>
      </w:r>
    </w:p>
    <w:tbl>
      <w:tblPr>
        <w:tblW w:w="5000" w:type="pct"/>
        <w:tblCellMar>
          <w:left w:w="0" w:type="dxa"/>
          <w:right w:w="0" w:type="dxa"/>
        </w:tblCellMar>
        <w:tblLook w:val="0000" w:firstRow="0" w:lastRow="0" w:firstColumn="0" w:lastColumn="0" w:noHBand="0" w:noVBand="0"/>
      </w:tblPr>
      <w:tblGrid>
        <w:gridCol w:w="1559"/>
        <w:gridCol w:w="62"/>
        <w:gridCol w:w="7168"/>
      </w:tblGrid>
      <w:tr w:rsidR="00E340A5" w:rsidRPr="005970A0" w:rsidTr="009D6827">
        <w:tc>
          <w:tcPr>
            <w:tcW w:w="5000" w:type="pct"/>
            <w:gridSpan w:val="3"/>
          </w:tcPr>
          <w:p w:rsidR="00E340A5" w:rsidRPr="005970A0" w:rsidRDefault="00E340A5" w:rsidP="009D6827">
            <w:pPr>
              <w:pStyle w:val="DQIMainRowHeadings"/>
            </w:pPr>
            <w:r w:rsidRPr="005970A0">
              <w:t>Indicator definition and description</w:t>
            </w:r>
            <w:r w:rsidRPr="005970A0">
              <w:rPr>
                <w:rFonts w:cs="Arial"/>
                <w:sz w:val="22"/>
                <w:szCs w:val="22"/>
              </w:rPr>
              <w:t xml:space="preserve"> </w:t>
            </w:r>
          </w:p>
        </w:tc>
      </w:tr>
      <w:tr w:rsidR="00E340A5" w:rsidRPr="005970A0" w:rsidTr="009D6827">
        <w:tc>
          <w:tcPr>
            <w:tcW w:w="887" w:type="pct"/>
          </w:tcPr>
          <w:p w:rsidR="00E340A5" w:rsidRPr="005970A0" w:rsidRDefault="00E340A5" w:rsidP="009D6827">
            <w:pPr>
              <w:pStyle w:val="DQIRowHeadings"/>
            </w:pPr>
            <w:r w:rsidRPr="005970A0">
              <w:t>Element</w:t>
            </w:r>
          </w:p>
        </w:tc>
        <w:tc>
          <w:tcPr>
            <w:tcW w:w="4113" w:type="pct"/>
            <w:gridSpan w:val="2"/>
          </w:tcPr>
          <w:p w:rsidR="00E340A5" w:rsidRPr="005970A0" w:rsidRDefault="00E340A5" w:rsidP="009D6827">
            <w:pPr>
              <w:pStyle w:val="DQITableText"/>
            </w:pPr>
            <w:r>
              <w:t>Various</w:t>
            </w:r>
          </w:p>
        </w:tc>
      </w:tr>
      <w:tr w:rsidR="00E340A5" w:rsidRPr="005970A0" w:rsidTr="009D6827">
        <w:tc>
          <w:tcPr>
            <w:tcW w:w="887" w:type="pct"/>
          </w:tcPr>
          <w:p w:rsidR="00E340A5" w:rsidRPr="005970A0" w:rsidRDefault="00E340A5" w:rsidP="009D6827">
            <w:pPr>
              <w:pStyle w:val="DQIRowHeadings"/>
            </w:pPr>
            <w:r w:rsidRPr="005970A0">
              <w:t>Indicator</w:t>
            </w:r>
          </w:p>
        </w:tc>
        <w:tc>
          <w:tcPr>
            <w:tcW w:w="4113" w:type="pct"/>
            <w:gridSpan w:val="2"/>
          </w:tcPr>
          <w:p w:rsidR="00910800" w:rsidRPr="005970A0" w:rsidRDefault="00E340A5" w:rsidP="00680521">
            <w:pPr>
              <w:pStyle w:val="DQITableText"/>
            </w:pPr>
            <w:r>
              <w:t xml:space="preserve">The </w:t>
            </w:r>
            <w:r w:rsidR="00FC6539">
              <w:t xml:space="preserve">population estimates are </w:t>
            </w:r>
            <w:r>
              <w:t>used as a key data source for the following indicators:</w:t>
            </w:r>
          </w:p>
        </w:tc>
      </w:tr>
      <w:tr w:rsidR="00E340A5" w:rsidRPr="005970A0" w:rsidTr="009D6827">
        <w:tc>
          <w:tcPr>
            <w:tcW w:w="887" w:type="pct"/>
          </w:tcPr>
          <w:p w:rsidR="00E340A5" w:rsidRPr="005970A0" w:rsidRDefault="00E340A5" w:rsidP="009D6827">
            <w:pPr>
              <w:pStyle w:val="DQIRowHeadings"/>
            </w:pPr>
            <w:r w:rsidRPr="005970A0">
              <w:t>Measure (computation)</w:t>
            </w:r>
          </w:p>
        </w:tc>
        <w:tc>
          <w:tcPr>
            <w:tcW w:w="4113" w:type="pct"/>
            <w:gridSpan w:val="2"/>
          </w:tcPr>
          <w:p w:rsidR="00680521" w:rsidRDefault="00680521" w:rsidP="00680521">
            <w:pPr>
              <w:pStyle w:val="DQITableBullet"/>
            </w:pPr>
            <w:r w:rsidRPr="007047F5">
              <w:t>VET participation by target group</w:t>
            </w:r>
          </w:p>
          <w:p w:rsidR="00680521" w:rsidRPr="00680521" w:rsidRDefault="00680521" w:rsidP="00680521">
            <w:pPr>
              <w:pStyle w:val="DQITableBullet"/>
              <w:rPr>
                <w:b/>
                <w:sz w:val="20"/>
              </w:rPr>
            </w:pPr>
            <w:r w:rsidRPr="007047F5">
              <w:t>Student participation in VET</w:t>
            </w:r>
            <w:r>
              <w:t xml:space="preserve"> </w:t>
            </w:r>
          </w:p>
          <w:p w:rsidR="00E340A5" w:rsidRPr="000337E3" w:rsidRDefault="00680521" w:rsidP="00680521">
            <w:pPr>
              <w:pStyle w:val="DQITableBullet"/>
              <w:rPr>
                <w:rStyle w:val="DraftingNote"/>
                <w:color w:val="auto"/>
                <w:sz w:val="20"/>
                <w:u w:val="none"/>
              </w:rPr>
            </w:pPr>
            <w:r w:rsidRPr="007047F5">
              <w:t>VET student completions and qualifications</w:t>
            </w:r>
            <w:r>
              <w:t>.</w:t>
            </w:r>
          </w:p>
        </w:tc>
      </w:tr>
      <w:tr w:rsidR="00E340A5" w:rsidRPr="005970A0" w:rsidTr="009D6827">
        <w:tc>
          <w:tcPr>
            <w:tcW w:w="887" w:type="pct"/>
          </w:tcPr>
          <w:p w:rsidR="00E340A5" w:rsidRPr="005970A0" w:rsidRDefault="00E340A5" w:rsidP="009D6827">
            <w:pPr>
              <w:pStyle w:val="DQIRowHeadings"/>
            </w:pPr>
            <w:r w:rsidRPr="005970A0">
              <w:t>Data source/s</w:t>
            </w:r>
          </w:p>
        </w:tc>
        <w:tc>
          <w:tcPr>
            <w:tcW w:w="4113" w:type="pct"/>
            <w:gridSpan w:val="2"/>
          </w:tcPr>
          <w:p w:rsidR="00FC6539" w:rsidRPr="005970A0" w:rsidRDefault="00FC6539" w:rsidP="00FC6539">
            <w:pPr>
              <w:pStyle w:val="DQITableText"/>
            </w:pPr>
            <w:r w:rsidRPr="005970A0">
              <w:t>Population data for all Australians are sourced from the following ABS publications. These data are referred to as estimated resident population (</w:t>
            </w:r>
            <w:proofErr w:type="spellStart"/>
            <w:r w:rsidRPr="005970A0">
              <w:t>ERP</w:t>
            </w:r>
            <w:proofErr w:type="spellEnd"/>
            <w:r w:rsidRPr="005970A0">
              <w:t>) data:</w:t>
            </w:r>
          </w:p>
          <w:p w:rsidR="00FC6539" w:rsidRPr="002843B1" w:rsidRDefault="00FC6539" w:rsidP="00FC6539">
            <w:pPr>
              <w:pStyle w:val="DQITableBullet"/>
            </w:pPr>
            <w:r w:rsidRPr="002843B1">
              <w:t xml:space="preserve">data for </w:t>
            </w:r>
            <w:r w:rsidR="003E592A">
              <w:t xml:space="preserve">June </w:t>
            </w:r>
            <w:r w:rsidRPr="002843B1">
              <w:t>200</w:t>
            </w:r>
            <w:r w:rsidR="003E592A">
              <w:t>5</w:t>
            </w:r>
            <w:r w:rsidRPr="002843B1">
              <w:t xml:space="preserve"> to </w:t>
            </w:r>
            <w:r w:rsidR="003E592A">
              <w:t xml:space="preserve">June </w:t>
            </w:r>
            <w:r w:rsidRPr="002843B1">
              <w:t>20</w:t>
            </w:r>
            <w:r w:rsidR="003E592A">
              <w:t>14</w:t>
            </w:r>
            <w:r w:rsidRPr="002843B1">
              <w:t>:</w:t>
            </w:r>
            <w:r w:rsidRPr="002843B1">
              <w:rPr>
                <w:i/>
              </w:rPr>
              <w:t xml:space="preserve"> Australian Demographic Statistics</w:t>
            </w:r>
            <w:r w:rsidRPr="003E592A">
              <w:rPr>
                <w:i/>
              </w:rPr>
              <w:t>, June 201</w:t>
            </w:r>
            <w:r w:rsidR="003E592A" w:rsidRPr="003E592A">
              <w:rPr>
                <w:i/>
              </w:rPr>
              <w:t>4</w:t>
            </w:r>
            <w:r w:rsidRPr="002843B1">
              <w:t>. Cat. no. 3101.0</w:t>
            </w:r>
            <w:r w:rsidR="003E592A">
              <w:t xml:space="preserve">, Canberra. </w:t>
            </w:r>
          </w:p>
          <w:p w:rsidR="003E592A" w:rsidRDefault="00FC6539" w:rsidP="003E592A">
            <w:pPr>
              <w:pStyle w:val="DQITableBullet"/>
            </w:pPr>
            <w:r w:rsidRPr="002843B1">
              <w:t>data for</w:t>
            </w:r>
            <w:r w:rsidR="003E592A">
              <w:t xml:space="preserve"> December </w:t>
            </w:r>
            <w:r w:rsidRPr="002843B1">
              <w:t xml:space="preserve"> 200</w:t>
            </w:r>
            <w:r w:rsidR="003E592A">
              <w:t>5</w:t>
            </w:r>
            <w:r w:rsidRPr="002843B1">
              <w:t xml:space="preserve"> to </w:t>
            </w:r>
            <w:r w:rsidR="003E592A">
              <w:t xml:space="preserve">December </w:t>
            </w:r>
            <w:r w:rsidRPr="002843B1">
              <w:t>201</w:t>
            </w:r>
            <w:r w:rsidR="003E592A">
              <w:t>4</w:t>
            </w:r>
            <w:r w:rsidRPr="002843B1">
              <w:t xml:space="preserve">: </w:t>
            </w:r>
            <w:r w:rsidR="003E592A" w:rsidRPr="003E592A">
              <w:t xml:space="preserve">generated 30 July 2015 using </w:t>
            </w:r>
            <w:r w:rsidR="003E592A" w:rsidRPr="003E592A">
              <w:rPr>
                <w:i/>
              </w:rPr>
              <w:t>Quarterly Population Estimates (</w:t>
            </w:r>
            <w:proofErr w:type="spellStart"/>
            <w:r w:rsidR="003E592A" w:rsidRPr="003E592A">
              <w:rPr>
                <w:i/>
              </w:rPr>
              <w:t>ERP</w:t>
            </w:r>
            <w:proofErr w:type="spellEnd"/>
            <w:r w:rsidR="003E592A" w:rsidRPr="003E592A">
              <w:rPr>
                <w:i/>
              </w:rPr>
              <w:t>), by State/Territory, Sex and Age</w:t>
            </w:r>
            <w:r w:rsidR="003E592A" w:rsidRPr="003E592A">
              <w:t xml:space="preserve">, Cat. no. 1407.0, </w:t>
            </w:r>
            <w:proofErr w:type="spellStart"/>
            <w:r w:rsidR="003E592A" w:rsidRPr="003E592A">
              <w:t>ABS.Stat</w:t>
            </w:r>
            <w:proofErr w:type="spellEnd"/>
            <w:r w:rsidR="003E592A" w:rsidRPr="003E592A">
              <w:t xml:space="preserve"> Beta</w:t>
            </w:r>
            <w:r w:rsidR="003E592A">
              <w:t>.</w:t>
            </w:r>
          </w:p>
          <w:p w:rsidR="00FC6539" w:rsidRPr="00F7348D" w:rsidRDefault="00FC6539" w:rsidP="00FC6539">
            <w:pPr>
              <w:pStyle w:val="DQITableText"/>
            </w:pPr>
            <w:r w:rsidRPr="00F7348D">
              <w:t xml:space="preserve">Aboriginal and Torres Strait Islander population data are sourced from the ABS (2014) </w:t>
            </w:r>
            <w:r w:rsidRPr="00F7348D">
              <w:rPr>
                <w:i/>
              </w:rPr>
              <w:t>Estimates and Projections, Aboriginal and Torres Strait Islander Australians, 20</w:t>
            </w:r>
            <w:r w:rsidR="003E592A">
              <w:rPr>
                <w:i/>
              </w:rPr>
              <w:t>0</w:t>
            </w:r>
            <w:r w:rsidRPr="00F7348D">
              <w:rPr>
                <w:i/>
              </w:rPr>
              <w:t>1 to 2026</w:t>
            </w:r>
            <w:r w:rsidRPr="00F7348D">
              <w:t xml:space="preserve"> (cat. no. 3238.0).</w:t>
            </w:r>
          </w:p>
          <w:p w:rsidR="00E340A5" w:rsidRPr="005970A0" w:rsidRDefault="00FC6539" w:rsidP="00FC6539">
            <w:pPr>
              <w:pStyle w:val="DQITableText"/>
            </w:pPr>
            <w:r w:rsidRPr="005970A0">
              <w:t xml:space="preserve">There are no comparable population data for the non-Indigenous population. Population estimates of the non-Indigenous population are therefore derived by subtracting </w:t>
            </w:r>
            <w:r>
              <w:t xml:space="preserve">Aboriginal and Torres Strait Islander </w:t>
            </w:r>
            <w:r w:rsidRPr="005970A0">
              <w:t>population estimates from total population estimates.</w:t>
            </w:r>
          </w:p>
        </w:tc>
      </w:tr>
      <w:tr w:rsidR="00E340A5" w:rsidRPr="005970A0" w:rsidTr="009D6827">
        <w:tc>
          <w:tcPr>
            <w:tcW w:w="5000" w:type="pct"/>
            <w:gridSpan w:val="3"/>
          </w:tcPr>
          <w:p w:rsidR="00E340A5" w:rsidRPr="005970A0" w:rsidRDefault="00E340A5" w:rsidP="009D6827">
            <w:pPr>
              <w:pStyle w:val="DQIMainRowHeadings"/>
            </w:pPr>
            <w:r w:rsidRPr="005970A0">
              <w:t>Data Quality Framework Dimensions</w:t>
            </w:r>
          </w:p>
        </w:tc>
      </w:tr>
      <w:tr w:rsidR="00E340A5" w:rsidRPr="005970A0" w:rsidTr="009D6827">
        <w:tc>
          <w:tcPr>
            <w:tcW w:w="887" w:type="pct"/>
          </w:tcPr>
          <w:p w:rsidR="00E340A5" w:rsidRPr="005970A0" w:rsidRDefault="00E340A5" w:rsidP="009D6827">
            <w:pPr>
              <w:pStyle w:val="DQIRowHeadings"/>
            </w:pPr>
            <w:r w:rsidRPr="005970A0">
              <w:t>Institutional environment</w:t>
            </w:r>
          </w:p>
        </w:tc>
        <w:tc>
          <w:tcPr>
            <w:tcW w:w="4113" w:type="pct"/>
            <w:gridSpan w:val="2"/>
          </w:tcPr>
          <w:p w:rsidR="00FC6539" w:rsidRPr="005970A0" w:rsidRDefault="00FC6539" w:rsidP="00FC6539">
            <w:pPr>
              <w:pStyle w:val="DQITableText"/>
            </w:pPr>
            <w:r w:rsidRPr="005970A0">
              <w:t xml:space="preserve">The ABS sources </w:t>
            </w:r>
            <w:proofErr w:type="spellStart"/>
            <w:r w:rsidRPr="005970A0">
              <w:t>ERP</w:t>
            </w:r>
            <w:proofErr w:type="spellEnd"/>
            <w:r w:rsidRPr="005970A0">
              <w:t xml:space="preserve"> data from a variety of institutional environments. Much of the data is administrative </w:t>
            </w:r>
            <w:proofErr w:type="spellStart"/>
            <w:r w:rsidRPr="005970A0">
              <w:t>by-product</w:t>
            </w:r>
            <w:proofErr w:type="spellEnd"/>
            <w:r w:rsidRPr="005970A0">
              <w:t xml:space="preserve"> data collected by other organisations for purposes other than estimating the population. Births and deaths statistics are extracted from registers administered by the various State and Territory Registrars of Births, Deaths and Marriages. Medicare Australia client address data is used to estimate interstate migration. Passenger card data and related information provided by the Department of Immigration and Citizenship (</w:t>
            </w:r>
            <w:proofErr w:type="spellStart"/>
            <w:r w:rsidRPr="005970A0">
              <w:t>DIAC</w:t>
            </w:r>
            <w:proofErr w:type="spellEnd"/>
            <w:r w:rsidRPr="005970A0">
              <w:t>) is used to calculate Net Overseas Migration (NOM).</w:t>
            </w:r>
          </w:p>
          <w:p w:rsidR="00E340A5" w:rsidRPr="005970A0" w:rsidRDefault="00FC6539" w:rsidP="00FC6539">
            <w:pPr>
              <w:pStyle w:val="DQITableText"/>
            </w:pPr>
            <w:r w:rsidRPr="005970A0">
              <w:t xml:space="preserve">For information on the institutional environment of the ABS, including the legislative obligations of the ABS, which cover this collection, please see ABS Institutional Environment </w:t>
            </w:r>
            <w:r w:rsidRPr="003E0195">
              <w:t>http://www.abs.gov.au/websitedbs/d3310114.nsf/</w:t>
            </w:r>
            <w:r w:rsidRPr="005970A0">
              <w:t>4a256353001af3ed4b562bb00121564/</w:t>
            </w:r>
            <w:r>
              <w:t xml:space="preserve"> </w:t>
            </w:r>
            <w:proofErr w:type="spellStart"/>
            <w:r w:rsidRPr="005970A0">
              <w:t>10ca14cb967e5b83ca2573ae00197b65!OpenDocument</w:t>
            </w:r>
            <w:proofErr w:type="spellEnd"/>
          </w:p>
        </w:tc>
      </w:tr>
      <w:tr w:rsidR="00E340A5" w:rsidRPr="005970A0" w:rsidTr="009D6827">
        <w:tc>
          <w:tcPr>
            <w:tcW w:w="887" w:type="pct"/>
          </w:tcPr>
          <w:p w:rsidR="00E340A5" w:rsidRPr="005970A0" w:rsidRDefault="00E340A5" w:rsidP="003E592A">
            <w:pPr>
              <w:pStyle w:val="DQIRowHeadings"/>
            </w:pPr>
            <w:r w:rsidRPr="005970A0">
              <w:t>Relevance</w:t>
            </w:r>
          </w:p>
        </w:tc>
        <w:tc>
          <w:tcPr>
            <w:tcW w:w="4113" w:type="pct"/>
            <w:gridSpan w:val="2"/>
          </w:tcPr>
          <w:p w:rsidR="00FC6539" w:rsidRPr="005970A0" w:rsidRDefault="00FC6539" w:rsidP="00FC6539">
            <w:pPr>
              <w:pStyle w:val="DQITableText"/>
            </w:pPr>
            <w:r w:rsidRPr="005970A0">
              <w:t xml:space="preserve">The </w:t>
            </w:r>
            <w:proofErr w:type="spellStart"/>
            <w:r w:rsidRPr="005970A0">
              <w:t>ERP</w:t>
            </w:r>
            <w:proofErr w:type="spellEnd"/>
            <w:r w:rsidRPr="005970A0">
              <w:t xml:space="preserve"> is the official measure of the population of states and territories of Australia according to a usual residence population concept. </w:t>
            </w:r>
            <w:proofErr w:type="spellStart"/>
            <w:r w:rsidRPr="005970A0">
              <w:t>ERP</w:t>
            </w:r>
            <w:proofErr w:type="spellEnd"/>
            <w:r w:rsidRPr="005970A0">
              <w:t xml:space="preserve"> is used for a range of key decisions such as resource and funding distribution and apportioning seats in the House of Representatives to each state and territory.</w:t>
            </w:r>
          </w:p>
          <w:p w:rsidR="00E340A5" w:rsidRPr="005970A0" w:rsidRDefault="00FC6539" w:rsidP="00FC6539">
            <w:pPr>
              <w:pStyle w:val="DQITableText"/>
            </w:pPr>
            <w:r w:rsidRPr="005970A0">
              <w:t>In preparing Indigenous population estimates, the ABS formulated assumptions on the basis of past demographic trends, in conjunction with consultation with various individuals and government department representatives at the national and state/territory level. Consultation occurred between May and July 2009, after which the assumptions were finalised.</w:t>
            </w:r>
          </w:p>
        </w:tc>
      </w:tr>
      <w:tr w:rsidR="00E340A5" w:rsidRPr="005970A0" w:rsidTr="009D6827">
        <w:tc>
          <w:tcPr>
            <w:tcW w:w="887" w:type="pct"/>
          </w:tcPr>
          <w:p w:rsidR="00E340A5" w:rsidRPr="005970A0" w:rsidRDefault="00E340A5" w:rsidP="003E592A">
            <w:pPr>
              <w:pStyle w:val="DQIRowHeadings"/>
              <w:keepNext w:val="0"/>
            </w:pPr>
            <w:r w:rsidRPr="005970A0">
              <w:t>Timeliness</w:t>
            </w:r>
          </w:p>
        </w:tc>
        <w:tc>
          <w:tcPr>
            <w:tcW w:w="4113" w:type="pct"/>
            <w:gridSpan w:val="2"/>
          </w:tcPr>
          <w:p w:rsidR="00FC6539" w:rsidRPr="005970A0" w:rsidRDefault="00FC6539" w:rsidP="00327525">
            <w:pPr>
              <w:pStyle w:val="DQITableText"/>
              <w:keepNext w:val="0"/>
            </w:pPr>
            <w:r w:rsidRPr="005970A0">
              <w:t xml:space="preserve">Preliminary </w:t>
            </w:r>
            <w:proofErr w:type="spellStart"/>
            <w:r w:rsidRPr="005970A0">
              <w:t>ERP</w:t>
            </w:r>
            <w:proofErr w:type="spellEnd"/>
            <w:r w:rsidRPr="005970A0">
              <w:t xml:space="preserve"> data is compiled and published quarterly by the ABS, and is generally made available five to six months after the end of each reference quarter. Every year, the 30 June </w:t>
            </w:r>
            <w:proofErr w:type="spellStart"/>
            <w:r w:rsidRPr="005970A0">
              <w:t>ERP</w:t>
            </w:r>
            <w:proofErr w:type="spellEnd"/>
            <w:r w:rsidRPr="005970A0">
              <w:t xml:space="preserve"> is further disaggregated by sex and single year of age, and is made available five to six months after end of the reference quarter.</w:t>
            </w:r>
          </w:p>
          <w:p w:rsidR="00FC6539" w:rsidRPr="005970A0" w:rsidRDefault="00FC6539" w:rsidP="00327525">
            <w:pPr>
              <w:pStyle w:val="DQITableText"/>
              <w:keepNext w:val="0"/>
            </w:pPr>
            <w:r w:rsidRPr="005970A0">
              <w:t xml:space="preserve">Final estimates are made available every 5 years after a census and revisions are made to the previous </w:t>
            </w:r>
            <w:proofErr w:type="spellStart"/>
            <w:r w:rsidRPr="005970A0">
              <w:t>intercensal</w:t>
            </w:r>
            <w:proofErr w:type="spellEnd"/>
            <w:r w:rsidRPr="005970A0">
              <w:t xml:space="preserve"> period. </w:t>
            </w:r>
            <w:proofErr w:type="spellStart"/>
            <w:r w:rsidRPr="005970A0">
              <w:t>ERP</w:t>
            </w:r>
            <w:proofErr w:type="spellEnd"/>
            <w:r w:rsidRPr="005970A0">
              <w:t xml:space="preserve"> data are not changed once finalised. Releasing preliminary, revised and final </w:t>
            </w:r>
            <w:proofErr w:type="spellStart"/>
            <w:r w:rsidRPr="005970A0">
              <w:t>ERP</w:t>
            </w:r>
            <w:proofErr w:type="spellEnd"/>
            <w:r w:rsidRPr="005970A0">
              <w:t xml:space="preserve"> involves a balance between timeliness and accuracy.</w:t>
            </w:r>
          </w:p>
          <w:p w:rsidR="00E340A5" w:rsidRPr="005970A0" w:rsidRDefault="00FC6539" w:rsidP="00327525">
            <w:pPr>
              <w:pStyle w:val="DQITableText"/>
              <w:keepNext w:val="0"/>
            </w:pPr>
            <w:r w:rsidRPr="005970A0">
              <w:t>ABS Indigenous population estimates and projections are compiled and published once in each five year period; typically three years following the most recent census.</w:t>
            </w:r>
          </w:p>
        </w:tc>
      </w:tr>
      <w:tr w:rsidR="00E340A5" w:rsidRPr="005970A0" w:rsidTr="009D6827">
        <w:tc>
          <w:tcPr>
            <w:tcW w:w="887" w:type="pct"/>
          </w:tcPr>
          <w:p w:rsidR="00E340A5" w:rsidRPr="005970A0" w:rsidRDefault="00E340A5" w:rsidP="003E592A">
            <w:pPr>
              <w:pStyle w:val="DQIRowHeadings"/>
            </w:pPr>
            <w:r w:rsidRPr="005970A0">
              <w:lastRenderedPageBreak/>
              <w:t>Accuracy</w:t>
            </w:r>
          </w:p>
        </w:tc>
        <w:tc>
          <w:tcPr>
            <w:tcW w:w="4113" w:type="pct"/>
            <w:gridSpan w:val="2"/>
          </w:tcPr>
          <w:p w:rsidR="00FC6539" w:rsidRPr="003E0195" w:rsidRDefault="00FC6539" w:rsidP="00FC6539">
            <w:pPr>
              <w:pStyle w:val="DQITableText"/>
              <w:rPr>
                <w:u w:val="single"/>
              </w:rPr>
            </w:pPr>
            <w:r w:rsidRPr="003E0195">
              <w:rPr>
                <w:u w:val="single"/>
              </w:rPr>
              <w:t>General population estimates (</w:t>
            </w:r>
            <w:proofErr w:type="spellStart"/>
            <w:r w:rsidRPr="003E0195">
              <w:rPr>
                <w:u w:val="single"/>
              </w:rPr>
              <w:t>ERP</w:t>
            </w:r>
            <w:proofErr w:type="spellEnd"/>
            <w:r w:rsidRPr="003E0195">
              <w:rPr>
                <w:u w:val="single"/>
              </w:rPr>
              <w:t>):</w:t>
            </w:r>
          </w:p>
          <w:p w:rsidR="00FC6539" w:rsidRPr="005970A0" w:rsidRDefault="00FC6539" w:rsidP="00FC6539">
            <w:pPr>
              <w:pStyle w:val="DQITableText"/>
            </w:pPr>
            <w:r w:rsidRPr="005970A0">
              <w:t xml:space="preserve">All </w:t>
            </w:r>
            <w:proofErr w:type="spellStart"/>
            <w:r w:rsidRPr="005970A0">
              <w:t>ERP</w:t>
            </w:r>
            <w:proofErr w:type="spellEnd"/>
            <w:r w:rsidRPr="005970A0">
              <w:t xml:space="preserve"> data sources are subject to non-sampling error. Non-sampling error can arise from inaccuracies in collecting, recording and processing the data. The ABS does not have control over any non-sampling error associated with births, deaths and migration data (see institutional environment). For more information see the Demography Working Paper 1998/2 - Quarterly birth and death estimates, 1998 (cat. no. 3114.0) and Population Estimates: Concepts, Sources and Methods, 2009 (cat. no. 3228.0.55.001).</w:t>
            </w:r>
          </w:p>
          <w:p w:rsidR="00FC6539" w:rsidRPr="005970A0" w:rsidRDefault="00FC6539" w:rsidP="00FC6539">
            <w:pPr>
              <w:pStyle w:val="DQITableText"/>
            </w:pPr>
            <w:r w:rsidRPr="005970A0">
              <w:t>After each Census the ABS uses the Census population count to update the original series of published quarterly population estimates since the previous Census. For example, 2011 Census results were used to update quarterly population estimates between the 2006 and 2011 Census. For more information on rebasing see the feature article in the December quarter 2011 issue of Australian Demographic Statistics (cat. no. 3101.0).</w:t>
            </w:r>
          </w:p>
          <w:p w:rsidR="00FC6539" w:rsidRPr="003E0195" w:rsidRDefault="00FC6539" w:rsidP="00FC6539">
            <w:pPr>
              <w:pStyle w:val="DQITableText"/>
              <w:rPr>
                <w:u w:val="single"/>
              </w:rPr>
            </w:pPr>
            <w:r>
              <w:rPr>
                <w:u w:val="single"/>
              </w:rPr>
              <w:t xml:space="preserve">Aboriginal and Torres Strait Islander </w:t>
            </w:r>
            <w:r w:rsidRPr="003E0195">
              <w:rPr>
                <w:u w:val="single"/>
              </w:rPr>
              <w:t>population estimates:</w:t>
            </w:r>
          </w:p>
          <w:p w:rsidR="00FC6539" w:rsidRPr="005970A0" w:rsidRDefault="00FC6539" w:rsidP="00FC6539">
            <w:pPr>
              <w:pStyle w:val="DQITableText"/>
            </w:pPr>
            <w:r w:rsidRPr="005970A0">
              <w:t xml:space="preserve">The estimates of the </w:t>
            </w:r>
            <w:r w:rsidRPr="00F7348D">
              <w:t>Aboriginal and Torres Strait Islander</w:t>
            </w:r>
            <w:r>
              <w:t xml:space="preserve"> </w:t>
            </w:r>
            <w:r w:rsidRPr="005970A0">
              <w:t xml:space="preserve">population are based on results of the </w:t>
            </w:r>
            <w:r w:rsidRPr="00F7348D">
              <w:t>2011</w:t>
            </w:r>
            <w:r w:rsidRPr="005970A0">
              <w:t xml:space="preserve"> Census of Population and Housing, adjusted for net undercount as measured by the Post Enumeration Survey (</w:t>
            </w:r>
            <w:proofErr w:type="spellStart"/>
            <w:r w:rsidRPr="005970A0">
              <w:t>PES</w:t>
            </w:r>
            <w:proofErr w:type="spellEnd"/>
            <w:r w:rsidRPr="005970A0">
              <w:t xml:space="preserve">). </w:t>
            </w:r>
          </w:p>
          <w:p w:rsidR="00FC6539" w:rsidRDefault="00FC6539" w:rsidP="00FC6539">
            <w:pPr>
              <w:pStyle w:val="DQITableText"/>
            </w:pPr>
            <w:r>
              <w:t xml:space="preserve">The ABS conducts the </w:t>
            </w:r>
            <w:proofErr w:type="spellStart"/>
            <w:r>
              <w:t>PES</w:t>
            </w:r>
            <w:proofErr w:type="spellEnd"/>
            <w:r>
              <w:t xml:space="preserve"> shortly after the Census to determine how many people were missed in the Census and how many were counted more than once. For 2011, the net undercount of the Aboriginal and Torres Strait Islander population was 114 200 persons.</w:t>
            </w:r>
          </w:p>
          <w:p w:rsidR="00E340A5" w:rsidRPr="005970A0" w:rsidRDefault="00FC6539" w:rsidP="00FC6539">
            <w:pPr>
              <w:pStyle w:val="DQITableText"/>
            </w:pPr>
            <w:r>
              <w:t xml:space="preserve">The extent of </w:t>
            </w:r>
            <w:proofErr w:type="spellStart"/>
            <w:r>
              <w:t>undercoverage</w:t>
            </w:r>
            <w:proofErr w:type="spellEnd"/>
            <w:r>
              <w:t xml:space="preserve"> of Aboriginal and Torres Strait Islander Australians in the 2011 Census and the relatively small sample size of the </w:t>
            </w:r>
            <w:proofErr w:type="spellStart"/>
            <w:r>
              <w:t>PES</w:t>
            </w:r>
            <w:proofErr w:type="spellEnd"/>
            <w:r>
              <w:t xml:space="preserve"> to adjust for that </w:t>
            </w:r>
            <w:proofErr w:type="spellStart"/>
            <w:r>
              <w:t>undercoverage</w:t>
            </w:r>
            <w:proofErr w:type="spellEnd"/>
            <w:r>
              <w:t xml:space="preserve"> means the estimates should be interpreted with caution. For more information see </w:t>
            </w:r>
            <w:r w:rsidRPr="00F7348D">
              <w:rPr>
                <w:i/>
              </w:rPr>
              <w:t>Technical Note: Estimated Aboriginal and Torres Strait Islander Australian Resident Population – Method of Calculation, Jun 2011</w:t>
            </w:r>
            <w:r>
              <w:t xml:space="preserve"> (cat. no. 3238.0.55.001).</w:t>
            </w:r>
          </w:p>
        </w:tc>
      </w:tr>
      <w:tr w:rsidR="00E340A5" w:rsidRPr="005970A0" w:rsidTr="009D6827">
        <w:trPr>
          <w:trHeight w:val="87"/>
        </w:trPr>
        <w:tc>
          <w:tcPr>
            <w:tcW w:w="887" w:type="pct"/>
          </w:tcPr>
          <w:p w:rsidR="00E340A5" w:rsidRPr="005970A0" w:rsidRDefault="00E340A5" w:rsidP="003E592A">
            <w:pPr>
              <w:pStyle w:val="DQIRowHeadings"/>
              <w:keepNext w:val="0"/>
            </w:pPr>
            <w:r w:rsidRPr="005970A0">
              <w:t>Coherence</w:t>
            </w:r>
          </w:p>
        </w:tc>
        <w:tc>
          <w:tcPr>
            <w:tcW w:w="4113" w:type="pct"/>
            <w:gridSpan w:val="2"/>
          </w:tcPr>
          <w:p w:rsidR="00FC6539" w:rsidRPr="003E0195" w:rsidRDefault="00FC6539" w:rsidP="00FC6539">
            <w:pPr>
              <w:pStyle w:val="DQITableText"/>
              <w:rPr>
                <w:u w:val="single"/>
              </w:rPr>
            </w:pPr>
            <w:r w:rsidRPr="003E0195">
              <w:rPr>
                <w:u w:val="single"/>
              </w:rPr>
              <w:t>General population estimates (</w:t>
            </w:r>
            <w:proofErr w:type="spellStart"/>
            <w:r w:rsidRPr="003E0195">
              <w:rPr>
                <w:u w:val="single"/>
              </w:rPr>
              <w:t>ERP</w:t>
            </w:r>
            <w:proofErr w:type="spellEnd"/>
            <w:r w:rsidRPr="003E0195">
              <w:rPr>
                <w:u w:val="single"/>
              </w:rPr>
              <w:t>):</w:t>
            </w:r>
          </w:p>
          <w:p w:rsidR="00FC6539" w:rsidRPr="005970A0" w:rsidRDefault="00FC6539" w:rsidP="00FC6539">
            <w:pPr>
              <w:pStyle w:val="DQITableText"/>
            </w:pPr>
            <w:proofErr w:type="spellStart"/>
            <w:r w:rsidRPr="005970A0">
              <w:t>ERP</w:t>
            </w:r>
            <w:proofErr w:type="spellEnd"/>
            <w:r w:rsidRPr="005970A0">
              <w:t xml:space="preserve"> is derived from usual residence census counts, to which is added the estimated net census undercount and Australian residents temporarily overseas at the time of the census (overseas visitors in Australia are excluded from this calculation). </w:t>
            </w:r>
          </w:p>
          <w:p w:rsidR="00FC6539" w:rsidRPr="00F7348D" w:rsidRDefault="00FC6539" w:rsidP="00FC6539">
            <w:pPr>
              <w:pStyle w:val="DQITableText"/>
            </w:pPr>
            <w:r w:rsidRPr="005970A0">
              <w:t>An improved method for calculating Net Overseas Migration (NOM) was applied from September quarter 2006 onwards. For further information see Information Paper: Im</w:t>
            </w:r>
            <w:r w:rsidRPr="00F7348D">
              <w:t>proving Net Overseas Migration Estimation, Mar 2010 (cat. no. 3412.0.55.001).</w:t>
            </w:r>
          </w:p>
          <w:p w:rsidR="00FC6539" w:rsidRPr="00F7348D" w:rsidRDefault="00FC6539" w:rsidP="00FC6539">
            <w:pPr>
              <w:pStyle w:val="DQITableText"/>
              <w:rPr>
                <w:u w:val="single"/>
              </w:rPr>
            </w:pPr>
            <w:r w:rsidRPr="00F7348D">
              <w:rPr>
                <w:u w:val="single"/>
              </w:rPr>
              <w:t>Aboriginal and Torres Strait Islander population estimates:</w:t>
            </w:r>
          </w:p>
          <w:p w:rsidR="00E340A5" w:rsidRPr="005970A0" w:rsidRDefault="00FC6539" w:rsidP="00020080">
            <w:pPr>
              <w:pStyle w:val="DQITableText"/>
              <w:keepNext w:val="0"/>
              <w:spacing w:before="100"/>
            </w:pPr>
            <w:r w:rsidRPr="00F7348D">
              <w:t xml:space="preserve">The estimates and projections presented in the source publication are not consistent with, estimates and projections based on 2006 or other Censuses. Reasons include; Census collection methodologies have changed over time; there has been unexplained growth in the Aboriginal and Torres Strait Islander population between Censuses; and the methodology and scope of the </w:t>
            </w:r>
            <w:proofErr w:type="spellStart"/>
            <w:r w:rsidRPr="00F7348D">
              <w:t>PES</w:t>
            </w:r>
            <w:proofErr w:type="spellEnd"/>
            <w:r w:rsidRPr="00F7348D">
              <w:t xml:space="preserve"> has changed over time. Comparison of data across issues of this publication is not advised.</w:t>
            </w:r>
          </w:p>
        </w:tc>
      </w:tr>
      <w:tr w:rsidR="00E340A5" w:rsidRPr="005970A0" w:rsidTr="009D6827">
        <w:tc>
          <w:tcPr>
            <w:tcW w:w="887" w:type="pct"/>
          </w:tcPr>
          <w:p w:rsidR="00E340A5" w:rsidRPr="005970A0" w:rsidRDefault="00E340A5" w:rsidP="003E592A">
            <w:pPr>
              <w:pStyle w:val="DQIRowHeadings"/>
              <w:keepNext w:val="0"/>
            </w:pPr>
            <w:r w:rsidRPr="005970A0">
              <w:t>Accessibility</w:t>
            </w:r>
          </w:p>
        </w:tc>
        <w:tc>
          <w:tcPr>
            <w:tcW w:w="4113" w:type="pct"/>
            <w:gridSpan w:val="2"/>
          </w:tcPr>
          <w:p w:rsidR="00E340A5" w:rsidRPr="005970A0" w:rsidRDefault="00910800" w:rsidP="00020080">
            <w:pPr>
              <w:pStyle w:val="DQITableText"/>
              <w:keepNext w:val="0"/>
              <w:spacing w:before="100"/>
              <w:rPr>
                <w:u w:val="single"/>
              </w:rPr>
            </w:pPr>
            <w:proofErr w:type="spellStart"/>
            <w:r w:rsidRPr="005970A0">
              <w:t>ERP</w:t>
            </w:r>
            <w:proofErr w:type="spellEnd"/>
            <w:r w:rsidRPr="005970A0">
              <w:t xml:space="preserve"> and </w:t>
            </w:r>
            <w:r>
              <w:t xml:space="preserve">Aboriginal and Torres Strait Islander </w:t>
            </w:r>
            <w:r w:rsidRPr="005970A0">
              <w:t xml:space="preserve">population estimates are available in a variety of formats on the ABS website under the 3101.0, 3201.0 and 3238.0 product families and include time series spread sheets on population change, components of change. If the information is not available as a standard product, then ABS Consultancy Services can help with customised services. The National Information and Referral Service at the ABS can be contacted with inquiries about specific data requirements on 1300 135 070 or email </w:t>
            </w:r>
            <w:proofErr w:type="spellStart"/>
            <w:r w:rsidRPr="005970A0">
              <w:t>client.services@abs.gov.au</w:t>
            </w:r>
            <w:proofErr w:type="spellEnd"/>
          </w:p>
        </w:tc>
      </w:tr>
      <w:tr w:rsidR="00E340A5" w:rsidRPr="005970A0" w:rsidTr="009D6827">
        <w:tc>
          <w:tcPr>
            <w:tcW w:w="887" w:type="pct"/>
          </w:tcPr>
          <w:p w:rsidR="00E340A5" w:rsidRPr="005970A0" w:rsidRDefault="00E340A5" w:rsidP="009D6827">
            <w:pPr>
              <w:pStyle w:val="DQIRowHeadings"/>
              <w:keepNext w:val="0"/>
            </w:pPr>
            <w:r w:rsidRPr="005970A0">
              <w:t>Interpretability</w:t>
            </w:r>
          </w:p>
          <w:p w:rsidR="00E340A5" w:rsidRPr="005970A0" w:rsidRDefault="00E340A5" w:rsidP="009D6827">
            <w:pPr>
              <w:pStyle w:val="DQIRowHeadings"/>
              <w:keepNext w:val="0"/>
            </w:pPr>
          </w:p>
        </w:tc>
        <w:tc>
          <w:tcPr>
            <w:tcW w:w="4113" w:type="pct"/>
            <w:gridSpan w:val="2"/>
          </w:tcPr>
          <w:p w:rsidR="00910800" w:rsidRPr="005970A0" w:rsidRDefault="00910800" w:rsidP="00020080">
            <w:pPr>
              <w:pStyle w:val="DQITableText"/>
              <w:keepNext w:val="0"/>
              <w:spacing w:before="100"/>
            </w:pPr>
            <w:proofErr w:type="spellStart"/>
            <w:r w:rsidRPr="005970A0">
              <w:t>ERP</w:t>
            </w:r>
            <w:proofErr w:type="spellEnd"/>
            <w:r w:rsidRPr="005970A0">
              <w:t xml:space="preserve"> is generally easy to interpret as the official measure of Australia's population (by state and territory) on a place of usual residence basis. However, there are still some common misconceptions. For example, a population estimate uses the term 'estimate' in a different sense than is commonly used. Generally the word estimate is used to describe a guess, or approximation. Demographers mean that they apply the demographic balancing equation by adding births, subtracting deaths and adding the net of overseas and interstate migration. Each of the components of </w:t>
            </w:r>
            <w:proofErr w:type="spellStart"/>
            <w:r w:rsidRPr="005970A0">
              <w:t>ERP</w:t>
            </w:r>
            <w:proofErr w:type="spellEnd"/>
            <w:r w:rsidRPr="005970A0">
              <w:t xml:space="preserve"> is subject to error, but </w:t>
            </w:r>
            <w:proofErr w:type="spellStart"/>
            <w:r w:rsidRPr="005970A0">
              <w:t>ERP</w:t>
            </w:r>
            <w:proofErr w:type="spellEnd"/>
            <w:r w:rsidRPr="005970A0">
              <w:t xml:space="preserve"> itself is not in any way a guess. It is what the population would be if the components are measured well.</w:t>
            </w:r>
          </w:p>
          <w:p w:rsidR="00E340A5" w:rsidRPr="005970A0" w:rsidRDefault="00910800" w:rsidP="00020080">
            <w:pPr>
              <w:pStyle w:val="DQITableText"/>
              <w:keepNext w:val="0"/>
              <w:spacing w:before="100"/>
            </w:pPr>
            <w:r w:rsidRPr="005970A0">
              <w:t>The source publications contain notes on the assumptions and methods used to produce the population estimates. It also contains Explanatory Notes and Glossary that provide information on the data sources, terminology, classifications and other technical aspects associated with these statistics.</w:t>
            </w:r>
          </w:p>
        </w:tc>
      </w:tr>
      <w:tr w:rsidR="00E340A5" w:rsidRPr="005970A0" w:rsidTr="009D6827">
        <w:tc>
          <w:tcPr>
            <w:tcW w:w="5000" w:type="pct"/>
            <w:gridSpan w:val="3"/>
            <w:shd w:val="clear" w:color="auto" w:fill="auto"/>
          </w:tcPr>
          <w:p w:rsidR="00E340A5" w:rsidRPr="005970A0" w:rsidRDefault="00E340A5" w:rsidP="009D6827">
            <w:pPr>
              <w:pStyle w:val="DQIMainRowHeadings"/>
            </w:pPr>
            <w:r w:rsidRPr="005970A0">
              <w:lastRenderedPageBreak/>
              <w:t>Data Gaps/Issues Analysis</w:t>
            </w:r>
          </w:p>
        </w:tc>
      </w:tr>
      <w:tr w:rsidR="00E340A5" w:rsidRPr="005970A0" w:rsidTr="009D6827">
        <w:tc>
          <w:tcPr>
            <w:tcW w:w="922" w:type="pct"/>
            <w:gridSpan w:val="2"/>
            <w:shd w:val="clear" w:color="auto" w:fill="auto"/>
          </w:tcPr>
          <w:p w:rsidR="00E340A5" w:rsidRPr="005970A0" w:rsidRDefault="00E340A5" w:rsidP="009D6827">
            <w:pPr>
              <w:pStyle w:val="DQIRowHeadings"/>
            </w:pPr>
            <w:r w:rsidRPr="005970A0">
              <w:t>Key data gaps/ issues</w:t>
            </w:r>
          </w:p>
        </w:tc>
        <w:tc>
          <w:tcPr>
            <w:tcW w:w="4078" w:type="pct"/>
            <w:shd w:val="clear" w:color="auto" w:fill="auto"/>
          </w:tcPr>
          <w:p w:rsidR="00910800" w:rsidRPr="005970A0" w:rsidRDefault="00020080" w:rsidP="00910800">
            <w:pPr>
              <w:pStyle w:val="DQITableText"/>
              <w:rPr>
                <w:i/>
              </w:rPr>
            </w:pPr>
            <w:r>
              <w:t>..</w:t>
            </w:r>
          </w:p>
          <w:p w:rsidR="00E340A5" w:rsidRPr="005970A0" w:rsidRDefault="00E340A5" w:rsidP="00A121DC">
            <w:pPr>
              <w:pStyle w:val="DQITableBullet"/>
              <w:numPr>
                <w:ilvl w:val="0"/>
                <w:numId w:val="0"/>
              </w:numPr>
              <w:ind w:left="170"/>
              <w:rPr>
                <w:i/>
              </w:rPr>
            </w:pPr>
          </w:p>
        </w:tc>
      </w:tr>
    </w:tbl>
    <w:p w:rsidR="00DF1B3A" w:rsidRDefault="00DF1B3A" w:rsidP="00DF1B3A">
      <w:pPr>
        <w:pStyle w:val="BodyText"/>
      </w:pPr>
    </w:p>
    <w:p w:rsidR="00004672" w:rsidRDefault="00E70A3A" w:rsidP="00004672">
      <w:pPr>
        <w:pStyle w:val="Heading2"/>
      </w:pPr>
      <w:bookmarkStart w:id="32" w:name="_Toc436148762"/>
      <w:r>
        <w:lastRenderedPageBreak/>
        <w:t>Performance indicators</w:t>
      </w:r>
      <w:bookmarkEnd w:id="32"/>
    </w:p>
    <w:p w:rsidR="00B11361" w:rsidRPr="009D2BB2" w:rsidRDefault="00B11361" w:rsidP="00E70A3A">
      <w:pPr>
        <w:pStyle w:val="Heading3"/>
      </w:pPr>
      <w:bookmarkStart w:id="33" w:name="VETParticipationByTargetGroup"/>
      <w:bookmarkStart w:id="34" w:name="_Toc436148763"/>
      <w:bookmarkEnd w:id="33"/>
      <w:r>
        <w:t xml:space="preserve">VET participation by target </w:t>
      </w:r>
      <w:r w:rsidRPr="00E70A3A">
        <w:t>group</w:t>
      </w:r>
      <w:bookmarkEnd w:id="22"/>
      <w:bookmarkEnd w:id="23"/>
      <w:bookmarkEnd w:id="34"/>
    </w:p>
    <w:p w:rsidR="00B11361" w:rsidRPr="005970A0" w:rsidRDefault="00B11361" w:rsidP="00B11361">
      <w:pPr>
        <w:pStyle w:val="Box"/>
      </w:pPr>
      <w:r w:rsidRPr="005970A0">
        <w:t xml:space="preserve">Data quality information for this indicator has been drafted by the </w:t>
      </w:r>
      <w:proofErr w:type="spellStart"/>
      <w:r w:rsidR="00E22A04">
        <w:t>NCVER</w:t>
      </w:r>
      <w:proofErr w:type="spellEnd"/>
      <w:r w:rsidRPr="005970A0">
        <w:t xml:space="preserve"> and the Secretariat, in consultation with the VET Working Group.</w:t>
      </w:r>
    </w:p>
    <w:tbl>
      <w:tblPr>
        <w:tblW w:w="5000" w:type="pct"/>
        <w:tblCellMar>
          <w:left w:w="0" w:type="dxa"/>
          <w:right w:w="0" w:type="dxa"/>
        </w:tblCellMar>
        <w:tblLook w:val="0000" w:firstRow="0" w:lastRow="0" w:firstColumn="0" w:lastColumn="0" w:noHBand="0" w:noVBand="0"/>
      </w:tblPr>
      <w:tblGrid>
        <w:gridCol w:w="1559"/>
        <w:gridCol w:w="7230"/>
      </w:tblGrid>
      <w:tr w:rsidR="00B11361" w:rsidRPr="005970A0" w:rsidTr="00B11361">
        <w:tc>
          <w:tcPr>
            <w:tcW w:w="5000" w:type="pct"/>
            <w:gridSpan w:val="2"/>
          </w:tcPr>
          <w:p w:rsidR="00B11361" w:rsidRPr="005970A0" w:rsidRDefault="00B11361" w:rsidP="00B11361">
            <w:pPr>
              <w:pStyle w:val="DQIMainRowHeadings"/>
            </w:pPr>
            <w:r w:rsidRPr="005970A0">
              <w:t>Indicator definition and description</w:t>
            </w:r>
            <w:r w:rsidRPr="005970A0">
              <w:rPr>
                <w:rFonts w:cs="Arial"/>
                <w:sz w:val="22"/>
                <w:szCs w:val="22"/>
              </w:rPr>
              <w:t xml:space="preserve"> </w:t>
            </w:r>
          </w:p>
        </w:tc>
      </w:tr>
      <w:tr w:rsidR="00B11361" w:rsidRPr="005970A0" w:rsidTr="00DF1B3A">
        <w:tc>
          <w:tcPr>
            <w:tcW w:w="887" w:type="pct"/>
          </w:tcPr>
          <w:p w:rsidR="00B11361" w:rsidRPr="005970A0" w:rsidRDefault="00B11361" w:rsidP="00B11361">
            <w:pPr>
              <w:pStyle w:val="DQIRowHeadings"/>
              <w:rPr>
                <w:b w:val="0"/>
              </w:rPr>
            </w:pPr>
            <w:r w:rsidRPr="005970A0">
              <w:t>Element</w:t>
            </w:r>
          </w:p>
        </w:tc>
        <w:tc>
          <w:tcPr>
            <w:tcW w:w="4113" w:type="pct"/>
          </w:tcPr>
          <w:p w:rsidR="00B11361" w:rsidRPr="005970A0" w:rsidRDefault="00E70A3A" w:rsidP="003E0195">
            <w:pPr>
              <w:pStyle w:val="DQITableText"/>
            </w:pPr>
            <w:r>
              <w:t>Output/equity</w:t>
            </w:r>
          </w:p>
        </w:tc>
      </w:tr>
      <w:tr w:rsidR="00B11361" w:rsidRPr="005970A0" w:rsidTr="00DF1B3A">
        <w:tc>
          <w:tcPr>
            <w:tcW w:w="887" w:type="pct"/>
          </w:tcPr>
          <w:p w:rsidR="00B11361" w:rsidRPr="005970A0" w:rsidRDefault="00B11361" w:rsidP="003E0195">
            <w:pPr>
              <w:pStyle w:val="DQIRowHeadings"/>
            </w:pPr>
            <w:r w:rsidRPr="005970A0">
              <w:t>Indicator</w:t>
            </w:r>
          </w:p>
        </w:tc>
        <w:tc>
          <w:tcPr>
            <w:tcW w:w="4113" w:type="pct"/>
          </w:tcPr>
          <w:p w:rsidR="00B11361" w:rsidRPr="005970A0" w:rsidRDefault="00B11361" w:rsidP="003E0195">
            <w:pPr>
              <w:pStyle w:val="DQITableText"/>
            </w:pPr>
            <w:r w:rsidRPr="005970A0">
              <w:t>VET participation by target group</w:t>
            </w:r>
          </w:p>
        </w:tc>
      </w:tr>
      <w:tr w:rsidR="00B11361" w:rsidRPr="005970A0" w:rsidTr="00DF1B3A">
        <w:tc>
          <w:tcPr>
            <w:tcW w:w="887" w:type="pct"/>
          </w:tcPr>
          <w:p w:rsidR="00B11361" w:rsidRPr="005970A0" w:rsidRDefault="00B11361" w:rsidP="00327525">
            <w:pPr>
              <w:pStyle w:val="DQIRowHeadings"/>
            </w:pPr>
            <w:r w:rsidRPr="005970A0">
              <w:t>Measure (computation)</w:t>
            </w:r>
          </w:p>
        </w:tc>
        <w:tc>
          <w:tcPr>
            <w:tcW w:w="4113" w:type="pct"/>
          </w:tcPr>
          <w:p w:rsidR="00B11361" w:rsidRPr="005970A0" w:rsidRDefault="00B11361" w:rsidP="00327525">
            <w:pPr>
              <w:pStyle w:val="DQITableText"/>
              <w:rPr>
                <w:u w:val="single"/>
              </w:rPr>
            </w:pPr>
            <w:r w:rsidRPr="005970A0">
              <w:rPr>
                <w:u w:val="single"/>
              </w:rPr>
              <w:t>Definition</w:t>
            </w:r>
          </w:p>
          <w:p w:rsidR="00B11361" w:rsidRPr="005970A0" w:rsidRDefault="00B11361" w:rsidP="00327525">
            <w:pPr>
              <w:pStyle w:val="DQITableText"/>
            </w:pPr>
            <w:r w:rsidRPr="005970A0">
              <w:t>The number of government funded participants in the VET system who self</w:t>
            </w:r>
            <w:r w:rsidRPr="005970A0">
              <w:noBreakHyphen/>
              <w:t xml:space="preserve">identified that they are from a target group (i.e., </w:t>
            </w:r>
            <w:r w:rsidRPr="005970A0">
              <w:rPr>
                <w:rFonts w:cs="Arial"/>
              </w:rPr>
              <w:t>Indigenous people, people from remote and very remote areas, people with disability, and people speaking a language other than English [</w:t>
            </w:r>
            <w:proofErr w:type="spellStart"/>
            <w:r w:rsidRPr="005970A0">
              <w:rPr>
                <w:rFonts w:cs="Arial"/>
              </w:rPr>
              <w:t>LOTE</w:t>
            </w:r>
            <w:proofErr w:type="spellEnd"/>
            <w:r w:rsidRPr="005970A0">
              <w:rPr>
                <w:rFonts w:cs="Arial"/>
              </w:rPr>
              <w:t>] at home)</w:t>
            </w:r>
            <w:r w:rsidRPr="005970A0">
              <w:t>, as a proportion of the total number of people in the population in that group.</w:t>
            </w:r>
          </w:p>
          <w:p w:rsidR="00B11361" w:rsidRPr="005970A0" w:rsidRDefault="00B11361" w:rsidP="00327525">
            <w:pPr>
              <w:pStyle w:val="DQITableText"/>
            </w:pPr>
            <w:r w:rsidRPr="005970A0">
              <w:t xml:space="preserve">Due to certain data not being available to calculate rates for </w:t>
            </w:r>
            <w:r w:rsidRPr="005970A0">
              <w:rPr>
                <w:rFonts w:cs="Arial"/>
              </w:rPr>
              <w:t xml:space="preserve">people with disability and people speaking a </w:t>
            </w:r>
            <w:proofErr w:type="spellStart"/>
            <w:r w:rsidRPr="005970A0">
              <w:rPr>
                <w:rFonts w:cs="Arial"/>
              </w:rPr>
              <w:t>LOTE</w:t>
            </w:r>
            <w:proofErr w:type="spellEnd"/>
            <w:r w:rsidRPr="005970A0">
              <w:rPr>
                <w:rFonts w:cs="Arial"/>
              </w:rPr>
              <w:t xml:space="preserve"> at home, proportions of government funded VET students are reported as proxy for these two groups.</w:t>
            </w:r>
          </w:p>
          <w:p w:rsidR="00B11361" w:rsidRPr="003E0195" w:rsidRDefault="00B11361" w:rsidP="00327525">
            <w:pPr>
              <w:pStyle w:val="DQITableText"/>
              <w:rPr>
                <w:i/>
              </w:rPr>
            </w:pPr>
            <w:r w:rsidRPr="003E0195">
              <w:rPr>
                <w:rFonts w:cs="Arial"/>
                <w:i/>
              </w:rPr>
              <w:t>For Indigenous people and people from remote and very remote areas:</w:t>
            </w:r>
          </w:p>
          <w:p w:rsidR="00B11361" w:rsidRPr="005970A0" w:rsidRDefault="00B11361" w:rsidP="00327525">
            <w:pPr>
              <w:pStyle w:val="DQITableText"/>
              <w:rPr>
                <w:u w:val="single"/>
              </w:rPr>
            </w:pPr>
            <w:r w:rsidRPr="005970A0">
              <w:rPr>
                <w:u w:val="single"/>
              </w:rPr>
              <w:t>Numerator/s</w:t>
            </w:r>
          </w:p>
          <w:p w:rsidR="00B11361" w:rsidRPr="005970A0" w:rsidRDefault="00B11361" w:rsidP="00327525">
            <w:pPr>
              <w:pStyle w:val="DQITableText"/>
              <w:rPr>
                <w:rFonts w:cs="Arial"/>
              </w:rPr>
            </w:pPr>
            <w:r w:rsidRPr="005970A0">
              <w:t>Government funded VET students who have self-identified</w:t>
            </w:r>
            <w:r w:rsidRPr="005970A0">
              <w:rPr>
                <w:rFonts w:cs="Arial"/>
              </w:rPr>
              <w:t xml:space="preserve"> on their VET enrolment form </w:t>
            </w:r>
            <w:r w:rsidRPr="005970A0">
              <w:t>that they are from at least one of the target groups below:</w:t>
            </w:r>
          </w:p>
          <w:p w:rsidR="00B11361" w:rsidRPr="005970A0" w:rsidRDefault="00B11361" w:rsidP="00327525">
            <w:pPr>
              <w:pStyle w:val="DQITableBullet"/>
            </w:pPr>
            <w:r w:rsidRPr="005970A0">
              <w:t xml:space="preserve">(a) </w:t>
            </w:r>
            <w:r w:rsidRPr="00B11361">
              <w:t>Indigenous</w:t>
            </w:r>
            <w:r w:rsidRPr="005970A0">
              <w:t xml:space="preserve"> persons aged 15</w:t>
            </w:r>
            <w:r w:rsidRPr="005970A0">
              <w:noBreakHyphen/>
              <w:t>64 years</w:t>
            </w:r>
          </w:p>
          <w:p w:rsidR="00B11361" w:rsidRPr="005970A0" w:rsidRDefault="00B11361" w:rsidP="00327525">
            <w:pPr>
              <w:pStyle w:val="DQITableBullet"/>
            </w:pPr>
            <w:r w:rsidRPr="005970A0">
              <w:t xml:space="preserve">(b) from remote </w:t>
            </w:r>
            <w:r w:rsidRPr="00B11361">
              <w:t>and</w:t>
            </w:r>
            <w:r w:rsidRPr="005970A0">
              <w:t xml:space="preserve"> very </w:t>
            </w:r>
            <w:r w:rsidRPr="00B11361">
              <w:t>remote</w:t>
            </w:r>
            <w:r w:rsidRPr="005970A0">
              <w:t xml:space="preserve"> areas</w:t>
            </w:r>
          </w:p>
          <w:p w:rsidR="00B11361" w:rsidRPr="005970A0" w:rsidRDefault="00B11361" w:rsidP="00327525">
            <w:pPr>
              <w:pStyle w:val="DQITableText"/>
              <w:rPr>
                <w:u w:val="single"/>
              </w:rPr>
            </w:pPr>
            <w:r w:rsidRPr="005970A0">
              <w:rPr>
                <w:u w:val="single"/>
              </w:rPr>
              <w:t>Denominator/s</w:t>
            </w:r>
          </w:p>
          <w:p w:rsidR="00B11361" w:rsidRPr="005970A0" w:rsidRDefault="00B11361" w:rsidP="00327525">
            <w:pPr>
              <w:pStyle w:val="DQITableText"/>
            </w:pPr>
            <w:r w:rsidRPr="005970A0">
              <w:t>The number of persons in the Australian population from each of the target groups below:</w:t>
            </w:r>
          </w:p>
          <w:p w:rsidR="00B11361" w:rsidRPr="005970A0" w:rsidRDefault="00B11361" w:rsidP="00327525">
            <w:pPr>
              <w:pStyle w:val="DQITableBullet"/>
            </w:pPr>
            <w:r w:rsidRPr="005970A0">
              <w:t>(</w:t>
            </w:r>
            <w:proofErr w:type="spellStart"/>
            <w:r w:rsidRPr="005970A0">
              <w:t>a1</w:t>
            </w:r>
            <w:proofErr w:type="spellEnd"/>
            <w:r w:rsidRPr="005970A0">
              <w:t>) Indigenous persons aged 15</w:t>
            </w:r>
            <w:r w:rsidRPr="005970A0">
              <w:noBreakHyphen/>
              <w:t>64 years</w:t>
            </w:r>
          </w:p>
          <w:p w:rsidR="00B11361" w:rsidRPr="005970A0" w:rsidRDefault="00B11361" w:rsidP="00327525">
            <w:pPr>
              <w:pStyle w:val="DQITableBullet"/>
            </w:pPr>
            <w:r w:rsidRPr="005970A0">
              <w:t>(</w:t>
            </w:r>
            <w:proofErr w:type="spellStart"/>
            <w:r w:rsidRPr="005970A0">
              <w:t>b1</w:t>
            </w:r>
            <w:proofErr w:type="spellEnd"/>
            <w:r w:rsidRPr="005970A0">
              <w:t>) from remote and very remote areas</w:t>
            </w:r>
          </w:p>
          <w:p w:rsidR="00B11361" w:rsidRPr="005970A0" w:rsidRDefault="00B11361" w:rsidP="00327525">
            <w:pPr>
              <w:pStyle w:val="DQITableText"/>
              <w:rPr>
                <w:u w:val="single"/>
              </w:rPr>
            </w:pPr>
            <w:r w:rsidRPr="005970A0">
              <w:rPr>
                <w:u w:val="single"/>
              </w:rPr>
              <w:t>Computation/s:</w:t>
            </w:r>
          </w:p>
          <w:p w:rsidR="00B11361" w:rsidRPr="005970A0" w:rsidRDefault="00B11361" w:rsidP="00327525">
            <w:pPr>
              <w:pStyle w:val="DQITableText"/>
            </w:pPr>
            <w:r w:rsidRPr="005970A0">
              <w:t xml:space="preserve">Numerator a divided by denominator </w:t>
            </w:r>
            <w:proofErr w:type="spellStart"/>
            <w:r w:rsidRPr="005970A0">
              <w:t>a1</w:t>
            </w:r>
            <w:proofErr w:type="spellEnd"/>
            <w:r w:rsidRPr="005970A0">
              <w:t xml:space="preserve">, and separately, numerator b divided by denominator </w:t>
            </w:r>
            <w:proofErr w:type="spellStart"/>
            <w:r w:rsidRPr="005970A0">
              <w:t>b1</w:t>
            </w:r>
            <w:proofErr w:type="spellEnd"/>
            <w:r w:rsidRPr="005970A0">
              <w:t xml:space="preserve"> (above).</w:t>
            </w:r>
          </w:p>
          <w:p w:rsidR="00B11361" w:rsidRPr="005970A0" w:rsidRDefault="00B11361" w:rsidP="00327525">
            <w:pPr>
              <w:pStyle w:val="DQITableText"/>
            </w:pPr>
            <w:r w:rsidRPr="005970A0">
              <w:rPr>
                <w:rFonts w:cs="Arial"/>
              </w:rPr>
              <w:t>Participation rates are also derived for comparative purposes for all government funded students and non-Indigenous government funded students.</w:t>
            </w:r>
          </w:p>
          <w:p w:rsidR="00B11361" w:rsidRPr="003E0195" w:rsidRDefault="00B11361" w:rsidP="00327525">
            <w:pPr>
              <w:pStyle w:val="DQITableText"/>
              <w:rPr>
                <w:i/>
              </w:rPr>
            </w:pPr>
            <w:r w:rsidRPr="003E0195">
              <w:rPr>
                <w:rFonts w:cs="Arial"/>
                <w:i/>
              </w:rPr>
              <w:t xml:space="preserve">For people with disability and people speaking a </w:t>
            </w:r>
            <w:proofErr w:type="spellStart"/>
            <w:r w:rsidRPr="003E0195">
              <w:rPr>
                <w:rFonts w:cs="Arial"/>
                <w:i/>
              </w:rPr>
              <w:t>LOTE</w:t>
            </w:r>
            <w:proofErr w:type="spellEnd"/>
            <w:r w:rsidRPr="003E0195">
              <w:rPr>
                <w:rFonts w:cs="Arial"/>
                <w:i/>
              </w:rPr>
              <w:t xml:space="preserve"> at home:</w:t>
            </w:r>
          </w:p>
          <w:p w:rsidR="00B11361" w:rsidRPr="005970A0" w:rsidRDefault="00B11361" w:rsidP="00327525">
            <w:pPr>
              <w:pStyle w:val="DQITableText"/>
              <w:rPr>
                <w:u w:val="single"/>
              </w:rPr>
            </w:pPr>
            <w:r w:rsidRPr="005970A0">
              <w:rPr>
                <w:u w:val="single"/>
              </w:rPr>
              <w:t>Numerator/s</w:t>
            </w:r>
          </w:p>
          <w:p w:rsidR="00B11361" w:rsidRPr="009A1F4C" w:rsidRDefault="00B11361" w:rsidP="00327525">
            <w:pPr>
              <w:pStyle w:val="DQITableText"/>
              <w:rPr>
                <w:rFonts w:cs="Arial"/>
                <w:sz w:val="20"/>
              </w:rPr>
            </w:pPr>
            <w:r w:rsidRPr="009A1F4C">
              <w:rPr>
                <w:sz w:val="20"/>
              </w:rPr>
              <w:t>Government funded VET students who have self-identified</w:t>
            </w:r>
            <w:r w:rsidRPr="009A1F4C">
              <w:rPr>
                <w:rFonts w:cs="Arial"/>
                <w:sz w:val="20"/>
              </w:rPr>
              <w:t xml:space="preserve"> on their VET enrolment form </w:t>
            </w:r>
            <w:r w:rsidRPr="009A1F4C">
              <w:rPr>
                <w:sz w:val="20"/>
              </w:rPr>
              <w:t>that they are from at least one of the target groups below:</w:t>
            </w:r>
          </w:p>
          <w:p w:rsidR="00B11361" w:rsidRPr="009A1F4C" w:rsidRDefault="00B11361" w:rsidP="00327525">
            <w:pPr>
              <w:pStyle w:val="DQITableText"/>
              <w:rPr>
                <w:rFonts w:cs="Arial"/>
                <w:sz w:val="20"/>
              </w:rPr>
            </w:pPr>
            <w:r w:rsidRPr="009A1F4C">
              <w:rPr>
                <w:rFonts w:cs="Arial"/>
                <w:sz w:val="20"/>
              </w:rPr>
              <w:t>(c) with a disability</w:t>
            </w:r>
          </w:p>
          <w:p w:rsidR="00B11361" w:rsidRPr="009A1F4C" w:rsidRDefault="00B11361" w:rsidP="00327525">
            <w:pPr>
              <w:pStyle w:val="DQITableText"/>
              <w:rPr>
                <w:rFonts w:cs="Arial"/>
                <w:sz w:val="20"/>
              </w:rPr>
            </w:pPr>
            <w:r w:rsidRPr="009A1F4C">
              <w:rPr>
                <w:rFonts w:cs="Arial"/>
                <w:sz w:val="20"/>
              </w:rPr>
              <w:t xml:space="preserve">(d) speak a </w:t>
            </w:r>
            <w:proofErr w:type="spellStart"/>
            <w:r w:rsidRPr="009A1F4C">
              <w:rPr>
                <w:rFonts w:cs="Arial"/>
                <w:sz w:val="20"/>
              </w:rPr>
              <w:t>LOTE</w:t>
            </w:r>
            <w:proofErr w:type="spellEnd"/>
            <w:r w:rsidRPr="009A1F4C">
              <w:rPr>
                <w:rFonts w:cs="Arial"/>
                <w:sz w:val="20"/>
              </w:rPr>
              <w:t xml:space="preserve"> at home.</w:t>
            </w:r>
          </w:p>
          <w:p w:rsidR="00B11361" w:rsidRPr="009A1F4C" w:rsidRDefault="00B11361" w:rsidP="00327525">
            <w:pPr>
              <w:pStyle w:val="DQITableText"/>
              <w:rPr>
                <w:sz w:val="20"/>
                <w:u w:val="single"/>
              </w:rPr>
            </w:pPr>
            <w:r w:rsidRPr="009A1F4C">
              <w:rPr>
                <w:sz w:val="20"/>
                <w:u w:val="single"/>
              </w:rPr>
              <w:t>Denominator/s</w:t>
            </w:r>
          </w:p>
          <w:p w:rsidR="00B11361" w:rsidRPr="009A1F4C" w:rsidRDefault="00B11361" w:rsidP="00327525">
            <w:pPr>
              <w:pStyle w:val="DQITableText"/>
              <w:rPr>
                <w:rFonts w:cs="Arial"/>
                <w:sz w:val="20"/>
              </w:rPr>
            </w:pPr>
            <w:r w:rsidRPr="009A1F4C">
              <w:rPr>
                <w:rFonts w:cs="Arial"/>
                <w:sz w:val="20"/>
              </w:rPr>
              <w:t>(e) government funded VET students.</w:t>
            </w:r>
          </w:p>
          <w:p w:rsidR="00B11361" w:rsidRPr="005970A0" w:rsidRDefault="00B11361" w:rsidP="00327525">
            <w:pPr>
              <w:pStyle w:val="DQITableText"/>
              <w:rPr>
                <w:u w:val="single"/>
              </w:rPr>
            </w:pPr>
            <w:r w:rsidRPr="005970A0">
              <w:rPr>
                <w:u w:val="single"/>
              </w:rPr>
              <w:t>Computation/s:</w:t>
            </w:r>
          </w:p>
          <w:p w:rsidR="00B11361" w:rsidRDefault="00B11361" w:rsidP="00327525">
            <w:pPr>
              <w:pStyle w:val="DQITableText"/>
            </w:pPr>
            <w:r w:rsidRPr="005970A0">
              <w:t xml:space="preserve">Numerator c divided by the denominator e, and separately, numerator d divided by denominator e (above). </w:t>
            </w:r>
          </w:p>
          <w:p w:rsidR="00327525" w:rsidRDefault="00327525" w:rsidP="00327525">
            <w:pPr>
              <w:pStyle w:val="DQITableText"/>
            </w:pPr>
          </w:p>
          <w:p w:rsidR="00327525" w:rsidRPr="005970A0" w:rsidRDefault="00327525" w:rsidP="00327525">
            <w:pPr>
              <w:pStyle w:val="DQITableText"/>
              <w:rPr>
                <w:rStyle w:val="DraftingNote"/>
                <w:color w:val="auto"/>
                <w:sz w:val="20"/>
                <w:u w:val="none"/>
              </w:rPr>
            </w:pPr>
          </w:p>
        </w:tc>
      </w:tr>
      <w:tr w:rsidR="00B11361" w:rsidRPr="005970A0" w:rsidTr="00B11361">
        <w:tc>
          <w:tcPr>
            <w:tcW w:w="887" w:type="pct"/>
          </w:tcPr>
          <w:p w:rsidR="00B11361" w:rsidRPr="005970A0" w:rsidRDefault="00B11361" w:rsidP="003E0195">
            <w:pPr>
              <w:pStyle w:val="DQIRowHeadings"/>
            </w:pPr>
            <w:r w:rsidRPr="005970A0">
              <w:lastRenderedPageBreak/>
              <w:t>Data source/s</w:t>
            </w:r>
          </w:p>
        </w:tc>
        <w:tc>
          <w:tcPr>
            <w:tcW w:w="4113" w:type="pct"/>
            <w:shd w:val="clear" w:color="auto" w:fill="auto"/>
          </w:tcPr>
          <w:p w:rsidR="00B11361" w:rsidRPr="003E0195" w:rsidRDefault="00B11361" w:rsidP="003E0195">
            <w:pPr>
              <w:pStyle w:val="DQITableText"/>
              <w:rPr>
                <w:u w:val="single"/>
              </w:rPr>
            </w:pPr>
            <w:r w:rsidRPr="003E0195">
              <w:rPr>
                <w:u w:val="single"/>
              </w:rPr>
              <w:t>VET student data:</w:t>
            </w:r>
            <w:r w:rsidR="00781C46" w:rsidRPr="00781C46">
              <w:t xml:space="preserve"> </w:t>
            </w:r>
            <w:r w:rsidRPr="00781C46">
              <w:t xml:space="preserve"> </w:t>
            </w:r>
          </w:p>
          <w:p w:rsidR="00B11361" w:rsidRPr="005970A0" w:rsidRDefault="00B11361" w:rsidP="003E0195">
            <w:pPr>
              <w:pStyle w:val="DQITableText"/>
            </w:pPr>
            <w:r w:rsidRPr="005970A0">
              <w:t xml:space="preserve">All student data are unpublished and are sourced from the </w:t>
            </w:r>
            <w:proofErr w:type="spellStart"/>
            <w:r w:rsidRPr="007047F5">
              <w:rPr>
                <w:i/>
              </w:rPr>
              <w:t>NCVER</w:t>
            </w:r>
            <w:proofErr w:type="spellEnd"/>
            <w:r w:rsidRPr="007047F5">
              <w:rPr>
                <w:i/>
              </w:rPr>
              <w:t xml:space="preserve"> National VET </w:t>
            </w:r>
            <w:r w:rsidR="004F54E5" w:rsidRPr="007047F5">
              <w:rPr>
                <w:i/>
              </w:rPr>
              <w:t>Provider data collection</w:t>
            </w:r>
            <w:r w:rsidRPr="005970A0">
              <w:t>.</w:t>
            </w:r>
          </w:p>
          <w:p w:rsidR="00B11361" w:rsidRPr="003E0195" w:rsidRDefault="00B11361" w:rsidP="003E0195">
            <w:pPr>
              <w:pStyle w:val="DQITableText"/>
              <w:rPr>
                <w:u w:val="single"/>
              </w:rPr>
            </w:pPr>
            <w:r w:rsidRPr="003E0195">
              <w:rPr>
                <w:u w:val="single"/>
              </w:rPr>
              <w:t>Population estimates:</w:t>
            </w:r>
            <w:r w:rsidRPr="00781C46">
              <w:t xml:space="preserve">  </w:t>
            </w:r>
          </w:p>
          <w:p w:rsidR="00B11361" w:rsidRPr="005970A0" w:rsidRDefault="00FC6539" w:rsidP="00F7348D">
            <w:pPr>
              <w:pStyle w:val="DQITableText"/>
            </w:pPr>
            <w:r>
              <w:t xml:space="preserve">All population data are sourced from the ABS estimates of the </w:t>
            </w:r>
            <w:r w:rsidRPr="007047F5">
              <w:t>Estimated Resident Population and Aboriginal and Torres Strait Islander population</w:t>
            </w:r>
            <w:r>
              <w:t>.</w:t>
            </w:r>
          </w:p>
        </w:tc>
      </w:tr>
      <w:tr w:rsidR="00B11361" w:rsidRPr="005970A0" w:rsidTr="00B11361">
        <w:tc>
          <w:tcPr>
            <w:tcW w:w="5000" w:type="pct"/>
            <w:gridSpan w:val="2"/>
          </w:tcPr>
          <w:p w:rsidR="00B11361" w:rsidRPr="005970A0" w:rsidRDefault="00B11361" w:rsidP="003E0195">
            <w:pPr>
              <w:pStyle w:val="DQIMainRowHeadings"/>
            </w:pPr>
            <w:r w:rsidRPr="005970A0">
              <w:t>Data Quality Framework Dimensions</w:t>
            </w:r>
          </w:p>
        </w:tc>
      </w:tr>
      <w:tr w:rsidR="00910800" w:rsidRPr="005970A0" w:rsidTr="009D6827">
        <w:trPr>
          <w:trHeight w:val="2289"/>
        </w:trPr>
        <w:tc>
          <w:tcPr>
            <w:tcW w:w="887" w:type="pct"/>
          </w:tcPr>
          <w:p w:rsidR="00910800" w:rsidRPr="005970A0" w:rsidRDefault="00910800" w:rsidP="003E0195">
            <w:pPr>
              <w:pStyle w:val="DQIRowHeadings"/>
            </w:pPr>
          </w:p>
        </w:tc>
        <w:tc>
          <w:tcPr>
            <w:tcW w:w="4113" w:type="pct"/>
            <w:vAlign w:val="center"/>
          </w:tcPr>
          <w:p w:rsidR="00910800" w:rsidRDefault="00910800" w:rsidP="00910800">
            <w:pPr>
              <w:pStyle w:val="DQIRowHeadings"/>
            </w:pPr>
            <w:r>
              <w:t>For a</w:t>
            </w:r>
            <w:r w:rsidR="00155DF2">
              <w:t xml:space="preserve"> summary of</w:t>
            </w:r>
            <w:r>
              <w:t xml:space="preserve"> </w:t>
            </w:r>
            <w:r w:rsidR="00155DF2">
              <w:t>data quality information against the d</w:t>
            </w:r>
            <w:r>
              <w:t>ata quality framework dimensions</w:t>
            </w:r>
            <w:r w:rsidR="00155DF2">
              <w:t xml:space="preserve"> — Institutional environment, Relevance, Timeliness, Accuracy, Coherence, Accessibility, and Interpretability —</w:t>
            </w:r>
            <w:r>
              <w:t xml:space="preserve"> please see the </w:t>
            </w:r>
            <w:r w:rsidR="00155DF2">
              <w:t xml:space="preserve">related </w:t>
            </w:r>
            <w:r>
              <w:t xml:space="preserve">Data collection </w:t>
            </w:r>
            <w:proofErr w:type="spellStart"/>
            <w:r>
              <w:t>DQI</w:t>
            </w:r>
            <w:proofErr w:type="spellEnd"/>
            <w:r w:rsidR="00155DF2">
              <w:t xml:space="preserve"> for</w:t>
            </w:r>
            <w:r>
              <w:t>:</w:t>
            </w:r>
          </w:p>
          <w:p w:rsidR="00910800" w:rsidRDefault="00910800" w:rsidP="00910800">
            <w:pPr>
              <w:pStyle w:val="DQIRowHeadings"/>
            </w:pPr>
          </w:p>
          <w:p w:rsidR="00910800" w:rsidRPr="00910800" w:rsidRDefault="00910800" w:rsidP="00910800">
            <w:pPr>
              <w:pStyle w:val="DQITableBullet"/>
              <w:jc w:val="left"/>
              <w:rPr>
                <w:rStyle w:val="Hyperlink"/>
                <w:color w:val="auto"/>
              </w:rPr>
            </w:pPr>
            <w:r w:rsidRPr="003E0195">
              <w:t>VET student data:</w:t>
            </w:r>
            <w:r>
              <w:t xml:space="preserve"> </w:t>
            </w:r>
            <w:r w:rsidR="00452BA9">
              <w:tab/>
            </w:r>
            <w:r w:rsidRPr="00910800">
              <w:rPr>
                <w:rStyle w:val="Hyperlink"/>
                <w:rFonts w:cs="Arial"/>
                <w:color w:val="auto"/>
              </w:rPr>
              <w:t xml:space="preserve"> </w:t>
            </w:r>
            <w:proofErr w:type="spellStart"/>
            <w:r w:rsidR="00781C46" w:rsidRPr="007047F5">
              <w:t>NCVER</w:t>
            </w:r>
            <w:proofErr w:type="spellEnd"/>
            <w:r w:rsidR="00781C46" w:rsidRPr="007047F5">
              <w:t xml:space="preserve"> National VET Provider data collection</w:t>
            </w:r>
          </w:p>
          <w:p w:rsidR="00910800" w:rsidRPr="005970A0" w:rsidRDefault="00910800" w:rsidP="00910800">
            <w:pPr>
              <w:pStyle w:val="DQITableBullet"/>
              <w:jc w:val="left"/>
            </w:pPr>
            <w:r w:rsidRPr="00910800">
              <w:t>Population estimates:</w:t>
            </w:r>
            <w:r>
              <w:t xml:space="preserve"> </w:t>
            </w:r>
            <w:r w:rsidR="00452BA9">
              <w:tab/>
            </w:r>
            <w:r w:rsidRPr="007047F5">
              <w:t>Estimated Resident Population and Aboriginal and Torres Strait Islander population</w:t>
            </w:r>
            <w:r>
              <w:t>.</w:t>
            </w:r>
          </w:p>
        </w:tc>
      </w:tr>
      <w:tr w:rsidR="003C0077" w:rsidRPr="005970A0" w:rsidTr="00B11361">
        <w:tc>
          <w:tcPr>
            <w:tcW w:w="5000" w:type="pct"/>
            <w:gridSpan w:val="2"/>
            <w:shd w:val="clear" w:color="auto" w:fill="auto"/>
          </w:tcPr>
          <w:p w:rsidR="003C0077" w:rsidRPr="005970A0" w:rsidRDefault="003C0077" w:rsidP="003C0077">
            <w:pPr>
              <w:pStyle w:val="DQIMainRowHeadings"/>
            </w:pPr>
            <w:r w:rsidRPr="005970A0">
              <w:t>Data Gaps/Issues Analysis</w:t>
            </w:r>
          </w:p>
        </w:tc>
      </w:tr>
      <w:tr w:rsidR="003C0077" w:rsidRPr="005970A0" w:rsidTr="00DF1B3A">
        <w:tc>
          <w:tcPr>
            <w:tcW w:w="887" w:type="pct"/>
            <w:shd w:val="clear" w:color="auto" w:fill="auto"/>
          </w:tcPr>
          <w:p w:rsidR="003C0077" w:rsidRPr="005970A0" w:rsidRDefault="003C0077" w:rsidP="003C0077">
            <w:pPr>
              <w:pStyle w:val="DQIRowHeadings"/>
            </w:pPr>
            <w:r w:rsidRPr="005970A0">
              <w:t>Key data gaps/ issues</w:t>
            </w:r>
          </w:p>
        </w:tc>
        <w:tc>
          <w:tcPr>
            <w:tcW w:w="4113" w:type="pct"/>
            <w:shd w:val="clear" w:color="auto" w:fill="auto"/>
          </w:tcPr>
          <w:p w:rsidR="003C0077" w:rsidRPr="005970A0" w:rsidRDefault="003C0077" w:rsidP="003C0077">
            <w:pPr>
              <w:pStyle w:val="DQITableText"/>
            </w:pPr>
            <w:r w:rsidRPr="005970A0">
              <w:t xml:space="preserve">The Steering Committee notes the following key data gaps/issues: </w:t>
            </w:r>
          </w:p>
          <w:p w:rsidR="003C0077" w:rsidRPr="005970A0" w:rsidRDefault="003C0077" w:rsidP="003C0077">
            <w:pPr>
              <w:pStyle w:val="DQITableBullet"/>
            </w:pPr>
            <w:r w:rsidRPr="005970A0">
              <w:t xml:space="preserve">Care needs to be taken in interpreting the participation rates presented for people with disability, people speaking a </w:t>
            </w:r>
            <w:proofErr w:type="spellStart"/>
            <w:r w:rsidRPr="005970A0">
              <w:t>LOTE</w:t>
            </w:r>
            <w:proofErr w:type="spellEnd"/>
            <w:r w:rsidRPr="005970A0">
              <w:t xml:space="preserve"> at home, and Indigenous people, because the data depend on self-identification at the time of enrolment and the number of non-responses (that is, students who did not indicate whether or not they belong to these groups) varies across jurisdictions.</w:t>
            </w:r>
          </w:p>
          <w:p w:rsidR="003C0077" w:rsidRPr="005970A0" w:rsidRDefault="003C0077" w:rsidP="003C0077">
            <w:pPr>
              <w:pStyle w:val="DQITableBullet"/>
            </w:pPr>
            <w:r w:rsidRPr="005970A0">
              <w:t>A VET student may be enrolled in more than one VET training program, and therefore there are more ‘course enrolments’ in the VET system than ‘students’. This distinction between student numbers and the number of course enrolments may be of importance if comparing VET data in this chapter with other VET data.</w:t>
            </w:r>
          </w:p>
        </w:tc>
      </w:tr>
    </w:tbl>
    <w:p w:rsidR="00B11361" w:rsidRPr="003C0077" w:rsidRDefault="00B11361" w:rsidP="00DF1B3A">
      <w:pPr>
        <w:pStyle w:val="BodyText"/>
      </w:pPr>
    </w:p>
    <w:p w:rsidR="00B11361" w:rsidRPr="005970A0" w:rsidRDefault="00B11361" w:rsidP="00B11361">
      <w:pPr>
        <w:pStyle w:val="BodyText"/>
        <w:rPr>
          <w:rFonts w:ascii="Arial" w:hAnsi="Arial"/>
        </w:rPr>
      </w:pPr>
      <w:r w:rsidRPr="005970A0">
        <w:br w:type="page"/>
      </w:r>
    </w:p>
    <w:p w:rsidR="00B11361" w:rsidRPr="005970A0" w:rsidRDefault="00B11361" w:rsidP="00B11361">
      <w:pPr>
        <w:pStyle w:val="Heading3"/>
        <w:spacing w:before="120"/>
      </w:pPr>
      <w:bookmarkStart w:id="35" w:name="StudentParticipationInVET"/>
      <w:bookmarkStart w:id="36" w:name="_Toc325398235"/>
      <w:bookmarkStart w:id="37" w:name="_Toc396227457"/>
      <w:bookmarkStart w:id="38" w:name="_Toc436148764"/>
      <w:bookmarkEnd w:id="35"/>
      <w:r w:rsidRPr="005970A0">
        <w:lastRenderedPageBreak/>
        <w:t>Student participation in VET</w:t>
      </w:r>
      <w:bookmarkEnd w:id="36"/>
      <w:bookmarkEnd w:id="37"/>
      <w:bookmarkEnd w:id="38"/>
    </w:p>
    <w:p w:rsidR="00B11361" w:rsidRPr="005970A0" w:rsidRDefault="00B11361" w:rsidP="00B11361">
      <w:pPr>
        <w:pStyle w:val="Box"/>
      </w:pPr>
      <w:r w:rsidRPr="005970A0">
        <w:t xml:space="preserve">Data quality information for this indicator has been drafted by the </w:t>
      </w:r>
      <w:proofErr w:type="spellStart"/>
      <w:r w:rsidR="00E22A04">
        <w:t>NCVER</w:t>
      </w:r>
      <w:proofErr w:type="spellEnd"/>
      <w:r w:rsidRPr="005970A0">
        <w:t xml:space="preserve"> and the Secretariat, in consultation with the VET Working Group.</w:t>
      </w:r>
    </w:p>
    <w:tbl>
      <w:tblPr>
        <w:tblW w:w="5000" w:type="pct"/>
        <w:tblLayout w:type="fixed"/>
        <w:tblCellMar>
          <w:left w:w="0" w:type="dxa"/>
          <w:right w:w="0" w:type="dxa"/>
        </w:tblCellMar>
        <w:tblLook w:val="0000" w:firstRow="0" w:lastRow="0" w:firstColumn="0" w:lastColumn="0" w:noHBand="0" w:noVBand="0"/>
      </w:tblPr>
      <w:tblGrid>
        <w:gridCol w:w="1559"/>
        <w:gridCol w:w="7230"/>
      </w:tblGrid>
      <w:tr w:rsidR="00B11361" w:rsidRPr="005970A0" w:rsidTr="00B11361">
        <w:tc>
          <w:tcPr>
            <w:tcW w:w="5000" w:type="pct"/>
            <w:gridSpan w:val="2"/>
          </w:tcPr>
          <w:p w:rsidR="00B11361" w:rsidRPr="005970A0" w:rsidRDefault="00B11361" w:rsidP="003C0077">
            <w:pPr>
              <w:pStyle w:val="DQIMainRowHeadings"/>
            </w:pPr>
            <w:r w:rsidRPr="005970A0">
              <w:t>Indicator definition and description</w:t>
            </w:r>
            <w:r w:rsidRPr="005970A0">
              <w:rPr>
                <w:rFonts w:cs="Arial"/>
                <w:sz w:val="22"/>
                <w:szCs w:val="22"/>
              </w:rPr>
              <w:t xml:space="preserve"> </w:t>
            </w:r>
          </w:p>
        </w:tc>
      </w:tr>
      <w:tr w:rsidR="00B11361" w:rsidRPr="005970A0" w:rsidTr="00B11361">
        <w:tc>
          <w:tcPr>
            <w:tcW w:w="887" w:type="pct"/>
          </w:tcPr>
          <w:p w:rsidR="00B11361" w:rsidRPr="005970A0" w:rsidRDefault="00B11361" w:rsidP="003C0077">
            <w:pPr>
              <w:pStyle w:val="DQIRowHeadings"/>
            </w:pPr>
            <w:r w:rsidRPr="005970A0">
              <w:t>Element</w:t>
            </w:r>
          </w:p>
        </w:tc>
        <w:tc>
          <w:tcPr>
            <w:tcW w:w="4113" w:type="pct"/>
          </w:tcPr>
          <w:p w:rsidR="00B11361" w:rsidRPr="005970A0" w:rsidRDefault="00B11361" w:rsidP="003C0077">
            <w:pPr>
              <w:pStyle w:val="DQITableText"/>
            </w:pPr>
            <w:r w:rsidRPr="005970A0">
              <w:t>Output/effectiveness.</w:t>
            </w:r>
          </w:p>
        </w:tc>
      </w:tr>
      <w:tr w:rsidR="00B11361" w:rsidRPr="005970A0" w:rsidTr="00B11361">
        <w:tc>
          <w:tcPr>
            <w:tcW w:w="887" w:type="pct"/>
          </w:tcPr>
          <w:p w:rsidR="00B11361" w:rsidRPr="005970A0" w:rsidRDefault="00B11361" w:rsidP="003C0077">
            <w:pPr>
              <w:pStyle w:val="DQIRowHeadings"/>
            </w:pPr>
            <w:r w:rsidRPr="005970A0">
              <w:t>Indicator</w:t>
            </w:r>
          </w:p>
        </w:tc>
        <w:tc>
          <w:tcPr>
            <w:tcW w:w="4113" w:type="pct"/>
          </w:tcPr>
          <w:p w:rsidR="00B11361" w:rsidRPr="005970A0" w:rsidRDefault="00B11361" w:rsidP="003C0077">
            <w:pPr>
              <w:pStyle w:val="DQITableText"/>
            </w:pPr>
            <w:r w:rsidRPr="005970A0">
              <w:t>Student participation in VET</w:t>
            </w:r>
          </w:p>
        </w:tc>
      </w:tr>
      <w:tr w:rsidR="00B11361" w:rsidRPr="005970A0" w:rsidTr="00B11361">
        <w:tc>
          <w:tcPr>
            <w:tcW w:w="887" w:type="pct"/>
          </w:tcPr>
          <w:p w:rsidR="00B11361" w:rsidRPr="005970A0" w:rsidRDefault="00B11361" w:rsidP="003C0077">
            <w:pPr>
              <w:pStyle w:val="DQIRowHeadings"/>
            </w:pPr>
            <w:r w:rsidRPr="005970A0">
              <w:t>Measure (computation)</w:t>
            </w:r>
          </w:p>
        </w:tc>
        <w:tc>
          <w:tcPr>
            <w:tcW w:w="4113" w:type="pct"/>
          </w:tcPr>
          <w:p w:rsidR="00B11361" w:rsidRPr="005970A0" w:rsidRDefault="00B11361" w:rsidP="003C0077">
            <w:pPr>
              <w:pStyle w:val="DQITableText"/>
              <w:rPr>
                <w:u w:val="single"/>
              </w:rPr>
            </w:pPr>
            <w:r w:rsidRPr="005970A0">
              <w:rPr>
                <w:u w:val="single"/>
              </w:rPr>
              <w:t>Definition</w:t>
            </w:r>
          </w:p>
          <w:p w:rsidR="00B11361" w:rsidRPr="005970A0" w:rsidRDefault="00B11361" w:rsidP="003C0077">
            <w:pPr>
              <w:pStyle w:val="DQITableText"/>
            </w:pPr>
            <w:r w:rsidRPr="005970A0">
              <w:t>The indicator is defined by three measures:</w:t>
            </w:r>
          </w:p>
          <w:p w:rsidR="00B11361" w:rsidRPr="005970A0" w:rsidRDefault="00B11361" w:rsidP="003C0077">
            <w:pPr>
              <w:pStyle w:val="DQITableBullet"/>
            </w:pPr>
            <w:r w:rsidRPr="005970A0">
              <w:t>the number of people aged 15–64 years participating in VET as a proportion of the population aged 15–64 years</w:t>
            </w:r>
          </w:p>
          <w:p w:rsidR="00B11361" w:rsidRPr="005970A0" w:rsidRDefault="00B11361" w:rsidP="003C0077">
            <w:pPr>
              <w:pStyle w:val="DQITableBullet"/>
            </w:pPr>
            <w:r w:rsidRPr="005970A0">
              <w:t>the number of people aged 15–64 years participating in VET at certificate level III and above as a proportion of the population aged 15–64 years</w:t>
            </w:r>
          </w:p>
          <w:p w:rsidR="00B11361" w:rsidRPr="005970A0" w:rsidRDefault="00B11361" w:rsidP="003C0077">
            <w:pPr>
              <w:pStyle w:val="DQITableBullet"/>
            </w:pPr>
            <w:r w:rsidRPr="005970A0">
              <w:t>the number of people aged 15–64 years participating in VET at diploma level and above as a proportion of the population aged 15–64 years.</w:t>
            </w:r>
          </w:p>
          <w:p w:rsidR="00B11361" w:rsidRPr="005970A0" w:rsidRDefault="00B11361" w:rsidP="003C0077">
            <w:pPr>
              <w:pStyle w:val="DQITableText"/>
              <w:rPr>
                <w:u w:val="single"/>
              </w:rPr>
            </w:pPr>
            <w:r w:rsidRPr="005970A0">
              <w:rPr>
                <w:u w:val="single"/>
              </w:rPr>
              <w:t>Numerator/s</w:t>
            </w:r>
          </w:p>
          <w:p w:rsidR="00B11361" w:rsidRPr="005970A0" w:rsidRDefault="00B11361" w:rsidP="003C0077">
            <w:pPr>
              <w:pStyle w:val="DQITableText"/>
              <w:rPr>
                <w:rFonts w:cs="Arial"/>
              </w:rPr>
            </w:pPr>
            <w:r w:rsidRPr="005970A0">
              <w:t>Government funded VET students who have self-identified</w:t>
            </w:r>
            <w:r w:rsidRPr="005970A0">
              <w:rPr>
                <w:rFonts w:cs="Arial"/>
              </w:rPr>
              <w:t xml:space="preserve"> on their VET enrolment form </w:t>
            </w:r>
            <w:r w:rsidRPr="005970A0">
              <w:t xml:space="preserve">that they </w:t>
            </w:r>
            <w:r w:rsidR="00275F3D">
              <w:t xml:space="preserve">were </w:t>
            </w:r>
            <w:r w:rsidRPr="005970A0">
              <w:t xml:space="preserve">aged </w:t>
            </w:r>
            <w:r w:rsidRPr="005970A0">
              <w:rPr>
                <w:rFonts w:cs="Arial"/>
              </w:rPr>
              <w:t>15</w:t>
            </w:r>
            <w:r w:rsidRPr="005970A0">
              <w:rPr>
                <w:rFonts w:cs="Arial"/>
              </w:rPr>
              <w:noBreakHyphen/>
              <w:t>64 years. A separate numerator applies as follows, for each of the three measures:</w:t>
            </w:r>
          </w:p>
          <w:p w:rsidR="00B11361" w:rsidRPr="005970A0" w:rsidRDefault="00B11361" w:rsidP="003C0077">
            <w:pPr>
              <w:pStyle w:val="DQITableBullet"/>
            </w:pPr>
            <w:r w:rsidRPr="005970A0">
              <w:t>enrolled in VET at any qualification level</w:t>
            </w:r>
          </w:p>
          <w:p w:rsidR="00B11361" w:rsidRPr="005970A0" w:rsidRDefault="00B11361" w:rsidP="003C0077">
            <w:pPr>
              <w:pStyle w:val="DQITableBullet"/>
            </w:pPr>
            <w:r w:rsidRPr="005970A0">
              <w:t>enrolled at certificate level III and above</w:t>
            </w:r>
          </w:p>
          <w:p w:rsidR="00B11361" w:rsidRPr="005970A0" w:rsidRDefault="00B11361" w:rsidP="003C0077">
            <w:pPr>
              <w:pStyle w:val="DQITableBullet"/>
            </w:pPr>
            <w:r w:rsidRPr="005970A0">
              <w:t>enrolled at diploma level and above.</w:t>
            </w:r>
          </w:p>
          <w:p w:rsidR="00B11361" w:rsidRPr="005970A0" w:rsidRDefault="00B11361" w:rsidP="003C0077">
            <w:pPr>
              <w:pStyle w:val="DQITableText"/>
              <w:rPr>
                <w:u w:val="single"/>
              </w:rPr>
            </w:pPr>
            <w:r w:rsidRPr="005970A0">
              <w:rPr>
                <w:u w:val="single"/>
              </w:rPr>
              <w:t>Denominator/s</w:t>
            </w:r>
          </w:p>
          <w:p w:rsidR="00B11361" w:rsidRPr="005970A0" w:rsidRDefault="00B11361" w:rsidP="003C0077">
            <w:pPr>
              <w:pStyle w:val="DQITableText"/>
            </w:pPr>
            <w:r w:rsidRPr="005970A0">
              <w:t xml:space="preserve">The number of persons in the Australian population aged </w:t>
            </w:r>
            <w:r w:rsidRPr="005970A0">
              <w:rPr>
                <w:rFonts w:cs="Arial"/>
              </w:rPr>
              <w:t>15</w:t>
            </w:r>
            <w:r w:rsidRPr="005970A0">
              <w:rPr>
                <w:rFonts w:cs="Arial"/>
              </w:rPr>
              <w:noBreakHyphen/>
              <w:t>64 years</w:t>
            </w:r>
            <w:r w:rsidRPr="005970A0">
              <w:t>.</w:t>
            </w:r>
          </w:p>
          <w:p w:rsidR="00B11361" w:rsidRPr="005970A0" w:rsidRDefault="00B11361" w:rsidP="003C0077">
            <w:pPr>
              <w:pStyle w:val="DQITableText"/>
              <w:rPr>
                <w:u w:val="single"/>
              </w:rPr>
            </w:pPr>
            <w:r w:rsidRPr="005970A0">
              <w:rPr>
                <w:u w:val="single"/>
              </w:rPr>
              <w:t>Computation/s:</w:t>
            </w:r>
          </w:p>
          <w:p w:rsidR="00B11361" w:rsidRPr="005970A0" w:rsidRDefault="00B11361" w:rsidP="003C0077">
            <w:pPr>
              <w:pStyle w:val="DQITableText"/>
            </w:pPr>
            <w:r w:rsidRPr="005970A0">
              <w:t>Numerator (above) divided by denominator (above), calculated separately for each of the three measures.</w:t>
            </w:r>
          </w:p>
          <w:p w:rsidR="00B11361" w:rsidRPr="005970A0" w:rsidRDefault="00B11361" w:rsidP="003C0077">
            <w:pPr>
              <w:pStyle w:val="DQITableText"/>
              <w:rPr>
                <w:rStyle w:val="DraftingNote"/>
                <w:color w:val="auto"/>
                <w:sz w:val="20"/>
                <w:u w:val="none"/>
              </w:rPr>
            </w:pPr>
            <w:r w:rsidRPr="005970A0">
              <w:t>Comparative rates are also calculated by Indigenous status, for which Indigenous status is based on self</w:t>
            </w:r>
            <w:r w:rsidRPr="005970A0">
              <w:noBreakHyphen/>
              <w:t>identification by students on their VET enrolment form.</w:t>
            </w:r>
          </w:p>
        </w:tc>
      </w:tr>
      <w:tr w:rsidR="00B11361" w:rsidRPr="005970A0" w:rsidTr="00B11361">
        <w:tc>
          <w:tcPr>
            <w:tcW w:w="887" w:type="pct"/>
          </w:tcPr>
          <w:p w:rsidR="00B11361" w:rsidRPr="005970A0" w:rsidRDefault="00B11361" w:rsidP="003C0077">
            <w:pPr>
              <w:pStyle w:val="DQIRowHeadings"/>
            </w:pPr>
            <w:r w:rsidRPr="005970A0">
              <w:t>Data source/s</w:t>
            </w:r>
          </w:p>
        </w:tc>
        <w:tc>
          <w:tcPr>
            <w:tcW w:w="4113" w:type="pct"/>
          </w:tcPr>
          <w:p w:rsidR="00452BA9" w:rsidRPr="003E0195" w:rsidRDefault="00452BA9" w:rsidP="00452BA9">
            <w:pPr>
              <w:pStyle w:val="DQITableText"/>
              <w:rPr>
                <w:u w:val="single"/>
              </w:rPr>
            </w:pPr>
            <w:r w:rsidRPr="003E0195">
              <w:rPr>
                <w:u w:val="single"/>
              </w:rPr>
              <w:t xml:space="preserve">VET student data: </w:t>
            </w:r>
          </w:p>
          <w:p w:rsidR="00452BA9" w:rsidRPr="005970A0" w:rsidRDefault="00452BA9" w:rsidP="00452BA9">
            <w:pPr>
              <w:pStyle w:val="DQITableText"/>
            </w:pPr>
            <w:r w:rsidRPr="005970A0">
              <w:t xml:space="preserve">All student data are unpublished and are sourced from the </w:t>
            </w:r>
            <w:proofErr w:type="spellStart"/>
            <w:r w:rsidRPr="007047F5">
              <w:rPr>
                <w:i/>
              </w:rPr>
              <w:t>NCVER</w:t>
            </w:r>
            <w:proofErr w:type="spellEnd"/>
            <w:r w:rsidRPr="007047F5">
              <w:rPr>
                <w:i/>
              </w:rPr>
              <w:t xml:space="preserve"> National VET </w:t>
            </w:r>
            <w:r w:rsidR="004F54E5" w:rsidRPr="007047F5">
              <w:rPr>
                <w:i/>
              </w:rPr>
              <w:t>Provider data collection</w:t>
            </w:r>
            <w:r w:rsidRPr="005970A0">
              <w:t>.</w:t>
            </w:r>
          </w:p>
          <w:p w:rsidR="00452BA9" w:rsidRPr="003E0195" w:rsidRDefault="00452BA9" w:rsidP="00452BA9">
            <w:pPr>
              <w:pStyle w:val="DQITableText"/>
              <w:rPr>
                <w:u w:val="single"/>
              </w:rPr>
            </w:pPr>
            <w:r w:rsidRPr="003E0195">
              <w:rPr>
                <w:u w:val="single"/>
              </w:rPr>
              <w:t xml:space="preserve">Population estimates:  </w:t>
            </w:r>
          </w:p>
          <w:p w:rsidR="00B11361" w:rsidRPr="005970A0" w:rsidRDefault="00452BA9" w:rsidP="00452BA9">
            <w:pPr>
              <w:pStyle w:val="DQITableText"/>
            </w:pPr>
            <w:r>
              <w:t xml:space="preserve">All population data are sourced from the ABS estimates of the </w:t>
            </w:r>
            <w:r w:rsidRPr="007047F5">
              <w:t>Estimated Resident Population and Aboriginal and Torres Strait Islander population</w:t>
            </w:r>
          </w:p>
        </w:tc>
      </w:tr>
      <w:tr w:rsidR="00B11361" w:rsidRPr="005970A0" w:rsidTr="00B11361">
        <w:tc>
          <w:tcPr>
            <w:tcW w:w="5000" w:type="pct"/>
            <w:gridSpan w:val="2"/>
          </w:tcPr>
          <w:p w:rsidR="00B11361" w:rsidRPr="005970A0" w:rsidRDefault="00B11361" w:rsidP="003C0077">
            <w:pPr>
              <w:pStyle w:val="DQIMainRowHeadings"/>
            </w:pPr>
            <w:r w:rsidRPr="005970A0">
              <w:t>Data Quality Framework Dimensions</w:t>
            </w:r>
          </w:p>
        </w:tc>
      </w:tr>
      <w:tr w:rsidR="00452BA9" w:rsidRPr="005970A0" w:rsidTr="007D57F5">
        <w:trPr>
          <w:trHeight w:val="1830"/>
        </w:trPr>
        <w:tc>
          <w:tcPr>
            <w:tcW w:w="887" w:type="pct"/>
            <w:vAlign w:val="center"/>
          </w:tcPr>
          <w:p w:rsidR="00452BA9" w:rsidRPr="005970A0" w:rsidRDefault="00452BA9" w:rsidP="007D57F5">
            <w:pPr>
              <w:pStyle w:val="DQIRowHeadings"/>
            </w:pPr>
          </w:p>
        </w:tc>
        <w:tc>
          <w:tcPr>
            <w:tcW w:w="4113" w:type="pct"/>
            <w:vAlign w:val="center"/>
          </w:tcPr>
          <w:p w:rsidR="00155DF2" w:rsidRDefault="00155DF2" w:rsidP="00155DF2">
            <w:pPr>
              <w:pStyle w:val="DQIRowHeadings"/>
            </w:pPr>
            <w:r>
              <w:t xml:space="preserve">For a summary of data quality information against the data quality framework dimensions — Institutional environment, Relevance, Timeliness, Accuracy, Coherence, Accessibility, and Interpretability — please see the related Data collection </w:t>
            </w:r>
            <w:proofErr w:type="spellStart"/>
            <w:r>
              <w:t>DQI</w:t>
            </w:r>
            <w:proofErr w:type="spellEnd"/>
            <w:r>
              <w:t xml:space="preserve"> for:</w:t>
            </w:r>
          </w:p>
          <w:p w:rsidR="00452BA9" w:rsidRDefault="00452BA9" w:rsidP="009D6827">
            <w:pPr>
              <w:pStyle w:val="DQIRowHeadings"/>
            </w:pPr>
          </w:p>
          <w:p w:rsidR="00452BA9" w:rsidRPr="00910800" w:rsidRDefault="00452BA9" w:rsidP="009D6827">
            <w:pPr>
              <w:pStyle w:val="DQITableBullet"/>
              <w:jc w:val="left"/>
              <w:rPr>
                <w:rStyle w:val="Hyperlink"/>
                <w:color w:val="auto"/>
              </w:rPr>
            </w:pPr>
            <w:r w:rsidRPr="003E0195">
              <w:t>VET student data:</w:t>
            </w:r>
            <w:r>
              <w:t xml:space="preserve"> </w:t>
            </w:r>
            <w:r>
              <w:tab/>
            </w:r>
            <w:proofErr w:type="spellStart"/>
            <w:r w:rsidRPr="007047F5">
              <w:t>NCVER</w:t>
            </w:r>
            <w:proofErr w:type="spellEnd"/>
            <w:r w:rsidRPr="007047F5">
              <w:t xml:space="preserve"> National VET </w:t>
            </w:r>
            <w:r w:rsidR="004F54E5" w:rsidRPr="007047F5">
              <w:t>Provider data collection</w:t>
            </w:r>
            <w:r w:rsidRPr="00910800">
              <w:rPr>
                <w:rStyle w:val="Hyperlink"/>
                <w:rFonts w:cs="Arial"/>
                <w:color w:val="auto"/>
              </w:rPr>
              <w:t xml:space="preserve"> </w:t>
            </w:r>
          </w:p>
          <w:p w:rsidR="00452BA9" w:rsidRPr="005970A0" w:rsidRDefault="00452BA9" w:rsidP="009D6827">
            <w:pPr>
              <w:pStyle w:val="DQITableBullet"/>
              <w:jc w:val="left"/>
            </w:pPr>
            <w:r w:rsidRPr="00910800">
              <w:t>Population estimates:</w:t>
            </w:r>
            <w:r>
              <w:t xml:space="preserve"> </w:t>
            </w:r>
            <w:r>
              <w:tab/>
            </w:r>
            <w:r w:rsidRPr="007047F5">
              <w:t>Estimated Resident Population and Aboriginal and Torres Strait Islander population</w:t>
            </w:r>
            <w:r>
              <w:t>.</w:t>
            </w:r>
          </w:p>
        </w:tc>
      </w:tr>
      <w:tr w:rsidR="00B11361" w:rsidRPr="005970A0" w:rsidTr="00B11361">
        <w:tc>
          <w:tcPr>
            <w:tcW w:w="5000" w:type="pct"/>
            <w:gridSpan w:val="2"/>
            <w:shd w:val="clear" w:color="auto" w:fill="auto"/>
          </w:tcPr>
          <w:p w:rsidR="00B11361" w:rsidRPr="005970A0" w:rsidRDefault="00B11361" w:rsidP="00704CE4">
            <w:pPr>
              <w:pStyle w:val="DQIMainRowHeadings"/>
            </w:pPr>
            <w:r w:rsidRPr="005970A0">
              <w:t>Data Gaps/Issues Analysis</w:t>
            </w:r>
          </w:p>
        </w:tc>
      </w:tr>
      <w:tr w:rsidR="00B11361" w:rsidRPr="005970A0" w:rsidTr="003C0077">
        <w:tc>
          <w:tcPr>
            <w:tcW w:w="887" w:type="pct"/>
            <w:shd w:val="clear" w:color="auto" w:fill="auto"/>
          </w:tcPr>
          <w:p w:rsidR="00B11361" w:rsidRPr="005970A0" w:rsidRDefault="00B11361" w:rsidP="00704CE4">
            <w:pPr>
              <w:pStyle w:val="DQIRowHeadings"/>
            </w:pPr>
            <w:r w:rsidRPr="005970A0">
              <w:t>Key data gaps/ issues</w:t>
            </w:r>
          </w:p>
        </w:tc>
        <w:tc>
          <w:tcPr>
            <w:tcW w:w="4113" w:type="pct"/>
            <w:shd w:val="clear" w:color="auto" w:fill="auto"/>
          </w:tcPr>
          <w:p w:rsidR="00B11361" w:rsidRPr="005970A0" w:rsidRDefault="00B11361" w:rsidP="00704CE4">
            <w:pPr>
              <w:pStyle w:val="DQITableText"/>
            </w:pPr>
            <w:r w:rsidRPr="005970A0">
              <w:t xml:space="preserve">The Steering Committee notes the following key data gaps/issues: </w:t>
            </w:r>
          </w:p>
          <w:p w:rsidR="00B11361" w:rsidRPr="005970A0" w:rsidRDefault="00B11361" w:rsidP="00704CE4">
            <w:pPr>
              <w:pStyle w:val="DQITableBullet"/>
            </w:pPr>
            <w:r w:rsidRPr="005970A0">
              <w:t>A VET student may be enrolled in more than one VET training program, and therefore there are more ‘course enrolments’ in the VET system than ‘students’. This distinction between student numbers and the number of course enrolments may be of importance if comparing VET data in this chapter with other VET data.</w:t>
            </w:r>
          </w:p>
        </w:tc>
      </w:tr>
    </w:tbl>
    <w:p w:rsidR="00B95F44" w:rsidRDefault="00B95F44" w:rsidP="00B95F44">
      <w:pPr>
        <w:pStyle w:val="Heading3"/>
        <w:spacing w:before="120"/>
      </w:pPr>
      <w:bookmarkStart w:id="39" w:name="_Toc436148765"/>
      <w:bookmarkStart w:id="40" w:name="VETStudentCompletAndQual"/>
      <w:bookmarkStart w:id="41" w:name="_Toc396227458"/>
      <w:r>
        <w:lastRenderedPageBreak/>
        <w:t>VET student completions and qualifications</w:t>
      </w:r>
      <w:bookmarkEnd w:id="39"/>
      <w:r w:rsidRPr="005970A0">
        <w:t xml:space="preserve"> </w:t>
      </w:r>
    </w:p>
    <w:bookmarkEnd w:id="40"/>
    <w:p w:rsidR="00B95F44" w:rsidRPr="005970A0" w:rsidRDefault="00B95F44" w:rsidP="00B95F44">
      <w:pPr>
        <w:pStyle w:val="Heading4"/>
      </w:pPr>
      <w:r>
        <w:t>Q</w:t>
      </w:r>
      <w:r w:rsidRPr="005970A0">
        <w:t>ualifications completed, and annual change in qualifications completed</w:t>
      </w:r>
    </w:p>
    <w:p w:rsidR="00B95F44" w:rsidRPr="005970A0" w:rsidRDefault="00B95F44" w:rsidP="00B95F44">
      <w:pPr>
        <w:pStyle w:val="Box"/>
      </w:pPr>
      <w:r w:rsidRPr="005970A0">
        <w:t xml:space="preserve">Data quality information for this indicator has been drafted by the </w:t>
      </w:r>
      <w:proofErr w:type="spellStart"/>
      <w:r>
        <w:t>NCVER</w:t>
      </w:r>
      <w:proofErr w:type="spellEnd"/>
      <w:r w:rsidRPr="005970A0">
        <w:t xml:space="preserve"> and the Secretariat, in consultation with the VET Working Group.</w:t>
      </w:r>
    </w:p>
    <w:tbl>
      <w:tblPr>
        <w:tblW w:w="5000" w:type="pct"/>
        <w:tblCellMar>
          <w:left w:w="0" w:type="dxa"/>
          <w:right w:w="0" w:type="dxa"/>
        </w:tblCellMar>
        <w:tblLook w:val="0000" w:firstRow="0" w:lastRow="0" w:firstColumn="0" w:lastColumn="0" w:noHBand="0" w:noVBand="0"/>
      </w:tblPr>
      <w:tblGrid>
        <w:gridCol w:w="1559"/>
        <w:gridCol w:w="62"/>
        <w:gridCol w:w="7168"/>
      </w:tblGrid>
      <w:tr w:rsidR="00B95F44" w:rsidRPr="005970A0" w:rsidTr="002A1228">
        <w:tc>
          <w:tcPr>
            <w:tcW w:w="5000" w:type="pct"/>
            <w:gridSpan w:val="3"/>
          </w:tcPr>
          <w:p w:rsidR="00B95F44" w:rsidRPr="005970A0" w:rsidRDefault="00B95F44" w:rsidP="002A1228">
            <w:pPr>
              <w:pStyle w:val="DQIMainRowHeadings"/>
            </w:pPr>
            <w:r w:rsidRPr="005970A0">
              <w:t>Indicator definition and description</w:t>
            </w:r>
            <w:r w:rsidRPr="005970A0">
              <w:rPr>
                <w:rFonts w:cs="Arial"/>
                <w:sz w:val="22"/>
                <w:szCs w:val="22"/>
              </w:rPr>
              <w:t xml:space="preserve"> </w:t>
            </w:r>
          </w:p>
        </w:tc>
      </w:tr>
      <w:tr w:rsidR="00B95F44" w:rsidRPr="005970A0" w:rsidTr="002A1228">
        <w:tc>
          <w:tcPr>
            <w:tcW w:w="887" w:type="pct"/>
          </w:tcPr>
          <w:p w:rsidR="00B95F44" w:rsidRPr="005970A0" w:rsidRDefault="00B95F44" w:rsidP="002A1228">
            <w:pPr>
              <w:pStyle w:val="DQIRowHeadings"/>
            </w:pPr>
            <w:r w:rsidRPr="005970A0">
              <w:t>Element</w:t>
            </w:r>
          </w:p>
        </w:tc>
        <w:tc>
          <w:tcPr>
            <w:tcW w:w="4113" w:type="pct"/>
            <w:gridSpan w:val="2"/>
          </w:tcPr>
          <w:p w:rsidR="00B95F44" w:rsidRPr="005970A0" w:rsidRDefault="00B95F44" w:rsidP="00B95F44">
            <w:pPr>
              <w:pStyle w:val="DQITableText"/>
            </w:pPr>
            <w:r w:rsidRPr="005970A0">
              <w:t>O</w:t>
            </w:r>
            <w:r>
              <w:t>utput/effectiveness</w:t>
            </w:r>
            <w:r w:rsidRPr="005970A0">
              <w:t>.</w:t>
            </w:r>
          </w:p>
        </w:tc>
      </w:tr>
      <w:tr w:rsidR="00B95F44" w:rsidRPr="005970A0" w:rsidTr="002A1228">
        <w:tc>
          <w:tcPr>
            <w:tcW w:w="887" w:type="pct"/>
          </w:tcPr>
          <w:p w:rsidR="00B95F44" w:rsidRPr="005970A0" w:rsidRDefault="00B95F44" w:rsidP="002A1228">
            <w:pPr>
              <w:pStyle w:val="DQIRowHeadings"/>
            </w:pPr>
            <w:r w:rsidRPr="005970A0">
              <w:t>Indicator</w:t>
            </w:r>
          </w:p>
        </w:tc>
        <w:tc>
          <w:tcPr>
            <w:tcW w:w="4113" w:type="pct"/>
            <w:gridSpan w:val="2"/>
          </w:tcPr>
          <w:p w:rsidR="00B95F44" w:rsidRPr="005970A0" w:rsidRDefault="00B95F44" w:rsidP="002A1228">
            <w:pPr>
              <w:pStyle w:val="DQITableText"/>
            </w:pPr>
            <w:r>
              <w:t>VET student completions and qualifications</w:t>
            </w:r>
          </w:p>
        </w:tc>
      </w:tr>
      <w:tr w:rsidR="00B95F44" w:rsidRPr="005970A0" w:rsidTr="002A1228">
        <w:tc>
          <w:tcPr>
            <w:tcW w:w="887" w:type="pct"/>
          </w:tcPr>
          <w:p w:rsidR="00B95F44" w:rsidRPr="005970A0" w:rsidRDefault="00B95F44" w:rsidP="002A1228">
            <w:pPr>
              <w:pStyle w:val="DQIRowHeadings"/>
            </w:pPr>
            <w:r w:rsidRPr="005970A0">
              <w:t>Measure (computation)</w:t>
            </w:r>
          </w:p>
        </w:tc>
        <w:tc>
          <w:tcPr>
            <w:tcW w:w="4113" w:type="pct"/>
            <w:gridSpan w:val="2"/>
          </w:tcPr>
          <w:p w:rsidR="00B95F44" w:rsidRPr="005970A0" w:rsidRDefault="00B95F44" w:rsidP="002A1228">
            <w:pPr>
              <w:pStyle w:val="DQITableText"/>
            </w:pPr>
            <w:r w:rsidRPr="005970A0">
              <w:t xml:space="preserve">This </w:t>
            </w:r>
            <w:proofErr w:type="spellStart"/>
            <w:r w:rsidRPr="005970A0">
              <w:t>DQI</w:t>
            </w:r>
            <w:proofErr w:type="spellEnd"/>
            <w:r w:rsidRPr="005970A0">
              <w:t xml:space="preserve"> material covers the measure ‘qualifications completed’ and the relevant component (underlined as follows) of the related measure </w:t>
            </w:r>
            <w:r w:rsidRPr="005970A0">
              <w:sym w:font="Symbol" w:char="F0BE"/>
            </w:r>
            <w:r w:rsidRPr="005970A0">
              <w:t xml:space="preserve">  ‘</w:t>
            </w:r>
            <w:r w:rsidRPr="005970A0">
              <w:rPr>
                <w:u w:val="single"/>
              </w:rPr>
              <w:t>annual change in qualifications completed</w:t>
            </w:r>
            <w:r w:rsidRPr="005970A0">
              <w:t>, units of competency completed and modules completed, and annual change in Qualification equivalents.’</w:t>
            </w:r>
          </w:p>
          <w:p w:rsidR="00B95F44" w:rsidRPr="005970A0" w:rsidRDefault="00B95F44" w:rsidP="002A1228">
            <w:pPr>
              <w:pStyle w:val="DQITableText"/>
              <w:rPr>
                <w:u w:val="single"/>
              </w:rPr>
            </w:pPr>
            <w:r w:rsidRPr="005970A0">
              <w:rPr>
                <w:u w:val="single"/>
              </w:rPr>
              <w:t>Definition</w:t>
            </w:r>
          </w:p>
          <w:p w:rsidR="00B95F44" w:rsidRPr="005970A0" w:rsidRDefault="00B95F44" w:rsidP="002A1228">
            <w:pPr>
              <w:pStyle w:val="DQITableText"/>
            </w:pPr>
            <w:r w:rsidRPr="005970A0">
              <w:t>Qualifications completed is defined as the number of qualifications achieved/passed each year by both government funded and non-government funded VET students, where a qualification is a certification to a person on successful completion of a course in recognition of having achieved particular knowledge, skills or competencies.</w:t>
            </w:r>
          </w:p>
          <w:p w:rsidR="00B95F44" w:rsidRPr="005970A0" w:rsidRDefault="00B95F44" w:rsidP="002A1228">
            <w:pPr>
              <w:pStyle w:val="DQITableText"/>
            </w:pPr>
            <w:r w:rsidRPr="005970A0">
              <w:t>Annual change in qualifications completed is defined as the percentage change of qualifications achieved/passed from year to year.</w:t>
            </w:r>
          </w:p>
          <w:p w:rsidR="00B95F44" w:rsidRPr="005970A0" w:rsidRDefault="00B95F44" w:rsidP="002A1228">
            <w:pPr>
              <w:pStyle w:val="DQITableText"/>
              <w:rPr>
                <w:u w:val="single"/>
              </w:rPr>
            </w:pPr>
            <w:r w:rsidRPr="005970A0">
              <w:rPr>
                <w:u w:val="single"/>
              </w:rPr>
              <w:t>Computation/s:</w:t>
            </w:r>
          </w:p>
          <w:p w:rsidR="00B95F44" w:rsidRPr="005970A0" w:rsidRDefault="00B95F44" w:rsidP="002A1228">
            <w:pPr>
              <w:pStyle w:val="DQITableText"/>
            </w:pPr>
            <w:r w:rsidRPr="005970A0">
              <w:t xml:space="preserve">A count of the number of qualifications/courses completed, submitted in the </w:t>
            </w:r>
            <w:r w:rsidRPr="005970A0">
              <w:rPr>
                <w:i/>
              </w:rPr>
              <w:t>Qualifications completed</w:t>
            </w:r>
            <w:r w:rsidRPr="005970A0">
              <w:t xml:space="preserve"> </w:t>
            </w:r>
            <w:r w:rsidRPr="005970A0">
              <w:rPr>
                <w:i/>
              </w:rPr>
              <w:t>file</w:t>
            </w:r>
            <w:r w:rsidRPr="005970A0">
              <w:t xml:space="preserve"> of the VET provider collection by registered training providers.</w:t>
            </w:r>
          </w:p>
          <w:p w:rsidR="00B95F44" w:rsidRPr="005970A0" w:rsidRDefault="00B95F44" w:rsidP="002A1228">
            <w:pPr>
              <w:pStyle w:val="DQITableText"/>
            </w:pPr>
            <w:r w:rsidRPr="005970A0">
              <w:t>Annual change in qualifications completed is the percentage change in the number of qualifications completed from one year to the subsequent year, where the number for the prior year is the numerator and number for the subsequent year is the denominator.</w:t>
            </w:r>
          </w:p>
          <w:p w:rsidR="00B95F44" w:rsidRPr="005970A0" w:rsidRDefault="00B95F44" w:rsidP="002A1228">
            <w:pPr>
              <w:pStyle w:val="DQITableText"/>
              <w:rPr>
                <w:rStyle w:val="DraftingNote"/>
                <w:color w:val="auto"/>
                <w:sz w:val="20"/>
                <w:u w:val="none"/>
              </w:rPr>
            </w:pPr>
            <w:r w:rsidRPr="005970A0">
              <w:t>Comparative data are also reported for VET target groups (residents of remote and very remote areas, people with disability, people speaking a language other than English at home and by Indigenous status), where classification by these target groups is based on self</w:t>
            </w:r>
            <w:r w:rsidRPr="005970A0">
              <w:noBreakHyphen/>
              <w:t>identification by students on their VET enrolment form.</w:t>
            </w:r>
          </w:p>
        </w:tc>
      </w:tr>
      <w:tr w:rsidR="00B95F44" w:rsidRPr="005970A0" w:rsidTr="002A1228">
        <w:tc>
          <w:tcPr>
            <w:tcW w:w="887" w:type="pct"/>
          </w:tcPr>
          <w:p w:rsidR="00B95F44" w:rsidRPr="005970A0" w:rsidRDefault="00B95F44" w:rsidP="002A1228">
            <w:pPr>
              <w:pStyle w:val="DQIRowHeadings"/>
            </w:pPr>
            <w:r w:rsidRPr="005970A0">
              <w:t>Data source/s</w:t>
            </w:r>
          </w:p>
        </w:tc>
        <w:tc>
          <w:tcPr>
            <w:tcW w:w="4113" w:type="pct"/>
            <w:gridSpan w:val="2"/>
          </w:tcPr>
          <w:p w:rsidR="00B95F44" w:rsidRPr="005970A0" w:rsidRDefault="00B95F44" w:rsidP="002A1228">
            <w:pPr>
              <w:pStyle w:val="DQITableText"/>
            </w:pPr>
            <w:r w:rsidRPr="005970A0">
              <w:t>All data are unpu</w:t>
            </w:r>
            <w:r>
              <w:t xml:space="preserve">blished and are derived from the </w:t>
            </w:r>
            <w:proofErr w:type="spellStart"/>
            <w:r w:rsidRPr="007047F5">
              <w:t>NCVER</w:t>
            </w:r>
            <w:proofErr w:type="spellEnd"/>
            <w:r w:rsidRPr="007047F5">
              <w:t xml:space="preserve"> National VET Provider data collection</w:t>
            </w:r>
          </w:p>
        </w:tc>
      </w:tr>
      <w:tr w:rsidR="00B95F44" w:rsidRPr="005970A0" w:rsidTr="002A1228">
        <w:tc>
          <w:tcPr>
            <w:tcW w:w="5000" w:type="pct"/>
            <w:gridSpan w:val="3"/>
          </w:tcPr>
          <w:p w:rsidR="00B95F44" w:rsidRPr="005970A0" w:rsidRDefault="00B95F44" w:rsidP="002A1228">
            <w:pPr>
              <w:pStyle w:val="DQIMainRowHeadings"/>
            </w:pPr>
            <w:r w:rsidRPr="005970A0">
              <w:t>Data Quality Framework Dimensions</w:t>
            </w:r>
          </w:p>
        </w:tc>
      </w:tr>
      <w:tr w:rsidR="00B95F44" w:rsidRPr="005970A0" w:rsidTr="002A1228">
        <w:trPr>
          <w:trHeight w:val="1830"/>
        </w:trPr>
        <w:tc>
          <w:tcPr>
            <w:tcW w:w="887" w:type="pct"/>
            <w:vAlign w:val="center"/>
          </w:tcPr>
          <w:p w:rsidR="00B95F44" w:rsidRPr="005970A0" w:rsidRDefault="00B95F44" w:rsidP="002A1228">
            <w:pPr>
              <w:pStyle w:val="DQIRowHeadings"/>
              <w:keepNext w:val="0"/>
            </w:pPr>
          </w:p>
        </w:tc>
        <w:tc>
          <w:tcPr>
            <w:tcW w:w="4113" w:type="pct"/>
            <w:gridSpan w:val="2"/>
            <w:vAlign w:val="center"/>
          </w:tcPr>
          <w:p w:rsidR="00B95F44" w:rsidRDefault="00B95F44" w:rsidP="002A1228">
            <w:pPr>
              <w:pStyle w:val="DQIRowHeadings"/>
            </w:pPr>
            <w:r>
              <w:t xml:space="preserve">For a summary of data quality information against the data quality framework dimensions — Institutional environment, Relevance, Timeliness, Accuracy, Coherence, Accessibility, and Interpretability — please see the related Data collection </w:t>
            </w:r>
            <w:proofErr w:type="spellStart"/>
            <w:r>
              <w:t>DQI</w:t>
            </w:r>
            <w:proofErr w:type="spellEnd"/>
            <w:r>
              <w:t xml:space="preserve"> for:</w:t>
            </w:r>
          </w:p>
          <w:p w:rsidR="00B95F44" w:rsidRDefault="00B95F44" w:rsidP="002A1228">
            <w:pPr>
              <w:pStyle w:val="DQIRowHeadings"/>
            </w:pPr>
          </w:p>
          <w:p w:rsidR="00B95F44" w:rsidRPr="005970A0" w:rsidRDefault="00B95F44" w:rsidP="002A1228">
            <w:pPr>
              <w:pStyle w:val="DQITableBullet"/>
              <w:keepNext w:val="0"/>
              <w:jc w:val="left"/>
            </w:pPr>
            <w:r w:rsidRPr="005970A0">
              <w:t>Qualifications completed</w:t>
            </w:r>
            <w:r w:rsidRPr="003E0195">
              <w:t>:</w:t>
            </w:r>
            <w:r>
              <w:t xml:space="preserve"> </w:t>
            </w:r>
            <w:r>
              <w:tab/>
            </w:r>
            <w:proofErr w:type="spellStart"/>
            <w:r w:rsidRPr="007047F5">
              <w:t>NCVER</w:t>
            </w:r>
            <w:proofErr w:type="spellEnd"/>
            <w:r w:rsidRPr="007047F5">
              <w:t xml:space="preserve"> National VET provider data collection</w:t>
            </w:r>
            <w:r w:rsidRPr="00910800">
              <w:rPr>
                <w:rStyle w:val="Hyperlink"/>
                <w:rFonts w:cs="Arial"/>
                <w:color w:val="auto"/>
              </w:rPr>
              <w:t xml:space="preserve"> </w:t>
            </w:r>
          </w:p>
        </w:tc>
      </w:tr>
      <w:tr w:rsidR="00B95F44" w:rsidRPr="005970A0" w:rsidTr="002A1228">
        <w:tc>
          <w:tcPr>
            <w:tcW w:w="5000" w:type="pct"/>
            <w:gridSpan w:val="3"/>
            <w:shd w:val="clear" w:color="auto" w:fill="auto"/>
          </w:tcPr>
          <w:p w:rsidR="00B95F44" w:rsidRPr="005970A0" w:rsidRDefault="00B95F44" w:rsidP="002A1228">
            <w:pPr>
              <w:pStyle w:val="DQIMainRowHeadings"/>
            </w:pPr>
            <w:r w:rsidRPr="005970A0">
              <w:t>Data Gaps/Issues Analysis</w:t>
            </w:r>
          </w:p>
        </w:tc>
      </w:tr>
      <w:tr w:rsidR="00B95F44" w:rsidRPr="005970A0" w:rsidTr="002A1228">
        <w:tc>
          <w:tcPr>
            <w:tcW w:w="922" w:type="pct"/>
            <w:gridSpan w:val="2"/>
            <w:shd w:val="clear" w:color="auto" w:fill="auto"/>
          </w:tcPr>
          <w:p w:rsidR="00B95F44" w:rsidRPr="005970A0" w:rsidRDefault="00B95F44" w:rsidP="009E4FAF">
            <w:pPr>
              <w:pStyle w:val="DQIRowHeadings"/>
              <w:keepNext w:val="0"/>
            </w:pPr>
            <w:r w:rsidRPr="005970A0">
              <w:t>Key data gaps/ issues</w:t>
            </w:r>
          </w:p>
        </w:tc>
        <w:tc>
          <w:tcPr>
            <w:tcW w:w="4078" w:type="pct"/>
            <w:shd w:val="clear" w:color="auto" w:fill="auto"/>
          </w:tcPr>
          <w:p w:rsidR="00B95F44" w:rsidRPr="005970A0" w:rsidRDefault="00B95F44" w:rsidP="002A1228">
            <w:pPr>
              <w:pStyle w:val="DQITableText"/>
            </w:pPr>
            <w:r w:rsidRPr="005970A0">
              <w:t xml:space="preserve">The Steering Committee notes the following key data gaps/issues: </w:t>
            </w:r>
          </w:p>
          <w:p w:rsidR="00B95F44" w:rsidRDefault="00B95F44" w:rsidP="002A1228">
            <w:pPr>
              <w:pStyle w:val="DQITableBullet"/>
            </w:pPr>
            <w:r w:rsidRPr="005970A0">
              <w:t>A small proportion of ‘Qualifications Completed’ data are not reported as they are submitted by state and territories more than two years after the completion year. At the national level, it is estimated that 1.2</w:t>
            </w:r>
            <w:r>
              <w:t xml:space="preserve"> per cent</w:t>
            </w:r>
            <w:r w:rsidRPr="005970A0">
              <w:t xml:space="preserve"> of the data are not reported in the time frame.</w:t>
            </w:r>
          </w:p>
          <w:p w:rsidR="00B95F44" w:rsidRPr="00752201" w:rsidRDefault="00B95F44" w:rsidP="009E4FAF">
            <w:pPr>
              <w:pStyle w:val="DQITableBullet"/>
              <w:keepNext w:val="0"/>
              <w:shd w:val="clear" w:color="auto" w:fill="FFFFFF" w:themeFill="background1"/>
            </w:pPr>
            <w:r w:rsidRPr="005970A0">
              <w:t xml:space="preserve">Data on qualifications completed includes both government and </w:t>
            </w:r>
            <w:r w:rsidRPr="005970A0">
              <w:br/>
              <w:t xml:space="preserve">non-government funded VET students attending TAFE, and only government funded students from private providers. This differs to other completions data reported in the VET chapter, which are reported for government-funded students only (in keeping with the scope of the VET chapter focusing on government-funded activity). This is due to </w:t>
            </w:r>
            <w:r w:rsidRPr="005970A0">
              <w:lastRenderedPageBreak/>
              <w:t xml:space="preserve">a limitation of the </w:t>
            </w:r>
            <w:r w:rsidRPr="00752201">
              <w:t>data that does not enable correct disaggregation of completions by funding source.</w:t>
            </w:r>
          </w:p>
          <w:p w:rsidR="00B95F44" w:rsidRPr="005970A0" w:rsidRDefault="00B95F44" w:rsidP="009E4FAF">
            <w:pPr>
              <w:pStyle w:val="DQITableBullet"/>
              <w:keepNext w:val="0"/>
              <w:shd w:val="clear" w:color="auto" w:fill="FFFFFF" w:themeFill="background1"/>
            </w:pPr>
            <w:r w:rsidRPr="00752201">
              <w:t>It should be noted that not all students intend to complete an entire qualification but rather only wish to complete specific modules or units of competency. The reporting of these students varies across states and territories. In some jurisdictions, students wishing to only complete a specific component of a qualification are required to formally enrol in that qualification for data collection purposes, whereas in other jurisdictions they are not. For this reason, caution should be taken when interpreting qualification completion rates across states and territories.</w:t>
            </w:r>
          </w:p>
        </w:tc>
      </w:tr>
    </w:tbl>
    <w:p w:rsidR="00B95F44" w:rsidRDefault="00B95F44" w:rsidP="00B95F44">
      <w:pPr>
        <w:pStyle w:val="BodyText"/>
      </w:pPr>
      <w:bookmarkStart w:id="42" w:name="_Toc325398237"/>
      <w:bookmarkStart w:id="43" w:name="_Toc396227472"/>
    </w:p>
    <w:p w:rsidR="00B95F44" w:rsidRPr="005970A0" w:rsidRDefault="00B95F44" w:rsidP="00B95F44">
      <w:pPr>
        <w:pStyle w:val="Heading4"/>
      </w:pPr>
      <w:r>
        <w:lastRenderedPageBreak/>
        <w:t>U</w:t>
      </w:r>
      <w:r w:rsidRPr="005970A0">
        <w:t xml:space="preserve">nits of competency </w:t>
      </w:r>
      <w:r>
        <w:t xml:space="preserve">and modules </w:t>
      </w:r>
      <w:r w:rsidRPr="005970A0">
        <w:t xml:space="preserve">completed, and annual change in units of competency </w:t>
      </w:r>
      <w:r>
        <w:t xml:space="preserve">and modules </w:t>
      </w:r>
      <w:r w:rsidRPr="005970A0">
        <w:t>completed</w:t>
      </w:r>
      <w:bookmarkEnd w:id="42"/>
      <w:bookmarkEnd w:id="43"/>
    </w:p>
    <w:p w:rsidR="00B95F44" w:rsidRPr="005970A0" w:rsidRDefault="00B95F44" w:rsidP="00B95F44">
      <w:pPr>
        <w:pStyle w:val="Box"/>
      </w:pPr>
      <w:r w:rsidRPr="005970A0">
        <w:t xml:space="preserve">Data quality information for this indicator has been drafted by the </w:t>
      </w:r>
      <w:proofErr w:type="spellStart"/>
      <w:r>
        <w:t>NCVER</w:t>
      </w:r>
      <w:proofErr w:type="spellEnd"/>
      <w:r w:rsidRPr="005970A0">
        <w:t xml:space="preserve"> and the Secretariat, in consultation with the VET Working Group.</w:t>
      </w:r>
    </w:p>
    <w:tbl>
      <w:tblPr>
        <w:tblW w:w="5000" w:type="pct"/>
        <w:tblCellMar>
          <w:left w:w="0" w:type="dxa"/>
          <w:right w:w="0" w:type="dxa"/>
        </w:tblCellMar>
        <w:tblLook w:val="0000" w:firstRow="0" w:lastRow="0" w:firstColumn="0" w:lastColumn="0" w:noHBand="0" w:noVBand="0"/>
      </w:tblPr>
      <w:tblGrid>
        <w:gridCol w:w="1559"/>
        <w:gridCol w:w="7230"/>
      </w:tblGrid>
      <w:tr w:rsidR="00B95F44" w:rsidRPr="005970A0" w:rsidTr="002A1228">
        <w:tc>
          <w:tcPr>
            <w:tcW w:w="5000" w:type="pct"/>
            <w:gridSpan w:val="2"/>
          </w:tcPr>
          <w:p w:rsidR="00B95F44" w:rsidRPr="005970A0" w:rsidRDefault="00B95F44" w:rsidP="002A1228">
            <w:pPr>
              <w:pStyle w:val="DQIMainRowHeadings"/>
            </w:pPr>
            <w:r w:rsidRPr="005970A0">
              <w:t>Indicator definition and description</w:t>
            </w:r>
            <w:r w:rsidRPr="005970A0">
              <w:rPr>
                <w:rFonts w:cs="Arial"/>
                <w:sz w:val="22"/>
                <w:szCs w:val="22"/>
              </w:rPr>
              <w:t xml:space="preserve"> </w:t>
            </w:r>
          </w:p>
        </w:tc>
      </w:tr>
      <w:tr w:rsidR="00B95F44" w:rsidRPr="005970A0" w:rsidTr="002A1228">
        <w:tc>
          <w:tcPr>
            <w:tcW w:w="887" w:type="pct"/>
          </w:tcPr>
          <w:p w:rsidR="00B95F44" w:rsidRPr="005970A0" w:rsidRDefault="00B95F44" w:rsidP="002A1228">
            <w:pPr>
              <w:pStyle w:val="DQIRowHeadings"/>
            </w:pPr>
            <w:r w:rsidRPr="005970A0">
              <w:t>Element</w:t>
            </w:r>
          </w:p>
        </w:tc>
        <w:tc>
          <w:tcPr>
            <w:tcW w:w="4113" w:type="pct"/>
          </w:tcPr>
          <w:p w:rsidR="00B95F44" w:rsidRPr="005970A0" w:rsidRDefault="00B95F44" w:rsidP="002A1228">
            <w:pPr>
              <w:pStyle w:val="DQITableText"/>
            </w:pPr>
            <w:r w:rsidRPr="005970A0">
              <w:t>O</w:t>
            </w:r>
            <w:r>
              <w:t>utput/effectiveness</w:t>
            </w:r>
            <w:r w:rsidRPr="005970A0">
              <w:t>.</w:t>
            </w:r>
          </w:p>
        </w:tc>
      </w:tr>
      <w:tr w:rsidR="00B95F44" w:rsidRPr="005970A0" w:rsidTr="002A1228">
        <w:tc>
          <w:tcPr>
            <w:tcW w:w="887" w:type="pct"/>
          </w:tcPr>
          <w:p w:rsidR="00B95F44" w:rsidRPr="005970A0" w:rsidRDefault="00B95F44" w:rsidP="002A1228">
            <w:pPr>
              <w:pStyle w:val="DQIRowHeadings"/>
            </w:pPr>
            <w:r w:rsidRPr="005970A0">
              <w:t>Indicator</w:t>
            </w:r>
          </w:p>
        </w:tc>
        <w:tc>
          <w:tcPr>
            <w:tcW w:w="4113" w:type="pct"/>
          </w:tcPr>
          <w:p w:rsidR="00B95F44" w:rsidRPr="005970A0" w:rsidRDefault="00B95F44" w:rsidP="002A1228">
            <w:pPr>
              <w:pStyle w:val="DQITableText"/>
            </w:pPr>
            <w:r>
              <w:t>VET student completions and qualifications</w:t>
            </w:r>
          </w:p>
        </w:tc>
      </w:tr>
      <w:tr w:rsidR="00B95F44" w:rsidRPr="005970A0" w:rsidTr="002A1228">
        <w:tc>
          <w:tcPr>
            <w:tcW w:w="887" w:type="pct"/>
          </w:tcPr>
          <w:p w:rsidR="00B95F44" w:rsidRPr="005970A0" w:rsidRDefault="00B95F44" w:rsidP="002A1228">
            <w:pPr>
              <w:pStyle w:val="DQIRowHeadings"/>
            </w:pPr>
            <w:r w:rsidRPr="005970A0">
              <w:t>Measure (computation)</w:t>
            </w:r>
          </w:p>
        </w:tc>
        <w:tc>
          <w:tcPr>
            <w:tcW w:w="4113" w:type="pct"/>
          </w:tcPr>
          <w:p w:rsidR="00B95F44" w:rsidRDefault="00B95F44" w:rsidP="002A1228">
            <w:pPr>
              <w:pStyle w:val="DQITableText"/>
            </w:pPr>
            <w:r w:rsidRPr="005970A0">
              <w:t xml:space="preserve">This </w:t>
            </w:r>
            <w:proofErr w:type="spellStart"/>
            <w:r w:rsidRPr="005970A0">
              <w:t>DQI</w:t>
            </w:r>
            <w:proofErr w:type="spellEnd"/>
            <w:r w:rsidRPr="005970A0">
              <w:t xml:space="preserve"> material covers the measure ‘units of competency completed’ and the relevant component (underlined as follows) of the related measure </w:t>
            </w:r>
            <w:r w:rsidRPr="005970A0">
              <w:sym w:font="Symbol" w:char="F0BE"/>
            </w:r>
            <w:r w:rsidRPr="005970A0">
              <w:t xml:space="preserve">  ‘</w:t>
            </w:r>
            <w:r w:rsidRPr="005970A0">
              <w:rPr>
                <w:u w:val="single"/>
              </w:rPr>
              <w:t xml:space="preserve">annual change in </w:t>
            </w:r>
            <w:r w:rsidRPr="005970A0">
              <w:t xml:space="preserve">qualifications completed, </w:t>
            </w:r>
            <w:r w:rsidRPr="005970A0">
              <w:rPr>
                <w:u w:val="single"/>
              </w:rPr>
              <w:t>units of competency completed</w:t>
            </w:r>
            <w:r w:rsidRPr="005970A0">
              <w:t xml:space="preserve"> </w:t>
            </w:r>
            <w:r w:rsidRPr="00AF194F">
              <w:rPr>
                <w:u w:val="single"/>
              </w:rPr>
              <w:t>and modules completed</w:t>
            </w:r>
            <w:r w:rsidRPr="005970A0">
              <w:t>, and annual change in Qualification equivalents.’</w:t>
            </w:r>
          </w:p>
          <w:p w:rsidR="00B95F44" w:rsidRPr="005970A0" w:rsidRDefault="00B95F44" w:rsidP="002A1228">
            <w:pPr>
              <w:pStyle w:val="DQITableText"/>
            </w:pPr>
            <w:r>
              <w:t>Units of competency and modules are calculated separately and then added together for this measure. Both units of competency and modules completed are included in the Report, as well as the combined figure.</w:t>
            </w:r>
          </w:p>
          <w:p w:rsidR="00B95F44" w:rsidRPr="005970A0" w:rsidRDefault="00B95F44" w:rsidP="002A1228">
            <w:pPr>
              <w:pStyle w:val="DQITableText"/>
              <w:rPr>
                <w:u w:val="single"/>
              </w:rPr>
            </w:pPr>
            <w:r w:rsidRPr="005970A0">
              <w:rPr>
                <w:u w:val="single"/>
              </w:rPr>
              <w:t>Definition</w:t>
            </w:r>
          </w:p>
          <w:p w:rsidR="00B95F44" w:rsidRPr="005970A0" w:rsidRDefault="00B95F44" w:rsidP="002A1228">
            <w:pPr>
              <w:pStyle w:val="DQITableText"/>
            </w:pPr>
            <w:r w:rsidRPr="005970A0">
              <w:t>Units of competency completed is defined as the number of units of competency successfully achieved/passed each year by government funded VET students, where a unit of competency is defined as a component of a competency standard and/or a statement of a key function or role in a particular job or occupation, endorsed within a national training package.</w:t>
            </w:r>
          </w:p>
          <w:p w:rsidR="00B95F44" w:rsidRPr="005970A0" w:rsidRDefault="00B95F44" w:rsidP="002A1228">
            <w:pPr>
              <w:pStyle w:val="DQITableText"/>
            </w:pPr>
            <w:r w:rsidRPr="005970A0">
              <w:t>A unit of competency is the smallest component of a VET program that can be assessed and recognised in the VET system for collection purposes.</w:t>
            </w:r>
          </w:p>
          <w:p w:rsidR="00B95F44" w:rsidRPr="005970A0" w:rsidRDefault="00B95F44" w:rsidP="002A1228">
            <w:pPr>
              <w:pStyle w:val="DQITableText"/>
            </w:pPr>
            <w:r w:rsidRPr="005970A0">
              <w:t>Annual change in units of competency completed is defined as the percentage change of units of competency achieved/passed from year to year.</w:t>
            </w:r>
          </w:p>
          <w:p w:rsidR="00B95F44" w:rsidRPr="005970A0" w:rsidRDefault="00B95F44" w:rsidP="002A1228">
            <w:pPr>
              <w:pStyle w:val="DQITableText"/>
            </w:pPr>
            <w:r w:rsidRPr="005970A0">
              <w:t>Modules completed is defined as the number of modules (outside training packages) successfully achieved/passed each year by government funded VET students, where a module (also called a subject) is a unit of education or training which can be completed on its own or as part of a course. Modules may also result in the attainment of one or more units of competency.</w:t>
            </w:r>
          </w:p>
          <w:p w:rsidR="00B95F44" w:rsidRPr="005970A0" w:rsidRDefault="00B95F44" w:rsidP="002A1228">
            <w:pPr>
              <w:pStyle w:val="DQITableText"/>
            </w:pPr>
            <w:r w:rsidRPr="005970A0">
              <w:t>A module is a unit of training in which a student can enrol and be assessed.</w:t>
            </w:r>
          </w:p>
          <w:p w:rsidR="00B95F44" w:rsidRPr="005970A0" w:rsidRDefault="00B95F44" w:rsidP="002A1228">
            <w:pPr>
              <w:pStyle w:val="DQITableText"/>
            </w:pPr>
            <w:r w:rsidRPr="005970A0">
              <w:t>Annual change in modules completed is defined as the percentage change of modules achieved/passed from year to year.</w:t>
            </w:r>
          </w:p>
          <w:p w:rsidR="00B95F44" w:rsidRPr="005970A0" w:rsidRDefault="00B95F44" w:rsidP="002A1228">
            <w:pPr>
              <w:pStyle w:val="DQITableText"/>
              <w:rPr>
                <w:u w:val="single"/>
              </w:rPr>
            </w:pPr>
            <w:r w:rsidRPr="005970A0">
              <w:rPr>
                <w:u w:val="single"/>
              </w:rPr>
              <w:t>Computation/s:</w:t>
            </w:r>
          </w:p>
          <w:p w:rsidR="00B95F44" w:rsidRPr="005970A0" w:rsidRDefault="00B95F44" w:rsidP="002A1228">
            <w:pPr>
              <w:pStyle w:val="DQITableText"/>
            </w:pPr>
            <w:r w:rsidRPr="005970A0">
              <w:t xml:space="preserve">Units of competencies completed is the total count of records with a flag of ‘C’ for the </w:t>
            </w:r>
            <w:r w:rsidRPr="005970A0">
              <w:rPr>
                <w:i/>
              </w:rPr>
              <w:t>unit of competency file</w:t>
            </w:r>
            <w:r w:rsidRPr="005970A0">
              <w:t xml:space="preserve"> which are indicated as successfully completed and submitted for the VET Provider data collection by registered training providers.</w:t>
            </w:r>
          </w:p>
          <w:p w:rsidR="00B95F44" w:rsidRPr="005970A0" w:rsidRDefault="00B95F44" w:rsidP="002A1228">
            <w:pPr>
              <w:pStyle w:val="DQITableText"/>
            </w:pPr>
            <w:r w:rsidRPr="005970A0">
              <w:t>Annual change in units of competency completed is the percentage change in the number of units of competency completed from one year to the subsequent year, where the number for the prior year is the numerator and number for the subsequent year is the denominator.</w:t>
            </w:r>
          </w:p>
          <w:p w:rsidR="00B95F44" w:rsidRPr="005970A0" w:rsidRDefault="00B95F44" w:rsidP="002A1228">
            <w:pPr>
              <w:pStyle w:val="DQITableText"/>
            </w:pPr>
            <w:r w:rsidRPr="005970A0">
              <w:t xml:space="preserve">Modules completed is the total count of records with a flag of ‘M’ for the </w:t>
            </w:r>
            <w:r w:rsidRPr="005970A0">
              <w:rPr>
                <w:i/>
              </w:rPr>
              <w:t>unit of competency file</w:t>
            </w:r>
            <w:r w:rsidRPr="005970A0">
              <w:t xml:space="preserve"> which are indicated as successfully completed and submitted for the VET Provider data collection by registered training providers.</w:t>
            </w:r>
          </w:p>
          <w:p w:rsidR="00B95F44" w:rsidRPr="005970A0" w:rsidRDefault="00B95F44" w:rsidP="002A1228">
            <w:pPr>
              <w:pStyle w:val="DQITableText"/>
            </w:pPr>
            <w:r w:rsidRPr="005970A0">
              <w:t>Annual change in modules completed is the percentage change in the number of modules completed from one year to the subsequent year, where the number for the prior year is the numerator and number for the subsequent year is the denominator.</w:t>
            </w:r>
          </w:p>
          <w:p w:rsidR="00B95F44" w:rsidRDefault="00B95F44" w:rsidP="002A1228">
            <w:pPr>
              <w:pStyle w:val="DQITableText"/>
            </w:pPr>
            <w:r w:rsidRPr="005970A0">
              <w:t>Comparative data are also reported for VET target groups (residents of remote and very remote areas, people with disability, people speaking a language other than English at home and by Indigenous status), where classification by these target groups is based on self</w:t>
            </w:r>
            <w:r w:rsidRPr="005970A0">
              <w:noBreakHyphen/>
              <w:t>identification by students on their VET enrolment form.</w:t>
            </w:r>
          </w:p>
          <w:p w:rsidR="00B95F44" w:rsidRPr="005970A0" w:rsidRDefault="00B95F44" w:rsidP="002A1228">
            <w:pPr>
              <w:pStyle w:val="DQITableText"/>
              <w:rPr>
                <w:rStyle w:val="DraftingNote"/>
                <w:color w:val="auto"/>
                <w:sz w:val="20"/>
                <w:u w:val="none"/>
              </w:rPr>
            </w:pPr>
          </w:p>
        </w:tc>
      </w:tr>
      <w:tr w:rsidR="00B95F44" w:rsidRPr="005970A0" w:rsidTr="002A1228">
        <w:tc>
          <w:tcPr>
            <w:tcW w:w="887" w:type="pct"/>
          </w:tcPr>
          <w:p w:rsidR="00B95F44" w:rsidRPr="005970A0" w:rsidRDefault="00B95F44" w:rsidP="002A1228">
            <w:pPr>
              <w:pStyle w:val="DQIRowHeadings"/>
            </w:pPr>
            <w:r w:rsidRPr="005970A0">
              <w:lastRenderedPageBreak/>
              <w:t>Data source/s</w:t>
            </w:r>
          </w:p>
        </w:tc>
        <w:tc>
          <w:tcPr>
            <w:tcW w:w="4113" w:type="pct"/>
          </w:tcPr>
          <w:p w:rsidR="00B95F44" w:rsidRPr="005970A0" w:rsidRDefault="00B95F44" w:rsidP="002A1228">
            <w:pPr>
              <w:pStyle w:val="DQITableText"/>
            </w:pPr>
            <w:r w:rsidRPr="005970A0">
              <w:t xml:space="preserve">All student data are unpublished and are sourced from </w:t>
            </w:r>
            <w:proofErr w:type="spellStart"/>
            <w:r w:rsidRPr="005970A0">
              <w:t>NCVER</w:t>
            </w:r>
            <w:proofErr w:type="spellEnd"/>
            <w:r w:rsidRPr="005970A0">
              <w:t xml:space="preserve"> National VET </w:t>
            </w:r>
            <w:r>
              <w:t>p</w:t>
            </w:r>
            <w:r w:rsidRPr="005970A0">
              <w:t>rovider data collection.</w:t>
            </w:r>
          </w:p>
        </w:tc>
      </w:tr>
      <w:tr w:rsidR="00B95F44" w:rsidRPr="005970A0" w:rsidTr="002A1228">
        <w:tc>
          <w:tcPr>
            <w:tcW w:w="5000" w:type="pct"/>
            <w:gridSpan w:val="2"/>
          </w:tcPr>
          <w:p w:rsidR="00B95F44" w:rsidRPr="005970A0" w:rsidRDefault="00B95F44" w:rsidP="002A1228">
            <w:pPr>
              <w:pStyle w:val="DQIMainRowHeadings"/>
            </w:pPr>
            <w:r w:rsidRPr="005970A0">
              <w:t>Data Quality Framework Dimensions</w:t>
            </w:r>
          </w:p>
        </w:tc>
      </w:tr>
      <w:tr w:rsidR="00B95F44" w:rsidRPr="005970A0" w:rsidTr="002A1228">
        <w:trPr>
          <w:trHeight w:val="1830"/>
        </w:trPr>
        <w:tc>
          <w:tcPr>
            <w:tcW w:w="887" w:type="pct"/>
            <w:vAlign w:val="center"/>
          </w:tcPr>
          <w:p w:rsidR="00B95F44" w:rsidRPr="005970A0" w:rsidRDefault="00B95F44" w:rsidP="002A1228">
            <w:pPr>
              <w:pStyle w:val="DQIRowHeadings"/>
            </w:pPr>
          </w:p>
        </w:tc>
        <w:tc>
          <w:tcPr>
            <w:tcW w:w="4113" w:type="pct"/>
            <w:vAlign w:val="center"/>
          </w:tcPr>
          <w:p w:rsidR="00B95F44" w:rsidRDefault="00B95F44" w:rsidP="002A1228">
            <w:pPr>
              <w:pStyle w:val="DQIRowHeadings"/>
            </w:pPr>
            <w:r>
              <w:t xml:space="preserve">For a summary of data quality information against the data quality framework dimensions — Institutional environment, Relevance, Timeliness, Accuracy, Coherence, Accessibility, and Interpretability — please see the related Data collection </w:t>
            </w:r>
            <w:proofErr w:type="spellStart"/>
            <w:r>
              <w:t>DQI</w:t>
            </w:r>
            <w:proofErr w:type="spellEnd"/>
            <w:r>
              <w:t xml:space="preserve"> for:</w:t>
            </w:r>
          </w:p>
          <w:p w:rsidR="00B95F44" w:rsidRDefault="00B95F44" w:rsidP="002A1228">
            <w:pPr>
              <w:pStyle w:val="DQIRowHeadings"/>
            </w:pPr>
          </w:p>
          <w:p w:rsidR="00B95F44" w:rsidRPr="005970A0" w:rsidRDefault="00B95F44" w:rsidP="002A1228">
            <w:pPr>
              <w:pStyle w:val="DQITableBullet"/>
              <w:jc w:val="left"/>
            </w:pPr>
            <w:r w:rsidRPr="005970A0">
              <w:t>Qualifications completed</w:t>
            </w:r>
            <w:r w:rsidRPr="003E0195">
              <w:t>:</w:t>
            </w:r>
            <w:r>
              <w:t xml:space="preserve"> </w:t>
            </w:r>
            <w:r>
              <w:tab/>
            </w:r>
            <w:proofErr w:type="spellStart"/>
            <w:r w:rsidRPr="007047F5">
              <w:t>NCVER</w:t>
            </w:r>
            <w:proofErr w:type="spellEnd"/>
            <w:r w:rsidRPr="007047F5">
              <w:t xml:space="preserve"> National VET provider data collection</w:t>
            </w:r>
            <w:r w:rsidRPr="00910800">
              <w:rPr>
                <w:rStyle w:val="Hyperlink"/>
                <w:rFonts w:cs="Arial"/>
                <w:color w:val="auto"/>
              </w:rPr>
              <w:t xml:space="preserve"> </w:t>
            </w:r>
          </w:p>
        </w:tc>
      </w:tr>
      <w:tr w:rsidR="00B95F44" w:rsidRPr="005970A0" w:rsidTr="002A1228">
        <w:tc>
          <w:tcPr>
            <w:tcW w:w="5000" w:type="pct"/>
            <w:gridSpan w:val="2"/>
            <w:shd w:val="clear" w:color="auto" w:fill="auto"/>
          </w:tcPr>
          <w:p w:rsidR="00B95F44" w:rsidRPr="005970A0" w:rsidRDefault="00B95F44" w:rsidP="002A1228">
            <w:pPr>
              <w:pStyle w:val="DQIMainRowHeadings"/>
            </w:pPr>
            <w:r w:rsidRPr="005970A0">
              <w:t>Data Gaps/Issues Analysis</w:t>
            </w:r>
          </w:p>
        </w:tc>
      </w:tr>
      <w:tr w:rsidR="00B95F44" w:rsidRPr="005970A0" w:rsidTr="002A1228">
        <w:tc>
          <w:tcPr>
            <w:tcW w:w="887" w:type="pct"/>
            <w:shd w:val="clear" w:color="auto" w:fill="auto"/>
          </w:tcPr>
          <w:p w:rsidR="00B95F44" w:rsidRPr="005970A0" w:rsidRDefault="00B95F44" w:rsidP="002A1228">
            <w:pPr>
              <w:pStyle w:val="DQIRowHeadings"/>
            </w:pPr>
            <w:r w:rsidRPr="005970A0">
              <w:t>Key data gaps/ issues</w:t>
            </w:r>
          </w:p>
        </w:tc>
        <w:tc>
          <w:tcPr>
            <w:tcW w:w="4113" w:type="pct"/>
            <w:shd w:val="clear" w:color="auto" w:fill="auto"/>
          </w:tcPr>
          <w:p w:rsidR="00B95F44" w:rsidRPr="005970A0" w:rsidRDefault="00B95F44" w:rsidP="002A1228">
            <w:pPr>
              <w:pStyle w:val="DQITableText"/>
            </w:pPr>
            <w:r w:rsidRPr="005970A0">
              <w:t xml:space="preserve">The Steering Committee notes the following key data gaps/issues: </w:t>
            </w:r>
          </w:p>
          <w:p w:rsidR="00B95F44" w:rsidRDefault="00B95F44" w:rsidP="002A1228">
            <w:pPr>
              <w:pStyle w:val="DQITableBullet"/>
            </w:pPr>
            <w:r w:rsidRPr="005970A0">
              <w:t>Units of competency completed is not directly comparable, as the mix of units is not necessarily comparable across jurisdictions or across years.</w:t>
            </w:r>
          </w:p>
          <w:p w:rsidR="00B95F44" w:rsidRDefault="00B95F44" w:rsidP="002A1228">
            <w:pPr>
              <w:pStyle w:val="DQITableBullet"/>
            </w:pPr>
            <w:r w:rsidRPr="005970A0">
              <w:t>Modules completed is not directly comparable, as the mix of modules is not necessarily comparable across jurisdictions or across years.</w:t>
            </w:r>
          </w:p>
          <w:p w:rsidR="00B95F44" w:rsidRPr="005970A0" w:rsidRDefault="00B95F44" w:rsidP="002A1228">
            <w:pPr>
              <w:pStyle w:val="DQITableBullet"/>
            </w:pPr>
            <w:r>
              <w:t>Units of competency and modules completed (in combination) are also not directly comparable.</w:t>
            </w:r>
          </w:p>
        </w:tc>
      </w:tr>
    </w:tbl>
    <w:p w:rsidR="00B95F44" w:rsidRPr="005970A0" w:rsidRDefault="00B95F44" w:rsidP="00B95F44">
      <w:pPr>
        <w:pStyle w:val="BodyText"/>
      </w:pPr>
    </w:p>
    <w:p w:rsidR="00B95F44" w:rsidRPr="005970A0" w:rsidRDefault="00B95F44" w:rsidP="00B95F44">
      <w:pPr>
        <w:pStyle w:val="Heading4"/>
      </w:pPr>
      <w:bookmarkStart w:id="44" w:name="_Toc325398239"/>
      <w:bookmarkStart w:id="45" w:name="_Toc396227473"/>
      <w:r w:rsidRPr="005970A0">
        <w:lastRenderedPageBreak/>
        <w:t>Qualification Equivalents, and annual change in Qualification Equivalents</w:t>
      </w:r>
      <w:bookmarkEnd w:id="44"/>
      <w:bookmarkEnd w:id="45"/>
    </w:p>
    <w:p w:rsidR="00B95F44" w:rsidRPr="005970A0" w:rsidRDefault="00B95F44" w:rsidP="00B95F44">
      <w:pPr>
        <w:pStyle w:val="Box"/>
      </w:pPr>
      <w:r w:rsidRPr="005970A0">
        <w:t xml:space="preserve">Data quality information for this indicator has been drafted by the </w:t>
      </w:r>
      <w:proofErr w:type="spellStart"/>
      <w:r>
        <w:t>NCVER</w:t>
      </w:r>
      <w:proofErr w:type="spellEnd"/>
      <w:r w:rsidRPr="005970A0">
        <w:t xml:space="preserve"> and the Secretariat, in consultation with the VET Working Group.</w:t>
      </w:r>
    </w:p>
    <w:tbl>
      <w:tblPr>
        <w:tblW w:w="5000" w:type="pct"/>
        <w:tblCellMar>
          <w:left w:w="0" w:type="dxa"/>
          <w:right w:w="0" w:type="dxa"/>
        </w:tblCellMar>
        <w:tblLook w:val="0000" w:firstRow="0" w:lastRow="0" w:firstColumn="0" w:lastColumn="0" w:noHBand="0" w:noVBand="0"/>
      </w:tblPr>
      <w:tblGrid>
        <w:gridCol w:w="1559"/>
        <w:gridCol w:w="5671"/>
        <w:gridCol w:w="1559"/>
      </w:tblGrid>
      <w:tr w:rsidR="00B95F44" w:rsidRPr="005970A0" w:rsidTr="002A1228">
        <w:tc>
          <w:tcPr>
            <w:tcW w:w="5000" w:type="pct"/>
            <w:gridSpan w:val="3"/>
          </w:tcPr>
          <w:p w:rsidR="00B95F44" w:rsidRPr="005970A0" w:rsidRDefault="00B95F44" w:rsidP="002A1228">
            <w:pPr>
              <w:pStyle w:val="DQIMainRowHeadings"/>
            </w:pPr>
            <w:r w:rsidRPr="005970A0">
              <w:t>Indicator definition and description</w:t>
            </w:r>
            <w:r w:rsidRPr="005970A0">
              <w:rPr>
                <w:rFonts w:cs="Arial"/>
                <w:sz w:val="22"/>
                <w:szCs w:val="22"/>
              </w:rPr>
              <w:t xml:space="preserve"> </w:t>
            </w:r>
          </w:p>
        </w:tc>
      </w:tr>
      <w:tr w:rsidR="00B95F44" w:rsidRPr="005970A0" w:rsidTr="002A1228">
        <w:tc>
          <w:tcPr>
            <w:tcW w:w="887" w:type="pct"/>
          </w:tcPr>
          <w:p w:rsidR="00B95F44" w:rsidRPr="005970A0" w:rsidRDefault="00B95F44" w:rsidP="002A1228">
            <w:pPr>
              <w:pStyle w:val="DQIRowHeadings"/>
            </w:pPr>
            <w:r w:rsidRPr="005970A0">
              <w:t>Element</w:t>
            </w:r>
          </w:p>
        </w:tc>
        <w:tc>
          <w:tcPr>
            <w:tcW w:w="4113" w:type="pct"/>
            <w:gridSpan w:val="2"/>
          </w:tcPr>
          <w:p w:rsidR="00B95F44" w:rsidRPr="005970A0" w:rsidRDefault="00B95F44" w:rsidP="002A1228">
            <w:pPr>
              <w:pStyle w:val="DQITableText"/>
            </w:pPr>
            <w:r w:rsidRPr="005970A0">
              <w:t>O</w:t>
            </w:r>
            <w:r>
              <w:t>utput/effectiveness</w:t>
            </w:r>
            <w:r w:rsidRPr="005970A0">
              <w:t>.</w:t>
            </w:r>
          </w:p>
        </w:tc>
      </w:tr>
      <w:tr w:rsidR="00B95F44" w:rsidRPr="005970A0" w:rsidTr="002A1228">
        <w:tc>
          <w:tcPr>
            <w:tcW w:w="887" w:type="pct"/>
          </w:tcPr>
          <w:p w:rsidR="00B95F44" w:rsidRPr="005970A0" w:rsidRDefault="00B95F44" w:rsidP="002A1228">
            <w:pPr>
              <w:pStyle w:val="DQIRowHeadings"/>
            </w:pPr>
            <w:r w:rsidRPr="005970A0">
              <w:t>Indicator</w:t>
            </w:r>
          </w:p>
        </w:tc>
        <w:tc>
          <w:tcPr>
            <w:tcW w:w="4113" w:type="pct"/>
            <w:gridSpan w:val="2"/>
          </w:tcPr>
          <w:p w:rsidR="00B95F44" w:rsidRPr="005970A0" w:rsidRDefault="00B95F44" w:rsidP="002A1228">
            <w:pPr>
              <w:pStyle w:val="DQITableText"/>
            </w:pPr>
            <w:r>
              <w:t>VET student completions and qualifications</w:t>
            </w:r>
          </w:p>
        </w:tc>
      </w:tr>
      <w:tr w:rsidR="00B95F44" w:rsidRPr="005970A0" w:rsidTr="002A1228">
        <w:tc>
          <w:tcPr>
            <w:tcW w:w="887" w:type="pct"/>
          </w:tcPr>
          <w:p w:rsidR="00B95F44" w:rsidRPr="005970A0" w:rsidRDefault="00B95F44" w:rsidP="002A1228">
            <w:pPr>
              <w:pStyle w:val="DQIRowHeadings"/>
            </w:pPr>
            <w:r w:rsidRPr="005970A0">
              <w:t>Measure (computation)</w:t>
            </w:r>
          </w:p>
        </w:tc>
        <w:tc>
          <w:tcPr>
            <w:tcW w:w="4113" w:type="pct"/>
            <w:gridSpan w:val="2"/>
          </w:tcPr>
          <w:p w:rsidR="00B95F44" w:rsidRPr="005970A0" w:rsidRDefault="00B95F44" w:rsidP="002A1228">
            <w:pPr>
              <w:pStyle w:val="DQITableText"/>
            </w:pPr>
            <w:r w:rsidRPr="005970A0">
              <w:t xml:space="preserve">This </w:t>
            </w:r>
            <w:proofErr w:type="spellStart"/>
            <w:r w:rsidRPr="005970A0">
              <w:t>DQI</w:t>
            </w:r>
            <w:proofErr w:type="spellEnd"/>
            <w:r w:rsidRPr="005970A0">
              <w:t xml:space="preserve"> material covers the measure ‘Qualification Equivalents’ and the relevant component (underlined as follows) of the related measure </w:t>
            </w:r>
            <w:r w:rsidRPr="005970A0">
              <w:sym w:font="Symbol" w:char="F0BE"/>
            </w:r>
            <w:r w:rsidRPr="005970A0">
              <w:t xml:space="preserve">  ‘annual change in</w:t>
            </w:r>
            <w:r w:rsidRPr="005970A0">
              <w:rPr>
                <w:u w:val="single"/>
              </w:rPr>
              <w:t xml:space="preserve"> </w:t>
            </w:r>
            <w:r w:rsidRPr="005970A0">
              <w:t xml:space="preserve">qualifications completed, units of competency completed and modules completed, and </w:t>
            </w:r>
            <w:r w:rsidRPr="005970A0">
              <w:rPr>
                <w:u w:val="single"/>
              </w:rPr>
              <w:t>annual change in Qualification equivalents</w:t>
            </w:r>
            <w:r w:rsidRPr="005970A0">
              <w:t>.’</w:t>
            </w:r>
          </w:p>
          <w:p w:rsidR="00B95F44" w:rsidRPr="00AD3934" w:rsidRDefault="00B95F44" w:rsidP="002A1228">
            <w:pPr>
              <w:pStyle w:val="DQITableText"/>
              <w:rPr>
                <w:i/>
              </w:rPr>
            </w:pPr>
            <w:r w:rsidRPr="00AD3934">
              <w:rPr>
                <w:i/>
              </w:rPr>
              <w:t>For Qualification Equivalents:</w:t>
            </w:r>
          </w:p>
          <w:p w:rsidR="00B95F44" w:rsidRPr="005970A0" w:rsidRDefault="00B95F44" w:rsidP="002A1228">
            <w:pPr>
              <w:pStyle w:val="DQITableText"/>
              <w:rPr>
                <w:u w:val="single"/>
              </w:rPr>
            </w:pPr>
            <w:r w:rsidRPr="005970A0">
              <w:rPr>
                <w:u w:val="single"/>
              </w:rPr>
              <w:t>Definition</w:t>
            </w:r>
          </w:p>
          <w:p w:rsidR="00B95F44" w:rsidRPr="005970A0" w:rsidRDefault="00B95F44" w:rsidP="002A1228">
            <w:pPr>
              <w:pStyle w:val="DQITableText"/>
            </w:pPr>
            <w:r w:rsidRPr="005970A0">
              <w:t xml:space="preserve">Expresses skill outputs in terms of equivalent qualifications within each </w:t>
            </w:r>
            <w:proofErr w:type="spellStart"/>
            <w:r w:rsidRPr="005970A0">
              <w:t>AQF</w:t>
            </w:r>
            <w:proofErr w:type="spellEnd"/>
            <w:r w:rsidRPr="005970A0">
              <w:t xml:space="preserve"> level and Field of Education. Qualification Equivalents are based on the training activity (annual hours) associated with successful completions of modules and units of competency by government funded VET students, divided by an agreed value of training activity representing a qualification.</w:t>
            </w:r>
          </w:p>
          <w:p w:rsidR="00B95F44" w:rsidRPr="005970A0" w:rsidRDefault="00B95F44" w:rsidP="002A1228">
            <w:pPr>
              <w:pStyle w:val="DQITableText"/>
              <w:rPr>
                <w:u w:val="single"/>
              </w:rPr>
            </w:pPr>
            <w:r w:rsidRPr="005970A0">
              <w:rPr>
                <w:u w:val="single"/>
              </w:rPr>
              <w:t>Numerator/s</w:t>
            </w:r>
          </w:p>
          <w:p w:rsidR="00B95F44" w:rsidRPr="005970A0" w:rsidRDefault="00B95F44" w:rsidP="002A1228">
            <w:pPr>
              <w:pStyle w:val="DQITableText"/>
            </w:pPr>
            <w:r w:rsidRPr="005970A0">
              <w:t xml:space="preserve">The annual hours associated with successfully completed modules and units of competency. </w:t>
            </w:r>
          </w:p>
          <w:p w:rsidR="00B95F44" w:rsidRPr="005970A0" w:rsidRDefault="00B95F44" w:rsidP="002A1228">
            <w:pPr>
              <w:pStyle w:val="DQITableText"/>
              <w:rPr>
                <w:u w:val="single"/>
              </w:rPr>
            </w:pPr>
            <w:r w:rsidRPr="005970A0">
              <w:rPr>
                <w:u w:val="single"/>
              </w:rPr>
              <w:t>Denominator/s</w:t>
            </w:r>
          </w:p>
          <w:p w:rsidR="00B95F44" w:rsidRPr="005970A0" w:rsidRDefault="00B95F44" w:rsidP="002A1228">
            <w:pPr>
              <w:pStyle w:val="DQITableText"/>
            </w:pPr>
            <w:r w:rsidRPr="005970A0">
              <w:t xml:space="preserve">An agreed (nominal) value of training activity representing a qualification (where the value is the median number of hours that are required to successfully complete a qualification in that </w:t>
            </w:r>
            <w:proofErr w:type="spellStart"/>
            <w:r w:rsidRPr="005970A0">
              <w:t>AQF</w:t>
            </w:r>
            <w:proofErr w:type="spellEnd"/>
            <w:r w:rsidRPr="005970A0">
              <w:t xml:space="preserve"> level and Field of Education).</w:t>
            </w:r>
          </w:p>
          <w:p w:rsidR="00B95F44" w:rsidRPr="005970A0" w:rsidRDefault="00B95F44" w:rsidP="002A1228">
            <w:pPr>
              <w:pStyle w:val="DQITableText"/>
              <w:rPr>
                <w:u w:val="single"/>
              </w:rPr>
            </w:pPr>
            <w:r w:rsidRPr="005970A0">
              <w:rPr>
                <w:u w:val="single"/>
              </w:rPr>
              <w:t>Computation/s:</w:t>
            </w:r>
          </w:p>
          <w:p w:rsidR="00B95F44" w:rsidRPr="005970A0" w:rsidRDefault="00B95F44" w:rsidP="002A1228">
            <w:pPr>
              <w:pStyle w:val="DQITableText"/>
            </w:pPr>
            <w:r w:rsidRPr="005970A0">
              <w:t>Numerator (above) divided by denominator (above), calculated separately for activity at all qualification levels, at certificate I or II, at certificate III or IV, and at diploma level and above.</w:t>
            </w:r>
          </w:p>
          <w:p w:rsidR="00B95F44" w:rsidRPr="00AD3934" w:rsidRDefault="00B95F44" w:rsidP="002A1228">
            <w:pPr>
              <w:pStyle w:val="DQITableText"/>
              <w:rPr>
                <w:i/>
              </w:rPr>
            </w:pPr>
            <w:r w:rsidRPr="00AD3934">
              <w:rPr>
                <w:i/>
              </w:rPr>
              <w:t>For annual change in Qualification Equivalents:</w:t>
            </w:r>
          </w:p>
          <w:p w:rsidR="00B95F44" w:rsidRPr="005970A0" w:rsidRDefault="00B95F44" w:rsidP="002A1228">
            <w:pPr>
              <w:pStyle w:val="DQITableText"/>
              <w:rPr>
                <w:u w:val="single"/>
              </w:rPr>
            </w:pPr>
            <w:r w:rsidRPr="005970A0">
              <w:rPr>
                <w:u w:val="single"/>
              </w:rPr>
              <w:t>Computation/s:</w:t>
            </w:r>
          </w:p>
          <w:p w:rsidR="00B95F44" w:rsidRPr="005970A0" w:rsidRDefault="00B95F44" w:rsidP="002A1228">
            <w:pPr>
              <w:pStyle w:val="DQITableText"/>
            </w:pPr>
            <w:r w:rsidRPr="005970A0">
              <w:t>Annual change in Qualification Equivalents is the percentage change in Qualification Equivalents from one year to the subsequent year calculated separately for activity at certificate III or IV and at diploma level and above, where the number for the prior year is the numerator and number for the subsequent year is the denominator.</w:t>
            </w:r>
          </w:p>
          <w:p w:rsidR="00B95F44" w:rsidRPr="005970A0" w:rsidRDefault="00B95F44" w:rsidP="002A1228">
            <w:pPr>
              <w:pStyle w:val="DQITableText"/>
              <w:rPr>
                <w:rStyle w:val="DraftingNote"/>
                <w:color w:val="auto"/>
                <w:sz w:val="20"/>
                <w:u w:val="none"/>
              </w:rPr>
            </w:pPr>
            <w:r w:rsidRPr="005970A0">
              <w:t>Comparative data are also reported by Indigenous status, where Indigenous status is based on self</w:t>
            </w:r>
            <w:r w:rsidRPr="005970A0">
              <w:noBreakHyphen/>
              <w:t>identification by students on their VET enrolment form.</w:t>
            </w:r>
          </w:p>
        </w:tc>
      </w:tr>
      <w:tr w:rsidR="00B95F44" w:rsidRPr="005970A0" w:rsidTr="002A1228">
        <w:tc>
          <w:tcPr>
            <w:tcW w:w="887" w:type="pct"/>
          </w:tcPr>
          <w:p w:rsidR="00B95F44" w:rsidRPr="005970A0" w:rsidRDefault="00B95F44" w:rsidP="002A1228">
            <w:pPr>
              <w:pStyle w:val="DQIRowHeadings"/>
            </w:pPr>
            <w:r w:rsidRPr="005970A0">
              <w:t>Data source/s</w:t>
            </w:r>
          </w:p>
        </w:tc>
        <w:tc>
          <w:tcPr>
            <w:tcW w:w="4113" w:type="pct"/>
            <w:gridSpan w:val="2"/>
          </w:tcPr>
          <w:p w:rsidR="00B95F44" w:rsidRPr="005970A0" w:rsidRDefault="00B95F44" w:rsidP="002A1228">
            <w:pPr>
              <w:pStyle w:val="DQITableText"/>
            </w:pPr>
            <w:r w:rsidRPr="005970A0">
              <w:t xml:space="preserve">All student data are unpublished and are sourced from </w:t>
            </w:r>
            <w:proofErr w:type="spellStart"/>
            <w:r w:rsidRPr="005970A0">
              <w:t>NCVER</w:t>
            </w:r>
            <w:proofErr w:type="spellEnd"/>
            <w:r w:rsidRPr="005970A0">
              <w:t xml:space="preserve"> National VET </w:t>
            </w:r>
            <w:r>
              <w:t>p</w:t>
            </w:r>
            <w:r w:rsidRPr="005970A0">
              <w:t>rovider data collection.</w:t>
            </w:r>
          </w:p>
        </w:tc>
      </w:tr>
      <w:tr w:rsidR="00B95F44" w:rsidRPr="005970A0" w:rsidTr="002A1228">
        <w:tc>
          <w:tcPr>
            <w:tcW w:w="4113" w:type="pct"/>
            <w:gridSpan w:val="2"/>
          </w:tcPr>
          <w:p w:rsidR="00B95F44" w:rsidRPr="005970A0" w:rsidRDefault="00B95F44" w:rsidP="002A1228">
            <w:pPr>
              <w:pStyle w:val="DQIMainRowHeadings"/>
            </w:pPr>
            <w:r w:rsidRPr="005970A0">
              <w:t>Data Quality Framework Dimensions</w:t>
            </w:r>
          </w:p>
        </w:tc>
        <w:tc>
          <w:tcPr>
            <w:tcW w:w="887" w:type="pct"/>
          </w:tcPr>
          <w:p w:rsidR="00B95F44" w:rsidRPr="005970A0" w:rsidRDefault="00B95F44" w:rsidP="002A1228">
            <w:pPr>
              <w:pStyle w:val="DQITableText"/>
            </w:pPr>
          </w:p>
        </w:tc>
      </w:tr>
      <w:tr w:rsidR="00B95F44" w:rsidRPr="005970A0" w:rsidTr="002A1228">
        <w:trPr>
          <w:trHeight w:val="1830"/>
        </w:trPr>
        <w:tc>
          <w:tcPr>
            <w:tcW w:w="887" w:type="pct"/>
            <w:vAlign w:val="center"/>
          </w:tcPr>
          <w:p w:rsidR="00B95F44" w:rsidRPr="005970A0" w:rsidRDefault="00B95F44" w:rsidP="002A1228">
            <w:pPr>
              <w:pStyle w:val="DQIRowHeadings"/>
              <w:keepNext w:val="0"/>
            </w:pPr>
          </w:p>
        </w:tc>
        <w:tc>
          <w:tcPr>
            <w:tcW w:w="4113" w:type="pct"/>
            <w:gridSpan w:val="2"/>
            <w:vAlign w:val="center"/>
          </w:tcPr>
          <w:p w:rsidR="00B95F44" w:rsidRDefault="00B95F44" w:rsidP="002A1228">
            <w:pPr>
              <w:pStyle w:val="DQIRowHeadings"/>
            </w:pPr>
            <w:r>
              <w:t xml:space="preserve">For a summary of data quality information against the data quality framework dimensions — Institutional environment, Relevance, Timeliness, Accuracy, Coherence, Accessibility, and Interpretability — please see the related Data collection </w:t>
            </w:r>
            <w:proofErr w:type="spellStart"/>
            <w:r>
              <w:t>DQI</w:t>
            </w:r>
            <w:proofErr w:type="spellEnd"/>
            <w:r>
              <w:t xml:space="preserve"> for:</w:t>
            </w:r>
          </w:p>
          <w:p w:rsidR="00B95F44" w:rsidRDefault="00B95F44" w:rsidP="002A1228">
            <w:pPr>
              <w:pStyle w:val="DQIRowHeadings"/>
            </w:pPr>
          </w:p>
          <w:p w:rsidR="00B95F44" w:rsidRPr="005970A0" w:rsidRDefault="00B95F44" w:rsidP="002A1228">
            <w:pPr>
              <w:pStyle w:val="DQITableBullet"/>
              <w:keepNext w:val="0"/>
              <w:jc w:val="left"/>
            </w:pPr>
            <w:r w:rsidRPr="005970A0">
              <w:t>Qualifications completed</w:t>
            </w:r>
            <w:r w:rsidRPr="003E0195">
              <w:t>:</w:t>
            </w:r>
            <w:r>
              <w:t xml:space="preserve"> </w:t>
            </w:r>
            <w:r>
              <w:tab/>
            </w:r>
            <w:proofErr w:type="spellStart"/>
            <w:r w:rsidRPr="007047F5">
              <w:t>NCVER</w:t>
            </w:r>
            <w:proofErr w:type="spellEnd"/>
            <w:r w:rsidRPr="007047F5">
              <w:t xml:space="preserve"> National VET provider data collection</w:t>
            </w:r>
            <w:r w:rsidRPr="00910800">
              <w:rPr>
                <w:rStyle w:val="Hyperlink"/>
                <w:rFonts w:cs="Arial"/>
                <w:color w:val="auto"/>
              </w:rPr>
              <w:t xml:space="preserve"> </w:t>
            </w:r>
          </w:p>
        </w:tc>
      </w:tr>
    </w:tbl>
    <w:p w:rsidR="00B95F44" w:rsidRPr="005970A0" w:rsidRDefault="00B95F44" w:rsidP="00B95F44"/>
    <w:p w:rsidR="00B11361" w:rsidRPr="005970A0" w:rsidRDefault="00B11361" w:rsidP="00B11361">
      <w:pPr>
        <w:pStyle w:val="Heading3"/>
        <w:spacing w:before="120"/>
      </w:pPr>
      <w:bookmarkStart w:id="46" w:name="GovRecurExpendPerAnnHour"/>
      <w:bookmarkStart w:id="47" w:name="_Toc436148766"/>
      <w:bookmarkEnd w:id="46"/>
      <w:r w:rsidRPr="005970A0">
        <w:lastRenderedPageBreak/>
        <w:t>Government recurrent expenditure per annual hour</w:t>
      </w:r>
      <w:bookmarkEnd w:id="41"/>
      <w:bookmarkEnd w:id="47"/>
    </w:p>
    <w:p w:rsidR="00B11361" w:rsidRPr="005970A0" w:rsidRDefault="00B11361" w:rsidP="00B11361">
      <w:pPr>
        <w:pStyle w:val="Box"/>
      </w:pPr>
      <w:r w:rsidRPr="005970A0">
        <w:t xml:space="preserve">Data quality information for this indicator has been drafted by the </w:t>
      </w:r>
      <w:proofErr w:type="spellStart"/>
      <w:r w:rsidR="00E22A04">
        <w:t>NCVER</w:t>
      </w:r>
      <w:proofErr w:type="spellEnd"/>
      <w:r w:rsidRPr="005970A0">
        <w:t xml:space="preserve"> and the Secretariat, in consultation with the VET Working Group.</w:t>
      </w:r>
    </w:p>
    <w:tbl>
      <w:tblPr>
        <w:tblW w:w="5000" w:type="pct"/>
        <w:tblCellMar>
          <w:left w:w="0" w:type="dxa"/>
          <w:right w:w="0" w:type="dxa"/>
        </w:tblCellMar>
        <w:tblLook w:val="0000" w:firstRow="0" w:lastRow="0" w:firstColumn="0" w:lastColumn="0" w:noHBand="0" w:noVBand="0"/>
      </w:tblPr>
      <w:tblGrid>
        <w:gridCol w:w="1559"/>
        <w:gridCol w:w="62"/>
        <w:gridCol w:w="7168"/>
      </w:tblGrid>
      <w:tr w:rsidR="00B11361" w:rsidRPr="005970A0" w:rsidTr="00B11361">
        <w:tc>
          <w:tcPr>
            <w:tcW w:w="5000" w:type="pct"/>
            <w:gridSpan w:val="3"/>
          </w:tcPr>
          <w:p w:rsidR="00B11361" w:rsidRPr="005970A0" w:rsidRDefault="00B11361" w:rsidP="00704CE4">
            <w:pPr>
              <w:pStyle w:val="DQIMainRowHeadings"/>
              <w:rPr>
                <w:rFonts w:cs="Arial"/>
                <w:sz w:val="22"/>
                <w:szCs w:val="22"/>
              </w:rPr>
            </w:pPr>
            <w:r w:rsidRPr="005970A0">
              <w:t>Indicator definition and description</w:t>
            </w:r>
            <w:r w:rsidRPr="005970A0">
              <w:rPr>
                <w:rFonts w:cs="Arial"/>
                <w:sz w:val="22"/>
                <w:szCs w:val="22"/>
              </w:rPr>
              <w:t xml:space="preserve"> </w:t>
            </w:r>
          </w:p>
        </w:tc>
      </w:tr>
      <w:tr w:rsidR="00B11361" w:rsidRPr="005970A0" w:rsidTr="007D57F5">
        <w:tc>
          <w:tcPr>
            <w:tcW w:w="887" w:type="pct"/>
          </w:tcPr>
          <w:p w:rsidR="00B11361" w:rsidRPr="005970A0" w:rsidRDefault="00B11361" w:rsidP="00704CE4">
            <w:pPr>
              <w:pStyle w:val="DQIRowHeadings"/>
            </w:pPr>
            <w:r w:rsidRPr="005970A0">
              <w:t>Element</w:t>
            </w:r>
          </w:p>
        </w:tc>
        <w:tc>
          <w:tcPr>
            <w:tcW w:w="4113" w:type="pct"/>
            <w:gridSpan w:val="2"/>
          </w:tcPr>
          <w:p w:rsidR="00B11361" w:rsidRPr="005970A0" w:rsidRDefault="00B11361" w:rsidP="00704CE4">
            <w:pPr>
              <w:pStyle w:val="DQITableText"/>
            </w:pPr>
            <w:r w:rsidRPr="005970A0">
              <w:t>Output/efficiency.</w:t>
            </w:r>
          </w:p>
        </w:tc>
      </w:tr>
      <w:tr w:rsidR="00B11361" w:rsidRPr="005970A0" w:rsidTr="007D57F5">
        <w:tc>
          <w:tcPr>
            <w:tcW w:w="887" w:type="pct"/>
          </w:tcPr>
          <w:p w:rsidR="00B11361" w:rsidRPr="005970A0" w:rsidRDefault="00B11361" w:rsidP="00704CE4">
            <w:pPr>
              <w:pStyle w:val="DQIRowHeadings"/>
            </w:pPr>
            <w:r w:rsidRPr="005970A0">
              <w:t>Indicator</w:t>
            </w:r>
          </w:p>
        </w:tc>
        <w:tc>
          <w:tcPr>
            <w:tcW w:w="4113" w:type="pct"/>
            <w:gridSpan w:val="2"/>
          </w:tcPr>
          <w:p w:rsidR="00B11361" w:rsidRPr="005970A0" w:rsidRDefault="00B11361" w:rsidP="00704CE4">
            <w:pPr>
              <w:pStyle w:val="DQITableText"/>
            </w:pPr>
            <w:r w:rsidRPr="005970A0">
              <w:t>Government recurrent expenditure per annual hour</w:t>
            </w:r>
          </w:p>
        </w:tc>
      </w:tr>
      <w:tr w:rsidR="00B11361" w:rsidRPr="005970A0" w:rsidTr="007D57F5">
        <w:tc>
          <w:tcPr>
            <w:tcW w:w="887" w:type="pct"/>
          </w:tcPr>
          <w:p w:rsidR="00B11361" w:rsidRPr="005970A0" w:rsidRDefault="00B11361" w:rsidP="00704CE4">
            <w:pPr>
              <w:pStyle w:val="DQIRowHeadings"/>
            </w:pPr>
            <w:r w:rsidRPr="005970A0">
              <w:t>Measure (computation)</w:t>
            </w:r>
          </w:p>
        </w:tc>
        <w:tc>
          <w:tcPr>
            <w:tcW w:w="4113" w:type="pct"/>
            <w:gridSpan w:val="2"/>
          </w:tcPr>
          <w:p w:rsidR="00B11361" w:rsidRPr="005970A0" w:rsidRDefault="00B11361" w:rsidP="00704CE4">
            <w:pPr>
              <w:pStyle w:val="DQITableText"/>
            </w:pPr>
            <w:r w:rsidRPr="005970A0">
              <w:rPr>
                <w:u w:val="single"/>
              </w:rPr>
              <w:t>Definition</w:t>
            </w:r>
          </w:p>
          <w:p w:rsidR="00B11361" w:rsidRPr="005970A0" w:rsidRDefault="00B11361" w:rsidP="00704CE4">
            <w:pPr>
              <w:pStyle w:val="DQITableText"/>
            </w:pPr>
            <w:r w:rsidRPr="005970A0">
              <w:t xml:space="preserve">Government recurrent expenditure divided by government funded annual hours. </w:t>
            </w:r>
          </w:p>
          <w:p w:rsidR="00B11361" w:rsidRPr="005970A0" w:rsidRDefault="00B11361" w:rsidP="00704CE4">
            <w:pPr>
              <w:pStyle w:val="DQITableText"/>
              <w:rPr>
                <w:u w:val="single"/>
              </w:rPr>
            </w:pPr>
            <w:r w:rsidRPr="005970A0">
              <w:rPr>
                <w:u w:val="single"/>
              </w:rPr>
              <w:t>Numerator/s</w:t>
            </w:r>
          </w:p>
          <w:p w:rsidR="00B11361" w:rsidRPr="005970A0" w:rsidRDefault="00B11361" w:rsidP="00704CE4">
            <w:pPr>
              <w:pStyle w:val="DQITableText"/>
            </w:pPr>
            <w:r w:rsidRPr="005970A0">
              <w:t xml:space="preserve">Government recurrent expenditure is calculated by adding the following </w:t>
            </w:r>
            <w:proofErr w:type="spellStart"/>
            <w:r w:rsidRPr="005970A0">
              <w:t>AVETMISS</w:t>
            </w:r>
            <w:proofErr w:type="spellEnd"/>
            <w:r w:rsidRPr="005970A0">
              <w:t xml:space="preserve"> financial statements revenue items for the government recurrent payments received by states and territories: Commonwealth National Agreement revenue, State recurrent revenue, Commonwealth Administered Programs revenue and revenue for VET expenses and liabilities of State/Territory training departments undertaken by another department or agency but required to be reported in the financial accounts of the training department. The reported government recurrent expenditure excludes capital expenditure.</w:t>
            </w:r>
          </w:p>
          <w:p w:rsidR="00B11361" w:rsidRPr="005970A0" w:rsidRDefault="00B11361" w:rsidP="00704CE4">
            <w:pPr>
              <w:pStyle w:val="DQITableText"/>
              <w:rPr>
                <w:u w:val="single"/>
              </w:rPr>
            </w:pPr>
            <w:r w:rsidRPr="005970A0">
              <w:rPr>
                <w:u w:val="single"/>
              </w:rPr>
              <w:t>Denominator/s</w:t>
            </w:r>
          </w:p>
          <w:p w:rsidR="00B11361" w:rsidRPr="005970A0" w:rsidRDefault="00B11361" w:rsidP="00704CE4">
            <w:pPr>
              <w:pStyle w:val="DQITableText"/>
            </w:pPr>
            <w:r w:rsidRPr="005970A0">
              <w:t>The total hours of delivery based on the standard nominal hour value for each subject undertaken. These represent the hours of supervised training under a traditional delivery strategy. Annual hours are adjusted to account for invalid module enrolments.</w:t>
            </w:r>
          </w:p>
          <w:p w:rsidR="00B11361" w:rsidRPr="005970A0" w:rsidRDefault="00B11361" w:rsidP="00704CE4">
            <w:pPr>
              <w:pStyle w:val="DQITableText"/>
              <w:rPr>
                <w:u w:val="single"/>
              </w:rPr>
            </w:pPr>
            <w:r w:rsidRPr="005970A0">
              <w:rPr>
                <w:u w:val="single"/>
              </w:rPr>
              <w:t>Computation/s</w:t>
            </w:r>
            <w:r w:rsidRPr="005970A0">
              <w:t>:</w:t>
            </w:r>
          </w:p>
          <w:p w:rsidR="00B11361" w:rsidRPr="005970A0" w:rsidRDefault="00B11361" w:rsidP="00704CE4">
            <w:pPr>
              <w:pStyle w:val="DQITableText"/>
            </w:pPr>
            <w:r w:rsidRPr="005970A0">
              <w:t>Numerator (above) divided by denominator (above). Measure is adjusted for course mix differences across jurisdictions.</w:t>
            </w:r>
          </w:p>
        </w:tc>
      </w:tr>
      <w:tr w:rsidR="00B11361" w:rsidRPr="005970A0" w:rsidTr="007D57F5">
        <w:tc>
          <w:tcPr>
            <w:tcW w:w="887" w:type="pct"/>
          </w:tcPr>
          <w:p w:rsidR="00B11361" w:rsidRPr="005970A0" w:rsidRDefault="00B11361" w:rsidP="00704CE4">
            <w:pPr>
              <w:pStyle w:val="DQIRowHeadings"/>
            </w:pPr>
            <w:r w:rsidRPr="005970A0">
              <w:t>Data source/s</w:t>
            </w:r>
          </w:p>
        </w:tc>
        <w:tc>
          <w:tcPr>
            <w:tcW w:w="4113" w:type="pct"/>
            <w:gridSpan w:val="2"/>
          </w:tcPr>
          <w:p w:rsidR="00B11361" w:rsidRPr="005970A0" w:rsidRDefault="00B11361" w:rsidP="00781C46">
            <w:pPr>
              <w:pStyle w:val="DQITableText"/>
            </w:pPr>
            <w:r w:rsidRPr="005970A0">
              <w:t>All data are unpu</w:t>
            </w:r>
            <w:r w:rsidR="00781C46">
              <w:t xml:space="preserve">blished and are derived from the </w:t>
            </w:r>
            <w:proofErr w:type="spellStart"/>
            <w:r w:rsidR="00781C46" w:rsidRPr="007047F5">
              <w:t>NCVER</w:t>
            </w:r>
            <w:proofErr w:type="spellEnd"/>
            <w:r w:rsidR="00781C46" w:rsidRPr="007047F5">
              <w:t xml:space="preserve"> National VET financial data collection</w:t>
            </w:r>
            <w:r w:rsidRPr="005970A0">
              <w:t xml:space="preserve"> and </w:t>
            </w:r>
            <w:r w:rsidR="00781C46">
              <w:t xml:space="preserve">the </w:t>
            </w:r>
            <w:proofErr w:type="spellStart"/>
            <w:r w:rsidR="00781C46" w:rsidRPr="007047F5">
              <w:t>NCVER</w:t>
            </w:r>
            <w:proofErr w:type="spellEnd"/>
            <w:r w:rsidR="00781C46" w:rsidRPr="007047F5">
              <w:t xml:space="preserve"> National VET Provider data collection</w:t>
            </w:r>
            <w:r w:rsidR="00781C46" w:rsidRPr="00781C46">
              <w:rPr>
                <w:rStyle w:val="Hyperlink"/>
                <w:u w:val="none"/>
              </w:rPr>
              <w:t>.</w:t>
            </w:r>
          </w:p>
        </w:tc>
      </w:tr>
      <w:tr w:rsidR="00B11361" w:rsidRPr="005970A0" w:rsidTr="00B11361">
        <w:tc>
          <w:tcPr>
            <w:tcW w:w="5000" w:type="pct"/>
            <w:gridSpan w:val="3"/>
          </w:tcPr>
          <w:p w:rsidR="00B11361" w:rsidRPr="005970A0" w:rsidRDefault="00B11361" w:rsidP="00704CE4">
            <w:pPr>
              <w:pStyle w:val="DQIMainRowHeadings"/>
            </w:pPr>
            <w:r w:rsidRPr="005970A0">
              <w:t>Data Quality Framework Dimensions</w:t>
            </w:r>
          </w:p>
        </w:tc>
      </w:tr>
      <w:tr w:rsidR="007D57F5" w:rsidRPr="005970A0" w:rsidTr="009D6827">
        <w:trPr>
          <w:trHeight w:val="1830"/>
        </w:trPr>
        <w:tc>
          <w:tcPr>
            <w:tcW w:w="887" w:type="pct"/>
            <w:vAlign w:val="center"/>
          </w:tcPr>
          <w:p w:rsidR="007D57F5" w:rsidRPr="005970A0" w:rsidRDefault="007D57F5" w:rsidP="009D6827">
            <w:pPr>
              <w:pStyle w:val="DQIRowHeadings"/>
            </w:pPr>
          </w:p>
        </w:tc>
        <w:tc>
          <w:tcPr>
            <w:tcW w:w="4113" w:type="pct"/>
            <w:gridSpan w:val="2"/>
            <w:vAlign w:val="center"/>
          </w:tcPr>
          <w:p w:rsidR="00155DF2" w:rsidRDefault="00155DF2" w:rsidP="00155DF2">
            <w:pPr>
              <w:pStyle w:val="DQIRowHeadings"/>
            </w:pPr>
            <w:r>
              <w:t xml:space="preserve">For a summary of data quality information against the data quality framework dimensions — Institutional environment, Relevance, Timeliness, Accuracy, Coherence, Accessibility, and Interpretability — please see the related Data collection </w:t>
            </w:r>
            <w:proofErr w:type="spellStart"/>
            <w:r>
              <w:t>DQI</w:t>
            </w:r>
            <w:proofErr w:type="spellEnd"/>
            <w:r>
              <w:t xml:space="preserve"> for:</w:t>
            </w:r>
          </w:p>
          <w:p w:rsidR="00155DF2" w:rsidRDefault="00155DF2" w:rsidP="00155DF2">
            <w:pPr>
              <w:pStyle w:val="DQIRowHeadings"/>
            </w:pPr>
          </w:p>
          <w:p w:rsidR="007D57F5" w:rsidRPr="007D57F5" w:rsidRDefault="007D57F5" w:rsidP="007D57F5">
            <w:pPr>
              <w:pStyle w:val="DQITableBullet"/>
              <w:jc w:val="left"/>
              <w:rPr>
                <w:u w:val="single"/>
              </w:rPr>
            </w:pPr>
            <w:r w:rsidRPr="003E0195">
              <w:t xml:space="preserve">VET </w:t>
            </w:r>
            <w:r>
              <w:t>financial</w:t>
            </w:r>
            <w:r w:rsidRPr="003E0195">
              <w:t xml:space="preserve"> data:</w:t>
            </w:r>
            <w:r>
              <w:t xml:space="preserve"> </w:t>
            </w:r>
            <w:r>
              <w:tab/>
            </w:r>
            <w:proofErr w:type="spellStart"/>
            <w:r w:rsidRPr="007047F5">
              <w:t>NCVER</w:t>
            </w:r>
            <w:proofErr w:type="spellEnd"/>
            <w:r w:rsidRPr="007047F5">
              <w:t xml:space="preserve"> National VET financial data collection</w:t>
            </w:r>
            <w:r w:rsidRPr="00910800">
              <w:rPr>
                <w:rStyle w:val="Hyperlink"/>
                <w:rFonts w:cs="Arial"/>
                <w:color w:val="auto"/>
              </w:rPr>
              <w:t xml:space="preserve"> </w:t>
            </w:r>
            <w:r>
              <w:t>.</w:t>
            </w:r>
          </w:p>
          <w:p w:rsidR="007D57F5" w:rsidRPr="007D57F5" w:rsidRDefault="007D57F5" w:rsidP="007D57F5">
            <w:pPr>
              <w:pStyle w:val="DQITableBullet"/>
              <w:jc w:val="left"/>
              <w:rPr>
                <w:u w:val="single"/>
              </w:rPr>
            </w:pPr>
            <w:r>
              <w:t>H</w:t>
            </w:r>
            <w:r w:rsidRPr="005970A0">
              <w:t>ours of delivery</w:t>
            </w:r>
            <w:r>
              <w:t xml:space="preserve">: </w:t>
            </w:r>
            <w:r>
              <w:tab/>
            </w:r>
            <w:proofErr w:type="spellStart"/>
            <w:r w:rsidRPr="007047F5">
              <w:t>NCVER</w:t>
            </w:r>
            <w:proofErr w:type="spellEnd"/>
            <w:r w:rsidRPr="007047F5">
              <w:t xml:space="preserve"> National VET Provider data collection</w:t>
            </w:r>
          </w:p>
        </w:tc>
      </w:tr>
      <w:tr w:rsidR="00B11361" w:rsidRPr="005970A0" w:rsidTr="00B11361">
        <w:tc>
          <w:tcPr>
            <w:tcW w:w="5000" w:type="pct"/>
            <w:gridSpan w:val="3"/>
            <w:shd w:val="clear" w:color="auto" w:fill="auto"/>
          </w:tcPr>
          <w:p w:rsidR="00B11361" w:rsidRPr="005970A0" w:rsidRDefault="00B11361" w:rsidP="00704CE4">
            <w:pPr>
              <w:pStyle w:val="DQIMainRowHeadings"/>
              <w:rPr>
                <w:rStyle w:val="DraftingNote"/>
                <w:b/>
                <w:color w:val="auto"/>
                <w:sz w:val="20"/>
                <w:u w:val="single"/>
              </w:rPr>
            </w:pPr>
            <w:r w:rsidRPr="005970A0">
              <w:t>Data Gaps/Issues Analysis</w:t>
            </w:r>
          </w:p>
        </w:tc>
      </w:tr>
      <w:tr w:rsidR="00B11361" w:rsidRPr="005970A0" w:rsidTr="00B11361">
        <w:tc>
          <w:tcPr>
            <w:tcW w:w="922" w:type="pct"/>
            <w:gridSpan w:val="2"/>
            <w:shd w:val="clear" w:color="auto" w:fill="auto"/>
          </w:tcPr>
          <w:p w:rsidR="00B11361" w:rsidRPr="005970A0" w:rsidRDefault="00B11361" w:rsidP="00704CE4">
            <w:pPr>
              <w:pStyle w:val="DQIRowHeadings"/>
            </w:pPr>
            <w:r w:rsidRPr="005970A0">
              <w:t>Key data gaps/ issues</w:t>
            </w:r>
          </w:p>
        </w:tc>
        <w:tc>
          <w:tcPr>
            <w:tcW w:w="4078" w:type="pct"/>
            <w:shd w:val="clear" w:color="auto" w:fill="auto"/>
          </w:tcPr>
          <w:p w:rsidR="00B11361" w:rsidRPr="005970A0" w:rsidRDefault="00B11361" w:rsidP="00704CE4">
            <w:pPr>
              <w:pStyle w:val="DQITableText"/>
            </w:pPr>
            <w:r w:rsidRPr="005970A0">
              <w:t xml:space="preserve">The Steering Committee notes the following key data gaps/issues: </w:t>
            </w:r>
          </w:p>
          <w:p w:rsidR="00B11361" w:rsidRPr="005970A0" w:rsidRDefault="00B11361" w:rsidP="007D57F5">
            <w:pPr>
              <w:pStyle w:val="DQITableBullet"/>
            </w:pPr>
            <w:r w:rsidRPr="005970A0">
              <w:t>Government recurrent expenditure per annual hour needs to be interpreted carefully because low or decreasing unit costs do not necessarily reflect a lessening of quality. The factors that have the greatest impact on efficiency include:</w:t>
            </w:r>
          </w:p>
          <w:p w:rsidR="00B11361" w:rsidRPr="005970A0" w:rsidRDefault="00B11361" w:rsidP="007D57F5">
            <w:pPr>
              <w:pStyle w:val="DQITableBullet2"/>
            </w:pPr>
            <w:r w:rsidRPr="005970A0">
              <w:t>training related factors, such as class sizes, teaching salaries, teaching hours per full time equivalent staff member and differences in the length of training programs</w:t>
            </w:r>
          </w:p>
          <w:p w:rsidR="00B11361" w:rsidRPr="005970A0" w:rsidRDefault="00B11361" w:rsidP="007D57F5">
            <w:pPr>
              <w:pStyle w:val="DQITableBullet2"/>
            </w:pPr>
            <w:r w:rsidRPr="005970A0">
              <w:t>differences across jurisdictions, including socio-demographic composition, administrative scale, and dispersion and scale of service delivery</w:t>
            </w:r>
          </w:p>
          <w:p w:rsidR="00B11361" w:rsidRPr="005970A0" w:rsidRDefault="00B11361" w:rsidP="007D57F5">
            <w:pPr>
              <w:pStyle w:val="DQITableBullet2"/>
            </w:pPr>
            <w:r w:rsidRPr="005970A0">
              <w:t>VET policies and practices, including the level of fees and charges paid by students.</w:t>
            </w:r>
          </w:p>
        </w:tc>
      </w:tr>
    </w:tbl>
    <w:p w:rsidR="007D57F5" w:rsidRDefault="007D57F5" w:rsidP="007D57F5">
      <w:pPr>
        <w:pStyle w:val="BodyText"/>
      </w:pPr>
      <w:bookmarkStart w:id="48" w:name="_Toc396227459"/>
    </w:p>
    <w:p w:rsidR="00B11361" w:rsidRPr="005970A0" w:rsidRDefault="00B11361" w:rsidP="00B11361">
      <w:pPr>
        <w:pStyle w:val="Heading3"/>
        <w:spacing w:before="120"/>
      </w:pPr>
      <w:bookmarkStart w:id="49" w:name="GovRecurExpendPerLoadPass"/>
      <w:bookmarkStart w:id="50" w:name="_Toc436148767"/>
      <w:r w:rsidRPr="005970A0">
        <w:lastRenderedPageBreak/>
        <w:t>Government recurrent expenditure per load pass</w:t>
      </w:r>
      <w:bookmarkEnd w:id="48"/>
      <w:bookmarkEnd w:id="49"/>
      <w:bookmarkEnd w:id="50"/>
    </w:p>
    <w:p w:rsidR="00B11361" w:rsidRPr="005970A0" w:rsidRDefault="00B11361" w:rsidP="00B11361">
      <w:pPr>
        <w:pStyle w:val="Box"/>
      </w:pPr>
      <w:r w:rsidRPr="005970A0">
        <w:t xml:space="preserve">Data quality information for this indicator has been drafted by the </w:t>
      </w:r>
      <w:proofErr w:type="spellStart"/>
      <w:r w:rsidR="00E22A04">
        <w:t>NCVER</w:t>
      </w:r>
      <w:proofErr w:type="spellEnd"/>
      <w:r w:rsidRPr="005970A0">
        <w:t xml:space="preserve"> and the Secretariat, in consultation with the VET Working Group.</w:t>
      </w:r>
    </w:p>
    <w:tbl>
      <w:tblPr>
        <w:tblW w:w="5000" w:type="pct"/>
        <w:tblCellMar>
          <w:left w:w="0" w:type="dxa"/>
          <w:right w:w="0" w:type="dxa"/>
        </w:tblCellMar>
        <w:tblLook w:val="0000" w:firstRow="0" w:lastRow="0" w:firstColumn="0" w:lastColumn="0" w:noHBand="0" w:noVBand="0"/>
      </w:tblPr>
      <w:tblGrid>
        <w:gridCol w:w="1559"/>
        <w:gridCol w:w="7230"/>
      </w:tblGrid>
      <w:tr w:rsidR="00B11361" w:rsidRPr="005970A0" w:rsidTr="00B11361">
        <w:tc>
          <w:tcPr>
            <w:tcW w:w="5000" w:type="pct"/>
            <w:gridSpan w:val="2"/>
          </w:tcPr>
          <w:p w:rsidR="00B11361" w:rsidRPr="005970A0" w:rsidRDefault="00B11361" w:rsidP="00704CE4">
            <w:pPr>
              <w:pStyle w:val="DQIMainRowHeadings"/>
              <w:rPr>
                <w:rFonts w:cs="Arial"/>
                <w:sz w:val="22"/>
                <w:szCs w:val="22"/>
              </w:rPr>
            </w:pPr>
            <w:r w:rsidRPr="005970A0">
              <w:t>Indicator definition and description</w:t>
            </w:r>
            <w:r w:rsidRPr="005970A0">
              <w:rPr>
                <w:rFonts w:cs="Arial"/>
                <w:sz w:val="22"/>
                <w:szCs w:val="22"/>
              </w:rPr>
              <w:t xml:space="preserve"> </w:t>
            </w:r>
          </w:p>
        </w:tc>
      </w:tr>
      <w:tr w:rsidR="00B11361" w:rsidRPr="005970A0" w:rsidTr="009D6827">
        <w:tc>
          <w:tcPr>
            <w:tcW w:w="887" w:type="pct"/>
          </w:tcPr>
          <w:p w:rsidR="00B11361" w:rsidRPr="005970A0" w:rsidRDefault="00B11361" w:rsidP="00704CE4">
            <w:pPr>
              <w:pStyle w:val="DQIRowHeadings"/>
            </w:pPr>
            <w:r w:rsidRPr="005970A0">
              <w:t>Element</w:t>
            </w:r>
          </w:p>
        </w:tc>
        <w:tc>
          <w:tcPr>
            <w:tcW w:w="4113" w:type="pct"/>
          </w:tcPr>
          <w:p w:rsidR="00B11361" w:rsidRPr="005970A0" w:rsidRDefault="00B11361" w:rsidP="00704CE4">
            <w:pPr>
              <w:pStyle w:val="DQITableText"/>
            </w:pPr>
            <w:r w:rsidRPr="005970A0">
              <w:t>Output/efficiency.</w:t>
            </w:r>
          </w:p>
        </w:tc>
      </w:tr>
      <w:tr w:rsidR="00B11361" w:rsidRPr="005970A0" w:rsidTr="009D6827">
        <w:tc>
          <w:tcPr>
            <w:tcW w:w="887" w:type="pct"/>
          </w:tcPr>
          <w:p w:rsidR="00B11361" w:rsidRPr="005970A0" w:rsidRDefault="00B11361" w:rsidP="00704CE4">
            <w:pPr>
              <w:pStyle w:val="DQIRowHeadings"/>
            </w:pPr>
            <w:r w:rsidRPr="005970A0">
              <w:t>Indicator</w:t>
            </w:r>
          </w:p>
        </w:tc>
        <w:tc>
          <w:tcPr>
            <w:tcW w:w="4113" w:type="pct"/>
          </w:tcPr>
          <w:p w:rsidR="00B11361" w:rsidRPr="005970A0" w:rsidRDefault="00B11361" w:rsidP="00704CE4">
            <w:pPr>
              <w:pStyle w:val="DQITableText"/>
            </w:pPr>
            <w:r w:rsidRPr="005970A0">
              <w:t>Government recurrent expenditure per load pass</w:t>
            </w:r>
          </w:p>
        </w:tc>
      </w:tr>
      <w:tr w:rsidR="00B11361" w:rsidRPr="005970A0" w:rsidTr="009D6827">
        <w:tc>
          <w:tcPr>
            <w:tcW w:w="887" w:type="pct"/>
          </w:tcPr>
          <w:p w:rsidR="00B11361" w:rsidRPr="005970A0" w:rsidRDefault="00B11361" w:rsidP="00704CE4">
            <w:pPr>
              <w:pStyle w:val="DQIRowHeadings"/>
            </w:pPr>
            <w:r w:rsidRPr="005970A0">
              <w:t>Measure (computation)</w:t>
            </w:r>
          </w:p>
        </w:tc>
        <w:tc>
          <w:tcPr>
            <w:tcW w:w="4113" w:type="pct"/>
          </w:tcPr>
          <w:p w:rsidR="00B11361" w:rsidRPr="005970A0" w:rsidRDefault="00B11361" w:rsidP="00704CE4">
            <w:pPr>
              <w:pStyle w:val="DQITableText"/>
            </w:pPr>
            <w:r w:rsidRPr="005970A0">
              <w:rPr>
                <w:u w:val="single"/>
              </w:rPr>
              <w:t>Definition</w:t>
            </w:r>
          </w:p>
          <w:p w:rsidR="00B11361" w:rsidRPr="005970A0" w:rsidRDefault="00B11361" w:rsidP="00704CE4">
            <w:pPr>
              <w:pStyle w:val="DQITableText"/>
            </w:pPr>
            <w:r w:rsidRPr="005970A0">
              <w:t xml:space="preserve">Government recurrent expenditure divided by hours of publicly funded load pass. </w:t>
            </w:r>
          </w:p>
          <w:p w:rsidR="00B11361" w:rsidRPr="005970A0" w:rsidRDefault="00B11361" w:rsidP="00704CE4">
            <w:pPr>
              <w:pStyle w:val="DQITableText"/>
              <w:rPr>
                <w:u w:val="single"/>
              </w:rPr>
            </w:pPr>
            <w:r w:rsidRPr="005970A0">
              <w:rPr>
                <w:u w:val="single"/>
              </w:rPr>
              <w:t>Numerator/s</w:t>
            </w:r>
          </w:p>
          <w:p w:rsidR="00B11361" w:rsidRPr="005970A0" w:rsidRDefault="00B11361" w:rsidP="00704CE4">
            <w:pPr>
              <w:pStyle w:val="DQITableText"/>
            </w:pPr>
            <w:r w:rsidRPr="005970A0">
              <w:t xml:space="preserve">Government recurrent expenditure is calculated by adding the following </w:t>
            </w:r>
            <w:proofErr w:type="spellStart"/>
            <w:r w:rsidRPr="005970A0">
              <w:t>AVETMISS</w:t>
            </w:r>
            <w:proofErr w:type="spellEnd"/>
            <w:r w:rsidRPr="005970A0">
              <w:t xml:space="preserve"> financial statements revenue items for the government recurrent payments received by states and territories: Commonwealth National Agreement revenue, State recurrent revenue, Commonwealth Administered Programs revenue and revenue for VET expenses and liabilities of State/Territory training departments undertaken by another department or agency but required to be reported in the financial accounts of the training department. The reported government recurrent expenditure excludes capital expenditure.</w:t>
            </w:r>
          </w:p>
          <w:p w:rsidR="00B11361" w:rsidRPr="005970A0" w:rsidRDefault="00B11361" w:rsidP="00704CE4">
            <w:pPr>
              <w:pStyle w:val="DQITableText"/>
              <w:rPr>
                <w:u w:val="single"/>
              </w:rPr>
            </w:pPr>
            <w:r w:rsidRPr="005970A0">
              <w:rPr>
                <w:u w:val="single"/>
              </w:rPr>
              <w:t>Denominator/s</w:t>
            </w:r>
          </w:p>
          <w:p w:rsidR="00B11361" w:rsidRPr="005970A0" w:rsidRDefault="00B11361" w:rsidP="00704CE4">
            <w:pPr>
              <w:pStyle w:val="DQITableText"/>
            </w:pPr>
            <w:r w:rsidRPr="005970A0">
              <w:t xml:space="preserve">Load pass is based on assessable enrolments of modules and units of competency achieved/passed and </w:t>
            </w:r>
            <w:proofErr w:type="spellStart"/>
            <w:r w:rsidRPr="005970A0">
              <w:t>RPL</w:t>
            </w:r>
            <w:proofErr w:type="spellEnd"/>
            <w:r w:rsidRPr="005970A0">
              <w:t>, and does not include non-assessable enrolments.</w:t>
            </w:r>
          </w:p>
          <w:p w:rsidR="00B11361" w:rsidRPr="005970A0" w:rsidRDefault="00B11361" w:rsidP="00704CE4">
            <w:pPr>
              <w:pStyle w:val="DQITableText"/>
              <w:rPr>
                <w:u w:val="single"/>
              </w:rPr>
            </w:pPr>
            <w:r w:rsidRPr="005970A0">
              <w:rPr>
                <w:u w:val="single"/>
              </w:rPr>
              <w:t>Computation/s</w:t>
            </w:r>
            <w:r w:rsidRPr="005970A0">
              <w:t>:</w:t>
            </w:r>
          </w:p>
          <w:p w:rsidR="00B11361" w:rsidRPr="005970A0" w:rsidRDefault="00B11361" w:rsidP="00704CE4">
            <w:pPr>
              <w:pStyle w:val="DQITableText"/>
            </w:pPr>
            <w:r w:rsidRPr="005970A0">
              <w:t>Numerator (above) divided by denominator (above).</w:t>
            </w:r>
          </w:p>
        </w:tc>
      </w:tr>
      <w:tr w:rsidR="00B11361" w:rsidRPr="005970A0" w:rsidTr="009D6827">
        <w:tc>
          <w:tcPr>
            <w:tcW w:w="887" w:type="pct"/>
          </w:tcPr>
          <w:p w:rsidR="00B11361" w:rsidRPr="005970A0" w:rsidRDefault="00B11361" w:rsidP="00704CE4">
            <w:pPr>
              <w:pStyle w:val="DQIRowHeadings"/>
            </w:pPr>
            <w:r w:rsidRPr="005970A0">
              <w:t>Data source/s</w:t>
            </w:r>
          </w:p>
        </w:tc>
        <w:tc>
          <w:tcPr>
            <w:tcW w:w="4113" w:type="pct"/>
          </w:tcPr>
          <w:p w:rsidR="00B11361" w:rsidRPr="005970A0" w:rsidRDefault="00781C46" w:rsidP="00781C46">
            <w:pPr>
              <w:pStyle w:val="DQITableText"/>
            </w:pPr>
            <w:r w:rsidRPr="005970A0">
              <w:t>All data are unpu</w:t>
            </w:r>
            <w:r>
              <w:t xml:space="preserve">blished and are derived from the </w:t>
            </w:r>
            <w:proofErr w:type="spellStart"/>
            <w:r w:rsidRPr="007047F5">
              <w:t>NCVER</w:t>
            </w:r>
            <w:proofErr w:type="spellEnd"/>
            <w:r w:rsidRPr="007047F5">
              <w:t xml:space="preserve"> National VET financial data collection</w:t>
            </w:r>
            <w:r w:rsidRPr="005970A0">
              <w:t xml:space="preserve"> and </w:t>
            </w:r>
            <w:r>
              <w:t xml:space="preserve">the </w:t>
            </w:r>
            <w:proofErr w:type="spellStart"/>
            <w:r w:rsidRPr="007047F5">
              <w:t>NCVER</w:t>
            </w:r>
            <w:proofErr w:type="spellEnd"/>
            <w:r w:rsidRPr="007047F5">
              <w:t xml:space="preserve"> National VET Provider data collection</w:t>
            </w:r>
          </w:p>
        </w:tc>
      </w:tr>
      <w:tr w:rsidR="00B11361" w:rsidRPr="005970A0" w:rsidTr="00B11361">
        <w:tc>
          <w:tcPr>
            <w:tcW w:w="5000" w:type="pct"/>
            <w:gridSpan w:val="2"/>
          </w:tcPr>
          <w:p w:rsidR="00B11361" w:rsidRPr="005970A0" w:rsidRDefault="00B11361" w:rsidP="00704CE4">
            <w:pPr>
              <w:pStyle w:val="DQIMainRowHeadings"/>
            </w:pPr>
            <w:r w:rsidRPr="005970A0">
              <w:t>Data Quality Framework Dimensions</w:t>
            </w:r>
          </w:p>
        </w:tc>
      </w:tr>
      <w:tr w:rsidR="009D6827" w:rsidRPr="005970A0" w:rsidTr="009D6827">
        <w:trPr>
          <w:trHeight w:val="1830"/>
        </w:trPr>
        <w:tc>
          <w:tcPr>
            <w:tcW w:w="887" w:type="pct"/>
            <w:vAlign w:val="center"/>
          </w:tcPr>
          <w:p w:rsidR="009D6827" w:rsidRPr="005970A0" w:rsidRDefault="009D6827" w:rsidP="009D6827">
            <w:pPr>
              <w:pStyle w:val="DQIRowHeadings"/>
            </w:pPr>
          </w:p>
        </w:tc>
        <w:tc>
          <w:tcPr>
            <w:tcW w:w="4113" w:type="pct"/>
            <w:vAlign w:val="center"/>
          </w:tcPr>
          <w:p w:rsidR="00155DF2" w:rsidRDefault="00155DF2" w:rsidP="00155DF2">
            <w:pPr>
              <w:pStyle w:val="DQIRowHeadings"/>
            </w:pPr>
            <w:r>
              <w:t xml:space="preserve">For a summary of data quality information against the data quality framework dimensions — Institutional environment, Relevance, Timeliness, Accuracy, Coherence, Accessibility, and Interpretability — please see the related Data collection </w:t>
            </w:r>
            <w:proofErr w:type="spellStart"/>
            <w:r>
              <w:t>DQI</w:t>
            </w:r>
            <w:proofErr w:type="spellEnd"/>
            <w:r>
              <w:t xml:space="preserve"> for:</w:t>
            </w:r>
          </w:p>
          <w:p w:rsidR="00155DF2" w:rsidRDefault="00155DF2" w:rsidP="00155DF2">
            <w:pPr>
              <w:pStyle w:val="DQIRowHeadings"/>
            </w:pPr>
          </w:p>
          <w:p w:rsidR="009D6827" w:rsidRPr="007D57F5" w:rsidRDefault="009D6827" w:rsidP="009D6827">
            <w:pPr>
              <w:pStyle w:val="DQITableBullet"/>
              <w:jc w:val="left"/>
              <w:rPr>
                <w:u w:val="single"/>
              </w:rPr>
            </w:pPr>
            <w:r w:rsidRPr="003E0195">
              <w:t xml:space="preserve">VET </w:t>
            </w:r>
            <w:r>
              <w:t>financial</w:t>
            </w:r>
            <w:r w:rsidRPr="003E0195">
              <w:t xml:space="preserve"> data:</w:t>
            </w:r>
            <w:r>
              <w:t xml:space="preserve"> </w:t>
            </w:r>
            <w:r>
              <w:tab/>
            </w:r>
            <w:proofErr w:type="spellStart"/>
            <w:r w:rsidRPr="007047F5">
              <w:t>NCVER</w:t>
            </w:r>
            <w:proofErr w:type="spellEnd"/>
            <w:r w:rsidRPr="007047F5">
              <w:t xml:space="preserve"> National VET financial data collection</w:t>
            </w:r>
            <w:r w:rsidRPr="00910800">
              <w:rPr>
                <w:rStyle w:val="Hyperlink"/>
                <w:rFonts w:cs="Arial"/>
                <w:color w:val="auto"/>
              </w:rPr>
              <w:t xml:space="preserve"> </w:t>
            </w:r>
            <w:r>
              <w:t>.</w:t>
            </w:r>
          </w:p>
          <w:p w:rsidR="009D6827" w:rsidRPr="007D57F5" w:rsidRDefault="009D6827" w:rsidP="009D6827">
            <w:pPr>
              <w:pStyle w:val="DQITableBullet"/>
              <w:jc w:val="left"/>
              <w:rPr>
                <w:u w:val="single"/>
              </w:rPr>
            </w:pPr>
            <w:r>
              <w:t>Load pass:</w:t>
            </w:r>
            <w:r>
              <w:tab/>
              <w:t xml:space="preserve"> </w:t>
            </w:r>
            <w:r>
              <w:tab/>
            </w:r>
            <w:proofErr w:type="spellStart"/>
            <w:r w:rsidRPr="007047F5">
              <w:t>NCVER</w:t>
            </w:r>
            <w:proofErr w:type="spellEnd"/>
            <w:r w:rsidRPr="007047F5">
              <w:t xml:space="preserve"> National VET Provider data collection</w:t>
            </w:r>
          </w:p>
        </w:tc>
      </w:tr>
      <w:tr w:rsidR="00B11361" w:rsidRPr="005970A0" w:rsidTr="00B11361">
        <w:tc>
          <w:tcPr>
            <w:tcW w:w="5000" w:type="pct"/>
            <w:gridSpan w:val="2"/>
            <w:shd w:val="clear" w:color="auto" w:fill="auto"/>
          </w:tcPr>
          <w:p w:rsidR="00B11361" w:rsidRPr="005970A0" w:rsidRDefault="00B11361" w:rsidP="00704CE4">
            <w:pPr>
              <w:pStyle w:val="DQIMainRowHeadings"/>
            </w:pPr>
            <w:r w:rsidRPr="005970A0">
              <w:t>Data Gaps/Issues Analysis</w:t>
            </w:r>
          </w:p>
        </w:tc>
      </w:tr>
      <w:tr w:rsidR="00B11361" w:rsidRPr="005970A0" w:rsidTr="009D6827">
        <w:tc>
          <w:tcPr>
            <w:tcW w:w="887" w:type="pct"/>
            <w:shd w:val="clear" w:color="auto" w:fill="auto"/>
          </w:tcPr>
          <w:p w:rsidR="00B11361" w:rsidRPr="005970A0" w:rsidRDefault="00B11361" w:rsidP="00704CE4">
            <w:pPr>
              <w:pStyle w:val="DQIRowHeadings"/>
            </w:pPr>
            <w:r w:rsidRPr="005970A0">
              <w:t>Key data gaps/ issues</w:t>
            </w:r>
          </w:p>
        </w:tc>
        <w:tc>
          <w:tcPr>
            <w:tcW w:w="4113" w:type="pct"/>
            <w:shd w:val="clear" w:color="auto" w:fill="auto"/>
          </w:tcPr>
          <w:p w:rsidR="00B11361" w:rsidRPr="005970A0" w:rsidRDefault="00B11361" w:rsidP="00704CE4">
            <w:pPr>
              <w:pStyle w:val="DQITableText"/>
            </w:pPr>
            <w:r w:rsidRPr="005970A0">
              <w:t xml:space="preserve">The Steering Committee notes the following key data gaps/issues: </w:t>
            </w:r>
          </w:p>
          <w:p w:rsidR="00B11361" w:rsidRPr="005970A0" w:rsidRDefault="00B11361" w:rsidP="00704CE4">
            <w:pPr>
              <w:pStyle w:val="DQITableBullet"/>
            </w:pPr>
            <w:r w:rsidRPr="005970A0">
              <w:t xml:space="preserve">Low unit costs can indicate efficient delivery of VET services per successfully completed load pass. </w:t>
            </w:r>
          </w:p>
          <w:p w:rsidR="00B11361" w:rsidRPr="005970A0" w:rsidRDefault="00B11361" w:rsidP="00704CE4">
            <w:pPr>
              <w:pStyle w:val="DQITableBullet"/>
            </w:pPr>
            <w:r w:rsidRPr="005970A0">
              <w:t>The factors that have the greatest impact on efficiency include:</w:t>
            </w:r>
          </w:p>
          <w:p w:rsidR="00B11361" w:rsidRPr="005970A0" w:rsidRDefault="00B11361" w:rsidP="00704CE4">
            <w:pPr>
              <w:pStyle w:val="DQITableBullet2"/>
            </w:pPr>
            <w:r w:rsidRPr="005970A0">
              <w:t>training related factors, such as class sizes, teaching salaries, teaching hours per full time equivalent staff member, and differences in the length of training programs</w:t>
            </w:r>
          </w:p>
          <w:p w:rsidR="00B11361" w:rsidRPr="005970A0" w:rsidRDefault="00B11361" w:rsidP="00704CE4">
            <w:pPr>
              <w:pStyle w:val="DQITableBullet2"/>
            </w:pPr>
            <w:r w:rsidRPr="005970A0">
              <w:t>differences across jurisdictions, including socio-demographic composition, administrative scale, and dispersion and scale of service delivery</w:t>
            </w:r>
          </w:p>
          <w:p w:rsidR="00B11361" w:rsidRPr="005970A0" w:rsidRDefault="00B11361" w:rsidP="00704CE4">
            <w:pPr>
              <w:pStyle w:val="DQITableBullet2"/>
            </w:pPr>
            <w:r w:rsidRPr="005970A0">
              <w:t>VET policies and practices, including the level of fees and charges paid by students.</w:t>
            </w:r>
          </w:p>
        </w:tc>
      </w:tr>
    </w:tbl>
    <w:p w:rsidR="009D6827" w:rsidRDefault="009D6827" w:rsidP="009D6827">
      <w:pPr>
        <w:pStyle w:val="BodyText"/>
      </w:pPr>
      <w:bookmarkStart w:id="51" w:name="_Toc396227460"/>
    </w:p>
    <w:p w:rsidR="00B11361" w:rsidRPr="005970A0" w:rsidRDefault="00B11361" w:rsidP="009D6827">
      <w:pPr>
        <w:pStyle w:val="Heading3"/>
      </w:pPr>
      <w:bookmarkStart w:id="52" w:name="UserCostOfCapPerAnnHour"/>
      <w:bookmarkStart w:id="53" w:name="_Toc436148768"/>
      <w:r w:rsidRPr="005970A0">
        <w:lastRenderedPageBreak/>
        <w:t>User cost of capital per annual hour</w:t>
      </w:r>
      <w:bookmarkEnd w:id="51"/>
      <w:bookmarkEnd w:id="52"/>
      <w:bookmarkEnd w:id="53"/>
    </w:p>
    <w:p w:rsidR="00B11361" w:rsidRPr="005970A0" w:rsidRDefault="00B11361" w:rsidP="00B11361">
      <w:pPr>
        <w:pStyle w:val="Box"/>
      </w:pPr>
      <w:r w:rsidRPr="005970A0">
        <w:t xml:space="preserve">Data quality information for this indicator has been drafted by the </w:t>
      </w:r>
      <w:proofErr w:type="spellStart"/>
      <w:r w:rsidR="00E22A04">
        <w:t>NCVER</w:t>
      </w:r>
      <w:proofErr w:type="spellEnd"/>
      <w:r w:rsidRPr="005970A0">
        <w:t xml:space="preserve"> and the Secretariat, in consultation with the VET Working Group.</w:t>
      </w:r>
    </w:p>
    <w:tbl>
      <w:tblPr>
        <w:tblW w:w="5000" w:type="pct"/>
        <w:tblCellMar>
          <w:left w:w="0" w:type="dxa"/>
          <w:right w:w="0" w:type="dxa"/>
        </w:tblCellMar>
        <w:tblLook w:val="0000" w:firstRow="0" w:lastRow="0" w:firstColumn="0" w:lastColumn="0" w:noHBand="0" w:noVBand="0"/>
      </w:tblPr>
      <w:tblGrid>
        <w:gridCol w:w="1559"/>
        <w:gridCol w:w="7230"/>
      </w:tblGrid>
      <w:tr w:rsidR="00B11361" w:rsidRPr="005970A0" w:rsidTr="00B11361">
        <w:tc>
          <w:tcPr>
            <w:tcW w:w="5000" w:type="pct"/>
            <w:gridSpan w:val="2"/>
          </w:tcPr>
          <w:p w:rsidR="00B11361" w:rsidRPr="005970A0" w:rsidRDefault="00B11361" w:rsidP="00A8335A">
            <w:pPr>
              <w:pStyle w:val="DQIMainRowHeadings"/>
              <w:rPr>
                <w:rFonts w:cs="Arial"/>
                <w:sz w:val="22"/>
                <w:szCs w:val="22"/>
              </w:rPr>
            </w:pPr>
            <w:r w:rsidRPr="005970A0">
              <w:t>Indicator definition and description</w:t>
            </w:r>
            <w:r w:rsidRPr="005970A0">
              <w:rPr>
                <w:rFonts w:cs="Arial"/>
                <w:sz w:val="22"/>
                <w:szCs w:val="22"/>
              </w:rPr>
              <w:t xml:space="preserve"> </w:t>
            </w:r>
          </w:p>
        </w:tc>
      </w:tr>
      <w:tr w:rsidR="00B11361" w:rsidRPr="005970A0" w:rsidTr="009D6827">
        <w:tc>
          <w:tcPr>
            <w:tcW w:w="887" w:type="pct"/>
          </w:tcPr>
          <w:p w:rsidR="00B11361" w:rsidRPr="005970A0" w:rsidRDefault="00B11361" w:rsidP="00A8335A">
            <w:pPr>
              <w:pStyle w:val="DQIRowHeadings"/>
            </w:pPr>
            <w:r w:rsidRPr="005970A0">
              <w:t>Element</w:t>
            </w:r>
          </w:p>
        </w:tc>
        <w:tc>
          <w:tcPr>
            <w:tcW w:w="4113" w:type="pct"/>
          </w:tcPr>
          <w:p w:rsidR="00B11361" w:rsidRPr="005970A0" w:rsidRDefault="00B11361" w:rsidP="00AD368D">
            <w:pPr>
              <w:pStyle w:val="DQITableText"/>
            </w:pPr>
            <w:r w:rsidRPr="005970A0">
              <w:t>Output/efficiency.</w:t>
            </w:r>
          </w:p>
        </w:tc>
      </w:tr>
      <w:tr w:rsidR="00B11361" w:rsidRPr="005970A0" w:rsidTr="009D6827">
        <w:tc>
          <w:tcPr>
            <w:tcW w:w="887" w:type="pct"/>
          </w:tcPr>
          <w:p w:rsidR="00B11361" w:rsidRPr="005970A0" w:rsidRDefault="00B11361" w:rsidP="00A8335A">
            <w:pPr>
              <w:pStyle w:val="DQIRowHeadings"/>
            </w:pPr>
            <w:r w:rsidRPr="005970A0">
              <w:t>Indicator</w:t>
            </w:r>
          </w:p>
        </w:tc>
        <w:tc>
          <w:tcPr>
            <w:tcW w:w="4113" w:type="pct"/>
          </w:tcPr>
          <w:p w:rsidR="00B11361" w:rsidRPr="005970A0" w:rsidRDefault="00B11361" w:rsidP="00AD368D">
            <w:pPr>
              <w:pStyle w:val="DQITableText"/>
            </w:pPr>
            <w:r w:rsidRPr="005970A0">
              <w:t>User cost of capital per annual hour</w:t>
            </w:r>
          </w:p>
        </w:tc>
      </w:tr>
      <w:tr w:rsidR="00B11361" w:rsidRPr="005970A0" w:rsidTr="009D6827">
        <w:tc>
          <w:tcPr>
            <w:tcW w:w="887" w:type="pct"/>
          </w:tcPr>
          <w:p w:rsidR="00B11361" w:rsidRPr="005970A0" w:rsidRDefault="00B11361" w:rsidP="00A8335A">
            <w:pPr>
              <w:pStyle w:val="DQIRowHeadings"/>
            </w:pPr>
            <w:r w:rsidRPr="005970A0">
              <w:t>Measure (computation)</w:t>
            </w:r>
          </w:p>
        </w:tc>
        <w:tc>
          <w:tcPr>
            <w:tcW w:w="4113" w:type="pct"/>
          </w:tcPr>
          <w:p w:rsidR="00B11361" w:rsidRPr="005970A0" w:rsidRDefault="00B11361" w:rsidP="00AD368D">
            <w:pPr>
              <w:pStyle w:val="DQITableText"/>
            </w:pPr>
            <w:r w:rsidRPr="005970A0">
              <w:rPr>
                <w:u w:val="single"/>
              </w:rPr>
              <w:t>Definition</w:t>
            </w:r>
          </w:p>
          <w:p w:rsidR="00B11361" w:rsidRPr="005970A0" w:rsidRDefault="00B11361" w:rsidP="00AD368D">
            <w:pPr>
              <w:pStyle w:val="DQITableText"/>
            </w:pPr>
            <w:r w:rsidRPr="005970A0">
              <w:t>The user cost of capital divided by government funded annual hours.</w:t>
            </w:r>
          </w:p>
          <w:p w:rsidR="00B11361" w:rsidRPr="005970A0" w:rsidRDefault="00B11361" w:rsidP="00AD368D">
            <w:pPr>
              <w:pStyle w:val="DQITableText"/>
              <w:rPr>
                <w:u w:val="single"/>
              </w:rPr>
            </w:pPr>
            <w:r w:rsidRPr="005970A0">
              <w:rPr>
                <w:u w:val="single"/>
              </w:rPr>
              <w:t>Numerator/s</w:t>
            </w:r>
          </w:p>
          <w:p w:rsidR="00B11361" w:rsidRPr="005970A0" w:rsidRDefault="00B11361" w:rsidP="00AD368D">
            <w:pPr>
              <w:pStyle w:val="DQITableText"/>
            </w:pPr>
            <w:r w:rsidRPr="005970A0">
              <w:t>User cost of capital is 8 per cent of the value of total physical non-current assets.</w:t>
            </w:r>
          </w:p>
          <w:p w:rsidR="00B11361" w:rsidRPr="005970A0" w:rsidRDefault="00B11361" w:rsidP="00AD368D">
            <w:pPr>
              <w:pStyle w:val="DQITableText"/>
              <w:rPr>
                <w:u w:val="single"/>
              </w:rPr>
            </w:pPr>
            <w:r w:rsidRPr="005970A0">
              <w:rPr>
                <w:u w:val="single"/>
              </w:rPr>
              <w:t>Denominator/s</w:t>
            </w:r>
          </w:p>
          <w:p w:rsidR="00B11361" w:rsidRPr="005970A0" w:rsidRDefault="00B11361" w:rsidP="00AD368D">
            <w:pPr>
              <w:pStyle w:val="DQITableText"/>
            </w:pPr>
            <w:r w:rsidRPr="005970A0">
              <w:t>Annual hours are the total hours of delivery based on the standard nominal hour value for each subject undertaken. These represent the hours of supervised training under a traditional delivery strategy. Annual hours are adjusted to account for invalid module enrolments.</w:t>
            </w:r>
          </w:p>
          <w:p w:rsidR="00B11361" w:rsidRPr="005970A0" w:rsidRDefault="00B11361" w:rsidP="00AD368D">
            <w:pPr>
              <w:pStyle w:val="DQITableText"/>
              <w:rPr>
                <w:u w:val="single"/>
              </w:rPr>
            </w:pPr>
            <w:r w:rsidRPr="005970A0">
              <w:rPr>
                <w:u w:val="single"/>
              </w:rPr>
              <w:t>Computation/s</w:t>
            </w:r>
            <w:r w:rsidRPr="005970A0">
              <w:t>:</w:t>
            </w:r>
          </w:p>
          <w:p w:rsidR="00B11361" w:rsidRPr="005970A0" w:rsidRDefault="00B11361" w:rsidP="00AD368D">
            <w:pPr>
              <w:pStyle w:val="DQITableText"/>
            </w:pPr>
            <w:r w:rsidRPr="005970A0">
              <w:t>Numerator (above) divided by denominator (above). Measure is adjusted for course mix differences across jurisdictions.</w:t>
            </w:r>
          </w:p>
        </w:tc>
      </w:tr>
      <w:tr w:rsidR="00781C46" w:rsidRPr="005970A0" w:rsidTr="009D6827">
        <w:tc>
          <w:tcPr>
            <w:tcW w:w="887" w:type="pct"/>
          </w:tcPr>
          <w:p w:rsidR="00781C46" w:rsidRPr="005970A0" w:rsidRDefault="00781C46" w:rsidP="00A8335A">
            <w:pPr>
              <w:pStyle w:val="DQIRowHeadings"/>
            </w:pPr>
            <w:r w:rsidRPr="005970A0">
              <w:t>Data source/s</w:t>
            </w:r>
          </w:p>
        </w:tc>
        <w:tc>
          <w:tcPr>
            <w:tcW w:w="4113" w:type="pct"/>
          </w:tcPr>
          <w:p w:rsidR="00781C46" w:rsidRPr="005970A0" w:rsidRDefault="00781C46" w:rsidP="00A322A6">
            <w:pPr>
              <w:pStyle w:val="DQITableText"/>
            </w:pPr>
            <w:r w:rsidRPr="005970A0">
              <w:t>All data are unpu</w:t>
            </w:r>
            <w:r>
              <w:t xml:space="preserve">blished and are derived from the </w:t>
            </w:r>
            <w:proofErr w:type="spellStart"/>
            <w:r w:rsidRPr="007047F5">
              <w:t>NCVER</w:t>
            </w:r>
            <w:proofErr w:type="spellEnd"/>
            <w:r w:rsidRPr="007047F5">
              <w:t xml:space="preserve"> National VET financial data collection</w:t>
            </w:r>
            <w:r w:rsidRPr="005970A0">
              <w:t xml:space="preserve"> and </w:t>
            </w:r>
            <w:r>
              <w:t xml:space="preserve">the </w:t>
            </w:r>
            <w:proofErr w:type="spellStart"/>
            <w:r w:rsidRPr="007047F5">
              <w:t>NCVER</w:t>
            </w:r>
            <w:proofErr w:type="spellEnd"/>
            <w:r w:rsidRPr="007047F5">
              <w:t xml:space="preserve"> National VET Provider data collection</w:t>
            </w:r>
          </w:p>
        </w:tc>
      </w:tr>
      <w:tr w:rsidR="00781C46" w:rsidRPr="005970A0" w:rsidTr="00B11361">
        <w:tc>
          <w:tcPr>
            <w:tcW w:w="5000" w:type="pct"/>
            <w:gridSpan w:val="2"/>
          </w:tcPr>
          <w:p w:rsidR="00781C46" w:rsidRPr="005970A0" w:rsidRDefault="00781C46" w:rsidP="00AD368D">
            <w:pPr>
              <w:pStyle w:val="DQIMainRowHeadings"/>
            </w:pPr>
            <w:r w:rsidRPr="005970A0">
              <w:t>Data Quality Framework Dimensions</w:t>
            </w:r>
          </w:p>
        </w:tc>
      </w:tr>
      <w:tr w:rsidR="00781C46" w:rsidRPr="005970A0" w:rsidTr="009D6827">
        <w:trPr>
          <w:trHeight w:val="1830"/>
        </w:trPr>
        <w:tc>
          <w:tcPr>
            <w:tcW w:w="887" w:type="pct"/>
            <w:vAlign w:val="center"/>
          </w:tcPr>
          <w:p w:rsidR="00781C46" w:rsidRPr="005970A0" w:rsidRDefault="00781C46" w:rsidP="009D6827">
            <w:pPr>
              <w:pStyle w:val="DQIRowHeadings"/>
            </w:pPr>
          </w:p>
        </w:tc>
        <w:tc>
          <w:tcPr>
            <w:tcW w:w="4113" w:type="pct"/>
            <w:vAlign w:val="center"/>
          </w:tcPr>
          <w:p w:rsidR="00781C46" w:rsidRDefault="00781C46" w:rsidP="00155DF2">
            <w:pPr>
              <w:pStyle w:val="DQIRowHeadings"/>
            </w:pPr>
            <w:r>
              <w:t xml:space="preserve">For a summary of data quality information against the data quality framework dimensions — Institutional environment, Relevance, Timeliness, Accuracy, Coherence, Accessibility, and Interpretability — please see the related Data collection </w:t>
            </w:r>
            <w:proofErr w:type="spellStart"/>
            <w:r>
              <w:t>DQI</w:t>
            </w:r>
            <w:proofErr w:type="spellEnd"/>
            <w:r>
              <w:t xml:space="preserve"> for:</w:t>
            </w:r>
          </w:p>
          <w:p w:rsidR="00781C46" w:rsidRDefault="00781C46" w:rsidP="00155DF2">
            <w:pPr>
              <w:pStyle w:val="DQIRowHeadings"/>
            </w:pPr>
          </w:p>
          <w:p w:rsidR="00781C46" w:rsidRPr="007D57F5" w:rsidRDefault="00781C46" w:rsidP="009D6827">
            <w:pPr>
              <w:pStyle w:val="DQITableBullet"/>
              <w:jc w:val="left"/>
              <w:rPr>
                <w:u w:val="single"/>
              </w:rPr>
            </w:pPr>
            <w:r w:rsidRPr="003E0195">
              <w:t xml:space="preserve">VET </w:t>
            </w:r>
            <w:r>
              <w:t>financial</w:t>
            </w:r>
            <w:r w:rsidRPr="003E0195">
              <w:t xml:space="preserve"> data:</w:t>
            </w:r>
            <w:r>
              <w:t xml:space="preserve"> </w:t>
            </w:r>
            <w:r>
              <w:tab/>
            </w:r>
            <w:proofErr w:type="spellStart"/>
            <w:r w:rsidRPr="007047F5">
              <w:t>NCVER</w:t>
            </w:r>
            <w:proofErr w:type="spellEnd"/>
            <w:r w:rsidRPr="007047F5">
              <w:t xml:space="preserve"> National VET financial data collection</w:t>
            </w:r>
            <w:r w:rsidRPr="00910800">
              <w:rPr>
                <w:rStyle w:val="Hyperlink"/>
                <w:rFonts w:cs="Arial"/>
                <w:color w:val="auto"/>
              </w:rPr>
              <w:t xml:space="preserve"> </w:t>
            </w:r>
            <w:r>
              <w:t>.</w:t>
            </w:r>
          </w:p>
          <w:p w:rsidR="00781C46" w:rsidRPr="007D57F5" w:rsidRDefault="00781C46" w:rsidP="009D6827">
            <w:pPr>
              <w:pStyle w:val="DQITableBullet"/>
              <w:jc w:val="left"/>
              <w:rPr>
                <w:u w:val="single"/>
              </w:rPr>
            </w:pPr>
            <w:r>
              <w:t>H</w:t>
            </w:r>
            <w:r w:rsidRPr="005970A0">
              <w:t>ours of delivery</w:t>
            </w:r>
            <w:r>
              <w:t xml:space="preserve">: </w:t>
            </w:r>
            <w:r>
              <w:tab/>
            </w:r>
            <w:proofErr w:type="spellStart"/>
            <w:r w:rsidRPr="007047F5">
              <w:t>NCVER</w:t>
            </w:r>
            <w:proofErr w:type="spellEnd"/>
            <w:r w:rsidRPr="007047F5">
              <w:t xml:space="preserve"> National VET Provider data collection</w:t>
            </w:r>
          </w:p>
        </w:tc>
      </w:tr>
      <w:tr w:rsidR="00781C46" w:rsidRPr="005970A0" w:rsidTr="00B11361">
        <w:tc>
          <w:tcPr>
            <w:tcW w:w="5000" w:type="pct"/>
            <w:gridSpan w:val="2"/>
            <w:shd w:val="clear" w:color="auto" w:fill="auto"/>
          </w:tcPr>
          <w:p w:rsidR="00781C46" w:rsidRPr="005970A0" w:rsidRDefault="00781C46" w:rsidP="00AD368D">
            <w:pPr>
              <w:pStyle w:val="DQIMainRowHeadings"/>
            </w:pPr>
            <w:r w:rsidRPr="005970A0">
              <w:t>Data Gaps/Issues Analysis</w:t>
            </w:r>
          </w:p>
        </w:tc>
      </w:tr>
      <w:tr w:rsidR="00781C46" w:rsidRPr="005970A0" w:rsidTr="009D6827">
        <w:tc>
          <w:tcPr>
            <w:tcW w:w="887" w:type="pct"/>
            <w:shd w:val="clear" w:color="auto" w:fill="auto"/>
          </w:tcPr>
          <w:p w:rsidR="00781C46" w:rsidRPr="005970A0" w:rsidRDefault="00781C46" w:rsidP="00AD368D">
            <w:pPr>
              <w:pStyle w:val="DQIRowHeadings"/>
            </w:pPr>
            <w:r w:rsidRPr="005970A0">
              <w:t>Key data gaps/ issues</w:t>
            </w:r>
          </w:p>
        </w:tc>
        <w:tc>
          <w:tcPr>
            <w:tcW w:w="4113" w:type="pct"/>
            <w:shd w:val="clear" w:color="auto" w:fill="auto"/>
          </w:tcPr>
          <w:p w:rsidR="00781C46" w:rsidRPr="005970A0" w:rsidRDefault="00781C46" w:rsidP="00AD368D">
            <w:pPr>
              <w:pStyle w:val="DQITableText"/>
            </w:pPr>
            <w:r w:rsidRPr="005970A0">
              <w:t>The Steering Committee notes that user cost of capital per annual hour needs to be interpreted carefully because low unit costs may not necessarily reflect a lessening of quality. Differences in some input costs (for example, land values) can affect reported costs across jurisdictions without necessarily reflecting the efficiency of service delivery. The user cost of capital for land is presented separately from the cost of other assets, to allow users assessing the results to consider any differences in land values across jurisdictions. The Steering Committee has adopted a nominal user cost of capital rate of 8 per cent, although the actual rate may vary across jur</w:t>
            </w:r>
            <w:r>
              <w:t>isdictions. The basis for the 8 per </w:t>
            </w:r>
            <w:r w:rsidRPr="005970A0">
              <w:t>cent capital charge is discussed in chapter 2.</w:t>
            </w:r>
          </w:p>
        </w:tc>
      </w:tr>
    </w:tbl>
    <w:p w:rsidR="009D6827" w:rsidRDefault="009D6827" w:rsidP="009D6827">
      <w:pPr>
        <w:pStyle w:val="BodyText"/>
      </w:pPr>
      <w:bookmarkStart w:id="54" w:name="_Toc396227461"/>
    </w:p>
    <w:p w:rsidR="00B11361" w:rsidRPr="005970A0" w:rsidRDefault="00B11361" w:rsidP="00B11361">
      <w:pPr>
        <w:pStyle w:val="Heading3"/>
        <w:spacing w:before="120"/>
      </w:pPr>
      <w:bookmarkStart w:id="55" w:name="_Toc436148769"/>
      <w:bookmarkStart w:id="56" w:name="UserCostOfCapPerLoadPass"/>
      <w:r w:rsidRPr="005970A0">
        <w:lastRenderedPageBreak/>
        <w:t>User cost of capital per load pass</w:t>
      </w:r>
      <w:bookmarkEnd w:id="54"/>
      <w:bookmarkEnd w:id="55"/>
    </w:p>
    <w:bookmarkEnd w:id="56"/>
    <w:p w:rsidR="00B11361" w:rsidRPr="005970A0" w:rsidRDefault="00B11361" w:rsidP="00B11361">
      <w:pPr>
        <w:pStyle w:val="Box"/>
      </w:pPr>
      <w:r w:rsidRPr="005970A0">
        <w:t xml:space="preserve">Data quality information for this indicator has been drafted by the </w:t>
      </w:r>
      <w:proofErr w:type="spellStart"/>
      <w:r w:rsidR="00E22A04">
        <w:t>NCVER</w:t>
      </w:r>
      <w:proofErr w:type="spellEnd"/>
      <w:r w:rsidRPr="005970A0">
        <w:t xml:space="preserve"> and the Secretariat, in consultation with the VET Working Group.</w:t>
      </w:r>
    </w:p>
    <w:tbl>
      <w:tblPr>
        <w:tblW w:w="5000" w:type="pct"/>
        <w:tblCellMar>
          <w:left w:w="0" w:type="dxa"/>
          <w:right w:w="0" w:type="dxa"/>
        </w:tblCellMar>
        <w:tblLook w:val="0000" w:firstRow="0" w:lastRow="0" w:firstColumn="0" w:lastColumn="0" w:noHBand="0" w:noVBand="0"/>
      </w:tblPr>
      <w:tblGrid>
        <w:gridCol w:w="1559"/>
        <w:gridCol w:w="7230"/>
      </w:tblGrid>
      <w:tr w:rsidR="00B11361" w:rsidRPr="005970A0" w:rsidTr="00B11361">
        <w:tc>
          <w:tcPr>
            <w:tcW w:w="5000" w:type="pct"/>
            <w:gridSpan w:val="2"/>
          </w:tcPr>
          <w:p w:rsidR="00B11361" w:rsidRPr="005970A0" w:rsidRDefault="00B11361" w:rsidP="00AD368D">
            <w:pPr>
              <w:pStyle w:val="DQIMainRowHeadings"/>
            </w:pPr>
            <w:r w:rsidRPr="005970A0">
              <w:t>Indicator definition and description</w:t>
            </w:r>
            <w:r w:rsidRPr="005970A0">
              <w:rPr>
                <w:rFonts w:cs="Arial"/>
                <w:sz w:val="22"/>
                <w:szCs w:val="22"/>
              </w:rPr>
              <w:t xml:space="preserve"> </w:t>
            </w:r>
          </w:p>
        </w:tc>
      </w:tr>
      <w:tr w:rsidR="00B11361" w:rsidRPr="005970A0" w:rsidTr="009D6827">
        <w:tc>
          <w:tcPr>
            <w:tcW w:w="887" w:type="pct"/>
          </w:tcPr>
          <w:p w:rsidR="00B11361" w:rsidRPr="005970A0" w:rsidRDefault="00B11361" w:rsidP="00AD368D">
            <w:pPr>
              <w:pStyle w:val="DQIRowHeadings"/>
            </w:pPr>
            <w:r w:rsidRPr="005970A0">
              <w:t>Element</w:t>
            </w:r>
          </w:p>
        </w:tc>
        <w:tc>
          <w:tcPr>
            <w:tcW w:w="4113" w:type="pct"/>
          </w:tcPr>
          <w:p w:rsidR="00B11361" w:rsidRPr="005970A0" w:rsidRDefault="00B11361" w:rsidP="00AD368D">
            <w:pPr>
              <w:pStyle w:val="DQITableText"/>
            </w:pPr>
            <w:r w:rsidRPr="005970A0">
              <w:t>Output/efficiency.</w:t>
            </w:r>
          </w:p>
        </w:tc>
      </w:tr>
      <w:tr w:rsidR="00B11361" w:rsidRPr="005970A0" w:rsidTr="009D6827">
        <w:tc>
          <w:tcPr>
            <w:tcW w:w="887" w:type="pct"/>
          </w:tcPr>
          <w:p w:rsidR="00B11361" w:rsidRPr="005970A0" w:rsidRDefault="00B11361" w:rsidP="00AD368D">
            <w:pPr>
              <w:pStyle w:val="DQIRowHeadings"/>
            </w:pPr>
            <w:r w:rsidRPr="005970A0">
              <w:t>Indicator</w:t>
            </w:r>
          </w:p>
        </w:tc>
        <w:tc>
          <w:tcPr>
            <w:tcW w:w="4113" w:type="pct"/>
          </w:tcPr>
          <w:p w:rsidR="00B11361" w:rsidRPr="005970A0" w:rsidRDefault="00B11361" w:rsidP="00AD368D">
            <w:pPr>
              <w:pStyle w:val="DQITableText"/>
            </w:pPr>
            <w:r w:rsidRPr="005970A0">
              <w:t>User cost of capital per load pass</w:t>
            </w:r>
          </w:p>
        </w:tc>
      </w:tr>
      <w:tr w:rsidR="00B11361" w:rsidRPr="005970A0" w:rsidTr="009D6827">
        <w:tc>
          <w:tcPr>
            <w:tcW w:w="887" w:type="pct"/>
          </w:tcPr>
          <w:p w:rsidR="00B11361" w:rsidRPr="005970A0" w:rsidRDefault="00B11361" w:rsidP="00AD368D">
            <w:pPr>
              <w:pStyle w:val="DQIRowHeadings"/>
            </w:pPr>
            <w:r w:rsidRPr="005970A0">
              <w:t>Measure (computation)</w:t>
            </w:r>
          </w:p>
        </w:tc>
        <w:tc>
          <w:tcPr>
            <w:tcW w:w="4113" w:type="pct"/>
          </w:tcPr>
          <w:p w:rsidR="00B11361" w:rsidRPr="005970A0" w:rsidRDefault="00B11361" w:rsidP="00AD368D">
            <w:pPr>
              <w:pStyle w:val="DQITableText"/>
            </w:pPr>
            <w:r w:rsidRPr="005970A0">
              <w:rPr>
                <w:u w:val="single"/>
              </w:rPr>
              <w:t>Definition</w:t>
            </w:r>
          </w:p>
          <w:p w:rsidR="00B11361" w:rsidRPr="005970A0" w:rsidRDefault="00B11361" w:rsidP="00AD368D">
            <w:pPr>
              <w:pStyle w:val="DQITableText"/>
            </w:pPr>
            <w:r w:rsidRPr="005970A0">
              <w:t xml:space="preserve">User cost of capital divided by hours of publicly funded load pass. </w:t>
            </w:r>
          </w:p>
          <w:p w:rsidR="00B11361" w:rsidRPr="005970A0" w:rsidRDefault="00B11361" w:rsidP="00AD368D">
            <w:pPr>
              <w:pStyle w:val="DQITableText"/>
              <w:rPr>
                <w:u w:val="single"/>
              </w:rPr>
            </w:pPr>
            <w:r w:rsidRPr="005970A0">
              <w:rPr>
                <w:u w:val="single"/>
              </w:rPr>
              <w:t>Numerator/s</w:t>
            </w:r>
          </w:p>
          <w:p w:rsidR="00B11361" w:rsidRPr="005970A0" w:rsidRDefault="00B11361" w:rsidP="00AD368D">
            <w:pPr>
              <w:pStyle w:val="DQITableText"/>
            </w:pPr>
            <w:r w:rsidRPr="005970A0">
              <w:t>User cost of capital is 8 per cent of the value of total physical non-current assets.</w:t>
            </w:r>
          </w:p>
          <w:p w:rsidR="00B11361" w:rsidRPr="005970A0" w:rsidRDefault="00B11361" w:rsidP="00AD368D">
            <w:pPr>
              <w:pStyle w:val="DQITableText"/>
              <w:rPr>
                <w:u w:val="single"/>
              </w:rPr>
            </w:pPr>
            <w:r w:rsidRPr="005970A0">
              <w:rPr>
                <w:u w:val="single"/>
              </w:rPr>
              <w:t>Denominator/s</w:t>
            </w:r>
          </w:p>
          <w:p w:rsidR="00B11361" w:rsidRPr="005970A0" w:rsidRDefault="00B11361" w:rsidP="00AD368D">
            <w:pPr>
              <w:pStyle w:val="DQITableText"/>
            </w:pPr>
            <w:r w:rsidRPr="005970A0">
              <w:t xml:space="preserve">Load pass is based on assessable enrolments of modules and units of competency achieved/passed and </w:t>
            </w:r>
            <w:proofErr w:type="spellStart"/>
            <w:r w:rsidRPr="005970A0">
              <w:t>RPL</w:t>
            </w:r>
            <w:proofErr w:type="spellEnd"/>
            <w:r w:rsidRPr="005970A0">
              <w:t>, and does not include non-assessable enrolments.</w:t>
            </w:r>
          </w:p>
          <w:p w:rsidR="00B11361" w:rsidRPr="005970A0" w:rsidRDefault="00B11361" w:rsidP="00AD368D">
            <w:pPr>
              <w:pStyle w:val="DQITableText"/>
              <w:rPr>
                <w:u w:val="single"/>
              </w:rPr>
            </w:pPr>
            <w:r w:rsidRPr="005970A0">
              <w:rPr>
                <w:u w:val="single"/>
              </w:rPr>
              <w:t>Computation/s</w:t>
            </w:r>
          </w:p>
          <w:p w:rsidR="00B11361" w:rsidRPr="005970A0" w:rsidRDefault="00B11361" w:rsidP="00AD368D">
            <w:pPr>
              <w:pStyle w:val="DQITableText"/>
            </w:pPr>
            <w:r w:rsidRPr="005970A0">
              <w:t>Numerator (above) divided by denominator (above).</w:t>
            </w:r>
          </w:p>
        </w:tc>
      </w:tr>
      <w:tr w:rsidR="00781C46" w:rsidRPr="005970A0" w:rsidTr="009D6827">
        <w:tc>
          <w:tcPr>
            <w:tcW w:w="887" w:type="pct"/>
          </w:tcPr>
          <w:p w:rsidR="00781C46" w:rsidRPr="005970A0" w:rsidRDefault="00781C46" w:rsidP="00AD368D">
            <w:pPr>
              <w:pStyle w:val="DQIRowHeadings"/>
            </w:pPr>
            <w:r w:rsidRPr="005970A0">
              <w:t>Data source/s</w:t>
            </w:r>
          </w:p>
        </w:tc>
        <w:tc>
          <w:tcPr>
            <w:tcW w:w="4113" w:type="pct"/>
          </w:tcPr>
          <w:p w:rsidR="00781C46" w:rsidRPr="005970A0" w:rsidRDefault="00781C46" w:rsidP="00A322A6">
            <w:pPr>
              <w:pStyle w:val="DQITableText"/>
            </w:pPr>
            <w:r w:rsidRPr="005970A0">
              <w:t>All data are unpu</w:t>
            </w:r>
            <w:r>
              <w:t xml:space="preserve">blished and are derived from the </w:t>
            </w:r>
            <w:proofErr w:type="spellStart"/>
            <w:r w:rsidRPr="007047F5">
              <w:t>NCVER</w:t>
            </w:r>
            <w:proofErr w:type="spellEnd"/>
            <w:r w:rsidRPr="007047F5">
              <w:t xml:space="preserve"> National VET financial data collection</w:t>
            </w:r>
            <w:r w:rsidRPr="005970A0">
              <w:t xml:space="preserve"> and </w:t>
            </w:r>
            <w:r>
              <w:t xml:space="preserve">the </w:t>
            </w:r>
            <w:proofErr w:type="spellStart"/>
            <w:r w:rsidRPr="007047F5">
              <w:t>NCVER</w:t>
            </w:r>
            <w:proofErr w:type="spellEnd"/>
            <w:r w:rsidRPr="007047F5">
              <w:t xml:space="preserve"> National VET Provider data collection</w:t>
            </w:r>
          </w:p>
        </w:tc>
      </w:tr>
      <w:tr w:rsidR="00781C46" w:rsidRPr="005970A0" w:rsidTr="00B11361">
        <w:tc>
          <w:tcPr>
            <w:tcW w:w="5000" w:type="pct"/>
            <w:gridSpan w:val="2"/>
          </w:tcPr>
          <w:p w:rsidR="00781C46" w:rsidRPr="005970A0" w:rsidRDefault="00781C46" w:rsidP="00AD368D">
            <w:pPr>
              <w:pStyle w:val="DQIMainRowHeadings"/>
            </w:pPr>
            <w:r w:rsidRPr="005970A0">
              <w:t>Data Quality Framework Dimensions</w:t>
            </w:r>
          </w:p>
        </w:tc>
      </w:tr>
      <w:tr w:rsidR="00781C46" w:rsidRPr="005970A0" w:rsidTr="009D6827">
        <w:trPr>
          <w:trHeight w:val="1830"/>
        </w:trPr>
        <w:tc>
          <w:tcPr>
            <w:tcW w:w="887" w:type="pct"/>
            <w:vAlign w:val="center"/>
          </w:tcPr>
          <w:p w:rsidR="00781C46" w:rsidRPr="005970A0" w:rsidRDefault="00781C46" w:rsidP="009D6827">
            <w:pPr>
              <w:pStyle w:val="DQIRowHeadings"/>
            </w:pPr>
          </w:p>
        </w:tc>
        <w:tc>
          <w:tcPr>
            <w:tcW w:w="4113" w:type="pct"/>
            <w:vAlign w:val="center"/>
          </w:tcPr>
          <w:p w:rsidR="00781C46" w:rsidRDefault="00781C46" w:rsidP="00155DF2">
            <w:pPr>
              <w:pStyle w:val="DQIRowHeadings"/>
            </w:pPr>
            <w:r>
              <w:t xml:space="preserve">For a summary of data quality information against the data quality framework dimensions — Institutional environment, Relevance, Timeliness, Accuracy, Coherence, Accessibility, and Interpretability — please see the related Data collection </w:t>
            </w:r>
            <w:proofErr w:type="spellStart"/>
            <w:r>
              <w:t>DQI</w:t>
            </w:r>
            <w:proofErr w:type="spellEnd"/>
            <w:r>
              <w:t xml:space="preserve"> for:</w:t>
            </w:r>
          </w:p>
          <w:p w:rsidR="00781C46" w:rsidRDefault="00781C46" w:rsidP="00155DF2">
            <w:pPr>
              <w:pStyle w:val="DQIRowHeadings"/>
            </w:pPr>
          </w:p>
          <w:p w:rsidR="00781C46" w:rsidRPr="007D57F5" w:rsidRDefault="00781C46" w:rsidP="009D6827">
            <w:pPr>
              <w:pStyle w:val="DQITableBullet"/>
              <w:jc w:val="left"/>
              <w:rPr>
                <w:u w:val="single"/>
              </w:rPr>
            </w:pPr>
            <w:r w:rsidRPr="003E0195">
              <w:t xml:space="preserve">VET </w:t>
            </w:r>
            <w:r>
              <w:t>financial</w:t>
            </w:r>
            <w:r w:rsidRPr="003E0195">
              <w:t xml:space="preserve"> data:</w:t>
            </w:r>
            <w:r>
              <w:t xml:space="preserve"> </w:t>
            </w:r>
            <w:r>
              <w:tab/>
            </w:r>
            <w:proofErr w:type="spellStart"/>
            <w:r w:rsidRPr="007047F5">
              <w:t>NCVER</w:t>
            </w:r>
            <w:proofErr w:type="spellEnd"/>
            <w:r w:rsidRPr="007047F5">
              <w:t xml:space="preserve"> National VET financial data collection</w:t>
            </w:r>
            <w:r w:rsidRPr="00910800">
              <w:rPr>
                <w:rStyle w:val="Hyperlink"/>
                <w:rFonts w:cs="Arial"/>
                <w:color w:val="auto"/>
              </w:rPr>
              <w:t xml:space="preserve"> </w:t>
            </w:r>
            <w:r>
              <w:t>.</w:t>
            </w:r>
          </w:p>
          <w:p w:rsidR="00781C46" w:rsidRPr="007D57F5" w:rsidRDefault="00781C46" w:rsidP="009D6827">
            <w:pPr>
              <w:pStyle w:val="DQITableBullet"/>
              <w:jc w:val="left"/>
              <w:rPr>
                <w:u w:val="single"/>
              </w:rPr>
            </w:pPr>
            <w:r>
              <w:t>Load pass:</w:t>
            </w:r>
            <w:r>
              <w:tab/>
              <w:t xml:space="preserve"> </w:t>
            </w:r>
            <w:r>
              <w:tab/>
            </w:r>
            <w:proofErr w:type="spellStart"/>
            <w:r w:rsidRPr="007047F5">
              <w:t>NCVER</w:t>
            </w:r>
            <w:proofErr w:type="spellEnd"/>
            <w:r w:rsidRPr="007047F5">
              <w:t xml:space="preserve"> National VET Provider data collection</w:t>
            </w:r>
          </w:p>
        </w:tc>
      </w:tr>
      <w:tr w:rsidR="00781C46" w:rsidRPr="005970A0" w:rsidTr="00B11361">
        <w:tc>
          <w:tcPr>
            <w:tcW w:w="5000" w:type="pct"/>
            <w:gridSpan w:val="2"/>
            <w:shd w:val="clear" w:color="auto" w:fill="auto"/>
          </w:tcPr>
          <w:p w:rsidR="00781C46" w:rsidRPr="005970A0" w:rsidRDefault="00781C46" w:rsidP="00AD368D">
            <w:pPr>
              <w:pStyle w:val="DQIMainRowHeadings"/>
            </w:pPr>
            <w:r w:rsidRPr="005970A0">
              <w:t>Data Gaps/Issues Analysis</w:t>
            </w:r>
          </w:p>
        </w:tc>
      </w:tr>
      <w:tr w:rsidR="00781C46" w:rsidRPr="005970A0" w:rsidTr="009D6827">
        <w:tc>
          <w:tcPr>
            <w:tcW w:w="887" w:type="pct"/>
            <w:shd w:val="clear" w:color="auto" w:fill="auto"/>
          </w:tcPr>
          <w:p w:rsidR="00781C46" w:rsidRPr="005970A0" w:rsidRDefault="00781C46" w:rsidP="00AD368D">
            <w:pPr>
              <w:pStyle w:val="DQIRowHeadings"/>
            </w:pPr>
            <w:r w:rsidRPr="005970A0">
              <w:t>Key data gaps/ issues</w:t>
            </w:r>
          </w:p>
        </w:tc>
        <w:tc>
          <w:tcPr>
            <w:tcW w:w="4113" w:type="pct"/>
            <w:shd w:val="clear" w:color="auto" w:fill="auto"/>
          </w:tcPr>
          <w:p w:rsidR="00781C46" w:rsidRPr="005970A0" w:rsidRDefault="00781C46" w:rsidP="00AD368D">
            <w:pPr>
              <w:pStyle w:val="DQITableText"/>
            </w:pPr>
            <w:r w:rsidRPr="005970A0">
              <w:t>The Steering Committee notes that user cost of capital per load pass needs to be interpreted carefully because low unit costs may not necessarily reflect a lessening of quality. Differences in some input costs (for example, land values) can affect reported costs across jurisdictions without necessarily reflecting the efficiency of service delivery. The user cost of capital for land is presented separately from the cost of other assets, to allow users assessing the results to consider any differences in land values across jurisdictions. The Steering Committee has adopted a nominal user cost of capital rate of 8 per cent, although the actual rate may vary across jurisdictions. The basis for the 8</w:t>
            </w:r>
            <w:r>
              <w:t> </w:t>
            </w:r>
            <w:r w:rsidRPr="005970A0">
              <w:t xml:space="preserve">per </w:t>
            </w:r>
            <w:r>
              <w:t> </w:t>
            </w:r>
            <w:r w:rsidRPr="005970A0">
              <w:t>cent capital charge is discussed in chapter 2.</w:t>
            </w:r>
          </w:p>
        </w:tc>
      </w:tr>
    </w:tbl>
    <w:p w:rsidR="00AD368D" w:rsidRDefault="00B11361" w:rsidP="00B11361">
      <w:pPr>
        <w:pStyle w:val="Heading3"/>
        <w:spacing w:before="120"/>
      </w:pPr>
      <w:r w:rsidRPr="005970A0">
        <w:br w:type="page"/>
      </w:r>
      <w:bookmarkStart w:id="57" w:name="_Toc436148770"/>
      <w:bookmarkStart w:id="58" w:name="StudentEmpAndFurthStudy"/>
      <w:bookmarkStart w:id="59" w:name="_Toc396227462"/>
      <w:r w:rsidRPr="005970A0">
        <w:lastRenderedPageBreak/>
        <w:t>Student employment and further study outcomes</w:t>
      </w:r>
      <w:bookmarkEnd w:id="57"/>
      <w:r w:rsidRPr="005970A0">
        <w:t xml:space="preserve"> </w:t>
      </w:r>
      <w:bookmarkEnd w:id="58"/>
    </w:p>
    <w:p w:rsidR="00B11361" w:rsidRPr="005970A0" w:rsidRDefault="00AD368D" w:rsidP="009D6827">
      <w:pPr>
        <w:pStyle w:val="Heading4"/>
        <w:spacing w:before="360"/>
      </w:pPr>
      <w:r>
        <w:t>Pr</w:t>
      </w:r>
      <w:r w:rsidR="00B11361" w:rsidRPr="005970A0">
        <w:t xml:space="preserve">oportion of graduates who were employed and/or continued on to further study after completing </w:t>
      </w:r>
      <w:r w:rsidR="00B11361" w:rsidRPr="00F05339">
        <w:t>their</w:t>
      </w:r>
      <w:r w:rsidR="00B11361" w:rsidRPr="005970A0">
        <w:t xml:space="preserve"> course</w:t>
      </w:r>
      <w:bookmarkEnd w:id="59"/>
    </w:p>
    <w:p w:rsidR="00B11361" w:rsidRPr="005970A0" w:rsidRDefault="00B11361" w:rsidP="00F05339">
      <w:pPr>
        <w:pStyle w:val="Box"/>
      </w:pPr>
      <w:r w:rsidRPr="005970A0">
        <w:t xml:space="preserve">Data quality </w:t>
      </w:r>
      <w:r w:rsidRPr="00F05339">
        <w:t>information</w:t>
      </w:r>
      <w:r w:rsidRPr="005970A0">
        <w:t xml:space="preserve"> for this indicator has been drafted by the </w:t>
      </w:r>
      <w:proofErr w:type="spellStart"/>
      <w:r w:rsidR="00E22A04">
        <w:t>NCVER</w:t>
      </w:r>
      <w:proofErr w:type="spellEnd"/>
      <w:r w:rsidRPr="005970A0">
        <w:t xml:space="preserve"> and the Secretariat, in consultation with the VET Working Group.</w:t>
      </w:r>
    </w:p>
    <w:tbl>
      <w:tblPr>
        <w:tblW w:w="5000" w:type="pct"/>
        <w:tblCellMar>
          <w:left w:w="0" w:type="dxa"/>
          <w:right w:w="0" w:type="dxa"/>
        </w:tblCellMar>
        <w:tblLook w:val="0000" w:firstRow="0" w:lastRow="0" w:firstColumn="0" w:lastColumn="0" w:noHBand="0" w:noVBand="0"/>
      </w:tblPr>
      <w:tblGrid>
        <w:gridCol w:w="1559"/>
        <w:gridCol w:w="7230"/>
      </w:tblGrid>
      <w:tr w:rsidR="00B11361" w:rsidRPr="005970A0" w:rsidTr="00B11361">
        <w:tc>
          <w:tcPr>
            <w:tcW w:w="5000" w:type="pct"/>
            <w:gridSpan w:val="2"/>
          </w:tcPr>
          <w:p w:rsidR="00B11361" w:rsidRPr="005970A0" w:rsidRDefault="00B11361" w:rsidP="00AD368D">
            <w:pPr>
              <w:pStyle w:val="DQIMainRowHeadings"/>
            </w:pPr>
            <w:r w:rsidRPr="005970A0">
              <w:t>Indicator definition and description</w:t>
            </w:r>
            <w:r w:rsidRPr="005970A0">
              <w:rPr>
                <w:rFonts w:cs="Arial"/>
                <w:sz w:val="22"/>
                <w:szCs w:val="22"/>
              </w:rPr>
              <w:t xml:space="preserve"> </w:t>
            </w:r>
          </w:p>
        </w:tc>
      </w:tr>
      <w:tr w:rsidR="00B11361" w:rsidRPr="005970A0" w:rsidTr="009D6827">
        <w:tc>
          <w:tcPr>
            <w:tcW w:w="887" w:type="pct"/>
          </w:tcPr>
          <w:p w:rsidR="00B11361" w:rsidRPr="005970A0" w:rsidRDefault="00B11361" w:rsidP="00AD368D">
            <w:pPr>
              <w:pStyle w:val="DQIRowHeadings"/>
            </w:pPr>
            <w:r w:rsidRPr="005970A0">
              <w:t>Element</w:t>
            </w:r>
          </w:p>
        </w:tc>
        <w:tc>
          <w:tcPr>
            <w:tcW w:w="4113" w:type="pct"/>
          </w:tcPr>
          <w:p w:rsidR="00B11361" w:rsidRPr="005970A0" w:rsidRDefault="00B11361" w:rsidP="00AD368D">
            <w:pPr>
              <w:pStyle w:val="DQITableText"/>
            </w:pPr>
            <w:r w:rsidRPr="005970A0">
              <w:t>Outcomes.</w:t>
            </w:r>
          </w:p>
        </w:tc>
      </w:tr>
      <w:tr w:rsidR="00B11361" w:rsidRPr="005970A0" w:rsidTr="009D6827">
        <w:tc>
          <w:tcPr>
            <w:tcW w:w="887" w:type="pct"/>
          </w:tcPr>
          <w:p w:rsidR="00B11361" w:rsidRPr="005970A0" w:rsidRDefault="00B11361" w:rsidP="00AD368D">
            <w:pPr>
              <w:pStyle w:val="DQIRowHeadings"/>
            </w:pPr>
            <w:r w:rsidRPr="005970A0">
              <w:t>Indicator</w:t>
            </w:r>
          </w:p>
        </w:tc>
        <w:tc>
          <w:tcPr>
            <w:tcW w:w="4113" w:type="pct"/>
          </w:tcPr>
          <w:p w:rsidR="00B11361" w:rsidRPr="005970A0" w:rsidRDefault="00B11361" w:rsidP="00AD368D">
            <w:pPr>
              <w:pStyle w:val="DQITableText"/>
            </w:pPr>
            <w:r w:rsidRPr="005970A0">
              <w:t>Student employment and further study outcomes</w:t>
            </w:r>
          </w:p>
        </w:tc>
      </w:tr>
      <w:tr w:rsidR="00B11361" w:rsidRPr="005970A0" w:rsidTr="009D6827">
        <w:tc>
          <w:tcPr>
            <w:tcW w:w="887" w:type="pct"/>
          </w:tcPr>
          <w:p w:rsidR="00B11361" w:rsidRPr="005970A0" w:rsidRDefault="00B11361" w:rsidP="00AD368D">
            <w:pPr>
              <w:pStyle w:val="DQIRowHeadings"/>
            </w:pPr>
            <w:r w:rsidRPr="005970A0">
              <w:t>Measure (computation)</w:t>
            </w:r>
          </w:p>
        </w:tc>
        <w:tc>
          <w:tcPr>
            <w:tcW w:w="4113" w:type="pct"/>
          </w:tcPr>
          <w:p w:rsidR="00B11361" w:rsidRPr="005970A0" w:rsidRDefault="00B11361" w:rsidP="00AD368D">
            <w:pPr>
              <w:pStyle w:val="DQITableText"/>
            </w:pPr>
            <w:r w:rsidRPr="005970A0">
              <w:rPr>
                <w:u w:val="single"/>
              </w:rPr>
              <w:t>Definition</w:t>
            </w:r>
          </w:p>
          <w:p w:rsidR="00B11361" w:rsidRPr="005970A0" w:rsidRDefault="00B11361" w:rsidP="00AD368D">
            <w:pPr>
              <w:pStyle w:val="DQITableText"/>
            </w:pPr>
            <w:r w:rsidRPr="005970A0">
              <w:t>The proportion of graduates who were employed and/or continued on to further study after completing their course.</w:t>
            </w:r>
          </w:p>
          <w:p w:rsidR="00B11361" w:rsidRPr="005970A0" w:rsidRDefault="00B11361" w:rsidP="00AD368D">
            <w:pPr>
              <w:pStyle w:val="DQITableText"/>
              <w:rPr>
                <w:u w:val="single"/>
              </w:rPr>
            </w:pPr>
            <w:r w:rsidRPr="005970A0">
              <w:rPr>
                <w:u w:val="single"/>
              </w:rPr>
              <w:t>Numerator/s</w:t>
            </w:r>
          </w:p>
          <w:p w:rsidR="00B11361" w:rsidRPr="005970A0" w:rsidRDefault="00B11361" w:rsidP="00AD368D">
            <w:pPr>
              <w:pStyle w:val="DQITableText"/>
            </w:pPr>
            <w:r w:rsidRPr="005970A0">
              <w:t>Number of graduates who were employed and/or enrolled in further study on the last Friday in May of the nominated year, and who completed their training during the year prior to the nominated year.</w:t>
            </w:r>
          </w:p>
          <w:p w:rsidR="00B11361" w:rsidRPr="005970A0" w:rsidRDefault="00B11361" w:rsidP="00AD368D">
            <w:pPr>
              <w:pStyle w:val="DQITableText"/>
              <w:rPr>
                <w:u w:val="single"/>
              </w:rPr>
            </w:pPr>
            <w:r w:rsidRPr="005970A0">
              <w:rPr>
                <w:u w:val="single"/>
              </w:rPr>
              <w:t>Denominator/s</w:t>
            </w:r>
          </w:p>
          <w:p w:rsidR="00B11361" w:rsidRPr="005970A0" w:rsidRDefault="00B11361" w:rsidP="00AD368D">
            <w:pPr>
              <w:pStyle w:val="DQITableText"/>
            </w:pPr>
            <w:r w:rsidRPr="005970A0">
              <w:t>Number of graduates who completed their training during the year prior to the nominated year (less those with the numerator variable not stated).</w:t>
            </w:r>
          </w:p>
          <w:p w:rsidR="00B11361" w:rsidRPr="005970A0" w:rsidRDefault="00B11361" w:rsidP="00AD368D">
            <w:pPr>
              <w:pStyle w:val="DQITableText"/>
              <w:rPr>
                <w:u w:val="single"/>
              </w:rPr>
            </w:pPr>
            <w:r w:rsidRPr="005970A0">
              <w:rPr>
                <w:u w:val="single"/>
              </w:rPr>
              <w:t>Computation/s</w:t>
            </w:r>
            <w:r w:rsidRPr="005970A0">
              <w:t>:</w:t>
            </w:r>
          </w:p>
          <w:p w:rsidR="00B11361" w:rsidRPr="005970A0" w:rsidRDefault="00B11361" w:rsidP="00AD368D">
            <w:pPr>
              <w:pStyle w:val="DQITableText"/>
            </w:pPr>
            <w:r w:rsidRPr="005970A0">
              <w:t>Numerator (above) divided by denominator (above).</w:t>
            </w:r>
          </w:p>
          <w:p w:rsidR="00B11361" w:rsidRPr="005970A0" w:rsidRDefault="00B11361" w:rsidP="00AD368D">
            <w:pPr>
              <w:pStyle w:val="DQITableText"/>
            </w:pPr>
            <w:r w:rsidRPr="005970A0">
              <w:t>‘Graduate’ is defined as a past student who was awarded a qualification from a VET provider in Australia.</w:t>
            </w:r>
          </w:p>
        </w:tc>
      </w:tr>
      <w:tr w:rsidR="00B11361" w:rsidRPr="005970A0" w:rsidTr="009D6827">
        <w:tc>
          <w:tcPr>
            <w:tcW w:w="887" w:type="pct"/>
          </w:tcPr>
          <w:p w:rsidR="00B11361" w:rsidRPr="005970A0" w:rsidRDefault="00B11361" w:rsidP="00AD368D">
            <w:pPr>
              <w:pStyle w:val="DQIRowHeadings"/>
            </w:pPr>
            <w:r w:rsidRPr="005970A0">
              <w:t>Data source/s</w:t>
            </w:r>
          </w:p>
        </w:tc>
        <w:tc>
          <w:tcPr>
            <w:tcW w:w="4113" w:type="pct"/>
          </w:tcPr>
          <w:p w:rsidR="00B11361" w:rsidRPr="005970A0" w:rsidRDefault="00B11361" w:rsidP="00AD368D">
            <w:pPr>
              <w:pStyle w:val="DQITableText"/>
            </w:pPr>
            <w:r w:rsidRPr="005970A0">
              <w:t xml:space="preserve">All data are derived from the </w:t>
            </w:r>
            <w:r w:rsidRPr="007047F5">
              <w:rPr>
                <w:i/>
              </w:rPr>
              <w:t>Student Outcomes Survey</w:t>
            </w:r>
            <w:r w:rsidRPr="007047F5">
              <w:t xml:space="preserve"> (SOS)</w:t>
            </w:r>
            <w:r w:rsidRPr="005970A0">
              <w:t xml:space="preserve">, which is an annual survey of students who successfully complete VET in Australia. This survey is conducted by </w:t>
            </w:r>
            <w:proofErr w:type="spellStart"/>
            <w:r w:rsidR="00C90987">
              <w:t>NCVER</w:t>
            </w:r>
            <w:proofErr w:type="spellEnd"/>
            <w:r w:rsidRPr="005970A0">
              <w:t>.</w:t>
            </w:r>
          </w:p>
          <w:p w:rsidR="00B11361" w:rsidRPr="005970A0" w:rsidRDefault="00B11361" w:rsidP="00AD368D">
            <w:pPr>
              <w:pStyle w:val="DQITableText"/>
            </w:pPr>
            <w:r w:rsidRPr="005970A0">
              <w:t>The sample for the survey is drawn from the National VET Provider Collection.</w:t>
            </w:r>
          </w:p>
        </w:tc>
      </w:tr>
      <w:tr w:rsidR="00B11361" w:rsidRPr="005970A0" w:rsidTr="00B11361">
        <w:tc>
          <w:tcPr>
            <w:tcW w:w="5000" w:type="pct"/>
            <w:gridSpan w:val="2"/>
          </w:tcPr>
          <w:p w:rsidR="00B11361" w:rsidRPr="005970A0" w:rsidRDefault="00B11361" w:rsidP="00AD368D">
            <w:pPr>
              <w:pStyle w:val="DQIMainRowHeadings"/>
            </w:pPr>
            <w:r w:rsidRPr="005970A0">
              <w:t>Data Quality Framework Dimensions</w:t>
            </w:r>
          </w:p>
        </w:tc>
      </w:tr>
      <w:tr w:rsidR="009D6827" w:rsidRPr="005970A0" w:rsidTr="009D6827">
        <w:trPr>
          <w:trHeight w:val="1830"/>
        </w:trPr>
        <w:tc>
          <w:tcPr>
            <w:tcW w:w="887" w:type="pct"/>
            <w:vAlign w:val="center"/>
          </w:tcPr>
          <w:p w:rsidR="009D6827" w:rsidRPr="005970A0" w:rsidRDefault="009D6827" w:rsidP="009D6827">
            <w:pPr>
              <w:pStyle w:val="DQIRowHeadings"/>
            </w:pPr>
          </w:p>
        </w:tc>
        <w:tc>
          <w:tcPr>
            <w:tcW w:w="4113" w:type="pct"/>
            <w:vAlign w:val="center"/>
          </w:tcPr>
          <w:p w:rsidR="00155DF2" w:rsidRDefault="00155DF2" w:rsidP="00155DF2">
            <w:pPr>
              <w:pStyle w:val="DQIRowHeadings"/>
            </w:pPr>
            <w:r>
              <w:t xml:space="preserve">For a summary of data quality information against the data quality framework dimensions — Institutional environment, Relevance, Timeliness, Accuracy, Coherence, Accessibility, and Interpretability — please see the related Data collection </w:t>
            </w:r>
            <w:proofErr w:type="spellStart"/>
            <w:r>
              <w:t>DQI</w:t>
            </w:r>
            <w:proofErr w:type="spellEnd"/>
            <w:r>
              <w:t xml:space="preserve"> for:</w:t>
            </w:r>
          </w:p>
          <w:p w:rsidR="00155DF2" w:rsidRDefault="00155DF2" w:rsidP="00155DF2">
            <w:pPr>
              <w:pStyle w:val="DQIRowHeadings"/>
            </w:pPr>
          </w:p>
          <w:p w:rsidR="009D6827" w:rsidRPr="009D6827" w:rsidRDefault="009D6827" w:rsidP="009D6827">
            <w:pPr>
              <w:pStyle w:val="DQITableBullet"/>
              <w:jc w:val="left"/>
              <w:rPr>
                <w:u w:val="single"/>
              </w:rPr>
            </w:pPr>
            <w:r>
              <w:t>Student outcomes</w:t>
            </w:r>
            <w:r w:rsidRPr="003E0195">
              <w:t>:</w:t>
            </w:r>
            <w:r>
              <w:t xml:space="preserve"> </w:t>
            </w:r>
            <w:r>
              <w:tab/>
            </w:r>
            <w:r w:rsidR="00FC7692" w:rsidRPr="007047F5">
              <w:t>Student Outcomes S</w:t>
            </w:r>
            <w:r w:rsidRPr="007047F5">
              <w:t>urvey</w:t>
            </w:r>
            <w:r>
              <w:t>.</w:t>
            </w:r>
          </w:p>
        </w:tc>
      </w:tr>
      <w:tr w:rsidR="00B11361" w:rsidRPr="005970A0" w:rsidTr="00B11361">
        <w:tc>
          <w:tcPr>
            <w:tcW w:w="5000" w:type="pct"/>
            <w:gridSpan w:val="2"/>
            <w:shd w:val="clear" w:color="auto" w:fill="auto"/>
          </w:tcPr>
          <w:p w:rsidR="00B11361" w:rsidRPr="005970A0" w:rsidRDefault="00B11361" w:rsidP="00E13E92">
            <w:pPr>
              <w:pStyle w:val="DQIMainRowHeadings"/>
            </w:pPr>
            <w:r w:rsidRPr="005970A0">
              <w:t>Data Gaps/Issues Analysis</w:t>
            </w:r>
          </w:p>
        </w:tc>
      </w:tr>
      <w:tr w:rsidR="00B11361" w:rsidRPr="005970A0" w:rsidTr="009D6827">
        <w:tc>
          <w:tcPr>
            <w:tcW w:w="887" w:type="pct"/>
            <w:shd w:val="clear" w:color="auto" w:fill="auto"/>
          </w:tcPr>
          <w:p w:rsidR="00B11361" w:rsidRPr="005970A0" w:rsidRDefault="00B11361" w:rsidP="00E13E92">
            <w:pPr>
              <w:pStyle w:val="DQIRowHeadings"/>
            </w:pPr>
            <w:r w:rsidRPr="005970A0">
              <w:t>Key data gaps/ issues</w:t>
            </w:r>
          </w:p>
        </w:tc>
        <w:tc>
          <w:tcPr>
            <w:tcW w:w="4113" w:type="pct"/>
            <w:shd w:val="clear" w:color="auto" w:fill="auto"/>
          </w:tcPr>
          <w:p w:rsidR="00B11361" w:rsidRPr="005970A0" w:rsidRDefault="00B11361" w:rsidP="00AD368D">
            <w:pPr>
              <w:pStyle w:val="DQITableText"/>
              <w:rPr>
                <w:rFonts w:cs="Arial"/>
              </w:rPr>
            </w:pPr>
            <w:r w:rsidRPr="005970A0">
              <w:rPr>
                <w:rFonts w:cs="Arial"/>
              </w:rPr>
              <w:t xml:space="preserve">The Steering Committee notes the following key data gaps/issues: </w:t>
            </w:r>
          </w:p>
          <w:p w:rsidR="00B11361" w:rsidRPr="005970A0" w:rsidRDefault="00B11361" w:rsidP="00E13E92">
            <w:pPr>
              <w:pStyle w:val="DQITableBullet"/>
            </w:pPr>
            <w:r w:rsidRPr="005970A0">
              <w:t xml:space="preserve">Annual data are available from the Student Outcomes Survey. </w:t>
            </w:r>
            <w:r w:rsidR="00FC7692" w:rsidRPr="006C319A">
              <w:t>The most recent available data are for 2014 (outcomes of students in 2014 who completed qualifications in 2013).</w:t>
            </w:r>
          </w:p>
          <w:p w:rsidR="00B11361" w:rsidRPr="005970A0" w:rsidRDefault="00B11361" w:rsidP="00E13E92">
            <w:pPr>
              <w:pStyle w:val="DQITableBullet"/>
            </w:pPr>
            <w:r w:rsidRPr="005970A0">
              <w:t xml:space="preserve">The response rate to this survey was </w:t>
            </w:r>
            <w:r w:rsidR="009F24D8">
              <w:t>38.2 per cent in 2014</w:t>
            </w:r>
            <w:r w:rsidRPr="005970A0">
              <w:t xml:space="preserve">. </w:t>
            </w:r>
            <w:proofErr w:type="spellStart"/>
            <w:r w:rsidRPr="005970A0">
              <w:t>NCVER</w:t>
            </w:r>
            <w:proofErr w:type="spellEnd"/>
            <w:r w:rsidRPr="005970A0">
              <w:t xml:space="preserve"> analysis found that the non-response was not likely to have affected the quality of the results.</w:t>
            </w:r>
          </w:p>
          <w:p w:rsidR="00B11361" w:rsidRPr="005970A0" w:rsidRDefault="00B11361" w:rsidP="00E13E92">
            <w:pPr>
              <w:pStyle w:val="DQITableBullet"/>
            </w:pPr>
            <w:r w:rsidRPr="005970A0">
              <w:t xml:space="preserve">Data are of acceptable accuracy at the national level, but some data disaggregated by Indigenous status by State and Territory have relative standard errors greater than 25 per cent and should be used with caution. </w:t>
            </w:r>
          </w:p>
          <w:p w:rsidR="00B11361" w:rsidRPr="005970A0" w:rsidRDefault="00B11361" w:rsidP="00E13E92">
            <w:pPr>
              <w:pStyle w:val="DQITableBullet"/>
            </w:pPr>
            <w:r w:rsidRPr="005970A0">
              <w:t>Percentages in tables are rounded and may not sum to 100.</w:t>
            </w:r>
          </w:p>
          <w:p w:rsidR="00B11361" w:rsidRPr="005970A0" w:rsidRDefault="00B11361" w:rsidP="00E13E92">
            <w:pPr>
              <w:pStyle w:val="DQITableBullet"/>
            </w:pPr>
            <w:r w:rsidRPr="005970A0">
              <w:t xml:space="preserve">The size of the </w:t>
            </w:r>
            <w:proofErr w:type="spellStart"/>
            <w:r w:rsidRPr="005970A0">
              <w:t>RSEs</w:t>
            </w:r>
            <w:proofErr w:type="spellEnd"/>
            <w:r w:rsidRPr="005970A0">
              <w:t xml:space="preserve"> affects the ability to identify small year to year movements in some disaggregated measures for this indicator for some jurisdictions.</w:t>
            </w:r>
          </w:p>
        </w:tc>
      </w:tr>
    </w:tbl>
    <w:p w:rsidR="00B11361" w:rsidRPr="005970A0" w:rsidRDefault="00E13E92" w:rsidP="00E13E92">
      <w:pPr>
        <w:pStyle w:val="Heading4"/>
      </w:pPr>
      <w:bookmarkStart w:id="60" w:name="_Toc396227463"/>
      <w:r>
        <w:lastRenderedPageBreak/>
        <w:t>P</w:t>
      </w:r>
      <w:r w:rsidR="00B11361" w:rsidRPr="005970A0">
        <w:t>roportion of graduates employed after completing their course who were unemployed before the course</w:t>
      </w:r>
      <w:bookmarkEnd w:id="60"/>
      <w:r w:rsidR="00B11361" w:rsidRPr="005970A0">
        <w:t xml:space="preserve"> </w:t>
      </w:r>
    </w:p>
    <w:p w:rsidR="00B11361" w:rsidRPr="005970A0" w:rsidRDefault="00B11361" w:rsidP="00B11361">
      <w:pPr>
        <w:pStyle w:val="Box"/>
      </w:pPr>
      <w:r w:rsidRPr="005970A0">
        <w:t xml:space="preserve">Data quality information for this indicator has been drafted by the </w:t>
      </w:r>
      <w:proofErr w:type="spellStart"/>
      <w:r w:rsidR="00E22A04">
        <w:t>NCVER</w:t>
      </w:r>
      <w:proofErr w:type="spellEnd"/>
      <w:r w:rsidRPr="005970A0">
        <w:t xml:space="preserve"> and the Secretariat, in consultation with the VET Working Group.</w:t>
      </w:r>
    </w:p>
    <w:tbl>
      <w:tblPr>
        <w:tblW w:w="5000" w:type="pct"/>
        <w:tblCellMar>
          <w:left w:w="0" w:type="dxa"/>
          <w:right w:w="0" w:type="dxa"/>
        </w:tblCellMar>
        <w:tblLook w:val="0000" w:firstRow="0" w:lastRow="0" w:firstColumn="0" w:lastColumn="0" w:noHBand="0" w:noVBand="0"/>
      </w:tblPr>
      <w:tblGrid>
        <w:gridCol w:w="1560"/>
        <w:gridCol w:w="6804"/>
        <w:gridCol w:w="425"/>
      </w:tblGrid>
      <w:tr w:rsidR="008F31BE" w:rsidRPr="005970A0" w:rsidTr="00FA56B9">
        <w:tc>
          <w:tcPr>
            <w:tcW w:w="5000" w:type="pct"/>
            <w:gridSpan w:val="3"/>
          </w:tcPr>
          <w:p w:rsidR="008F31BE" w:rsidRPr="005970A0" w:rsidRDefault="008F31BE" w:rsidP="00FA56B9">
            <w:pPr>
              <w:pStyle w:val="DQIMainRowHeadings"/>
            </w:pPr>
            <w:r w:rsidRPr="005970A0">
              <w:t>Indicator definition and description</w:t>
            </w:r>
            <w:r w:rsidRPr="005970A0">
              <w:rPr>
                <w:rFonts w:cs="Arial"/>
                <w:sz w:val="22"/>
                <w:szCs w:val="22"/>
              </w:rPr>
              <w:t xml:space="preserve"> </w:t>
            </w:r>
          </w:p>
        </w:tc>
      </w:tr>
      <w:tr w:rsidR="008F31BE" w:rsidRPr="005970A0" w:rsidTr="009D6827">
        <w:tc>
          <w:tcPr>
            <w:tcW w:w="887" w:type="pct"/>
          </w:tcPr>
          <w:p w:rsidR="008F31BE" w:rsidRPr="005970A0" w:rsidRDefault="008F31BE" w:rsidP="00FA56B9">
            <w:pPr>
              <w:pStyle w:val="DQIRowHeadings"/>
            </w:pPr>
            <w:r w:rsidRPr="005970A0">
              <w:t>Element</w:t>
            </w:r>
          </w:p>
        </w:tc>
        <w:tc>
          <w:tcPr>
            <w:tcW w:w="4113" w:type="pct"/>
            <w:gridSpan w:val="2"/>
          </w:tcPr>
          <w:p w:rsidR="008F31BE" w:rsidRPr="005970A0" w:rsidRDefault="008F31BE" w:rsidP="00FA56B9">
            <w:pPr>
              <w:pStyle w:val="DQITableText"/>
            </w:pPr>
            <w:r w:rsidRPr="005970A0">
              <w:t>Outcomes</w:t>
            </w:r>
          </w:p>
        </w:tc>
      </w:tr>
      <w:tr w:rsidR="008F31BE" w:rsidRPr="005970A0" w:rsidTr="009D6827">
        <w:tc>
          <w:tcPr>
            <w:tcW w:w="887" w:type="pct"/>
          </w:tcPr>
          <w:p w:rsidR="008F31BE" w:rsidRPr="005970A0" w:rsidRDefault="008F31BE" w:rsidP="00FA56B9">
            <w:pPr>
              <w:pStyle w:val="DQIRowHeadings"/>
            </w:pPr>
            <w:r w:rsidRPr="005970A0">
              <w:t>Indicator</w:t>
            </w:r>
          </w:p>
        </w:tc>
        <w:tc>
          <w:tcPr>
            <w:tcW w:w="4113" w:type="pct"/>
            <w:gridSpan w:val="2"/>
          </w:tcPr>
          <w:p w:rsidR="008F31BE" w:rsidRPr="005970A0" w:rsidRDefault="008F31BE" w:rsidP="00FA56B9">
            <w:pPr>
              <w:pStyle w:val="DQITableText"/>
            </w:pPr>
            <w:r w:rsidRPr="005970A0">
              <w:t>Student employment and further study outcomes</w:t>
            </w:r>
          </w:p>
        </w:tc>
      </w:tr>
      <w:tr w:rsidR="008F31BE" w:rsidRPr="005970A0" w:rsidTr="009D6827">
        <w:tc>
          <w:tcPr>
            <w:tcW w:w="887" w:type="pct"/>
          </w:tcPr>
          <w:p w:rsidR="008F31BE" w:rsidRPr="005970A0" w:rsidRDefault="008F31BE" w:rsidP="00FA56B9">
            <w:pPr>
              <w:pStyle w:val="DQIRowHeadings"/>
            </w:pPr>
            <w:r w:rsidRPr="005970A0">
              <w:t>Measure (computation)</w:t>
            </w:r>
          </w:p>
        </w:tc>
        <w:tc>
          <w:tcPr>
            <w:tcW w:w="4113" w:type="pct"/>
            <w:gridSpan w:val="2"/>
          </w:tcPr>
          <w:p w:rsidR="008F31BE" w:rsidRPr="005970A0" w:rsidRDefault="008F31BE" w:rsidP="00FA56B9">
            <w:pPr>
              <w:pStyle w:val="DQITableText"/>
            </w:pPr>
            <w:r w:rsidRPr="005970A0">
              <w:rPr>
                <w:u w:val="single"/>
              </w:rPr>
              <w:t>Definition</w:t>
            </w:r>
          </w:p>
          <w:p w:rsidR="008F31BE" w:rsidRPr="005970A0" w:rsidRDefault="008F31BE" w:rsidP="00FA56B9">
            <w:pPr>
              <w:pStyle w:val="DQITableText"/>
            </w:pPr>
            <w:r w:rsidRPr="005970A0">
              <w:t>The proportion of graduates employed after completing their course who were unemployed before the course.</w:t>
            </w:r>
          </w:p>
          <w:p w:rsidR="008F31BE" w:rsidRPr="005970A0" w:rsidRDefault="008F31BE" w:rsidP="00FA56B9">
            <w:pPr>
              <w:pStyle w:val="DQITableText"/>
              <w:rPr>
                <w:u w:val="single"/>
              </w:rPr>
            </w:pPr>
            <w:r w:rsidRPr="005970A0">
              <w:rPr>
                <w:u w:val="single"/>
              </w:rPr>
              <w:t>Numerator/s</w:t>
            </w:r>
          </w:p>
          <w:p w:rsidR="008F31BE" w:rsidRPr="005970A0" w:rsidRDefault="008F31BE" w:rsidP="00FA56B9">
            <w:pPr>
              <w:pStyle w:val="DQITableText"/>
            </w:pPr>
            <w:r w:rsidRPr="005970A0">
              <w:t>Number of graduates employed on the last Friday in May of the nominated year who were unemployed prior to commencing their training, and who completed their training during the year prior to the nominated year.</w:t>
            </w:r>
          </w:p>
          <w:p w:rsidR="008F31BE" w:rsidRPr="005970A0" w:rsidRDefault="008F31BE" w:rsidP="00FA56B9">
            <w:pPr>
              <w:pStyle w:val="DQITableText"/>
              <w:rPr>
                <w:u w:val="single"/>
              </w:rPr>
            </w:pPr>
            <w:r w:rsidRPr="005970A0">
              <w:rPr>
                <w:u w:val="single"/>
              </w:rPr>
              <w:t>Denominator/s</w:t>
            </w:r>
          </w:p>
          <w:p w:rsidR="008F31BE" w:rsidRPr="005970A0" w:rsidRDefault="008F31BE" w:rsidP="00FA56B9">
            <w:pPr>
              <w:pStyle w:val="DQITableText"/>
            </w:pPr>
            <w:r w:rsidRPr="005970A0">
              <w:t>Number of graduates who completed their training during the year prior to the nominated year, who were unemployed prior to commencing their training.</w:t>
            </w:r>
          </w:p>
          <w:p w:rsidR="008F31BE" w:rsidRPr="005970A0" w:rsidRDefault="008F31BE" w:rsidP="00FA56B9">
            <w:pPr>
              <w:pStyle w:val="DQITableText"/>
            </w:pPr>
            <w:r w:rsidRPr="005970A0">
              <w:rPr>
                <w:u w:val="single"/>
              </w:rPr>
              <w:t>Computation/s</w:t>
            </w:r>
            <w:r w:rsidRPr="005970A0">
              <w:t>:</w:t>
            </w:r>
          </w:p>
          <w:p w:rsidR="008F31BE" w:rsidRPr="005970A0" w:rsidRDefault="008F31BE" w:rsidP="00FA56B9">
            <w:pPr>
              <w:pStyle w:val="DQITableText"/>
            </w:pPr>
            <w:r w:rsidRPr="005970A0">
              <w:t>Numerator (above) divided by denominator (above).</w:t>
            </w:r>
          </w:p>
          <w:p w:rsidR="008F31BE" w:rsidRPr="005970A0" w:rsidRDefault="008F31BE" w:rsidP="00FA56B9">
            <w:pPr>
              <w:pStyle w:val="DQITableText"/>
            </w:pPr>
            <w:r w:rsidRPr="005970A0">
              <w:t>‘Graduate’ is defined as a past student who was awarded a qualification from a VET provider in Australia.</w:t>
            </w:r>
          </w:p>
        </w:tc>
      </w:tr>
      <w:tr w:rsidR="008F31BE" w:rsidRPr="005970A0" w:rsidTr="009D6827">
        <w:tc>
          <w:tcPr>
            <w:tcW w:w="887" w:type="pct"/>
          </w:tcPr>
          <w:p w:rsidR="008F31BE" w:rsidRPr="005970A0" w:rsidRDefault="008F31BE" w:rsidP="00FA56B9">
            <w:pPr>
              <w:pStyle w:val="DQIRowHeadings"/>
            </w:pPr>
            <w:r w:rsidRPr="005970A0">
              <w:t>Data source/s</w:t>
            </w:r>
          </w:p>
        </w:tc>
        <w:tc>
          <w:tcPr>
            <w:tcW w:w="4113" w:type="pct"/>
            <w:gridSpan w:val="2"/>
          </w:tcPr>
          <w:p w:rsidR="008F31BE" w:rsidRPr="005970A0" w:rsidRDefault="008F31BE" w:rsidP="00FA56B9">
            <w:pPr>
              <w:pStyle w:val="DQITableText"/>
            </w:pPr>
            <w:r w:rsidRPr="005970A0">
              <w:t xml:space="preserve">All data are derived from the </w:t>
            </w:r>
            <w:r w:rsidRPr="007047F5">
              <w:rPr>
                <w:i/>
              </w:rPr>
              <w:t>Student Outcomes Survey</w:t>
            </w:r>
            <w:r w:rsidRPr="007047F5">
              <w:t xml:space="preserve"> (SOS)</w:t>
            </w:r>
            <w:r w:rsidRPr="005970A0">
              <w:t xml:space="preserve">, which is an annual survey of students who successfully complete VET in Australia. This survey is conducted by </w:t>
            </w:r>
            <w:proofErr w:type="spellStart"/>
            <w:r w:rsidR="00C90987">
              <w:t>NCVER</w:t>
            </w:r>
            <w:proofErr w:type="spellEnd"/>
            <w:r w:rsidRPr="005970A0">
              <w:t>.</w:t>
            </w:r>
          </w:p>
          <w:p w:rsidR="008F31BE" w:rsidRPr="005970A0" w:rsidRDefault="008F31BE" w:rsidP="00FA56B9">
            <w:pPr>
              <w:pStyle w:val="DQITableText"/>
            </w:pPr>
            <w:r w:rsidRPr="005970A0">
              <w:t>The sample for the survey is drawn from the National VET Provider Collection.</w:t>
            </w:r>
          </w:p>
        </w:tc>
      </w:tr>
      <w:tr w:rsidR="008F31BE" w:rsidRPr="005970A0" w:rsidTr="00FA56B9">
        <w:tc>
          <w:tcPr>
            <w:tcW w:w="5000" w:type="pct"/>
            <w:gridSpan w:val="3"/>
          </w:tcPr>
          <w:p w:rsidR="008F31BE" w:rsidRPr="005970A0" w:rsidRDefault="008F31BE" w:rsidP="00FA56B9">
            <w:pPr>
              <w:pStyle w:val="DQIMainRowHeadings"/>
            </w:pPr>
            <w:r w:rsidRPr="005970A0">
              <w:t>Data Quality Framework Dimensions</w:t>
            </w:r>
          </w:p>
        </w:tc>
      </w:tr>
      <w:tr w:rsidR="009D6827" w:rsidRPr="005970A0" w:rsidTr="009D6827">
        <w:trPr>
          <w:trHeight w:val="1830"/>
        </w:trPr>
        <w:tc>
          <w:tcPr>
            <w:tcW w:w="887" w:type="pct"/>
            <w:vAlign w:val="center"/>
          </w:tcPr>
          <w:p w:rsidR="009D6827" w:rsidRPr="005970A0" w:rsidRDefault="009D6827" w:rsidP="009D6827">
            <w:pPr>
              <w:pStyle w:val="DQIRowHeadings"/>
            </w:pPr>
          </w:p>
        </w:tc>
        <w:tc>
          <w:tcPr>
            <w:tcW w:w="4113" w:type="pct"/>
            <w:gridSpan w:val="2"/>
            <w:vAlign w:val="center"/>
          </w:tcPr>
          <w:p w:rsidR="00155DF2" w:rsidRDefault="00155DF2" w:rsidP="00155DF2">
            <w:pPr>
              <w:pStyle w:val="DQIRowHeadings"/>
            </w:pPr>
            <w:r>
              <w:t xml:space="preserve">For a summary of data quality information against the data quality framework dimensions — Institutional environment, Relevance, Timeliness, Accuracy, Coherence, Accessibility, and Interpretability — please see the related Data collection </w:t>
            </w:r>
            <w:proofErr w:type="spellStart"/>
            <w:r>
              <w:t>DQI</w:t>
            </w:r>
            <w:proofErr w:type="spellEnd"/>
            <w:r>
              <w:t xml:space="preserve"> for:</w:t>
            </w:r>
          </w:p>
          <w:p w:rsidR="00155DF2" w:rsidRDefault="00155DF2" w:rsidP="00155DF2">
            <w:pPr>
              <w:pStyle w:val="DQIRowHeadings"/>
            </w:pPr>
          </w:p>
          <w:p w:rsidR="009D6827" w:rsidRPr="009D6827" w:rsidRDefault="009D6827" w:rsidP="009D6827">
            <w:pPr>
              <w:pStyle w:val="DQITableBullet"/>
              <w:jc w:val="left"/>
              <w:rPr>
                <w:u w:val="single"/>
              </w:rPr>
            </w:pPr>
            <w:r>
              <w:t>Student outcomes</w:t>
            </w:r>
            <w:r w:rsidRPr="003E0195">
              <w:t>:</w:t>
            </w:r>
            <w:r>
              <w:t xml:space="preserve"> </w:t>
            </w:r>
            <w:r>
              <w:tab/>
            </w:r>
            <w:r w:rsidR="00FC7692" w:rsidRPr="007047F5">
              <w:t>Student Outcomes S</w:t>
            </w:r>
            <w:r w:rsidRPr="007047F5">
              <w:t>urvey</w:t>
            </w:r>
            <w:r>
              <w:t>.</w:t>
            </w:r>
          </w:p>
        </w:tc>
      </w:tr>
      <w:tr w:rsidR="008F31BE" w:rsidRPr="005970A0" w:rsidTr="008F31BE">
        <w:tc>
          <w:tcPr>
            <w:tcW w:w="4758" w:type="pct"/>
            <w:gridSpan w:val="2"/>
            <w:shd w:val="clear" w:color="auto" w:fill="auto"/>
          </w:tcPr>
          <w:p w:rsidR="008F31BE" w:rsidRPr="005970A0" w:rsidRDefault="008F31BE" w:rsidP="008F31BE">
            <w:pPr>
              <w:pStyle w:val="DQIMainRowHeadings"/>
            </w:pPr>
            <w:r w:rsidRPr="005970A0">
              <w:t>Data Gaps/Issues Analysis</w:t>
            </w:r>
          </w:p>
        </w:tc>
        <w:tc>
          <w:tcPr>
            <w:tcW w:w="242" w:type="pct"/>
            <w:shd w:val="clear" w:color="auto" w:fill="auto"/>
          </w:tcPr>
          <w:p w:rsidR="008F31BE" w:rsidRPr="005970A0" w:rsidRDefault="008F31BE" w:rsidP="00FA56B9">
            <w:pPr>
              <w:pStyle w:val="DQITableText"/>
              <w:rPr>
                <w:rFonts w:cs="Arial"/>
              </w:rPr>
            </w:pPr>
          </w:p>
        </w:tc>
      </w:tr>
      <w:tr w:rsidR="008F31BE" w:rsidRPr="005970A0" w:rsidTr="009D6827">
        <w:tc>
          <w:tcPr>
            <w:tcW w:w="887" w:type="pct"/>
            <w:shd w:val="clear" w:color="auto" w:fill="auto"/>
          </w:tcPr>
          <w:p w:rsidR="008F31BE" w:rsidRPr="005970A0" w:rsidRDefault="008F31BE" w:rsidP="008F31BE">
            <w:pPr>
              <w:pStyle w:val="DQIRowHeadings"/>
            </w:pPr>
            <w:r w:rsidRPr="005970A0">
              <w:t>Key data gaps/ issues</w:t>
            </w:r>
          </w:p>
        </w:tc>
        <w:tc>
          <w:tcPr>
            <w:tcW w:w="4113" w:type="pct"/>
            <w:gridSpan w:val="2"/>
            <w:shd w:val="clear" w:color="auto" w:fill="auto"/>
          </w:tcPr>
          <w:p w:rsidR="008F31BE" w:rsidRPr="005970A0" w:rsidRDefault="008F31BE" w:rsidP="00FA56B9">
            <w:pPr>
              <w:pStyle w:val="DQITableText"/>
              <w:rPr>
                <w:rFonts w:cs="Arial"/>
              </w:rPr>
            </w:pPr>
            <w:r w:rsidRPr="005970A0">
              <w:rPr>
                <w:rFonts w:cs="Arial"/>
              </w:rPr>
              <w:t xml:space="preserve">The Steering Committee notes the following key data gaps/issues: </w:t>
            </w:r>
          </w:p>
          <w:p w:rsidR="008F31BE" w:rsidRPr="005970A0" w:rsidRDefault="008F31BE" w:rsidP="008F31BE">
            <w:pPr>
              <w:pStyle w:val="DQITableBullet"/>
            </w:pPr>
            <w:r w:rsidRPr="005970A0">
              <w:t xml:space="preserve">Annual data are available from the Student Outcomes Survey. </w:t>
            </w:r>
            <w:r w:rsidR="00FC7692" w:rsidRPr="006C319A">
              <w:t>The most recent available data are for 2014 (outcomes of students in 2014 who completed qualifications in 2013).</w:t>
            </w:r>
          </w:p>
          <w:p w:rsidR="008F31BE" w:rsidRPr="005970A0" w:rsidRDefault="008F31BE" w:rsidP="008F31BE">
            <w:pPr>
              <w:pStyle w:val="DQITableBullet"/>
            </w:pPr>
            <w:r w:rsidRPr="005970A0">
              <w:t xml:space="preserve">The response rate to this survey was </w:t>
            </w:r>
            <w:r w:rsidR="009F24D8">
              <w:t>38.2 per cent in 2014</w:t>
            </w:r>
            <w:r w:rsidRPr="005970A0">
              <w:t xml:space="preserve">. </w:t>
            </w:r>
            <w:proofErr w:type="spellStart"/>
            <w:r w:rsidRPr="005970A0">
              <w:t>NCVER</w:t>
            </w:r>
            <w:proofErr w:type="spellEnd"/>
            <w:r w:rsidRPr="005970A0">
              <w:t xml:space="preserve"> analysis found that the non-response was not likely to have affected the quality of the results.</w:t>
            </w:r>
          </w:p>
          <w:p w:rsidR="008F31BE" w:rsidRPr="005970A0" w:rsidRDefault="008F31BE" w:rsidP="008F31BE">
            <w:pPr>
              <w:pStyle w:val="DQITableBullet"/>
            </w:pPr>
            <w:r w:rsidRPr="005970A0">
              <w:t xml:space="preserve">Data are of acceptable accuracy at the national level, but some data disaggregated by Indigenous status by State and Territory have relative standard errors greater than 25 per cent and should be used with caution. </w:t>
            </w:r>
          </w:p>
          <w:p w:rsidR="008F31BE" w:rsidRPr="005970A0" w:rsidRDefault="008F31BE" w:rsidP="008F31BE">
            <w:pPr>
              <w:pStyle w:val="DQITableBullet"/>
            </w:pPr>
            <w:r w:rsidRPr="005970A0">
              <w:t>Percentages in tables are rounded and may not sum to 100.</w:t>
            </w:r>
          </w:p>
          <w:p w:rsidR="008F31BE" w:rsidRPr="005970A0" w:rsidRDefault="008F31BE" w:rsidP="008F31BE">
            <w:pPr>
              <w:pStyle w:val="DQITableBullet"/>
            </w:pPr>
            <w:r w:rsidRPr="005970A0">
              <w:t xml:space="preserve">The size of the </w:t>
            </w:r>
            <w:proofErr w:type="spellStart"/>
            <w:r w:rsidRPr="005970A0">
              <w:t>RSEs</w:t>
            </w:r>
            <w:proofErr w:type="spellEnd"/>
            <w:r w:rsidRPr="005970A0">
              <w:t xml:space="preserve"> affects the ability to identify small year to year movements in some disaggregated measures for this indicator for some jurisdictions.</w:t>
            </w:r>
          </w:p>
        </w:tc>
      </w:tr>
    </w:tbl>
    <w:p w:rsidR="00B11361" w:rsidRPr="005970A0" w:rsidRDefault="00B11361" w:rsidP="00B11361">
      <w:pPr>
        <w:pStyle w:val="BodyText"/>
        <w:rPr>
          <w:rFonts w:ascii="Arial" w:hAnsi="Arial"/>
        </w:rPr>
      </w:pPr>
    </w:p>
    <w:p w:rsidR="00B11361" w:rsidRPr="005970A0" w:rsidRDefault="00C5056B" w:rsidP="00C5056B">
      <w:pPr>
        <w:pStyle w:val="Heading4"/>
      </w:pPr>
      <w:bookmarkStart w:id="61" w:name="_Toc396227464"/>
      <w:r>
        <w:lastRenderedPageBreak/>
        <w:t>P</w:t>
      </w:r>
      <w:r w:rsidR="00B11361" w:rsidRPr="005970A0">
        <w:t>roportion of graduates who improved their employment circumstances after completing their course</w:t>
      </w:r>
      <w:bookmarkEnd w:id="61"/>
    </w:p>
    <w:p w:rsidR="00EE6EA5" w:rsidRPr="005970A0" w:rsidRDefault="00EE6EA5" w:rsidP="00EE6EA5">
      <w:pPr>
        <w:pStyle w:val="Box"/>
      </w:pPr>
      <w:r w:rsidRPr="005970A0">
        <w:t xml:space="preserve">Data quality information for this indicator has been drafted by the </w:t>
      </w:r>
      <w:proofErr w:type="spellStart"/>
      <w:r>
        <w:t>NCVER</w:t>
      </w:r>
      <w:proofErr w:type="spellEnd"/>
      <w:r w:rsidRPr="005970A0">
        <w:t xml:space="preserve"> and the Secretariat, in consultation with the VET Working Group.</w:t>
      </w:r>
    </w:p>
    <w:tbl>
      <w:tblPr>
        <w:tblW w:w="5000" w:type="pct"/>
        <w:tblCellMar>
          <w:left w:w="0" w:type="dxa"/>
          <w:right w:w="0" w:type="dxa"/>
        </w:tblCellMar>
        <w:tblLook w:val="0000" w:firstRow="0" w:lastRow="0" w:firstColumn="0" w:lastColumn="0" w:noHBand="0" w:noVBand="0"/>
      </w:tblPr>
      <w:tblGrid>
        <w:gridCol w:w="1559"/>
        <w:gridCol w:w="7230"/>
      </w:tblGrid>
      <w:tr w:rsidR="00B11361" w:rsidRPr="005970A0" w:rsidTr="00B11361">
        <w:trPr>
          <w:trHeight w:val="256"/>
        </w:trPr>
        <w:tc>
          <w:tcPr>
            <w:tcW w:w="5000" w:type="pct"/>
            <w:gridSpan w:val="2"/>
          </w:tcPr>
          <w:p w:rsidR="00B11361" w:rsidRPr="005970A0" w:rsidRDefault="00B11361" w:rsidP="00C5056B">
            <w:pPr>
              <w:pStyle w:val="DQIMainRowHeadings"/>
            </w:pPr>
            <w:r w:rsidRPr="005970A0">
              <w:t>Indicator definition and description</w:t>
            </w:r>
            <w:r w:rsidRPr="005970A0">
              <w:rPr>
                <w:rFonts w:cs="Arial"/>
                <w:sz w:val="22"/>
                <w:szCs w:val="22"/>
              </w:rPr>
              <w:t xml:space="preserve"> </w:t>
            </w:r>
          </w:p>
        </w:tc>
      </w:tr>
      <w:tr w:rsidR="00B11361" w:rsidRPr="005970A0" w:rsidTr="009D6827">
        <w:tc>
          <w:tcPr>
            <w:tcW w:w="887" w:type="pct"/>
          </w:tcPr>
          <w:p w:rsidR="00B11361" w:rsidRPr="005970A0" w:rsidRDefault="00B11361" w:rsidP="004C690A">
            <w:pPr>
              <w:pStyle w:val="DQIRowHeadings"/>
            </w:pPr>
            <w:r w:rsidRPr="005970A0">
              <w:t>Element</w:t>
            </w:r>
          </w:p>
        </w:tc>
        <w:tc>
          <w:tcPr>
            <w:tcW w:w="4113" w:type="pct"/>
          </w:tcPr>
          <w:p w:rsidR="00B11361" w:rsidRPr="005970A0" w:rsidRDefault="00B11361" w:rsidP="00AD368D">
            <w:pPr>
              <w:pStyle w:val="DQITableText"/>
            </w:pPr>
            <w:r w:rsidRPr="005970A0">
              <w:t>Outcomes.</w:t>
            </w:r>
          </w:p>
        </w:tc>
      </w:tr>
      <w:tr w:rsidR="00B11361" w:rsidRPr="005970A0" w:rsidTr="009D6827">
        <w:tc>
          <w:tcPr>
            <w:tcW w:w="887" w:type="pct"/>
          </w:tcPr>
          <w:p w:rsidR="00B11361" w:rsidRPr="005970A0" w:rsidRDefault="00B11361" w:rsidP="004C690A">
            <w:pPr>
              <w:pStyle w:val="DQIRowHeadings"/>
            </w:pPr>
            <w:r w:rsidRPr="005970A0">
              <w:t>Indicator</w:t>
            </w:r>
          </w:p>
        </w:tc>
        <w:tc>
          <w:tcPr>
            <w:tcW w:w="4113" w:type="pct"/>
          </w:tcPr>
          <w:p w:rsidR="00B11361" w:rsidRPr="005970A0" w:rsidRDefault="00B11361" w:rsidP="00AD368D">
            <w:pPr>
              <w:pStyle w:val="DQITableText"/>
            </w:pPr>
            <w:r w:rsidRPr="005970A0">
              <w:t>Student employment and further study outcomes</w:t>
            </w:r>
          </w:p>
        </w:tc>
      </w:tr>
      <w:tr w:rsidR="00B11361" w:rsidRPr="005970A0" w:rsidTr="009D6827">
        <w:tc>
          <w:tcPr>
            <w:tcW w:w="887" w:type="pct"/>
          </w:tcPr>
          <w:p w:rsidR="00B11361" w:rsidRPr="005970A0" w:rsidRDefault="00B11361" w:rsidP="004C690A">
            <w:pPr>
              <w:pStyle w:val="DQIRowHeadings"/>
            </w:pPr>
            <w:r w:rsidRPr="005970A0">
              <w:t>Measure (computation)</w:t>
            </w:r>
          </w:p>
        </w:tc>
        <w:tc>
          <w:tcPr>
            <w:tcW w:w="4113" w:type="pct"/>
          </w:tcPr>
          <w:p w:rsidR="00B11361" w:rsidRPr="005970A0" w:rsidRDefault="00B11361" w:rsidP="00AD368D">
            <w:pPr>
              <w:pStyle w:val="DQITableText"/>
              <w:rPr>
                <w:u w:val="single"/>
              </w:rPr>
            </w:pPr>
            <w:r w:rsidRPr="005970A0">
              <w:rPr>
                <w:u w:val="single"/>
              </w:rPr>
              <w:t>Definition</w:t>
            </w:r>
          </w:p>
          <w:p w:rsidR="00B11361" w:rsidRPr="005970A0" w:rsidRDefault="00B11361" w:rsidP="00AD368D">
            <w:pPr>
              <w:pStyle w:val="DQITableText"/>
            </w:pPr>
            <w:r w:rsidRPr="005970A0">
              <w:t xml:space="preserve">The proportion of graduates who improved their employment circumstances after completing their course. </w:t>
            </w:r>
          </w:p>
          <w:p w:rsidR="00B11361" w:rsidRPr="005970A0" w:rsidRDefault="00B11361" w:rsidP="00AD368D">
            <w:pPr>
              <w:pStyle w:val="DQITableText"/>
              <w:rPr>
                <w:u w:val="single"/>
              </w:rPr>
            </w:pPr>
            <w:r w:rsidRPr="005970A0">
              <w:rPr>
                <w:u w:val="single"/>
              </w:rPr>
              <w:t>Numerator/s</w:t>
            </w:r>
          </w:p>
          <w:p w:rsidR="00B11361" w:rsidRPr="005970A0" w:rsidRDefault="00B11361" w:rsidP="00AD368D">
            <w:pPr>
              <w:pStyle w:val="DQITableText"/>
            </w:pPr>
            <w:r w:rsidRPr="005970A0">
              <w:t>Number of VET graduates with an improved employment status after training.</w:t>
            </w:r>
          </w:p>
          <w:p w:rsidR="00B11361" w:rsidRPr="005970A0" w:rsidRDefault="00B11361" w:rsidP="00AD368D">
            <w:pPr>
              <w:pStyle w:val="DQITableText"/>
              <w:rPr>
                <w:u w:val="single"/>
              </w:rPr>
            </w:pPr>
            <w:r w:rsidRPr="005970A0">
              <w:rPr>
                <w:u w:val="single"/>
              </w:rPr>
              <w:t>Denominator/s</w:t>
            </w:r>
          </w:p>
          <w:p w:rsidR="00B11361" w:rsidRPr="005970A0" w:rsidRDefault="00B11361" w:rsidP="00AD368D">
            <w:pPr>
              <w:pStyle w:val="DQITableText"/>
            </w:pPr>
            <w:r w:rsidRPr="005970A0">
              <w:t>The number of VET graduates (less those with all three numerator variables not stated).</w:t>
            </w:r>
          </w:p>
          <w:p w:rsidR="00B11361" w:rsidRPr="005970A0" w:rsidRDefault="00B11361" w:rsidP="00AD368D">
            <w:pPr>
              <w:pStyle w:val="DQITableText"/>
              <w:rPr>
                <w:u w:val="single"/>
              </w:rPr>
            </w:pPr>
            <w:r w:rsidRPr="005970A0">
              <w:rPr>
                <w:u w:val="single"/>
              </w:rPr>
              <w:t>Computation/s:</w:t>
            </w:r>
          </w:p>
          <w:p w:rsidR="00B11361" w:rsidRPr="005970A0" w:rsidRDefault="00B11361" w:rsidP="00AD368D">
            <w:pPr>
              <w:pStyle w:val="DQITableText"/>
            </w:pPr>
            <w:r w:rsidRPr="005970A0">
              <w:t>Numerator (above) divided by denominator (above).</w:t>
            </w:r>
          </w:p>
          <w:p w:rsidR="00B11361" w:rsidRDefault="00B11361" w:rsidP="00AD368D">
            <w:pPr>
              <w:pStyle w:val="DQITableText"/>
            </w:pPr>
            <w:r w:rsidRPr="005970A0">
              <w:t xml:space="preserve">‘Graduate’ is defined as a past student who was awarded a qualification from a </w:t>
            </w:r>
            <w:r w:rsidR="00E22A04">
              <w:t>VET</w:t>
            </w:r>
            <w:r w:rsidRPr="005970A0">
              <w:t xml:space="preserve"> provider in Australia. This excludes those students who left their training before completing a qualification.</w:t>
            </w:r>
          </w:p>
          <w:p w:rsidR="00B11361" w:rsidRPr="005970A0" w:rsidRDefault="00B11361" w:rsidP="00AD368D">
            <w:pPr>
              <w:pStyle w:val="DQITableText"/>
            </w:pPr>
            <w:r>
              <w:t>Data are included by Indigenous status and remoteness.</w:t>
            </w:r>
          </w:p>
          <w:p w:rsidR="00B11361" w:rsidRPr="005970A0" w:rsidRDefault="00B11361" w:rsidP="00AD368D">
            <w:pPr>
              <w:pStyle w:val="DQITableText"/>
            </w:pPr>
            <w:r w:rsidRPr="005970A0">
              <w:t>‘Improved employment status’ is defined as any one of the following:</w:t>
            </w:r>
          </w:p>
          <w:p w:rsidR="00B11361" w:rsidRPr="005970A0" w:rsidRDefault="00B11361" w:rsidP="004C690A">
            <w:pPr>
              <w:pStyle w:val="DQITableBullet"/>
            </w:pPr>
            <w:r w:rsidRPr="005970A0">
              <w:t>employment status changing from not employed before training (both unemployed and not in labour force) to employed after training (both full time and part time employed)</w:t>
            </w:r>
          </w:p>
          <w:p w:rsidR="00B11361" w:rsidRPr="005970A0" w:rsidRDefault="00B11361" w:rsidP="004C690A">
            <w:pPr>
              <w:pStyle w:val="DQITableBullet"/>
            </w:pPr>
            <w:r w:rsidRPr="005970A0">
              <w:t xml:space="preserve">employed at a higher skill level (based on </w:t>
            </w:r>
            <w:proofErr w:type="spellStart"/>
            <w:r w:rsidRPr="005970A0">
              <w:t>ANZSCO</w:t>
            </w:r>
            <w:proofErr w:type="spellEnd"/>
            <w:r w:rsidRPr="005970A0">
              <w:t>) after training (regardless of full time or part time employment status before and after training)</w:t>
            </w:r>
          </w:p>
          <w:p w:rsidR="00B11361" w:rsidRPr="005970A0" w:rsidRDefault="00B11361" w:rsidP="004C690A">
            <w:pPr>
              <w:pStyle w:val="DQITableBullet"/>
            </w:pPr>
            <w:r w:rsidRPr="005970A0">
              <w:t>received one of the following job related benefits: set up or expanded their own business, got a promotion, increased earnings, or other job-related benefits after completing their training.</w:t>
            </w:r>
          </w:p>
        </w:tc>
      </w:tr>
      <w:tr w:rsidR="00B11361" w:rsidRPr="005970A0" w:rsidTr="009D6827">
        <w:tc>
          <w:tcPr>
            <w:tcW w:w="887" w:type="pct"/>
          </w:tcPr>
          <w:p w:rsidR="00B11361" w:rsidRPr="005970A0" w:rsidRDefault="00B11361" w:rsidP="004C690A">
            <w:pPr>
              <w:pStyle w:val="DQIRowHeadings"/>
            </w:pPr>
            <w:r w:rsidRPr="005970A0">
              <w:t>Data source/s</w:t>
            </w:r>
          </w:p>
        </w:tc>
        <w:tc>
          <w:tcPr>
            <w:tcW w:w="4113" w:type="pct"/>
          </w:tcPr>
          <w:p w:rsidR="009F24D8" w:rsidRPr="005970A0" w:rsidRDefault="009F24D8" w:rsidP="009F24D8">
            <w:pPr>
              <w:pStyle w:val="DQITableText"/>
            </w:pPr>
            <w:r w:rsidRPr="005970A0">
              <w:t xml:space="preserve">All data are derived from the </w:t>
            </w:r>
            <w:r w:rsidRPr="007047F5">
              <w:rPr>
                <w:i/>
              </w:rPr>
              <w:t>Student Outcomes Survey</w:t>
            </w:r>
            <w:r w:rsidRPr="007047F5">
              <w:t xml:space="preserve"> (SOS)</w:t>
            </w:r>
            <w:r w:rsidRPr="005970A0">
              <w:t xml:space="preserve">, which is an annual survey of students who successfully complete VET in Australia. This survey is conducted by </w:t>
            </w:r>
            <w:proofErr w:type="spellStart"/>
            <w:r>
              <w:t>NCVER</w:t>
            </w:r>
            <w:proofErr w:type="spellEnd"/>
            <w:r w:rsidRPr="005970A0">
              <w:t>.</w:t>
            </w:r>
          </w:p>
          <w:p w:rsidR="00B11361" w:rsidRPr="005970A0" w:rsidRDefault="009F24D8" w:rsidP="009F24D8">
            <w:pPr>
              <w:pStyle w:val="DQITableText"/>
            </w:pPr>
            <w:r w:rsidRPr="005970A0">
              <w:t>The sample for the survey is drawn from the National VET Provider Collection.</w:t>
            </w:r>
          </w:p>
        </w:tc>
      </w:tr>
      <w:tr w:rsidR="00B11361" w:rsidRPr="005970A0" w:rsidTr="00B11361">
        <w:trPr>
          <w:trHeight w:val="165"/>
        </w:trPr>
        <w:tc>
          <w:tcPr>
            <w:tcW w:w="5000" w:type="pct"/>
            <w:gridSpan w:val="2"/>
          </w:tcPr>
          <w:p w:rsidR="00B11361" w:rsidRPr="005970A0" w:rsidRDefault="00B11361" w:rsidP="004C690A">
            <w:pPr>
              <w:pStyle w:val="DQIMainRowHeadings"/>
            </w:pPr>
            <w:r w:rsidRPr="005970A0">
              <w:t>Data Quality Framework Dimensions</w:t>
            </w:r>
          </w:p>
        </w:tc>
      </w:tr>
      <w:tr w:rsidR="009D6827" w:rsidRPr="005970A0" w:rsidTr="009E4FAF">
        <w:tc>
          <w:tcPr>
            <w:tcW w:w="887" w:type="pct"/>
            <w:vAlign w:val="center"/>
          </w:tcPr>
          <w:p w:rsidR="009D6827" w:rsidRPr="005970A0" w:rsidRDefault="009D6827" w:rsidP="00DF1B3A">
            <w:pPr>
              <w:pStyle w:val="DQIRowHeadings"/>
              <w:keepNext w:val="0"/>
            </w:pPr>
          </w:p>
        </w:tc>
        <w:tc>
          <w:tcPr>
            <w:tcW w:w="4113" w:type="pct"/>
            <w:vAlign w:val="center"/>
          </w:tcPr>
          <w:p w:rsidR="00155DF2" w:rsidRDefault="00155DF2" w:rsidP="00155DF2">
            <w:pPr>
              <w:pStyle w:val="DQIRowHeadings"/>
            </w:pPr>
            <w:r>
              <w:t xml:space="preserve">For a summary of data quality information against the data quality framework dimensions — Institutional environment, Relevance, Timeliness, Accuracy, Coherence, Accessibility, and Interpretability — please see the related Data collection </w:t>
            </w:r>
            <w:proofErr w:type="spellStart"/>
            <w:r>
              <w:t>DQI</w:t>
            </w:r>
            <w:proofErr w:type="spellEnd"/>
            <w:r>
              <w:t xml:space="preserve"> for:</w:t>
            </w:r>
          </w:p>
          <w:p w:rsidR="009D6827" w:rsidRPr="009D6827" w:rsidRDefault="009D6827" w:rsidP="00DF1B3A">
            <w:pPr>
              <w:pStyle w:val="DQITableBullet"/>
              <w:keepNext w:val="0"/>
              <w:jc w:val="left"/>
              <w:rPr>
                <w:u w:val="single"/>
              </w:rPr>
            </w:pPr>
            <w:r>
              <w:t>Student outcomes</w:t>
            </w:r>
            <w:r w:rsidRPr="003E0195">
              <w:t>:</w:t>
            </w:r>
            <w:r>
              <w:t xml:space="preserve"> </w:t>
            </w:r>
            <w:r>
              <w:tab/>
            </w:r>
            <w:r w:rsidR="00FC7692" w:rsidRPr="007047F5">
              <w:t>Student Outcomes S</w:t>
            </w:r>
            <w:r w:rsidRPr="007047F5">
              <w:t>urvey</w:t>
            </w:r>
            <w:r>
              <w:t>.</w:t>
            </w:r>
          </w:p>
        </w:tc>
      </w:tr>
      <w:tr w:rsidR="00B11361" w:rsidRPr="005970A0" w:rsidTr="00B11361">
        <w:tc>
          <w:tcPr>
            <w:tcW w:w="5000" w:type="pct"/>
            <w:gridSpan w:val="2"/>
            <w:shd w:val="clear" w:color="auto" w:fill="auto"/>
          </w:tcPr>
          <w:p w:rsidR="00B11361" w:rsidRPr="005970A0" w:rsidRDefault="00B11361" w:rsidP="004C690A">
            <w:pPr>
              <w:pStyle w:val="DQIMainRowHeadings"/>
            </w:pPr>
            <w:r w:rsidRPr="005970A0">
              <w:lastRenderedPageBreak/>
              <w:t>Data Gaps/Issues Analysis</w:t>
            </w:r>
          </w:p>
        </w:tc>
      </w:tr>
      <w:tr w:rsidR="00B11361" w:rsidRPr="005970A0" w:rsidTr="009D6827">
        <w:tc>
          <w:tcPr>
            <w:tcW w:w="887" w:type="pct"/>
            <w:shd w:val="clear" w:color="auto" w:fill="auto"/>
          </w:tcPr>
          <w:p w:rsidR="00B11361" w:rsidRPr="005970A0" w:rsidRDefault="00B11361" w:rsidP="004C690A">
            <w:pPr>
              <w:pStyle w:val="DQIRowHeadings"/>
            </w:pPr>
            <w:r w:rsidRPr="005970A0">
              <w:t>Key data gaps/ issues</w:t>
            </w:r>
          </w:p>
        </w:tc>
        <w:tc>
          <w:tcPr>
            <w:tcW w:w="4113" w:type="pct"/>
            <w:shd w:val="clear" w:color="auto" w:fill="auto"/>
          </w:tcPr>
          <w:p w:rsidR="00B11361" w:rsidRPr="005970A0" w:rsidRDefault="00B11361" w:rsidP="00AD368D">
            <w:pPr>
              <w:pStyle w:val="DQITableText"/>
            </w:pPr>
            <w:r w:rsidRPr="005970A0">
              <w:rPr>
                <w:rFonts w:cs="Arial"/>
              </w:rPr>
              <w:t xml:space="preserve">The Steering Committee notes the following key data gaps/issues: </w:t>
            </w:r>
          </w:p>
          <w:p w:rsidR="00B11361" w:rsidRPr="005970A0" w:rsidRDefault="00B11361" w:rsidP="004C690A">
            <w:pPr>
              <w:pStyle w:val="DQITableBullet"/>
            </w:pPr>
            <w:r w:rsidRPr="005970A0">
              <w:t xml:space="preserve">Annual data are available from the </w:t>
            </w:r>
            <w:r w:rsidRPr="005970A0">
              <w:rPr>
                <w:i/>
              </w:rPr>
              <w:t>Student Outcomes Survey</w:t>
            </w:r>
            <w:r w:rsidRPr="005970A0">
              <w:t xml:space="preserve">. </w:t>
            </w:r>
            <w:r w:rsidR="00FC7692" w:rsidRPr="006C319A">
              <w:t>The most recent available data are for 2014 (outcomes of students in 2014 who completed qualifications in 2013).</w:t>
            </w:r>
          </w:p>
          <w:p w:rsidR="00B11361" w:rsidRPr="005970A0" w:rsidRDefault="00B11361" w:rsidP="004C690A">
            <w:pPr>
              <w:pStyle w:val="DQITableBullet"/>
            </w:pPr>
            <w:r w:rsidRPr="005970A0">
              <w:t>The response rate to this survey was</w:t>
            </w:r>
            <w:r w:rsidR="00275F3D">
              <w:t xml:space="preserve"> </w:t>
            </w:r>
            <w:r>
              <w:t>41.9</w:t>
            </w:r>
            <w:r w:rsidRPr="005970A0">
              <w:t xml:space="preserve"> per cent in 201</w:t>
            </w:r>
            <w:r>
              <w:t>2</w:t>
            </w:r>
            <w:r w:rsidRPr="005970A0">
              <w:t xml:space="preserve">. </w:t>
            </w:r>
            <w:proofErr w:type="spellStart"/>
            <w:r w:rsidRPr="005970A0">
              <w:t>NCVER</w:t>
            </w:r>
            <w:proofErr w:type="spellEnd"/>
            <w:r w:rsidRPr="005970A0">
              <w:t xml:space="preserve"> analysis found that the non-response was not likely to have affected the quality of the results.</w:t>
            </w:r>
          </w:p>
          <w:p w:rsidR="00B11361" w:rsidRPr="005970A0" w:rsidRDefault="00B11361" w:rsidP="004C690A">
            <w:pPr>
              <w:pStyle w:val="DQITableBullet"/>
            </w:pPr>
            <w:r w:rsidRPr="005970A0">
              <w:t xml:space="preserve">Data are of acceptable accuracy at the national level, but some data disaggregated by Indigenous status by State and Territory have relative standard errors greater than 25 per cent and should be used with caution. </w:t>
            </w:r>
          </w:p>
          <w:p w:rsidR="00B11361" w:rsidRPr="005970A0" w:rsidRDefault="00B11361" w:rsidP="004C690A">
            <w:pPr>
              <w:pStyle w:val="DQITableBullet"/>
            </w:pPr>
            <w:r w:rsidRPr="005970A0">
              <w:t>Percentages in tables are rounded and may not sum to 100.</w:t>
            </w:r>
          </w:p>
          <w:p w:rsidR="00B11361" w:rsidRPr="005970A0" w:rsidRDefault="00B11361" w:rsidP="004C690A">
            <w:pPr>
              <w:pStyle w:val="DQITableBullet"/>
            </w:pPr>
            <w:r w:rsidRPr="005970A0">
              <w:t xml:space="preserve">The size of the </w:t>
            </w:r>
            <w:proofErr w:type="spellStart"/>
            <w:r w:rsidRPr="005970A0">
              <w:t>RSEs</w:t>
            </w:r>
            <w:proofErr w:type="spellEnd"/>
            <w:r w:rsidRPr="005970A0">
              <w:t xml:space="preserve"> affects the ability to identify small year to year movements in some disaggregated measures for this indicator for some jurisdictions.</w:t>
            </w:r>
          </w:p>
        </w:tc>
      </w:tr>
    </w:tbl>
    <w:p w:rsidR="008C2C4D" w:rsidRDefault="008C2C4D" w:rsidP="008C2C4D">
      <w:pPr>
        <w:pStyle w:val="BodyText"/>
      </w:pPr>
    </w:p>
    <w:p w:rsidR="00B11361" w:rsidRPr="005970A0" w:rsidRDefault="008C2C4D" w:rsidP="008C2C4D">
      <w:pPr>
        <w:pStyle w:val="Heading4"/>
      </w:pPr>
      <w:bookmarkStart w:id="62" w:name="_Toc396227465"/>
      <w:r>
        <w:lastRenderedPageBreak/>
        <w:t>P</w:t>
      </w:r>
      <w:r w:rsidR="00B11361" w:rsidRPr="005970A0">
        <w:t>roportion of graduates who undertook their course for employment-related reasons and were employed after completing their course, who reported at least one job-related benefit from completing the course</w:t>
      </w:r>
      <w:bookmarkEnd w:id="62"/>
    </w:p>
    <w:p w:rsidR="00B11361" w:rsidRPr="005970A0" w:rsidRDefault="00B11361" w:rsidP="00B11361">
      <w:pPr>
        <w:pStyle w:val="Box"/>
      </w:pPr>
      <w:r w:rsidRPr="005970A0">
        <w:t xml:space="preserve">Data quality information for this indicator has been drafted by the </w:t>
      </w:r>
      <w:proofErr w:type="spellStart"/>
      <w:r w:rsidR="00E22A04">
        <w:t>NCVER</w:t>
      </w:r>
      <w:proofErr w:type="spellEnd"/>
      <w:r w:rsidRPr="005970A0">
        <w:t xml:space="preserve"> and the Secretariat, in consultation with the VET Working Group.</w:t>
      </w:r>
    </w:p>
    <w:tbl>
      <w:tblPr>
        <w:tblW w:w="5000" w:type="pct"/>
        <w:tblCellMar>
          <w:left w:w="0" w:type="dxa"/>
          <w:right w:w="0" w:type="dxa"/>
        </w:tblCellMar>
        <w:tblLook w:val="0000" w:firstRow="0" w:lastRow="0" w:firstColumn="0" w:lastColumn="0" w:noHBand="0" w:noVBand="0"/>
      </w:tblPr>
      <w:tblGrid>
        <w:gridCol w:w="1559"/>
        <w:gridCol w:w="62"/>
        <w:gridCol w:w="7168"/>
      </w:tblGrid>
      <w:tr w:rsidR="00B11361" w:rsidRPr="005970A0" w:rsidTr="00B11361">
        <w:tc>
          <w:tcPr>
            <w:tcW w:w="5000" w:type="pct"/>
            <w:gridSpan w:val="3"/>
          </w:tcPr>
          <w:p w:rsidR="00B11361" w:rsidRPr="005970A0" w:rsidRDefault="00B11361" w:rsidP="008C2C4D">
            <w:pPr>
              <w:pStyle w:val="DQIMainRowHeadings"/>
            </w:pPr>
            <w:r w:rsidRPr="005970A0">
              <w:t>Indicator definition and description</w:t>
            </w:r>
            <w:r w:rsidRPr="005970A0">
              <w:rPr>
                <w:rFonts w:cs="Arial"/>
                <w:sz w:val="22"/>
                <w:szCs w:val="22"/>
              </w:rPr>
              <w:t xml:space="preserve"> </w:t>
            </w:r>
          </w:p>
        </w:tc>
      </w:tr>
      <w:tr w:rsidR="00B11361" w:rsidRPr="005970A0" w:rsidTr="009D6827">
        <w:tc>
          <w:tcPr>
            <w:tcW w:w="887" w:type="pct"/>
          </w:tcPr>
          <w:p w:rsidR="00B11361" w:rsidRPr="005970A0" w:rsidRDefault="00B11361" w:rsidP="008C2C4D">
            <w:pPr>
              <w:pStyle w:val="DQIRowHeadings"/>
            </w:pPr>
            <w:r w:rsidRPr="005970A0">
              <w:t>Element</w:t>
            </w:r>
          </w:p>
        </w:tc>
        <w:tc>
          <w:tcPr>
            <w:tcW w:w="4113" w:type="pct"/>
            <w:gridSpan w:val="2"/>
          </w:tcPr>
          <w:p w:rsidR="00B11361" w:rsidRPr="005970A0" w:rsidRDefault="00B11361" w:rsidP="00AD368D">
            <w:pPr>
              <w:pStyle w:val="DQITableText"/>
            </w:pPr>
            <w:r w:rsidRPr="005970A0">
              <w:t>Outcomes.</w:t>
            </w:r>
          </w:p>
        </w:tc>
      </w:tr>
      <w:tr w:rsidR="00B11361" w:rsidRPr="005970A0" w:rsidTr="009D6827">
        <w:tc>
          <w:tcPr>
            <w:tcW w:w="887" w:type="pct"/>
          </w:tcPr>
          <w:p w:rsidR="00B11361" w:rsidRPr="005970A0" w:rsidRDefault="00B11361" w:rsidP="008C2C4D">
            <w:pPr>
              <w:pStyle w:val="DQIRowHeadings"/>
            </w:pPr>
            <w:r w:rsidRPr="005970A0">
              <w:t>Indicator</w:t>
            </w:r>
          </w:p>
        </w:tc>
        <w:tc>
          <w:tcPr>
            <w:tcW w:w="4113" w:type="pct"/>
            <w:gridSpan w:val="2"/>
          </w:tcPr>
          <w:p w:rsidR="00B11361" w:rsidRPr="005970A0" w:rsidRDefault="00B11361" w:rsidP="00AD368D">
            <w:pPr>
              <w:pStyle w:val="DQITableText"/>
            </w:pPr>
            <w:r w:rsidRPr="005970A0">
              <w:t>Student employment and further study outcomes</w:t>
            </w:r>
          </w:p>
        </w:tc>
      </w:tr>
      <w:tr w:rsidR="00B11361" w:rsidRPr="005970A0" w:rsidTr="009D6827">
        <w:tc>
          <w:tcPr>
            <w:tcW w:w="887" w:type="pct"/>
          </w:tcPr>
          <w:p w:rsidR="00B11361" w:rsidRPr="005970A0" w:rsidRDefault="00B11361" w:rsidP="008C2C4D">
            <w:pPr>
              <w:pStyle w:val="DQIRowHeadings"/>
            </w:pPr>
            <w:r w:rsidRPr="005970A0">
              <w:t>Measure (computation)</w:t>
            </w:r>
          </w:p>
        </w:tc>
        <w:tc>
          <w:tcPr>
            <w:tcW w:w="4113" w:type="pct"/>
            <w:gridSpan w:val="2"/>
          </w:tcPr>
          <w:p w:rsidR="00B11361" w:rsidRPr="005970A0" w:rsidRDefault="00B11361" w:rsidP="00AD368D">
            <w:pPr>
              <w:pStyle w:val="DQITableText"/>
            </w:pPr>
            <w:r w:rsidRPr="005970A0">
              <w:rPr>
                <w:u w:val="single"/>
              </w:rPr>
              <w:t>Definition</w:t>
            </w:r>
          </w:p>
          <w:p w:rsidR="00B11361" w:rsidRPr="005970A0" w:rsidRDefault="00B11361" w:rsidP="00AD368D">
            <w:pPr>
              <w:pStyle w:val="DQITableText"/>
            </w:pPr>
            <w:r w:rsidRPr="005970A0">
              <w:t>The proportion of graduates who undertook their course for employment-related reasons and were employed after completing their course, who reported at least one work-related benefit from completing the course.</w:t>
            </w:r>
          </w:p>
          <w:p w:rsidR="00B11361" w:rsidRPr="008C2C4D" w:rsidRDefault="00B11361" w:rsidP="00AD368D">
            <w:pPr>
              <w:pStyle w:val="DQITableText"/>
              <w:rPr>
                <w:u w:val="single"/>
              </w:rPr>
            </w:pPr>
            <w:r w:rsidRPr="008C2C4D">
              <w:rPr>
                <w:u w:val="single"/>
              </w:rPr>
              <w:t>Numerator/s</w:t>
            </w:r>
          </w:p>
          <w:p w:rsidR="00B11361" w:rsidRPr="005970A0" w:rsidRDefault="00B11361" w:rsidP="00AD368D">
            <w:pPr>
              <w:pStyle w:val="DQITableText"/>
            </w:pPr>
            <w:r w:rsidRPr="005970A0">
              <w:t>Number of persons who:</w:t>
            </w:r>
          </w:p>
          <w:p w:rsidR="00B11361" w:rsidRPr="005970A0" w:rsidRDefault="00B11361" w:rsidP="008C2C4D">
            <w:pPr>
              <w:pStyle w:val="DQITableBullet"/>
            </w:pPr>
            <w:r w:rsidRPr="005970A0">
              <w:t>(a) completed training during the year prior to the nominated year, and</w:t>
            </w:r>
          </w:p>
          <w:p w:rsidR="00B11361" w:rsidRPr="005970A0" w:rsidRDefault="00B11361" w:rsidP="008C2C4D">
            <w:pPr>
              <w:pStyle w:val="DQITableBullet"/>
            </w:pPr>
            <w:r w:rsidRPr="005970A0">
              <w:t>(b) undertook that training for employment-related reasons, and</w:t>
            </w:r>
          </w:p>
          <w:p w:rsidR="00B11361" w:rsidRPr="005970A0" w:rsidRDefault="00B11361" w:rsidP="008C2C4D">
            <w:pPr>
              <w:pStyle w:val="DQITableBullet"/>
            </w:pPr>
            <w:r w:rsidRPr="005970A0">
              <w:t xml:space="preserve">(c) were employed on the last Friday in May of the nominated year, and </w:t>
            </w:r>
          </w:p>
          <w:p w:rsidR="00B11361" w:rsidRPr="005970A0" w:rsidRDefault="00B11361" w:rsidP="008C2C4D">
            <w:pPr>
              <w:pStyle w:val="DQITableBullet"/>
            </w:pPr>
            <w:r w:rsidRPr="005970A0">
              <w:t>(d) reported as having received one of the following job related benefits: set up or expanded their own business, got a promotion, increased their earnings, or other job-related benefit after completing their training.</w:t>
            </w:r>
          </w:p>
          <w:p w:rsidR="00B11361" w:rsidRPr="008C2C4D" w:rsidRDefault="00B11361" w:rsidP="00AD368D">
            <w:pPr>
              <w:pStyle w:val="DQITableText"/>
              <w:rPr>
                <w:u w:val="single"/>
              </w:rPr>
            </w:pPr>
            <w:r w:rsidRPr="008C2C4D">
              <w:rPr>
                <w:u w:val="single"/>
              </w:rPr>
              <w:t>Denominator/s</w:t>
            </w:r>
          </w:p>
          <w:p w:rsidR="00B11361" w:rsidRPr="005970A0" w:rsidRDefault="00B11361" w:rsidP="00AD368D">
            <w:pPr>
              <w:pStyle w:val="DQITableText"/>
            </w:pPr>
            <w:r w:rsidRPr="005970A0">
              <w:t>Number of graduates who completed their training during the year prior to the nominated year (less those with the numerator variable not stated).</w:t>
            </w:r>
          </w:p>
          <w:p w:rsidR="00B11361" w:rsidRPr="008C2C4D" w:rsidRDefault="00B11361" w:rsidP="00AD368D">
            <w:pPr>
              <w:pStyle w:val="DQITableText"/>
              <w:rPr>
                <w:u w:val="single"/>
              </w:rPr>
            </w:pPr>
            <w:r w:rsidRPr="008C2C4D">
              <w:rPr>
                <w:u w:val="single"/>
              </w:rPr>
              <w:t>Computation/s:</w:t>
            </w:r>
          </w:p>
          <w:p w:rsidR="00B11361" w:rsidRPr="005970A0" w:rsidRDefault="00B11361" w:rsidP="00AD368D">
            <w:pPr>
              <w:pStyle w:val="DQITableText"/>
            </w:pPr>
            <w:r w:rsidRPr="005970A0">
              <w:t>Numerator (above) divided by denominator (above).</w:t>
            </w:r>
          </w:p>
          <w:p w:rsidR="00B11361" w:rsidRPr="005970A0" w:rsidRDefault="00B11361" w:rsidP="00AD368D">
            <w:pPr>
              <w:pStyle w:val="DQITableText"/>
            </w:pPr>
            <w:r w:rsidRPr="005970A0">
              <w:t>‘Graduate’ is defined as a past student who was awarded a qualification from a VET provider in Australia.</w:t>
            </w:r>
          </w:p>
        </w:tc>
      </w:tr>
      <w:tr w:rsidR="00B11361" w:rsidRPr="005970A0" w:rsidTr="009D6827">
        <w:tc>
          <w:tcPr>
            <w:tcW w:w="887" w:type="pct"/>
          </w:tcPr>
          <w:p w:rsidR="00B11361" w:rsidRPr="005970A0" w:rsidRDefault="00B11361" w:rsidP="00AD368D">
            <w:pPr>
              <w:pStyle w:val="DQITableText"/>
            </w:pPr>
            <w:r w:rsidRPr="005970A0">
              <w:rPr>
                <w:b/>
              </w:rPr>
              <w:t>Data source/s</w:t>
            </w:r>
          </w:p>
        </w:tc>
        <w:tc>
          <w:tcPr>
            <w:tcW w:w="4113" w:type="pct"/>
            <w:gridSpan w:val="2"/>
          </w:tcPr>
          <w:p w:rsidR="00B11361" w:rsidRPr="005970A0" w:rsidRDefault="00B11361" w:rsidP="00AD368D">
            <w:pPr>
              <w:pStyle w:val="DQITableText"/>
            </w:pPr>
            <w:r w:rsidRPr="005970A0">
              <w:t xml:space="preserve">All data are derived from the </w:t>
            </w:r>
            <w:r w:rsidRPr="007047F5">
              <w:rPr>
                <w:i/>
              </w:rPr>
              <w:t>Student Outcomes Survey</w:t>
            </w:r>
            <w:r w:rsidRPr="007047F5">
              <w:t xml:space="preserve"> (SOS)</w:t>
            </w:r>
            <w:r w:rsidRPr="005970A0">
              <w:t xml:space="preserve">, which is an annual survey of students who successfully complete VET in Australia. This survey is conducted by </w:t>
            </w:r>
            <w:proofErr w:type="spellStart"/>
            <w:r w:rsidR="00C90987">
              <w:t>NCVER</w:t>
            </w:r>
            <w:proofErr w:type="spellEnd"/>
            <w:r w:rsidRPr="005970A0">
              <w:t>.</w:t>
            </w:r>
          </w:p>
          <w:p w:rsidR="00B11361" w:rsidRPr="005970A0" w:rsidRDefault="00B11361" w:rsidP="00AD368D">
            <w:pPr>
              <w:pStyle w:val="DQITableText"/>
            </w:pPr>
            <w:r w:rsidRPr="005970A0">
              <w:t>The sample for the survey is drawn from the National VET Provider Collection.</w:t>
            </w:r>
          </w:p>
        </w:tc>
      </w:tr>
      <w:tr w:rsidR="008C2C4D" w:rsidRPr="005970A0" w:rsidTr="00FA56B9">
        <w:tc>
          <w:tcPr>
            <w:tcW w:w="5000" w:type="pct"/>
            <w:gridSpan w:val="3"/>
          </w:tcPr>
          <w:p w:rsidR="008C2C4D" w:rsidRPr="005970A0" w:rsidRDefault="008C2C4D" w:rsidP="00FA56B9">
            <w:pPr>
              <w:pStyle w:val="DQIMainRowHeadings"/>
            </w:pPr>
            <w:r w:rsidRPr="005970A0">
              <w:t>Data Quality Framework Dimensions</w:t>
            </w:r>
          </w:p>
        </w:tc>
      </w:tr>
      <w:tr w:rsidR="009D6827" w:rsidRPr="005970A0" w:rsidTr="009E4FAF">
        <w:tc>
          <w:tcPr>
            <w:tcW w:w="887" w:type="pct"/>
            <w:vAlign w:val="center"/>
          </w:tcPr>
          <w:p w:rsidR="009D6827" w:rsidRPr="005970A0" w:rsidRDefault="009D6827" w:rsidP="00DF1B3A">
            <w:pPr>
              <w:pStyle w:val="DQIRowHeadings"/>
              <w:keepNext w:val="0"/>
            </w:pPr>
          </w:p>
        </w:tc>
        <w:tc>
          <w:tcPr>
            <w:tcW w:w="4113" w:type="pct"/>
            <w:gridSpan w:val="2"/>
            <w:vAlign w:val="center"/>
          </w:tcPr>
          <w:p w:rsidR="00155DF2" w:rsidRDefault="00155DF2" w:rsidP="00155DF2">
            <w:pPr>
              <w:pStyle w:val="DQIRowHeadings"/>
            </w:pPr>
            <w:r>
              <w:t xml:space="preserve">For a summary of data quality information against the data quality framework dimensions — Institutional environment, Relevance, Timeliness, Accuracy, Coherence, Accessibility, and Interpretability — please see the related Data collection </w:t>
            </w:r>
            <w:proofErr w:type="spellStart"/>
            <w:r>
              <w:t>DQI</w:t>
            </w:r>
            <w:proofErr w:type="spellEnd"/>
            <w:r>
              <w:t xml:space="preserve"> for:</w:t>
            </w:r>
          </w:p>
          <w:p w:rsidR="009D6827" w:rsidRPr="009D6827" w:rsidRDefault="009D6827" w:rsidP="00DF1B3A">
            <w:pPr>
              <w:pStyle w:val="DQITableBullet"/>
              <w:keepNext w:val="0"/>
              <w:jc w:val="left"/>
              <w:rPr>
                <w:u w:val="single"/>
              </w:rPr>
            </w:pPr>
            <w:r>
              <w:t>Student outcomes</w:t>
            </w:r>
            <w:r w:rsidRPr="003E0195">
              <w:t>:</w:t>
            </w:r>
            <w:r>
              <w:t xml:space="preserve"> </w:t>
            </w:r>
            <w:r>
              <w:tab/>
            </w:r>
            <w:r w:rsidR="00FC7692" w:rsidRPr="007047F5">
              <w:t>Student Outcomes S</w:t>
            </w:r>
            <w:r w:rsidRPr="007047F5">
              <w:t>urvey</w:t>
            </w:r>
            <w:r>
              <w:t>.</w:t>
            </w:r>
          </w:p>
        </w:tc>
      </w:tr>
      <w:tr w:rsidR="009517F3" w:rsidRPr="005970A0" w:rsidTr="00FA56B9">
        <w:tc>
          <w:tcPr>
            <w:tcW w:w="5000" w:type="pct"/>
            <w:gridSpan w:val="3"/>
            <w:shd w:val="clear" w:color="auto" w:fill="auto"/>
          </w:tcPr>
          <w:p w:rsidR="009517F3" w:rsidRPr="005970A0" w:rsidRDefault="009517F3" w:rsidP="009517F3">
            <w:pPr>
              <w:pStyle w:val="DQIMainRowHeadings"/>
            </w:pPr>
            <w:r w:rsidRPr="005970A0">
              <w:t>Data Gaps/Issues Analysis</w:t>
            </w:r>
          </w:p>
        </w:tc>
      </w:tr>
      <w:tr w:rsidR="009517F3" w:rsidRPr="005970A0" w:rsidTr="00FA56B9">
        <w:tc>
          <w:tcPr>
            <w:tcW w:w="922" w:type="pct"/>
            <w:gridSpan w:val="2"/>
            <w:shd w:val="clear" w:color="auto" w:fill="auto"/>
          </w:tcPr>
          <w:p w:rsidR="009517F3" w:rsidRPr="005970A0" w:rsidRDefault="009517F3" w:rsidP="009E4FAF">
            <w:pPr>
              <w:pStyle w:val="DQIRowHeadings"/>
              <w:keepNext w:val="0"/>
            </w:pPr>
            <w:r w:rsidRPr="005970A0">
              <w:t>Key data gaps/ issues</w:t>
            </w:r>
          </w:p>
        </w:tc>
        <w:tc>
          <w:tcPr>
            <w:tcW w:w="4078" w:type="pct"/>
            <w:shd w:val="clear" w:color="auto" w:fill="auto"/>
          </w:tcPr>
          <w:p w:rsidR="009517F3" w:rsidRPr="005970A0" w:rsidRDefault="009517F3" w:rsidP="00FA56B9">
            <w:pPr>
              <w:pStyle w:val="DQITableText"/>
            </w:pPr>
            <w:r w:rsidRPr="005970A0">
              <w:rPr>
                <w:rFonts w:cs="Arial"/>
              </w:rPr>
              <w:t xml:space="preserve">The Steering Committee notes the following key data gaps/issues: </w:t>
            </w:r>
          </w:p>
          <w:p w:rsidR="009517F3" w:rsidRPr="005970A0" w:rsidRDefault="009517F3" w:rsidP="009517F3">
            <w:pPr>
              <w:pStyle w:val="DQITableBullet"/>
            </w:pPr>
            <w:r w:rsidRPr="005970A0">
              <w:t xml:space="preserve">Annual data are available from the Student Outcomes Survey. </w:t>
            </w:r>
            <w:r w:rsidR="00FC7692" w:rsidRPr="006C319A">
              <w:t>The most recent available data are for 2014 (outcomes of students in 2014 who completed qualifications in 2013).</w:t>
            </w:r>
          </w:p>
          <w:p w:rsidR="009517F3" w:rsidRPr="005970A0" w:rsidRDefault="009517F3" w:rsidP="009517F3">
            <w:pPr>
              <w:pStyle w:val="DQITableBullet"/>
            </w:pPr>
            <w:r w:rsidRPr="005970A0">
              <w:t xml:space="preserve">The response rate to this survey was </w:t>
            </w:r>
            <w:r w:rsidR="009F24D8">
              <w:t>38.2 per cent in 2014</w:t>
            </w:r>
            <w:r w:rsidRPr="005970A0">
              <w:t xml:space="preserve">. </w:t>
            </w:r>
            <w:proofErr w:type="spellStart"/>
            <w:r w:rsidRPr="005970A0">
              <w:t>NCVER</w:t>
            </w:r>
            <w:proofErr w:type="spellEnd"/>
            <w:r w:rsidRPr="005970A0">
              <w:t xml:space="preserve"> analysis found that the non-response was not likely to have affected the quality of the results.</w:t>
            </w:r>
          </w:p>
          <w:p w:rsidR="009517F3" w:rsidRPr="005970A0" w:rsidRDefault="009517F3" w:rsidP="009517F3">
            <w:pPr>
              <w:pStyle w:val="DQITableBullet"/>
            </w:pPr>
            <w:r w:rsidRPr="005970A0">
              <w:t xml:space="preserve">Data are of acceptable accuracy at the national level, but some data disaggregated by Indigenous status by State and Territory have relative standard errors greater than 25 per cent and should be used with caution. </w:t>
            </w:r>
          </w:p>
          <w:p w:rsidR="009517F3" w:rsidRPr="005970A0" w:rsidRDefault="009517F3" w:rsidP="009517F3">
            <w:pPr>
              <w:pStyle w:val="DQITableBullet"/>
            </w:pPr>
            <w:r w:rsidRPr="005970A0">
              <w:t>Percentages in tables are rounded and may not sum to 100.</w:t>
            </w:r>
          </w:p>
          <w:p w:rsidR="009517F3" w:rsidRPr="005970A0" w:rsidRDefault="009517F3" w:rsidP="009517F3">
            <w:pPr>
              <w:pStyle w:val="DQITableBullet"/>
            </w:pPr>
            <w:r w:rsidRPr="005970A0">
              <w:t xml:space="preserve">The size of the </w:t>
            </w:r>
            <w:proofErr w:type="spellStart"/>
            <w:r w:rsidRPr="005970A0">
              <w:t>RSEs</w:t>
            </w:r>
            <w:proofErr w:type="spellEnd"/>
            <w:r w:rsidRPr="005970A0">
              <w:t xml:space="preserve"> affects the ability to identify small year to year movements in some disaggregated measures for this indicator for some jurisdictions.</w:t>
            </w:r>
          </w:p>
        </w:tc>
      </w:tr>
    </w:tbl>
    <w:p w:rsidR="0055207C" w:rsidRDefault="00B11361" w:rsidP="00B11361">
      <w:pPr>
        <w:pStyle w:val="Heading3"/>
        <w:spacing w:before="120"/>
      </w:pPr>
      <w:r w:rsidRPr="005970A0">
        <w:br w:type="page"/>
      </w:r>
      <w:bookmarkStart w:id="63" w:name="_Toc436148771"/>
      <w:bookmarkStart w:id="64" w:name="StudentAchievementInVET"/>
      <w:bookmarkStart w:id="65" w:name="_Toc396227466"/>
      <w:r w:rsidRPr="005970A0">
        <w:lastRenderedPageBreak/>
        <w:t>Student achievement in VET</w:t>
      </w:r>
      <w:bookmarkEnd w:id="63"/>
      <w:r w:rsidRPr="005970A0">
        <w:t xml:space="preserve"> </w:t>
      </w:r>
      <w:bookmarkEnd w:id="64"/>
    </w:p>
    <w:p w:rsidR="00B11361" w:rsidRPr="005970A0" w:rsidRDefault="0055207C" w:rsidP="0055207C">
      <w:pPr>
        <w:pStyle w:val="Heading4"/>
      </w:pPr>
      <w:r>
        <w:t>L</w:t>
      </w:r>
      <w:r w:rsidR="00B11361" w:rsidRPr="005970A0">
        <w:t>oad pass rate</w:t>
      </w:r>
      <w:bookmarkEnd w:id="65"/>
    </w:p>
    <w:p w:rsidR="00B11361" w:rsidRPr="005970A0" w:rsidRDefault="00B11361" w:rsidP="00B11361">
      <w:pPr>
        <w:pStyle w:val="Box"/>
      </w:pPr>
      <w:r w:rsidRPr="005970A0">
        <w:t xml:space="preserve">Data quality information for this indicator has been drafted by the </w:t>
      </w:r>
      <w:proofErr w:type="spellStart"/>
      <w:r w:rsidR="00E22A04">
        <w:t>NCVER</w:t>
      </w:r>
      <w:proofErr w:type="spellEnd"/>
      <w:r w:rsidRPr="005970A0">
        <w:t xml:space="preserve"> and the Secretariat, in consultation with the VET Working Group.</w:t>
      </w:r>
    </w:p>
    <w:tbl>
      <w:tblPr>
        <w:tblW w:w="5000" w:type="pct"/>
        <w:tblCellMar>
          <w:left w:w="0" w:type="dxa"/>
          <w:right w:w="0" w:type="dxa"/>
        </w:tblCellMar>
        <w:tblLook w:val="0000" w:firstRow="0" w:lastRow="0" w:firstColumn="0" w:lastColumn="0" w:noHBand="0" w:noVBand="0"/>
      </w:tblPr>
      <w:tblGrid>
        <w:gridCol w:w="1559"/>
        <w:gridCol w:w="62"/>
        <w:gridCol w:w="7168"/>
      </w:tblGrid>
      <w:tr w:rsidR="00B11361" w:rsidRPr="005970A0" w:rsidTr="00B11361">
        <w:tc>
          <w:tcPr>
            <w:tcW w:w="5000" w:type="pct"/>
            <w:gridSpan w:val="3"/>
          </w:tcPr>
          <w:p w:rsidR="00B11361" w:rsidRPr="005970A0" w:rsidRDefault="00B11361" w:rsidP="0055207C">
            <w:pPr>
              <w:pStyle w:val="DQIMainRowHeadings"/>
            </w:pPr>
            <w:r w:rsidRPr="005970A0">
              <w:t>Indicator definition and description</w:t>
            </w:r>
            <w:r w:rsidRPr="005970A0">
              <w:rPr>
                <w:rFonts w:cs="Arial"/>
                <w:sz w:val="22"/>
                <w:szCs w:val="22"/>
              </w:rPr>
              <w:t xml:space="preserve"> </w:t>
            </w:r>
          </w:p>
        </w:tc>
      </w:tr>
      <w:tr w:rsidR="00B11361" w:rsidRPr="005970A0" w:rsidTr="00B11361">
        <w:tc>
          <w:tcPr>
            <w:tcW w:w="922" w:type="pct"/>
            <w:gridSpan w:val="2"/>
          </w:tcPr>
          <w:p w:rsidR="00B11361" w:rsidRPr="005970A0" w:rsidRDefault="00B11361" w:rsidP="0055207C">
            <w:pPr>
              <w:pStyle w:val="DQIRowHeadings"/>
            </w:pPr>
            <w:r w:rsidRPr="005970A0">
              <w:t>Element</w:t>
            </w:r>
          </w:p>
        </w:tc>
        <w:tc>
          <w:tcPr>
            <w:tcW w:w="4078" w:type="pct"/>
          </w:tcPr>
          <w:p w:rsidR="00B11361" w:rsidRPr="005970A0" w:rsidRDefault="00B11361" w:rsidP="00AD368D">
            <w:pPr>
              <w:pStyle w:val="DQITableText"/>
            </w:pPr>
            <w:r w:rsidRPr="005970A0">
              <w:t>Outcomes.</w:t>
            </w:r>
          </w:p>
        </w:tc>
      </w:tr>
      <w:tr w:rsidR="00B11361" w:rsidRPr="005970A0" w:rsidTr="00B11361">
        <w:tc>
          <w:tcPr>
            <w:tcW w:w="922" w:type="pct"/>
            <w:gridSpan w:val="2"/>
          </w:tcPr>
          <w:p w:rsidR="00B11361" w:rsidRPr="005970A0" w:rsidRDefault="00B11361" w:rsidP="0055207C">
            <w:pPr>
              <w:pStyle w:val="DQIRowHeadings"/>
            </w:pPr>
            <w:r w:rsidRPr="005970A0">
              <w:t>Indicator</w:t>
            </w:r>
          </w:p>
        </w:tc>
        <w:tc>
          <w:tcPr>
            <w:tcW w:w="4078" w:type="pct"/>
          </w:tcPr>
          <w:p w:rsidR="00B11361" w:rsidRPr="005970A0" w:rsidRDefault="00B11361" w:rsidP="00AD368D">
            <w:pPr>
              <w:pStyle w:val="DQITableText"/>
            </w:pPr>
            <w:r w:rsidRPr="005970A0">
              <w:t>Student achievement in VET</w:t>
            </w:r>
          </w:p>
        </w:tc>
      </w:tr>
      <w:tr w:rsidR="00B11361" w:rsidRPr="005970A0" w:rsidTr="00B11361">
        <w:tc>
          <w:tcPr>
            <w:tcW w:w="922" w:type="pct"/>
            <w:gridSpan w:val="2"/>
          </w:tcPr>
          <w:p w:rsidR="00B11361" w:rsidRPr="005970A0" w:rsidRDefault="00B11361" w:rsidP="0055207C">
            <w:pPr>
              <w:pStyle w:val="DQIRowHeadings"/>
            </w:pPr>
            <w:r w:rsidRPr="005970A0">
              <w:t>Measure (computation)</w:t>
            </w:r>
          </w:p>
        </w:tc>
        <w:tc>
          <w:tcPr>
            <w:tcW w:w="4078" w:type="pct"/>
          </w:tcPr>
          <w:p w:rsidR="00B11361" w:rsidRPr="005970A0" w:rsidRDefault="00B11361" w:rsidP="00AD368D">
            <w:pPr>
              <w:pStyle w:val="DQITableText"/>
            </w:pPr>
            <w:r w:rsidRPr="005970A0">
              <w:rPr>
                <w:u w:val="single"/>
              </w:rPr>
              <w:t>Definition</w:t>
            </w:r>
          </w:p>
          <w:p w:rsidR="00B11361" w:rsidRPr="005970A0" w:rsidRDefault="00B11361" w:rsidP="00AD368D">
            <w:pPr>
              <w:pStyle w:val="DQITableText"/>
            </w:pPr>
            <w:r w:rsidRPr="005970A0">
              <w:t>The ratio of hours attributed to students who gained competencies/passed assessment in an assessable module or unit of competency to all hours of students who were assessed and either passed, failed or withdrew.</w:t>
            </w:r>
          </w:p>
          <w:p w:rsidR="00B11361" w:rsidRPr="0055207C" w:rsidRDefault="00B11361" w:rsidP="00AD368D">
            <w:pPr>
              <w:pStyle w:val="DQITableText"/>
              <w:rPr>
                <w:u w:val="single"/>
              </w:rPr>
            </w:pPr>
            <w:r w:rsidRPr="0055207C">
              <w:rPr>
                <w:u w:val="single"/>
              </w:rPr>
              <w:t>Numerator/s</w:t>
            </w:r>
          </w:p>
          <w:p w:rsidR="00B11361" w:rsidRPr="005970A0" w:rsidRDefault="00B11361" w:rsidP="00AD368D">
            <w:pPr>
              <w:pStyle w:val="DQITableText"/>
            </w:pPr>
            <w:r w:rsidRPr="005970A0">
              <w:t xml:space="preserve">Government funded recurrent hours attributed to students who gained competencies/passed assessment in an assessable module or unit of competency </w:t>
            </w:r>
          </w:p>
          <w:p w:rsidR="00B11361" w:rsidRPr="0055207C" w:rsidRDefault="00B11361" w:rsidP="00AD368D">
            <w:pPr>
              <w:pStyle w:val="DQITableText"/>
              <w:rPr>
                <w:u w:val="single"/>
              </w:rPr>
            </w:pPr>
            <w:r w:rsidRPr="0055207C">
              <w:rPr>
                <w:u w:val="single"/>
              </w:rPr>
              <w:t>Denominator/s</w:t>
            </w:r>
          </w:p>
          <w:p w:rsidR="00B11361" w:rsidRPr="005970A0" w:rsidRDefault="00B11361" w:rsidP="00AD368D">
            <w:pPr>
              <w:pStyle w:val="DQITableText"/>
            </w:pPr>
            <w:r w:rsidRPr="005970A0">
              <w:t>All Government funded recurrent hours of students who were assessed and either passed, failed or withdrew.</w:t>
            </w:r>
          </w:p>
          <w:p w:rsidR="00B11361" w:rsidRPr="0055207C" w:rsidRDefault="00B11361" w:rsidP="00AD368D">
            <w:pPr>
              <w:pStyle w:val="DQITableText"/>
              <w:rPr>
                <w:u w:val="single"/>
              </w:rPr>
            </w:pPr>
            <w:r w:rsidRPr="0055207C">
              <w:rPr>
                <w:u w:val="single"/>
              </w:rPr>
              <w:t>Computation/s:</w:t>
            </w:r>
          </w:p>
          <w:p w:rsidR="00B11361" w:rsidRPr="005970A0" w:rsidRDefault="00B11361" w:rsidP="00AD368D">
            <w:pPr>
              <w:pStyle w:val="DQITableText"/>
            </w:pPr>
            <w:r w:rsidRPr="005970A0">
              <w:t>Numerator (above) divided by denominator (above), calculated separately for all VET students and VET target groups:</w:t>
            </w:r>
          </w:p>
          <w:p w:rsidR="00B11361" w:rsidRPr="005970A0" w:rsidRDefault="00B11361" w:rsidP="0055207C">
            <w:pPr>
              <w:pStyle w:val="DQITableBullet"/>
            </w:pPr>
            <w:r w:rsidRPr="005970A0">
              <w:t>students with disability</w:t>
            </w:r>
          </w:p>
          <w:p w:rsidR="00B11361" w:rsidRPr="005970A0" w:rsidRDefault="00B11361" w:rsidP="0055207C">
            <w:pPr>
              <w:pStyle w:val="DQITableBullet"/>
            </w:pPr>
            <w:r w:rsidRPr="005970A0">
              <w:t>students speaking a language other than English at home</w:t>
            </w:r>
          </w:p>
          <w:p w:rsidR="00B11361" w:rsidRPr="005970A0" w:rsidRDefault="00B11361" w:rsidP="0055207C">
            <w:pPr>
              <w:pStyle w:val="DQITableBullet"/>
            </w:pPr>
            <w:r w:rsidRPr="005970A0">
              <w:t>students from remote and very remote areas</w:t>
            </w:r>
          </w:p>
          <w:p w:rsidR="00B11361" w:rsidRPr="005970A0" w:rsidRDefault="00B11361" w:rsidP="0055207C">
            <w:pPr>
              <w:pStyle w:val="DQITableBullet"/>
            </w:pPr>
            <w:r w:rsidRPr="005970A0">
              <w:t xml:space="preserve">Indigenous students </w:t>
            </w:r>
          </w:p>
          <w:p w:rsidR="00B11361" w:rsidRPr="005970A0" w:rsidRDefault="00B11361" w:rsidP="00AD368D">
            <w:pPr>
              <w:pStyle w:val="DQITableText"/>
              <w:rPr>
                <w:rStyle w:val="DraftingNote"/>
                <w:b w:val="0"/>
                <w:color w:val="auto"/>
                <w:sz w:val="20"/>
                <w:u w:val="none"/>
              </w:rPr>
            </w:pPr>
            <w:r w:rsidRPr="005970A0">
              <w:t>Achievement by VET target groups can also indicate the equity of outcomes for these groups.</w:t>
            </w:r>
          </w:p>
        </w:tc>
      </w:tr>
      <w:tr w:rsidR="00B11361" w:rsidRPr="005970A0" w:rsidTr="00B11361">
        <w:tc>
          <w:tcPr>
            <w:tcW w:w="922" w:type="pct"/>
            <w:gridSpan w:val="2"/>
          </w:tcPr>
          <w:p w:rsidR="00B11361" w:rsidRPr="005970A0" w:rsidRDefault="00B11361" w:rsidP="0055207C">
            <w:pPr>
              <w:pStyle w:val="DQIRowHeadings"/>
            </w:pPr>
            <w:r w:rsidRPr="005970A0">
              <w:t>Data source/s</w:t>
            </w:r>
          </w:p>
        </w:tc>
        <w:tc>
          <w:tcPr>
            <w:tcW w:w="4078" w:type="pct"/>
          </w:tcPr>
          <w:p w:rsidR="00B11361" w:rsidRPr="005970A0" w:rsidRDefault="00B11361" w:rsidP="00AD368D">
            <w:pPr>
              <w:pStyle w:val="DQITableText"/>
            </w:pPr>
            <w:r w:rsidRPr="005970A0">
              <w:t xml:space="preserve">All data are unpublished and are derived from </w:t>
            </w:r>
            <w:proofErr w:type="spellStart"/>
            <w:r w:rsidRPr="005970A0">
              <w:t>NCVER</w:t>
            </w:r>
            <w:proofErr w:type="spellEnd"/>
            <w:r w:rsidRPr="005970A0">
              <w:t xml:space="preserve"> National VET </w:t>
            </w:r>
            <w:r w:rsidR="004F54E5">
              <w:t>Provider data collection</w:t>
            </w:r>
            <w:r w:rsidRPr="005970A0">
              <w:t>.</w:t>
            </w:r>
          </w:p>
        </w:tc>
      </w:tr>
      <w:tr w:rsidR="00B11361" w:rsidRPr="005970A0" w:rsidTr="00B11361">
        <w:tc>
          <w:tcPr>
            <w:tcW w:w="5000" w:type="pct"/>
            <w:gridSpan w:val="3"/>
          </w:tcPr>
          <w:p w:rsidR="00B11361" w:rsidRPr="005970A0" w:rsidRDefault="00B11361" w:rsidP="0055207C">
            <w:pPr>
              <w:pStyle w:val="DQIMainRowHeadings"/>
            </w:pPr>
            <w:r w:rsidRPr="005970A0">
              <w:t>Data Quality Framework Dimensions</w:t>
            </w:r>
          </w:p>
        </w:tc>
      </w:tr>
      <w:tr w:rsidR="004F54E5" w:rsidRPr="005970A0" w:rsidTr="00EC0EC7">
        <w:trPr>
          <w:trHeight w:val="1830"/>
        </w:trPr>
        <w:tc>
          <w:tcPr>
            <w:tcW w:w="887" w:type="pct"/>
            <w:vAlign w:val="center"/>
          </w:tcPr>
          <w:p w:rsidR="004F54E5" w:rsidRPr="005970A0" w:rsidRDefault="004F54E5" w:rsidP="00EC0EC7">
            <w:pPr>
              <w:pStyle w:val="DQIRowHeadings"/>
            </w:pPr>
          </w:p>
        </w:tc>
        <w:tc>
          <w:tcPr>
            <w:tcW w:w="4113" w:type="pct"/>
            <w:gridSpan w:val="2"/>
            <w:vAlign w:val="center"/>
          </w:tcPr>
          <w:p w:rsidR="00155DF2" w:rsidRDefault="00155DF2" w:rsidP="00155DF2">
            <w:pPr>
              <w:pStyle w:val="DQIRowHeadings"/>
            </w:pPr>
            <w:r>
              <w:t xml:space="preserve">For a summary of data quality information against the data quality framework dimensions — Institutional environment, Relevance, Timeliness, Accuracy, Coherence, Accessibility, and Interpretability — please see the related Data collection </w:t>
            </w:r>
            <w:proofErr w:type="spellStart"/>
            <w:r>
              <w:t>DQI</w:t>
            </w:r>
            <w:proofErr w:type="spellEnd"/>
            <w:r>
              <w:t xml:space="preserve"> for:</w:t>
            </w:r>
          </w:p>
          <w:p w:rsidR="00155DF2" w:rsidRDefault="00155DF2" w:rsidP="00155DF2">
            <w:pPr>
              <w:pStyle w:val="DQIRowHeadings"/>
            </w:pPr>
          </w:p>
          <w:p w:rsidR="004F54E5" w:rsidRPr="004F54E5" w:rsidRDefault="004F54E5" w:rsidP="004F54E5">
            <w:pPr>
              <w:pStyle w:val="DQITableBullet"/>
              <w:jc w:val="left"/>
              <w:rPr>
                <w:u w:val="single"/>
              </w:rPr>
            </w:pPr>
            <w:r w:rsidRPr="003E0195">
              <w:t>VET student data:</w:t>
            </w:r>
            <w:r>
              <w:t xml:space="preserve"> </w:t>
            </w:r>
            <w:r>
              <w:tab/>
            </w:r>
            <w:proofErr w:type="spellStart"/>
            <w:r w:rsidRPr="007047F5">
              <w:t>NCVER</w:t>
            </w:r>
            <w:proofErr w:type="spellEnd"/>
            <w:r w:rsidRPr="007047F5">
              <w:t xml:space="preserve"> National VET Provider data collection</w:t>
            </w:r>
            <w:r w:rsidRPr="00910800">
              <w:rPr>
                <w:rStyle w:val="Hyperlink"/>
                <w:rFonts w:cs="Arial"/>
                <w:color w:val="auto"/>
              </w:rPr>
              <w:t xml:space="preserve"> </w:t>
            </w:r>
          </w:p>
        </w:tc>
      </w:tr>
      <w:tr w:rsidR="00B11361" w:rsidRPr="005970A0" w:rsidTr="00B11361">
        <w:tc>
          <w:tcPr>
            <w:tcW w:w="5000" w:type="pct"/>
            <w:gridSpan w:val="3"/>
            <w:shd w:val="clear" w:color="auto" w:fill="auto"/>
          </w:tcPr>
          <w:p w:rsidR="00B11361" w:rsidRPr="005970A0" w:rsidRDefault="00B11361" w:rsidP="0055207C">
            <w:pPr>
              <w:pStyle w:val="DQIMainRowHeadings"/>
            </w:pPr>
            <w:r w:rsidRPr="005970A0">
              <w:t>Data Gaps/Issues Analysis</w:t>
            </w:r>
          </w:p>
        </w:tc>
      </w:tr>
      <w:tr w:rsidR="00B11361" w:rsidRPr="005970A0" w:rsidTr="00B11361">
        <w:tc>
          <w:tcPr>
            <w:tcW w:w="922" w:type="pct"/>
            <w:gridSpan w:val="2"/>
            <w:shd w:val="clear" w:color="auto" w:fill="auto"/>
          </w:tcPr>
          <w:p w:rsidR="00B11361" w:rsidRPr="005970A0" w:rsidRDefault="00B11361" w:rsidP="0055207C">
            <w:pPr>
              <w:pStyle w:val="DQIRowHeadings"/>
            </w:pPr>
            <w:r w:rsidRPr="005970A0">
              <w:t>Key data gaps/ issues</w:t>
            </w:r>
          </w:p>
        </w:tc>
        <w:tc>
          <w:tcPr>
            <w:tcW w:w="4078" w:type="pct"/>
            <w:shd w:val="clear" w:color="auto" w:fill="auto"/>
          </w:tcPr>
          <w:p w:rsidR="00B11361" w:rsidRPr="005970A0" w:rsidRDefault="00B11361" w:rsidP="00AD368D">
            <w:pPr>
              <w:pStyle w:val="DQITableText"/>
            </w:pPr>
            <w:r w:rsidRPr="005970A0">
              <w:t xml:space="preserve">The Steering Committee notes the following key data gaps/issues: </w:t>
            </w:r>
          </w:p>
          <w:p w:rsidR="00B11361" w:rsidRPr="005970A0" w:rsidRDefault="00B11361" w:rsidP="0055207C">
            <w:pPr>
              <w:pStyle w:val="DQITableBullet"/>
            </w:pPr>
            <w:r w:rsidRPr="005970A0">
              <w:t>Load pass rate is a measure of students’ success, which has an impact on a student’s attainment of skills. High ‘load pass rates’ and ‘number of students who commenced and completed’ indicate that student achievement is high, which is desirable. The rates for target groups, relative to those for the general student population, indicate whether students from target groups are as successful as other students.</w:t>
            </w:r>
          </w:p>
          <w:p w:rsidR="00B11361" w:rsidRPr="005970A0" w:rsidRDefault="00B11361" w:rsidP="0055207C">
            <w:pPr>
              <w:pStyle w:val="DQITableBullet"/>
            </w:pPr>
            <w:r w:rsidRPr="005970A0">
              <w:t xml:space="preserve">Care needs to be taken in comparing data across jurisdictions because average module durations vary across jurisdictions. </w:t>
            </w:r>
          </w:p>
        </w:tc>
      </w:tr>
    </w:tbl>
    <w:p w:rsidR="0055207C" w:rsidRDefault="0055207C" w:rsidP="0055207C">
      <w:pPr>
        <w:pStyle w:val="BodyText"/>
      </w:pPr>
    </w:p>
    <w:p w:rsidR="00B11361" w:rsidRPr="005970A0" w:rsidRDefault="0055207C" w:rsidP="0055207C">
      <w:pPr>
        <w:pStyle w:val="Heading4"/>
      </w:pPr>
      <w:bookmarkStart w:id="66" w:name="_Toc396227467"/>
      <w:r>
        <w:lastRenderedPageBreak/>
        <w:t>P</w:t>
      </w:r>
      <w:r w:rsidR="00B11361" w:rsidRPr="005970A0">
        <w:t>roportion of VET graduates with improved education/training status after training</w:t>
      </w:r>
      <w:bookmarkEnd w:id="66"/>
    </w:p>
    <w:p w:rsidR="00EE6EA5" w:rsidRPr="005970A0" w:rsidRDefault="00EE6EA5" w:rsidP="00EE6EA5">
      <w:pPr>
        <w:pStyle w:val="Box"/>
      </w:pPr>
      <w:r w:rsidRPr="005970A0">
        <w:t xml:space="preserve">Data quality information for this indicator has been drafted by the </w:t>
      </w:r>
      <w:proofErr w:type="spellStart"/>
      <w:r>
        <w:t>NCVER</w:t>
      </w:r>
      <w:proofErr w:type="spellEnd"/>
      <w:r w:rsidRPr="005970A0">
        <w:t xml:space="preserve"> and the Secretariat, in consultation with the VET Working Group.</w:t>
      </w:r>
    </w:p>
    <w:tbl>
      <w:tblPr>
        <w:tblW w:w="5000" w:type="pct"/>
        <w:tblCellMar>
          <w:left w:w="0" w:type="dxa"/>
          <w:right w:w="0" w:type="dxa"/>
        </w:tblCellMar>
        <w:tblLook w:val="0000" w:firstRow="0" w:lastRow="0" w:firstColumn="0" w:lastColumn="0" w:noHBand="0" w:noVBand="0"/>
      </w:tblPr>
      <w:tblGrid>
        <w:gridCol w:w="1559"/>
        <w:gridCol w:w="7230"/>
      </w:tblGrid>
      <w:tr w:rsidR="00B11361" w:rsidRPr="005970A0" w:rsidTr="00B11361">
        <w:tc>
          <w:tcPr>
            <w:tcW w:w="5000" w:type="pct"/>
            <w:gridSpan w:val="2"/>
          </w:tcPr>
          <w:p w:rsidR="00B11361" w:rsidRPr="005970A0" w:rsidRDefault="00B11361" w:rsidP="0055207C">
            <w:pPr>
              <w:pStyle w:val="DQIMainRowHeadings"/>
            </w:pPr>
            <w:r w:rsidRPr="005970A0">
              <w:t>Indicator definition and description</w:t>
            </w:r>
            <w:r w:rsidRPr="005970A0">
              <w:rPr>
                <w:rFonts w:cs="Arial"/>
                <w:sz w:val="22"/>
                <w:szCs w:val="22"/>
              </w:rPr>
              <w:t xml:space="preserve"> </w:t>
            </w:r>
          </w:p>
        </w:tc>
      </w:tr>
      <w:tr w:rsidR="00B11361" w:rsidRPr="005970A0" w:rsidTr="00B11361">
        <w:tc>
          <w:tcPr>
            <w:tcW w:w="887" w:type="pct"/>
          </w:tcPr>
          <w:p w:rsidR="00B11361" w:rsidRPr="005970A0" w:rsidRDefault="00B11361" w:rsidP="0055207C">
            <w:pPr>
              <w:pStyle w:val="DQIRowHeadings"/>
            </w:pPr>
            <w:r w:rsidRPr="005970A0">
              <w:t>Element</w:t>
            </w:r>
          </w:p>
        </w:tc>
        <w:tc>
          <w:tcPr>
            <w:tcW w:w="4113" w:type="pct"/>
          </w:tcPr>
          <w:p w:rsidR="00B11361" w:rsidRPr="005970A0" w:rsidRDefault="00B11361" w:rsidP="00AD368D">
            <w:pPr>
              <w:pStyle w:val="DQITableText"/>
            </w:pPr>
            <w:r w:rsidRPr="005970A0">
              <w:t>Outcomes.</w:t>
            </w:r>
          </w:p>
        </w:tc>
      </w:tr>
      <w:tr w:rsidR="00B11361" w:rsidRPr="005970A0" w:rsidTr="00B11361">
        <w:tc>
          <w:tcPr>
            <w:tcW w:w="887" w:type="pct"/>
          </w:tcPr>
          <w:p w:rsidR="00B11361" w:rsidRPr="005970A0" w:rsidRDefault="00B11361" w:rsidP="0055207C">
            <w:pPr>
              <w:pStyle w:val="DQIRowHeadings"/>
            </w:pPr>
            <w:r w:rsidRPr="005970A0">
              <w:t>Indicator</w:t>
            </w:r>
          </w:p>
        </w:tc>
        <w:tc>
          <w:tcPr>
            <w:tcW w:w="4113" w:type="pct"/>
          </w:tcPr>
          <w:p w:rsidR="00B11361" w:rsidRPr="005970A0" w:rsidRDefault="00B11361" w:rsidP="00AD368D">
            <w:pPr>
              <w:pStyle w:val="DQITableText"/>
            </w:pPr>
            <w:r w:rsidRPr="005970A0">
              <w:t>Student achievement in VET</w:t>
            </w:r>
          </w:p>
        </w:tc>
      </w:tr>
      <w:tr w:rsidR="00B11361" w:rsidRPr="005970A0" w:rsidTr="00B11361">
        <w:tc>
          <w:tcPr>
            <w:tcW w:w="887" w:type="pct"/>
          </w:tcPr>
          <w:p w:rsidR="00B11361" w:rsidRPr="005970A0" w:rsidRDefault="00B11361" w:rsidP="0044294E">
            <w:pPr>
              <w:pStyle w:val="DQIRowHeadings"/>
            </w:pPr>
            <w:r w:rsidRPr="005970A0">
              <w:t>Measure (</w:t>
            </w:r>
            <w:r w:rsidRPr="0044294E">
              <w:t>computation</w:t>
            </w:r>
            <w:r w:rsidRPr="005970A0">
              <w:t>)</w:t>
            </w:r>
          </w:p>
        </w:tc>
        <w:tc>
          <w:tcPr>
            <w:tcW w:w="4113" w:type="pct"/>
          </w:tcPr>
          <w:p w:rsidR="00B11361" w:rsidRPr="0055207C" w:rsidRDefault="00B11361" w:rsidP="00AD368D">
            <w:pPr>
              <w:pStyle w:val="DQITableText"/>
              <w:rPr>
                <w:u w:val="single"/>
              </w:rPr>
            </w:pPr>
            <w:r w:rsidRPr="0055207C">
              <w:rPr>
                <w:u w:val="single"/>
              </w:rPr>
              <w:t>Definition</w:t>
            </w:r>
          </w:p>
          <w:p w:rsidR="00B11361" w:rsidRPr="005970A0" w:rsidRDefault="00B11361" w:rsidP="00AD368D">
            <w:pPr>
              <w:pStyle w:val="DQITableText"/>
            </w:pPr>
            <w:r w:rsidRPr="005970A0">
              <w:t xml:space="preserve">The number of VET qualifications completed by students who have completed a course at a higher education level than their previous highest education level achieved (based on </w:t>
            </w:r>
            <w:proofErr w:type="spellStart"/>
            <w:r w:rsidRPr="005970A0">
              <w:t>AQF</w:t>
            </w:r>
            <w:proofErr w:type="spellEnd"/>
            <w:r w:rsidRPr="005970A0">
              <w:t>), as a proportion of the number of VET course enrolments.</w:t>
            </w:r>
          </w:p>
          <w:p w:rsidR="00B11361" w:rsidRPr="0055207C" w:rsidRDefault="00B11361" w:rsidP="00AD368D">
            <w:pPr>
              <w:pStyle w:val="DQITableText"/>
              <w:rPr>
                <w:u w:val="single"/>
              </w:rPr>
            </w:pPr>
            <w:r w:rsidRPr="0055207C">
              <w:rPr>
                <w:u w:val="single"/>
              </w:rPr>
              <w:t>Numerator/s</w:t>
            </w:r>
          </w:p>
          <w:p w:rsidR="00B11361" w:rsidRPr="005970A0" w:rsidRDefault="00B11361" w:rsidP="00AD368D">
            <w:pPr>
              <w:pStyle w:val="DQITableText"/>
            </w:pPr>
            <w:r w:rsidRPr="005970A0">
              <w:t xml:space="preserve">The number of VET </w:t>
            </w:r>
            <w:proofErr w:type="spellStart"/>
            <w:r w:rsidRPr="005970A0">
              <w:t>AQF</w:t>
            </w:r>
            <w:proofErr w:type="spellEnd"/>
            <w:r w:rsidRPr="005970A0">
              <w:t xml:space="preserve"> qualification completions by students who have completed a course at a higher education level than their previous highest education level</w:t>
            </w:r>
          </w:p>
          <w:p w:rsidR="00B11361" w:rsidRPr="0044294E" w:rsidRDefault="00B11361" w:rsidP="00AD368D">
            <w:pPr>
              <w:pStyle w:val="DQITableText"/>
            </w:pPr>
            <w:r w:rsidRPr="0055207C">
              <w:rPr>
                <w:u w:val="single"/>
              </w:rPr>
              <w:t>Denominat</w:t>
            </w:r>
            <w:r w:rsidRPr="0044294E">
              <w:t>or/s</w:t>
            </w:r>
          </w:p>
          <w:p w:rsidR="00B11361" w:rsidRPr="005970A0" w:rsidRDefault="00B11361" w:rsidP="00AD368D">
            <w:pPr>
              <w:pStyle w:val="DQITableText"/>
            </w:pPr>
            <w:r w:rsidRPr="005970A0">
              <w:t xml:space="preserve">The number of VET </w:t>
            </w:r>
            <w:proofErr w:type="spellStart"/>
            <w:r w:rsidRPr="005970A0">
              <w:t>AQF</w:t>
            </w:r>
            <w:proofErr w:type="spellEnd"/>
            <w:r w:rsidRPr="005970A0">
              <w:t xml:space="preserve"> course enrolments.</w:t>
            </w:r>
          </w:p>
          <w:p w:rsidR="00B11361" w:rsidRPr="005970A0" w:rsidRDefault="00B11361" w:rsidP="00AD368D">
            <w:pPr>
              <w:pStyle w:val="DQITableText"/>
            </w:pPr>
            <w:r w:rsidRPr="0055207C">
              <w:rPr>
                <w:u w:val="single"/>
              </w:rPr>
              <w:t>Computation</w:t>
            </w:r>
            <w:r w:rsidRPr="0044294E">
              <w:rPr>
                <w:u w:val="single"/>
              </w:rPr>
              <w:t>/s:</w:t>
            </w:r>
          </w:p>
          <w:p w:rsidR="00B11361" w:rsidRPr="005970A0" w:rsidRDefault="00B11361" w:rsidP="00AD368D">
            <w:pPr>
              <w:pStyle w:val="DQITableText"/>
            </w:pPr>
            <w:r w:rsidRPr="005970A0">
              <w:t>Numerator (above) divided by denominator (above), calculated separately for all VET students and:</w:t>
            </w:r>
          </w:p>
          <w:p w:rsidR="00B11361" w:rsidRPr="005970A0" w:rsidRDefault="00B11361" w:rsidP="0055207C">
            <w:pPr>
              <w:pStyle w:val="DQITableBullet"/>
            </w:pPr>
            <w:r w:rsidRPr="005970A0">
              <w:t>students aged 20-64 years</w:t>
            </w:r>
          </w:p>
          <w:p w:rsidR="00B11361" w:rsidRPr="005970A0" w:rsidRDefault="00B11361" w:rsidP="0055207C">
            <w:pPr>
              <w:pStyle w:val="DQITableBullet"/>
            </w:pPr>
            <w:r w:rsidRPr="005970A0">
              <w:t>students by Indigenous status</w:t>
            </w:r>
          </w:p>
          <w:p w:rsidR="00B11361" w:rsidRPr="005970A0" w:rsidRDefault="00B11361" w:rsidP="0055207C">
            <w:pPr>
              <w:pStyle w:val="DQITableBullet"/>
            </w:pPr>
            <w:r w:rsidRPr="005970A0">
              <w:t>students by remoteness (based on students’ home postcode).</w:t>
            </w:r>
          </w:p>
          <w:p w:rsidR="00B11361" w:rsidRPr="005970A0" w:rsidRDefault="00B11361" w:rsidP="0055207C">
            <w:pPr>
              <w:pStyle w:val="DQITableBullet"/>
            </w:pPr>
            <w:r w:rsidRPr="005970A0">
              <w:t>The hierarchy for highest level of education is as follows:</w:t>
            </w:r>
          </w:p>
          <w:p w:rsidR="00B11361" w:rsidRPr="005970A0" w:rsidRDefault="00B11361" w:rsidP="0055207C">
            <w:pPr>
              <w:pStyle w:val="DQITableBullet"/>
            </w:pPr>
            <w:r w:rsidRPr="005970A0">
              <w:t>Advanced diploma or above</w:t>
            </w:r>
          </w:p>
          <w:p w:rsidR="00B11361" w:rsidRPr="005970A0" w:rsidRDefault="00B11361" w:rsidP="0055207C">
            <w:pPr>
              <w:pStyle w:val="DQITableBullet"/>
            </w:pPr>
            <w:r w:rsidRPr="005970A0">
              <w:t>Diploma</w:t>
            </w:r>
          </w:p>
          <w:p w:rsidR="00B11361" w:rsidRPr="005970A0" w:rsidRDefault="00B11361" w:rsidP="0055207C">
            <w:pPr>
              <w:pStyle w:val="DQITableBullet"/>
            </w:pPr>
            <w:r w:rsidRPr="005970A0">
              <w:t>Certificate IV</w:t>
            </w:r>
          </w:p>
          <w:p w:rsidR="00B11361" w:rsidRPr="005970A0" w:rsidRDefault="00B11361" w:rsidP="0055207C">
            <w:pPr>
              <w:pStyle w:val="DQITableBullet"/>
            </w:pPr>
            <w:r w:rsidRPr="005970A0">
              <w:t>Certificate III</w:t>
            </w:r>
          </w:p>
          <w:p w:rsidR="00B11361" w:rsidRPr="005970A0" w:rsidRDefault="00B11361" w:rsidP="0055207C">
            <w:pPr>
              <w:pStyle w:val="DQITableBullet"/>
            </w:pPr>
            <w:r w:rsidRPr="005970A0">
              <w:t>Certificate II/Year 12</w:t>
            </w:r>
          </w:p>
          <w:p w:rsidR="00B11361" w:rsidRPr="005970A0" w:rsidRDefault="00B11361" w:rsidP="0055207C">
            <w:pPr>
              <w:pStyle w:val="DQITableBullet"/>
            </w:pPr>
            <w:r w:rsidRPr="005970A0">
              <w:t>Certificate I</w:t>
            </w:r>
          </w:p>
          <w:p w:rsidR="00B11361" w:rsidRPr="005970A0" w:rsidRDefault="00B11361" w:rsidP="0055207C">
            <w:pPr>
              <w:pStyle w:val="DQITableBullet"/>
            </w:pPr>
            <w:r w:rsidRPr="005970A0">
              <w:t>Year 11</w:t>
            </w:r>
          </w:p>
          <w:p w:rsidR="00B11361" w:rsidRPr="005970A0" w:rsidRDefault="00B11361" w:rsidP="0055207C">
            <w:pPr>
              <w:pStyle w:val="DQITableBullet"/>
            </w:pPr>
            <w:r w:rsidRPr="005970A0">
              <w:t>Year 10</w:t>
            </w:r>
          </w:p>
          <w:p w:rsidR="00B11361" w:rsidRPr="005970A0" w:rsidRDefault="00B11361" w:rsidP="0055207C">
            <w:pPr>
              <w:pStyle w:val="DQITableBullet"/>
            </w:pPr>
            <w:r w:rsidRPr="005970A0">
              <w:t>Year 9 or below</w:t>
            </w:r>
          </w:p>
          <w:p w:rsidR="00B11361" w:rsidRPr="005970A0" w:rsidRDefault="00B11361" w:rsidP="0055207C">
            <w:pPr>
              <w:pStyle w:val="DQITableBullet"/>
            </w:pPr>
            <w:r w:rsidRPr="005970A0">
              <w:t>Miscellaneous education</w:t>
            </w:r>
          </w:p>
          <w:p w:rsidR="00B11361" w:rsidRPr="005970A0" w:rsidRDefault="00B11361" w:rsidP="0055207C">
            <w:pPr>
              <w:pStyle w:val="DQITableBullet"/>
            </w:pPr>
            <w:r w:rsidRPr="005970A0">
              <w:t>Did not go to school</w:t>
            </w:r>
          </w:p>
          <w:p w:rsidR="00B11361" w:rsidRPr="005970A0" w:rsidRDefault="00B11361" w:rsidP="0044294E">
            <w:pPr>
              <w:pStyle w:val="DQITableText"/>
              <w:rPr>
                <w:rStyle w:val="DraftingNote"/>
                <w:color w:val="auto"/>
                <w:sz w:val="20"/>
                <w:u w:val="none"/>
              </w:rPr>
            </w:pPr>
            <w:r w:rsidRPr="005970A0">
              <w:t>‘Not stated’ responses have been excluded from the computation.</w:t>
            </w:r>
          </w:p>
        </w:tc>
      </w:tr>
      <w:tr w:rsidR="00B11361" w:rsidRPr="005970A0" w:rsidTr="00B11361">
        <w:tc>
          <w:tcPr>
            <w:tcW w:w="887" w:type="pct"/>
          </w:tcPr>
          <w:p w:rsidR="00B11361" w:rsidRPr="005970A0" w:rsidRDefault="00B11361" w:rsidP="0044294E">
            <w:pPr>
              <w:pStyle w:val="DQIRowHeadings"/>
            </w:pPr>
            <w:r w:rsidRPr="005970A0">
              <w:t>Data source/s</w:t>
            </w:r>
          </w:p>
        </w:tc>
        <w:tc>
          <w:tcPr>
            <w:tcW w:w="4113" w:type="pct"/>
          </w:tcPr>
          <w:p w:rsidR="00B11361" w:rsidRPr="005970A0" w:rsidRDefault="00B11361" w:rsidP="00AD368D">
            <w:pPr>
              <w:pStyle w:val="DQITableText"/>
            </w:pPr>
            <w:r w:rsidRPr="005970A0">
              <w:t>All data are derived from the National VET Provider Collection.</w:t>
            </w:r>
          </w:p>
        </w:tc>
      </w:tr>
      <w:tr w:rsidR="00B11361" w:rsidRPr="005970A0" w:rsidTr="00B11361">
        <w:tc>
          <w:tcPr>
            <w:tcW w:w="5000" w:type="pct"/>
            <w:gridSpan w:val="2"/>
          </w:tcPr>
          <w:p w:rsidR="00B11361" w:rsidRPr="0055207C" w:rsidRDefault="00B11361" w:rsidP="0055207C">
            <w:pPr>
              <w:pStyle w:val="DQIMainRowHeadings"/>
            </w:pPr>
            <w:r w:rsidRPr="0055207C">
              <w:t>Data Quality Framework Dimensions</w:t>
            </w:r>
          </w:p>
        </w:tc>
      </w:tr>
      <w:tr w:rsidR="004F54E5" w:rsidRPr="005970A0" w:rsidTr="00EC0EC7">
        <w:trPr>
          <w:trHeight w:val="1830"/>
        </w:trPr>
        <w:tc>
          <w:tcPr>
            <w:tcW w:w="887" w:type="pct"/>
            <w:vAlign w:val="center"/>
          </w:tcPr>
          <w:p w:rsidR="004F54E5" w:rsidRPr="005970A0" w:rsidRDefault="004F54E5" w:rsidP="004F54E5">
            <w:pPr>
              <w:pStyle w:val="DQIRowHeadings"/>
              <w:keepNext w:val="0"/>
            </w:pPr>
          </w:p>
        </w:tc>
        <w:tc>
          <w:tcPr>
            <w:tcW w:w="4113" w:type="pct"/>
            <w:vAlign w:val="center"/>
          </w:tcPr>
          <w:p w:rsidR="00155DF2" w:rsidRDefault="00155DF2" w:rsidP="00155DF2">
            <w:pPr>
              <w:pStyle w:val="DQIRowHeadings"/>
            </w:pPr>
            <w:r>
              <w:t xml:space="preserve">For a summary of data quality information against the data quality framework dimensions — Institutional environment, Relevance, Timeliness, Accuracy, Coherence, Accessibility, and Interpretability — please see the related Data collection </w:t>
            </w:r>
            <w:proofErr w:type="spellStart"/>
            <w:r>
              <w:t>DQI</w:t>
            </w:r>
            <w:proofErr w:type="spellEnd"/>
            <w:r>
              <w:t xml:space="preserve"> for:</w:t>
            </w:r>
          </w:p>
          <w:p w:rsidR="00155DF2" w:rsidRDefault="00155DF2" w:rsidP="00155DF2">
            <w:pPr>
              <w:pStyle w:val="DQIRowHeadings"/>
            </w:pPr>
          </w:p>
          <w:p w:rsidR="004F54E5" w:rsidRPr="004F54E5" w:rsidRDefault="004F54E5" w:rsidP="004F54E5">
            <w:pPr>
              <w:pStyle w:val="DQITableBullet"/>
              <w:keepNext w:val="0"/>
              <w:jc w:val="left"/>
              <w:rPr>
                <w:u w:val="single"/>
              </w:rPr>
            </w:pPr>
            <w:r w:rsidRPr="003E0195">
              <w:t>VET student data:</w:t>
            </w:r>
            <w:r>
              <w:t xml:space="preserve"> </w:t>
            </w:r>
            <w:r>
              <w:tab/>
            </w:r>
            <w:proofErr w:type="spellStart"/>
            <w:r w:rsidRPr="007047F5">
              <w:t>NCVER</w:t>
            </w:r>
            <w:proofErr w:type="spellEnd"/>
            <w:r w:rsidRPr="007047F5">
              <w:t xml:space="preserve"> National VET provider data collection</w:t>
            </w:r>
            <w:r w:rsidRPr="00910800">
              <w:rPr>
                <w:rStyle w:val="Hyperlink"/>
                <w:rFonts w:cs="Arial"/>
                <w:color w:val="auto"/>
              </w:rPr>
              <w:t xml:space="preserve"> </w:t>
            </w:r>
          </w:p>
        </w:tc>
      </w:tr>
      <w:tr w:rsidR="0044294E" w:rsidRPr="005970A0" w:rsidTr="00B11361">
        <w:tc>
          <w:tcPr>
            <w:tcW w:w="5000" w:type="pct"/>
            <w:gridSpan w:val="2"/>
            <w:shd w:val="clear" w:color="auto" w:fill="auto"/>
          </w:tcPr>
          <w:p w:rsidR="0044294E" w:rsidRPr="005970A0" w:rsidRDefault="0044294E" w:rsidP="0044294E">
            <w:pPr>
              <w:pStyle w:val="DQIMainRowHeadings"/>
            </w:pPr>
            <w:r w:rsidRPr="005970A0">
              <w:lastRenderedPageBreak/>
              <w:t>Data Gaps/Issues Analysis</w:t>
            </w:r>
          </w:p>
        </w:tc>
      </w:tr>
      <w:tr w:rsidR="0044294E" w:rsidRPr="005970A0" w:rsidTr="00B11361">
        <w:tc>
          <w:tcPr>
            <w:tcW w:w="887" w:type="pct"/>
            <w:shd w:val="clear" w:color="auto" w:fill="auto"/>
          </w:tcPr>
          <w:p w:rsidR="0044294E" w:rsidRPr="005970A0" w:rsidRDefault="0044294E" w:rsidP="0044294E">
            <w:pPr>
              <w:pStyle w:val="DQIRowHeadings"/>
            </w:pPr>
            <w:r w:rsidRPr="005970A0">
              <w:t>Key data gaps/ issues</w:t>
            </w:r>
          </w:p>
        </w:tc>
        <w:tc>
          <w:tcPr>
            <w:tcW w:w="4113" w:type="pct"/>
            <w:shd w:val="clear" w:color="auto" w:fill="auto"/>
          </w:tcPr>
          <w:p w:rsidR="0044294E" w:rsidRPr="005970A0" w:rsidRDefault="0044294E" w:rsidP="00AD368D">
            <w:pPr>
              <w:pStyle w:val="DQITableText"/>
            </w:pPr>
            <w:r w:rsidRPr="005970A0">
              <w:t xml:space="preserve">The Steering Committee notes the following key data gaps/issues: </w:t>
            </w:r>
          </w:p>
          <w:p w:rsidR="0044294E" w:rsidRPr="005970A0" w:rsidRDefault="0044294E" w:rsidP="0044294E">
            <w:pPr>
              <w:pStyle w:val="DQITableBullet"/>
            </w:pPr>
            <w:r w:rsidRPr="005970A0">
              <w:t xml:space="preserve">Using enrolments as the denominator allows this indicator to assess the overall performance of the VET system, as it includes those people who started training but did not complete (and therefore did not improve their educational status). </w:t>
            </w:r>
          </w:p>
          <w:p w:rsidR="0044294E" w:rsidRPr="005970A0" w:rsidRDefault="0044294E" w:rsidP="0044294E">
            <w:pPr>
              <w:pStyle w:val="DQITableBullet"/>
            </w:pPr>
            <w:r w:rsidRPr="005970A0">
              <w:t>A VET student may be enrolled in more than one VET training program, and therefore there are more ‘course enrolments’ in the VET system than ‘students’. This distinction between student numbers and the number of course enrolments may be of importance if comparing VET data in this chapter with other VET data.</w:t>
            </w:r>
          </w:p>
          <w:p w:rsidR="0044294E" w:rsidRPr="005970A0" w:rsidRDefault="0044294E" w:rsidP="0044294E">
            <w:pPr>
              <w:pStyle w:val="DQITableBullet"/>
            </w:pPr>
            <w:r w:rsidRPr="005970A0">
              <w:t>Qualification completions data include both government and non-government funded VET students attending TAFE, and only government funded students from private providers. This differs to other completions data reported in the VET chapter (i.e. completed modules and units of competency), which are reported for government-funded students only (in keeping with the scope of the VET chapter focusing on government-funded activity). This is due to a limitation of the data that does not enable correct disaggregation of completions by funding source.</w:t>
            </w:r>
          </w:p>
        </w:tc>
      </w:tr>
    </w:tbl>
    <w:p w:rsidR="0044294E" w:rsidRDefault="0044294E" w:rsidP="0044294E">
      <w:pPr>
        <w:pStyle w:val="BodyText"/>
      </w:pPr>
    </w:p>
    <w:p w:rsidR="00B11361" w:rsidRPr="005970A0" w:rsidRDefault="00B11361" w:rsidP="00DF1B3A">
      <w:pPr>
        <w:pStyle w:val="Heading4"/>
      </w:pPr>
      <w:bookmarkStart w:id="67" w:name="_Toc396227468"/>
      <w:r w:rsidRPr="008F4925">
        <w:lastRenderedPageBreak/>
        <w:t>Number of students who commenced and completed</w:t>
      </w:r>
      <w:bookmarkEnd w:id="67"/>
    </w:p>
    <w:p w:rsidR="00B11361" w:rsidRPr="005970A0" w:rsidRDefault="00B11361" w:rsidP="00DF1B3A">
      <w:pPr>
        <w:pStyle w:val="Box"/>
      </w:pPr>
      <w:r w:rsidRPr="008F4925">
        <w:t xml:space="preserve">Data quality information for </w:t>
      </w:r>
      <w:r w:rsidRPr="00DF1B3A">
        <w:t>this</w:t>
      </w:r>
      <w:r w:rsidRPr="008F4925">
        <w:t xml:space="preserve"> indicator has been drafted by the </w:t>
      </w:r>
      <w:proofErr w:type="spellStart"/>
      <w:r w:rsidR="00E22A04">
        <w:t>NCVER</w:t>
      </w:r>
      <w:proofErr w:type="spellEnd"/>
      <w:r w:rsidRPr="008F4925">
        <w:t xml:space="preserve"> and the Secretariat, in consultation with the VET Working Group.</w:t>
      </w:r>
    </w:p>
    <w:tbl>
      <w:tblPr>
        <w:tblW w:w="5000" w:type="pct"/>
        <w:tblCellMar>
          <w:left w:w="0" w:type="dxa"/>
          <w:right w:w="0" w:type="dxa"/>
        </w:tblCellMar>
        <w:tblLook w:val="0000" w:firstRow="0" w:lastRow="0" w:firstColumn="0" w:lastColumn="0" w:noHBand="0" w:noVBand="0"/>
      </w:tblPr>
      <w:tblGrid>
        <w:gridCol w:w="1559"/>
        <w:gridCol w:w="2835"/>
        <w:gridCol w:w="4395"/>
      </w:tblGrid>
      <w:tr w:rsidR="00B11361" w:rsidRPr="005970A0" w:rsidTr="00B11361">
        <w:tc>
          <w:tcPr>
            <w:tcW w:w="5000" w:type="pct"/>
            <w:gridSpan w:val="3"/>
          </w:tcPr>
          <w:p w:rsidR="00B11361" w:rsidRPr="005970A0" w:rsidRDefault="00B11361" w:rsidP="0093534E">
            <w:pPr>
              <w:pStyle w:val="DQIMainRowHeadings"/>
            </w:pPr>
            <w:r w:rsidRPr="005970A0">
              <w:t>Indicator definition and description</w:t>
            </w:r>
            <w:r w:rsidRPr="005970A0">
              <w:rPr>
                <w:rFonts w:cs="Arial"/>
                <w:sz w:val="22"/>
                <w:szCs w:val="22"/>
              </w:rPr>
              <w:t xml:space="preserve"> </w:t>
            </w:r>
          </w:p>
        </w:tc>
      </w:tr>
      <w:tr w:rsidR="00B11361" w:rsidRPr="005970A0" w:rsidTr="00B11361">
        <w:tc>
          <w:tcPr>
            <w:tcW w:w="887" w:type="pct"/>
          </w:tcPr>
          <w:p w:rsidR="00B11361" w:rsidRPr="005970A0" w:rsidRDefault="00B11361" w:rsidP="0093534E">
            <w:pPr>
              <w:pStyle w:val="DQIRowHeadings"/>
            </w:pPr>
            <w:r w:rsidRPr="005970A0">
              <w:t>Element</w:t>
            </w:r>
          </w:p>
        </w:tc>
        <w:tc>
          <w:tcPr>
            <w:tcW w:w="4113" w:type="pct"/>
            <w:gridSpan w:val="2"/>
          </w:tcPr>
          <w:p w:rsidR="00B11361" w:rsidRPr="005970A0" w:rsidRDefault="00B11361" w:rsidP="00AD368D">
            <w:pPr>
              <w:pStyle w:val="DQITableText"/>
            </w:pPr>
            <w:r w:rsidRPr="005970A0">
              <w:t>Outcomes.</w:t>
            </w:r>
          </w:p>
        </w:tc>
      </w:tr>
      <w:tr w:rsidR="00B11361" w:rsidRPr="005970A0" w:rsidTr="00B11361">
        <w:tc>
          <w:tcPr>
            <w:tcW w:w="887" w:type="pct"/>
          </w:tcPr>
          <w:p w:rsidR="00B11361" w:rsidRPr="005970A0" w:rsidRDefault="00B11361" w:rsidP="0093534E">
            <w:pPr>
              <w:pStyle w:val="DQIRowHeadings"/>
            </w:pPr>
            <w:r w:rsidRPr="005970A0">
              <w:t>Indicator</w:t>
            </w:r>
          </w:p>
        </w:tc>
        <w:tc>
          <w:tcPr>
            <w:tcW w:w="4113" w:type="pct"/>
            <w:gridSpan w:val="2"/>
          </w:tcPr>
          <w:p w:rsidR="00B11361" w:rsidRPr="005970A0" w:rsidRDefault="00B11361" w:rsidP="00AD368D">
            <w:pPr>
              <w:pStyle w:val="DQITableText"/>
            </w:pPr>
            <w:r w:rsidRPr="005970A0">
              <w:t>Student achievement in VET</w:t>
            </w:r>
          </w:p>
        </w:tc>
      </w:tr>
      <w:tr w:rsidR="00B11361" w:rsidRPr="005970A0" w:rsidTr="00B11361">
        <w:tc>
          <w:tcPr>
            <w:tcW w:w="887" w:type="pct"/>
          </w:tcPr>
          <w:p w:rsidR="00B11361" w:rsidRPr="005970A0" w:rsidRDefault="00B11361" w:rsidP="0093534E">
            <w:pPr>
              <w:pStyle w:val="DQIRowHeadings"/>
            </w:pPr>
            <w:r w:rsidRPr="005970A0">
              <w:t>Measure (computation)</w:t>
            </w:r>
          </w:p>
        </w:tc>
        <w:tc>
          <w:tcPr>
            <w:tcW w:w="4113" w:type="pct"/>
            <w:gridSpan w:val="2"/>
          </w:tcPr>
          <w:p w:rsidR="00B11361" w:rsidRPr="0093534E" w:rsidRDefault="00B11361" w:rsidP="00AD368D">
            <w:pPr>
              <w:pStyle w:val="DQITableText"/>
              <w:rPr>
                <w:u w:val="single"/>
              </w:rPr>
            </w:pPr>
            <w:r w:rsidRPr="0093534E">
              <w:rPr>
                <w:u w:val="single"/>
              </w:rPr>
              <w:t>Definition</w:t>
            </w:r>
          </w:p>
          <w:p w:rsidR="00B11361" w:rsidRPr="0056691F" w:rsidRDefault="00B11361" w:rsidP="0056691F">
            <w:pPr>
              <w:pStyle w:val="BoxListNumber2"/>
              <w:spacing w:before="0" w:line="200" w:lineRule="atLeast"/>
              <w:rPr>
                <w:sz w:val="18"/>
              </w:rPr>
            </w:pPr>
            <w:r w:rsidRPr="0056691F">
              <w:rPr>
                <w:sz w:val="18"/>
              </w:rPr>
              <w:t>The number of VET students in a given year who commenced a course and eventually completed their course, expressed as an estimated proportion of all course commencing enrolments in that year</w:t>
            </w:r>
            <w:r w:rsidRPr="0056691F" w:rsidDel="008F4925">
              <w:rPr>
                <w:sz w:val="18"/>
              </w:rPr>
              <w:t xml:space="preserve"> </w:t>
            </w:r>
            <w:r w:rsidRPr="0056691F">
              <w:rPr>
                <w:sz w:val="18"/>
              </w:rPr>
              <w:t xml:space="preserve"> </w:t>
            </w:r>
          </w:p>
          <w:p w:rsidR="00B11361" w:rsidRPr="00C20364" w:rsidRDefault="00B11361" w:rsidP="0056691F">
            <w:pPr>
              <w:pStyle w:val="BoxListNumber2"/>
              <w:spacing w:before="0" w:line="200" w:lineRule="atLeast"/>
            </w:pPr>
            <w:r w:rsidRPr="0056691F">
              <w:rPr>
                <w:sz w:val="18"/>
              </w:rPr>
              <w:t xml:space="preserve">Estimated subject pass rates for students commencing in a particular year </w:t>
            </w:r>
          </w:p>
          <w:p w:rsidR="00B11361" w:rsidRPr="0093534E" w:rsidRDefault="00B11361" w:rsidP="00AD368D">
            <w:pPr>
              <w:pStyle w:val="DQITableText"/>
              <w:rPr>
                <w:u w:val="single"/>
              </w:rPr>
            </w:pPr>
            <w:r w:rsidRPr="0093534E">
              <w:rPr>
                <w:u w:val="single"/>
              </w:rPr>
              <w:t>Numerator/s</w:t>
            </w:r>
          </w:p>
          <w:p w:rsidR="00B11361" w:rsidRPr="0056691F" w:rsidRDefault="00B11361" w:rsidP="0056691F">
            <w:pPr>
              <w:pStyle w:val="BoxListNumber2"/>
              <w:numPr>
                <w:ilvl w:val="1"/>
                <w:numId w:val="31"/>
              </w:numPr>
              <w:spacing w:before="0" w:line="200" w:lineRule="atLeast"/>
              <w:rPr>
                <w:sz w:val="18"/>
              </w:rPr>
            </w:pPr>
            <w:r w:rsidRPr="00C20364">
              <w:t xml:space="preserve">The </w:t>
            </w:r>
            <w:r w:rsidRPr="0056691F">
              <w:rPr>
                <w:sz w:val="18"/>
              </w:rPr>
              <w:t xml:space="preserve">number of VET </w:t>
            </w:r>
            <w:proofErr w:type="spellStart"/>
            <w:r w:rsidRPr="0056691F">
              <w:rPr>
                <w:sz w:val="18"/>
              </w:rPr>
              <w:t>AQF</w:t>
            </w:r>
            <w:proofErr w:type="spellEnd"/>
            <w:r w:rsidRPr="0056691F">
              <w:rPr>
                <w:sz w:val="18"/>
              </w:rPr>
              <w:t xml:space="preserve"> qualification completions by students who have commenced a course in a particular year</w:t>
            </w:r>
          </w:p>
          <w:p w:rsidR="00B11361" w:rsidRPr="0056691F" w:rsidRDefault="00B11361" w:rsidP="0056691F">
            <w:pPr>
              <w:pStyle w:val="BoxListNumber2"/>
              <w:spacing w:before="0" w:line="200" w:lineRule="atLeast"/>
              <w:rPr>
                <w:sz w:val="18"/>
              </w:rPr>
            </w:pPr>
            <w:r w:rsidRPr="0056691F">
              <w:rPr>
                <w:sz w:val="18"/>
              </w:rPr>
              <w:t>The number of hours, or full-year training equivalents (</w:t>
            </w:r>
            <w:proofErr w:type="spellStart"/>
            <w:r w:rsidRPr="0056691F">
              <w:rPr>
                <w:sz w:val="18"/>
              </w:rPr>
              <w:t>FYTEs</w:t>
            </w:r>
            <w:proofErr w:type="spellEnd"/>
            <w:r w:rsidRPr="0056691F">
              <w:rPr>
                <w:sz w:val="18"/>
              </w:rPr>
              <w:t>), attributed to students who gain competencies/passed assessment in an assessable module or unit of competency</w:t>
            </w:r>
            <w:r w:rsidRPr="0056691F" w:rsidDel="00F42F33">
              <w:rPr>
                <w:sz w:val="18"/>
              </w:rPr>
              <w:t xml:space="preserve"> </w:t>
            </w:r>
            <w:r w:rsidRPr="0056691F">
              <w:rPr>
                <w:sz w:val="18"/>
              </w:rPr>
              <w:t>by students who have commenced a course in a particular year</w:t>
            </w:r>
          </w:p>
          <w:p w:rsidR="00B11361" w:rsidRPr="0093534E" w:rsidRDefault="00B11361" w:rsidP="00AD368D">
            <w:pPr>
              <w:pStyle w:val="DQITableText"/>
              <w:rPr>
                <w:u w:val="single"/>
              </w:rPr>
            </w:pPr>
            <w:r w:rsidRPr="0093534E">
              <w:rPr>
                <w:u w:val="single"/>
              </w:rPr>
              <w:t>Denominator/s</w:t>
            </w:r>
          </w:p>
          <w:p w:rsidR="00B11361" w:rsidRPr="0056691F" w:rsidRDefault="00B11361" w:rsidP="0056691F">
            <w:pPr>
              <w:pStyle w:val="BoxListNumber2"/>
              <w:numPr>
                <w:ilvl w:val="1"/>
                <w:numId w:val="32"/>
              </w:numPr>
              <w:spacing w:before="0" w:line="200" w:lineRule="atLeast"/>
              <w:rPr>
                <w:sz w:val="18"/>
              </w:rPr>
            </w:pPr>
            <w:r w:rsidRPr="005970A0">
              <w:t xml:space="preserve">The </w:t>
            </w:r>
            <w:r w:rsidRPr="0056691F">
              <w:rPr>
                <w:sz w:val="18"/>
              </w:rPr>
              <w:t xml:space="preserve">number of VET </w:t>
            </w:r>
            <w:proofErr w:type="spellStart"/>
            <w:r w:rsidRPr="0056691F">
              <w:rPr>
                <w:sz w:val="18"/>
              </w:rPr>
              <w:t>AQF</w:t>
            </w:r>
            <w:proofErr w:type="spellEnd"/>
            <w:r w:rsidRPr="0056691F">
              <w:rPr>
                <w:sz w:val="18"/>
              </w:rPr>
              <w:t xml:space="preserve"> course commencements in a given year</w:t>
            </w:r>
          </w:p>
          <w:p w:rsidR="00B11361" w:rsidRPr="0056691F" w:rsidRDefault="00B11361" w:rsidP="0056691F">
            <w:pPr>
              <w:pStyle w:val="BoxListNumber2"/>
              <w:spacing w:before="0" w:line="200" w:lineRule="atLeast"/>
              <w:rPr>
                <w:sz w:val="18"/>
              </w:rPr>
            </w:pPr>
            <w:r w:rsidRPr="0056691F">
              <w:rPr>
                <w:sz w:val="18"/>
              </w:rPr>
              <w:t>The number of hours, or full-year training equivalents (</w:t>
            </w:r>
            <w:proofErr w:type="spellStart"/>
            <w:r w:rsidRPr="0056691F">
              <w:rPr>
                <w:sz w:val="18"/>
              </w:rPr>
              <w:t>FYTEs</w:t>
            </w:r>
            <w:proofErr w:type="spellEnd"/>
            <w:r w:rsidRPr="0056691F">
              <w:rPr>
                <w:sz w:val="18"/>
              </w:rPr>
              <w:t>), attributed to all students who were assessed and either passed, failed or withdrew. by students who have commenced a course in a particular year</w:t>
            </w:r>
          </w:p>
          <w:p w:rsidR="00B11361" w:rsidRPr="0093534E" w:rsidRDefault="00B11361" w:rsidP="00AD368D">
            <w:pPr>
              <w:pStyle w:val="DQITableText"/>
              <w:rPr>
                <w:u w:val="single"/>
              </w:rPr>
            </w:pPr>
            <w:r w:rsidRPr="0093534E">
              <w:rPr>
                <w:u w:val="single"/>
              </w:rPr>
              <w:t>Computation/s:</w:t>
            </w:r>
          </w:p>
          <w:p w:rsidR="00B11361" w:rsidRPr="005970A0" w:rsidRDefault="00B11361" w:rsidP="00AD368D">
            <w:pPr>
              <w:pStyle w:val="DQITableText"/>
              <w:rPr>
                <w:rStyle w:val="DraftingNote"/>
                <w:color w:val="auto"/>
                <w:sz w:val="20"/>
                <w:u w:val="none"/>
              </w:rPr>
            </w:pPr>
            <w:r w:rsidRPr="005970A0">
              <w:t xml:space="preserve">Numerator (above) divided by denominator (above), calculated separately for </w:t>
            </w:r>
            <w:r>
              <w:t>(a) and (b) above, using an estimation process.</w:t>
            </w:r>
            <w:r w:rsidRPr="005970A0">
              <w:rPr>
                <w:rFonts w:cs="Arial"/>
              </w:rPr>
              <w:t xml:space="preserve"> </w:t>
            </w:r>
          </w:p>
        </w:tc>
      </w:tr>
      <w:tr w:rsidR="00B11361" w:rsidRPr="005970A0" w:rsidTr="00B11361">
        <w:tc>
          <w:tcPr>
            <w:tcW w:w="887" w:type="pct"/>
          </w:tcPr>
          <w:p w:rsidR="00B11361" w:rsidRPr="005970A0" w:rsidRDefault="00B11361" w:rsidP="0093534E">
            <w:pPr>
              <w:pStyle w:val="DQIRowHeadings"/>
            </w:pPr>
            <w:r w:rsidRPr="005970A0">
              <w:t>Data source/s</w:t>
            </w:r>
          </w:p>
        </w:tc>
        <w:tc>
          <w:tcPr>
            <w:tcW w:w="4113" w:type="pct"/>
            <w:gridSpan w:val="2"/>
          </w:tcPr>
          <w:p w:rsidR="00B11361" w:rsidRPr="005970A0" w:rsidRDefault="00B11361" w:rsidP="00AD368D">
            <w:pPr>
              <w:pStyle w:val="DQITableText"/>
            </w:pPr>
            <w:r w:rsidRPr="005970A0">
              <w:t>All data are derived from the National VET Provider Collection.</w:t>
            </w:r>
          </w:p>
        </w:tc>
      </w:tr>
      <w:tr w:rsidR="00B11361" w:rsidRPr="005970A0" w:rsidTr="00B11361">
        <w:tc>
          <w:tcPr>
            <w:tcW w:w="5000" w:type="pct"/>
            <w:gridSpan w:val="3"/>
          </w:tcPr>
          <w:p w:rsidR="00B11361" w:rsidRPr="005970A0" w:rsidRDefault="00B11361" w:rsidP="0056691F">
            <w:pPr>
              <w:pStyle w:val="DQIMainRowHeadings"/>
            </w:pPr>
            <w:r w:rsidRPr="005970A0">
              <w:t>Data Quality Framework Dimensions</w:t>
            </w:r>
            <w:r w:rsidR="006A6253">
              <w:t xml:space="preserve"> </w:t>
            </w:r>
          </w:p>
        </w:tc>
      </w:tr>
      <w:tr w:rsidR="004F54E5" w:rsidRPr="005970A0" w:rsidTr="00EC0EC7">
        <w:trPr>
          <w:trHeight w:val="1830"/>
        </w:trPr>
        <w:tc>
          <w:tcPr>
            <w:tcW w:w="887" w:type="pct"/>
            <w:vAlign w:val="center"/>
          </w:tcPr>
          <w:p w:rsidR="004F54E5" w:rsidRPr="005970A0" w:rsidRDefault="004F54E5" w:rsidP="00EC0EC7">
            <w:pPr>
              <w:pStyle w:val="DQIRowHeadings"/>
              <w:keepNext w:val="0"/>
            </w:pPr>
          </w:p>
        </w:tc>
        <w:tc>
          <w:tcPr>
            <w:tcW w:w="4113" w:type="pct"/>
            <w:gridSpan w:val="2"/>
            <w:vAlign w:val="center"/>
          </w:tcPr>
          <w:p w:rsidR="00155DF2" w:rsidRDefault="00155DF2" w:rsidP="00155DF2">
            <w:pPr>
              <w:pStyle w:val="DQIRowHeadings"/>
            </w:pPr>
            <w:r>
              <w:t xml:space="preserve">For a summary of data quality information against the data quality framework dimensions — Institutional environment, Relevance, Timeliness, Accuracy, Coherence, Accessibility, and Interpretability — please see the related Data collection </w:t>
            </w:r>
            <w:proofErr w:type="spellStart"/>
            <w:r>
              <w:t>DQI</w:t>
            </w:r>
            <w:proofErr w:type="spellEnd"/>
            <w:r>
              <w:t xml:space="preserve"> for:</w:t>
            </w:r>
          </w:p>
          <w:p w:rsidR="00155DF2" w:rsidRDefault="00155DF2" w:rsidP="00155DF2">
            <w:pPr>
              <w:pStyle w:val="DQIRowHeadings"/>
            </w:pPr>
          </w:p>
          <w:p w:rsidR="004F54E5" w:rsidRPr="004F54E5" w:rsidRDefault="004F54E5" w:rsidP="00EC0EC7">
            <w:pPr>
              <w:pStyle w:val="DQITableBullet"/>
              <w:keepNext w:val="0"/>
              <w:jc w:val="left"/>
              <w:rPr>
                <w:u w:val="single"/>
              </w:rPr>
            </w:pPr>
            <w:r w:rsidRPr="003E0195">
              <w:t>VET student data:</w:t>
            </w:r>
            <w:r>
              <w:t xml:space="preserve"> </w:t>
            </w:r>
            <w:r>
              <w:tab/>
            </w:r>
            <w:proofErr w:type="spellStart"/>
            <w:r w:rsidRPr="007047F5">
              <w:t>NCVER</w:t>
            </w:r>
            <w:proofErr w:type="spellEnd"/>
            <w:r w:rsidRPr="007047F5">
              <w:t xml:space="preserve"> National VET provider data collection</w:t>
            </w:r>
            <w:r w:rsidRPr="00910800">
              <w:rPr>
                <w:rStyle w:val="Hyperlink"/>
                <w:rFonts w:cs="Arial"/>
                <w:color w:val="auto"/>
              </w:rPr>
              <w:t xml:space="preserve"> </w:t>
            </w:r>
          </w:p>
        </w:tc>
      </w:tr>
      <w:tr w:rsidR="004B588F" w:rsidRPr="00D32512" w:rsidTr="004B588F">
        <w:tc>
          <w:tcPr>
            <w:tcW w:w="2500" w:type="pct"/>
            <w:gridSpan w:val="2"/>
            <w:shd w:val="clear" w:color="auto" w:fill="auto"/>
          </w:tcPr>
          <w:p w:rsidR="004B588F" w:rsidRPr="00DC07C1" w:rsidRDefault="004B588F" w:rsidP="0056691F">
            <w:pPr>
              <w:pStyle w:val="DQIMainRowHeadings"/>
            </w:pPr>
            <w:r w:rsidRPr="00DC07C1">
              <w:t>Data Gaps/Issues Analysis</w:t>
            </w:r>
          </w:p>
        </w:tc>
        <w:tc>
          <w:tcPr>
            <w:tcW w:w="2500" w:type="pct"/>
            <w:shd w:val="clear" w:color="auto" w:fill="auto"/>
          </w:tcPr>
          <w:p w:rsidR="004B588F" w:rsidRPr="00DC07C1" w:rsidRDefault="004B588F" w:rsidP="0056691F">
            <w:pPr>
              <w:pStyle w:val="DQIMainRowHeadings"/>
            </w:pPr>
          </w:p>
        </w:tc>
      </w:tr>
      <w:tr w:rsidR="00B11361" w:rsidRPr="005970A0" w:rsidTr="00B11361">
        <w:tc>
          <w:tcPr>
            <w:tcW w:w="887" w:type="pct"/>
            <w:shd w:val="clear" w:color="auto" w:fill="auto"/>
          </w:tcPr>
          <w:p w:rsidR="00B11361" w:rsidRPr="00DC07C1" w:rsidRDefault="00B11361" w:rsidP="0056691F">
            <w:pPr>
              <w:pStyle w:val="DQIRowHeadings"/>
            </w:pPr>
            <w:r w:rsidRPr="00DC07C1">
              <w:t>Key data gaps/ issues</w:t>
            </w:r>
          </w:p>
        </w:tc>
        <w:tc>
          <w:tcPr>
            <w:tcW w:w="4113" w:type="pct"/>
            <w:gridSpan w:val="2"/>
            <w:shd w:val="clear" w:color="auto" w:fill="auto"/>
          </w:tcPr>
          <w:p w:rsidR="004B588F" w:rsidRPr="00DC07C1" w:rsidRDefault="004B588F" w:rsidP="004B588F">
            <w:pPr>
              <w:pStyle w:val="DQITableText"/>
            </w:pPr>
            <w:r w:rsidRPr="00DC07C1">
              <w:t xml:space="preserve">The Steering Committee notes the following key data gaps/issues: </w:t>
            </w:r>
          </w:p>
          <w:p w:rsidR="004B588F" w:rsidRPr="00DC07C1" w:rsidRDefault="004B588F" w:rsidP="004B588F">
            <w:pPr>
              <w:pStyle w:val="DQITableBullet"/>
            </w:pPr>
            <w:r w:rsidRPr="00DC07C1">
              <w:t xml:space="preserve">Estimated qualification completion rates need to be interpreted with caution due to data collection and methodological issues in tracking students and the qualifications they enrol in across different years of the National VET Provider Collection. Information on the matching variables (i.e. date of birth, sex, encrypted name identifier) may be missing or inaccurate in one or more years. The qualification record identifier may also in some rare cases change between enrolment and completion where a particular training package qualification has been superseded. </w:t>
            </w:r>
          </w:p>
          <w:p w:rsidR="00B11361" w:rsidRPr="00DC07C1" w:rsidRDefault="004B588F" w:rsidP="004B588F">
            <w:pPr>
              <w:pStyle w:val="DQITableBullet"/>
            </w:pPr>
            <w:r w:rsidRPr="00DC07C1">
              <w:t>It should be noted that not all students intend to complete an entire qualification but rather only wish to complete specific modules or units of competency. The reporting of these students varies across states and territories. In some jurisdictions, students wishing to only complete a specific component of a qualification are required to formally enrol in that qualification for data collection purposes, whereas in other jurisdictions they are not. For this reason, caution should be taken when interpreting qualification completion rates across states and territories.</w:t>
            </w:r>
          </w:p>
        </w:tc>
      </w:tr>
    </w:tbl>
    <w:p w:rsidR="004B588F" w:rsidRDefault="004B588F" w:rsidP="004B588F">
      <w:pPr>
        <w:pStyle w:val="FooterEnd"/>
      </w:pPr>
      <w:bookmarkStart w:id="68" w:name="_Toc396227469"/>
    </w:p>
    <w:p w:rsidR="00FA56B9" w:rsidRDefault="00B11361" w:rsidP="00B11361">
      <w:pPr>
        <w:pStyle w:val="Heading3"/>
        <w:spacing w:before="120"/>
      </w:pPr>
      <w:bookmarkStart w:id="69" w:name="_Toc436148772"/>
      <w:bookmarkStart w:id="70" w:name="StudentSatisfactionWithVET"/>
      <w:r w:rsidRPr="005970A0">
        <w:lastRenderedPageBreak/>
        <w:t>Student satisfaction with VET</w:t>
      </w:r>
      <w:bookmarkEnd w:id="69"/>
      <w:r w:rsidRPr="005970A0">
        <w:t xml:space="preserve"> </w:t>
      </w:r>
    </w:p>
    <w:bookmarkEnd w:id="70"/>
    <w:p w:rsidR="00B11361" w:rsidRPr="005970A0" w:rsidRDefault="00FA56B9" w:rsidP="00FA56B9">
      <w:pPr>
        <w:pStyle w:val="Heading4"/>
      </w:pPr>
      <w:r>
        <w:t>P</w:t>
      </w:r>
      <w:r w:rsidR="00B11361" w:rsidRPr="005970A0">
        <w:t>roportion of students who achieve their main reason for doing a VET course</w:t>
      </w:r>
      <w:bookmarkEnd w:id="68"/>
    </w:p>
    <w:p w:rsidR="00B11361" w:rsidRPr="005970A0" w:rsidRDefault="00B11361" w:rsidP="00B11361">
      <w:pPr>
        <w:pStyle w:val="Box"/>
      </w:pPr>
      <w:r w:rsidRPr="005970A0">
        <w:t xml:space="preserve">Data quality information for this indicator has been drafted by the </w:t>
      </w:r>
      <w:proofErr w:type="spellStart"/>
      <w:r w:rsidR="00E22A04">
        <w:t>NCVER</w:t>
      </w:r>
      <w:proofErr w:type="spellEnd"/>
      <w:r w:rsidRPr="005970A0">
        <w:t xml:space="preserve"> and the Secretariat, in consultation with the VET Working Group.</w:t>
      </w:r>
    </w:p>
    <w:tbl>
      <w:tblPr>
        <w:tblW w:w="5000" w:type="pct"/>
        <w:tblCellMar>
          <w:left w:w="0" w:type="dxa"/>
          <w:right w:w="0" w:type="dxa"/>
        </w:tblCellMar>
        <w:tblLook w:val="0000" w:firstRow="0" w:lastRow="0" w:firstColumn="0" w:lastColumn="0" w:noHBand="0" w:noVBand="0"/>
      </w:tblPr>
      <w:tblGrid>
        <w:gridCol w:w="1559"/>
        <w:gridCol w:w="2823"/>
        <w:gridCol w:w="4407"/>
      </w:tblGrid>
      <w:tr w:rsidR="00DA0AAC" w:rsidRPr="005970A0" w:rsidTr="00DA0AAC">
        <w:tc>
          <w:tcPr>
            <w:tcW w:w="4382" w:type="dxa"/>
            <w:gridSpan w:val="2"/>
          </w:tcPr>
          <w:p w:rsidR="00DA0AAC" w:rsidRPr="005970A0" w:rsidRDefault="00DA0AAC" w:rsidP="00FA56B9">
            <w:pPr>
              <w:pStyle w:val="DQIMainRowHeadings"/>
            </w:pPr>
            <w:r w:rsidRPr="005970A0">
              <w:t>Indicator definition and description</w:t>
            </w:r>
            <w:r w:rsidRPr="005970A0">
              <w:rPr>
                <w:rFonts w:cs="Arial"/>
                <w:sz w:val="22"/>
                <w:szCs w:val="22"/>
              </w:rPr>
              <w:t xml:space="preserve"> </w:t>
            </w:r>
          </w:p>
        </w:tc>
        <w:tc>
          <w:tcPr>
            <w:tcW w:w="4407" w:type="dxa"/>
          </w:tcPr>
          <w:p w:rsidR="00DA0AAC" w:rsidRPr="005970A0" w:rsidRDefault="00DA0AAC" w:rsidP="00FA56B9">
            <w:pPr>
              <w:pStyle w:val="DQIMainRowHeadings"/>
            </w:pPr>
          </w:p>
        </w:tc>
      </w:tr>
      <w:tr w:rsidR="00B11361" w:rsidRPr="005970A0" w:rsidTr="004F54E5">
        <w:tc>
          <w:tcPr>
            <w:tcW w:w="1559" w:type="dxa"/>
          </w:tcPr>
          <w:p w:rsidR="00B11361" w:rsidRPr="005970A0" w:rsidRDefault="00B11361" w:rsidP="00FA56B9">
            <w:pPr>
              <w:pStyle w:val="DQIRowHeadings"/>
            </w:pPr>
            <w:r w:rsidRPr="005970A0">
              <w:t>Element</w:t>
            </w:r>
          </w:p>
        </w:tc>
        <w:tc>
          <w:tcPr>
            <w:tcW w:w="7230" w:type="dxa"/>
            <w:gridSpan w:val="2"/>
          </w:tcPr>
          <w:p w:rsidR="00B11361" w:rsidRPr="005970A0" w:rsidRDefault="00B11361" w:rsidP="00AD368D">
            <w:pPr>
              <w:pStyle w:val="DQITableText"/>
            </w:pPr>
            <w:r w:rsidRPr="005970A0">
              <w:t>Outcomes.</w:t>
            </w:r>
          </w:p>
        </w:tc>
      </w:tr>
      <w:tr w:rsidR="00B11361" w:rsidRPr="005970A0" w:rsidTr="004F54E5">
        <w:tc>
          <w:tcPr>
            <w:tcW w:w="1559" w:type="dxa"/>
          </w:tcPr>
          <w:p w:rsidR="00B11361" w:rsidRPr="005970A0" w:rsidRDefault="00B11361" w:rsidP="00FA56B9">
            <w:pPr>
              <w:pStyle w:val="DQIRowHeadings"/>
            </w:pPr>
            <w:r w:rsidRPr="005970A0">
              <w:t>Indicator</w:t>
            </w:r>
          </w:p>
        </w:tc>
        <w:tc>
          <w:tcPr>
            <w:tcW w:w="7230" w:type="dxa"/>
            <w:gridSpan w:val="2"/>
          </w:tcPr>
          <w:p w:rsidR="00B11361" w:rsidRPr="005970A0" w:rsidRDefault="00B11361" w:rsidP="00AD368D">
            <w:pPr>
              <w:pStyle w:val="DQITableText"/>
            </w:pPr>
            <w:r w:rsidRPr="005970A0">
              <w:t>Student satisfaction with VET</w:t>
            </w:r>
          </w:p>
        </w:tc>
      </w:tr>
      <w:tr w:rsidR="00B11361" w:rsidRPr="005970A0" w:rsidTr="004F54E5">
        <w:tc>
          <w:tcPr>
            <w:tcW w:w="1559" w:type="dxa"/>
          </w:tcPr>
          <w:p w:rsidR="00B11361" w:rsidRPr="005970A0" w:rsidRDefault="00B11361" w:rsidP="00FA56B9">
            <w:pPr>
              <w:pStyle w:val="DQIRowHeadings"/>
            </w:pPr>
            <w:r w:rsidRPr="005970A0">
              <w:t>Measure (computation)</w:t>
            </w:r>
          </w:p>
        </w:tc>
        <w:tc>
          <w:tcPr>
            <w:tcW w:w="7230" w:type="dxa"/>
            <w:gridSpan w:val="2"/>
          </w:tcPr>
          <w:p w:rsidR="00B11361" w:rsidRPr="005970A0" w:rsidRDefault="00B11361" w:rsidP="00AD368D">
            <w:pPr>
              <w:pStyle w:val="DQITableText"/>
            </w:pPr>
            <w:r w:rsidRPr="005970A0">
              <w:rPr>
                <w:u w:val="single"/>
              </w:rPr>
              <w:t>Definition</w:t>
            </w:r>
          </w:p>
          <w:p w:rsidR="00B11361" w:rsidRPr="005970A0" w:rsidRDefault="00B11361" w:rsidP="00AD368D">
            <w:pPr>
              <w:pStyle w:val="DQITableText"/>
            </w:pPr>
            <w:r w:rsidRPr="005970A0">
              <w:t>The proportion of students who achieve their main reason for doing a VET course.</w:t>
            </w:r>
          </w:p>
          <w:p w:rsidR="00B11361" w:rsidRPr="00FA56B9" w:rsidRDefault="00B11361" w:rsidP="00AD368D">
            <w:pPr>
              <w:pStyle w:val="DQITableText"/>
              <w:rPr>
                <w:u w:val="single"/>
              </w:rPr>
            </w:pPr>
            <w:r w:rsidRPr="00FA56B9">
              <w:rPr>
                <w:u w:val="single"/>
              </w:rPr>
              <w:t>Numerator/s</w:t>
            </w:r>
          </w:p>
          <w:p w:rsidR="00B11361" w:rsidRPr="005970A0" w:rsidRDefault="00B11361" w:rsidP="00AD368D">
            <w:pPr>
              <w:pStyle w:val="DQITableText"/>
            </w:pPr>
            <w:r w:rsidRPr="005970A0">
              <w:t>Number of graduates who completed their training during the year prior to the nominated year, and who reported that the training either helped or partially helped them achieve their main reason for undertaking that training.</w:t>
            </w:r>
          </w:p>
          <w:p w:rsidR="00B11361" w:rsidRPr="00FA56B9" w:rsidRDefault="00B11361" w:rsidP="00AD368D">
            <w:pPr>
              <w:pStyle w:val="DQITableText"/>
              <w:rPr>
                <w:u w:val="single"/>
              </w:rPr>
            </w:pPr>
            <w:r w:rsidRPr="00FA56B9">
              <w:rPr>
                <w:u w:val="single"/>
              </w:rPr>
              <w:t>Denominator/s</w:t>
            </w:r>
          </w:p>
          <w:p w:rsidR="00B11361" w:rsidRPr="005970A0" w:rsidRDefault="00B11361" w:rsidP="00AD368D">
            <w:pPr>
              <w:pStyle w:val="DQITableText"/>
            </w:pPr>
            <w:r w:rsidRPr="005970A0">
              <w:t>Number of graduates who completed their training during the year prior to the nominated year (less those with the numerator variable not stated).</w:t>
            </w:r>
          </w:p>
          <w:p w:rsidR="00B11361" w:rsidRPr="00FA56B9" w:rsidRDefault="00B11361" w:rsidP="00AD368D">
            <w:pPr>
              <w:pStyle w:val="DQITableText"/>
              <w:rPr>
                <w:u w:val="single"/>
              </w:rPr>
            </w:pPr>
            <w:r w:rsidRPr="00FA56B9">
              <w:rPr>
                <w:u w:val="single"/>
              </w:rPr>
              <w:t>Computation/s:</w:t>
            </w:r>
          </w:p>
          <w:p w:rsidR="00B11361" w:rsidRPr="005970A0" w:rsidRDefault="00B11361" w:rsidP="00AD368D">
            <w:pPr>
              <w:pStyle w:val="DQITableText"/>
            </w:pPr>
            <w:r w:rsidRPr="005970A0">
              <w:t>Numerator (above) divided by denominator (above).</w:t>
            </w:r>
          </w:p>
          <w:p w:rsidR="00B11361" w:rsidRPr="005970A0" w:rsidRDefault="00B11361" w:rsidP="00AD368D">
            <w:pPr>
              <w:pStyle w:val="DQITableText"/>
            </w:pPr>
            <w:r w:rsidRPr="005970A0">
              <w:t>‘Graduate’ is defined as a past student who was awarded a qualification from a VET provider in Australia.</w:t>
            </w:r>
          </w:p>
        </w:tc>
      </w:tr>
      <w:tr w:rsidR="00B11361" w:rsidRPr="005970A0" w:rsidTr="004F54E5">
        <w:tc>
          <w:tcPr>
            <w:tcW w:w="1559" w:type="dxa"/>
          </w:tcPr>
          <w:p w:rsidR="00B11361" w:rsidRPr="005970A0" w:rsidRDefault="00B11361" w:rsidP="00FA56B9">
            <w:pPr>
              <w:pStyle w:val="DQIRowHeadings"/>
            </w:pPr>
            <w:r w:rsidRPr="005970A0">
              <w:t>Data source/s</w:t>
            </w:r>
          </w:p>
        </w:tc>
        <w:tc>
          <w:tcPr>
            <w:tcW w:w="7230" w:type="dxa"/>
            <w:gridSpan w:val="2"/>
          </w:tcPr>
          <w:p w:rsidR="00B11361" w:rsidRPr="005970A0" w:rsidRDefault="00B11361" w:rsidP="00AD368D">
            <w:pPr>
              <w:pStyle w:val="DQITableText"/>
            </w:pPr>
            <w:r w:rsidRPr="005970A0">
              <w:t xml:space="preserve">All data are derived from the </w:t>
            </w:r>
            <w:r w:rsidRPr="005970A0">
              <w:rPr>
                <w:i/>
              </w:rPr>
              <w:t>Student Outcomes Survey</w:t>
            </w:r>
            <w:r w:rsidRPr="005970A0">
              <w:t xml:space="preserve"> (SOS), which is an annual survey of students who successfully complete VET in Australia. This survey is conducted by </w:t>
            </w:r>
            <w:proofErr w:type="spellStart"/>
            <w:r w:rsidR="00C90987">
              <w:t>NCVER</w:t>
            </w:r>
            <w:proofErr w:type="spellEnd"/>
            <w:r w:rsidRPr="005970A0">
              <w:t>.</w:t>
            </w:r>
          </w:p>
          <w:p w:rsidR="00B11361" w:rsidRPr="005970A0" w:rsidRDefault="00B11361" w:rsidP="00AD368D">
            <w:pPr>
              <w:pStyle w:val="DQITableText"/>
            </w:pPr>
            <w:r w:rsidRPr="005970A0">
              <w:t>The sample for the survey is drawn from the National VET Provider Collection.</w:t>
            </w:r>
          </w:p>
        </w:tc>
      </w:tr>
      <w:tr w:rsidR="00DA0AAC" w:rsidRPr="005970A0" w:rsidTr="000F719B">
        <w:tc>
          <w:tcPr>
            <w:tcW w:w="8789" w:type="dxa"/>
            <w:gridSpan w:val="3"/>
          </w:tcPr>
          <w:p w:rsidR="00DA0AAC" w:rsidRPr="005970A0" w:rsidRDefault="00DA0AAC" w:rsidP="000F719B">
            <w:pPr>
              <w:pStyle w:val="DQIMainRowHeadings"/>
            </w:pPr>
            <w:r w:rsidRPr="005970A0">
              <w:t>Data Quality Framework Dimensions</w:t>
            </w:r>
          </w:p>
        </w:tc>
      </w:tr>
      <w:tr w:rsidR="004F54E5" w:rsidRPr="005970A0" w:rsidTr="004F54E5">
        <w:trPr>
          <w:trHeight w:val="1830"/>
        </w:trPr>
        <w:tc>
          <w:tcPr>
            <w:tcW w:w="1559" w:type="dxa"/>
            <w:vAlign w:val="center"/>
          </w:tcPr>
          <w:p w:rsidR="004F54E5" w:rsidRPr="005970A0" w:rsidRDefault="004F54E5" w:rsidP="00EC0EC7">
            <w:pPr>
              <w:pStyle w:val="DQIRowHeadings"/>
            </w:pPr>
          </w:p>
        </w:tc>
        <w:tc>
          <w:tcPr>
            <w:tcW w:w="7230" w:type="dxa"/>
            <w:gridSpan w:val="2"/>
            <w:vAlign w:val="center"/>
          </w:tcPr>
          <w:p w:rsidR="00155DF2" w:rsidRDefault="00155DF2" w:rsidP="00155DF2">
            <w:pPr>
              <w:pStyle w:val="DQIRowHeadings"/>
            </w:pPr>
            <w:r>
              <w:t xml:space="preserve">For a summary of data quality information against the data quality framework dimensions — Institutional environment, Relevance, Timeliness, Accuracy, Coherence, Accessibility, and Interpretability — please see the related Data collection </w:t>
            </w:r>
            <w:proofErr w:type="spellStart"/>
            <w:r>
              <w:t>DQI</w:t>
            </w:r>
            <w:proofErr w:type="spellEnd"/>
            <w:r>
              <w:t xml:space="preserve"> for:</w:t>
            </w:r>
          </w:p>
          <w:p w:rsidR="00155DF2" w:rsidRDefault="00155DF2" w:rsidP="00155DF2">
            <w:pPr>
              <w:pStyle w:val="DQIRowHeadings"/>
            </w:pPr>
          </w:p>
          <w:p w:rsidR="004F54E5" w:rsidRPr="009D6827" w:rsidRDefault="004F54E5" w:rsidP="00EC0EC7">
            <w:pPr>
              <w:pStyle w:val="DQITableBullet"/>
              <w:jc w:val="left"/>
              <w:rPr>
                <w:u w:val="single"/>
              </w:rPr>
            </w:pPr>
            <w:r>
              <w:t>Student outcomes</w:t>
            </w:r>
            <w:r w:rsidRPr="003E0195">
              <w:t>:</w:t>
            </w:r>
            <w:r>
              <w:t xml:space="preserve"> </w:t>
            </w:r>
            <w:r>
              <w:tab/>
            </w:r>
            <w:r w:rsidR="00FC7692" w:rsidRPr="007047F5">
              <w:t>Student Outcomes S</w:t>
            </w:r>
            <w:r w:rsidRPr="007047F5">
              <w:t>urvey</w:t>
            </w:r>
            <w:r>
              <w:t>.</w:t>
            </w:r>
          </w:p>
        </w:tc>
      </w:tr>
      <w:tr w:rsidR="00FA56B9" w:rsidRPr="005970A0" w:rsidTr="004F54E5">
        <w:tc>
          <w:tcPr>
            <w:tcW w:w="8789" w:type="dxa"/>
            <w:gridSpan w:val="3"/>
            <w:shd w:val="clear" w:color="auto" w:fill="auto"/>
          </w:tcPr>
          <w:p w:rsidR="00FA56B9" w:rsidRPr="005970A0" w:rsidRDefault="00FA56B9" w:rsidP="00BD073F">
            <w:pPr>
              <w:pStyle w:val="DQIMainRowHeadings"/>
              <w:spacing w:before="80"/>
            </w:pPr>
            <w:r w:rsidRPr="005970A0">
              <w:t>Data Gaps/Issues Analysis</w:t>
            </w:r>
          </w:p>
        </w:tc>
      </w:tr>
      <w:tr w:rsidR="00DA0AAC" w:rsidRPr="005970A0" w:rsidTr="004F54E5">
        <w:tc>
          <w:tcPr>
            <w:tcW w:w="1559" w:type="dxa"/>
            <w:shd w:val="clear" w:color="auto" w:fill="auto"/>
          </w:tcPr>
          <w:p w:rsidR="00DA0AAC" w:rsidRPr="005970A0" w:rsidRDefault="00DA0AAC" w:rsidP="00DA0AAC">
            <w:pPr>
              <w:pStyle w:val="DQIRowHeadings"/>
            </w:pPr>
            <w:r w:rsidRPr="005970A0">
              <w:t>Key data gaps/ issues</w:t>
            </w:r>
          </w:p>
        </w:tc>
        <w:tc>
          <w:tcPr>
            <w:tcW w:w="7230" w:type="dxa"/>
            <w:gridSpan w:val="2"/>
            <w:shd w:val="clear" w:color="auto" w:fill="auto"/>
          </w:tcPr>
          <w:p w:rsidR="00DA0AAC" w:rsidRPr="005970A0" w:rsidRDefault="00DA0AAC" w:rsidP="000F719B">
            <w:pPr>
              <w:pStyle w:val="DQITableText"/>
            </w:pPr>
            <w:r w:rsidRPr="005970A0">
              <w:rPr>
                <w:rFonts w:cs="Arial"/>
              </w:rPr>
              <w:t xml:space="preserve">The Steering Committee notes the following key data gaps/issues: </w:t>
            </w:r>
          </w:p>
          <w:p w:rsidR="00DA0AAC" w:rsidRPr="005970A0" w:rsidRDefault="00DA0AAC" w:rsidP="00DA0AAC">
            <w:pPr>
              <w:pStyle w:val="DQITableBullet"/>
            </w:pPr>
            <w:r w:rsidRPr="005970A0">
              <w:t xml:space="preserve">Annual data are available from the </w:t>
            </w:r>
            <w:r w:rsidRPr="005970A0">
              <w:rPr>
                <w:i/>
              </w:rPr>
              <w:t>Student Outcomes Survey</w:t>
            </w:r>
            <w:r w:rsidRPr="005970A0">
              <w:t xml:space="preserve">. </w:t>
            </w:r>
            <w:r w:rsidR="00FC7692" w:rsidRPr="006C319A">
              <w:t>The most recent available data are for 2014 (outcomes of students in 2014 who completed qualifications in 2013).</w:t>
            </w:r>
          </w:p>
          <w:p w:rsidR="00DA0AAC" w:rsidRPr="005970A0" w:rsidRDefault="00DA0AAC" w:rsidP="00DA0AAC">
            <w:pPr>
              <w:pStyle w:val="DQITableBullet"/>
            </w:pPr>
            <w:r w:rsidRPr="005970A0">
              <w:t xml:space="preserve">The response rate to this survey was </w:t>
            </w:r>
            <w:r w:rsidR="009F24D8">
              <w:t>38.2 per cent in 2014</w:t>
            </w:r>
            <w:r w:rsidRPr="005970A0">
              <w:t xml:space="preserve">. </w:t>
            </w:r>
            <w:proofErr w:type="spellStart"/>
            <w:r w:rsidRPr="005970A0">
              <w:t>NCVER</w:t>
            </w:r>
            <w:proofErr w:type="spellEnd"/>
            <w:r w:rsidRPr="005970A0">
              <w:t xml:space="preserve"> analysis found that the non-response was not likely to have affected the quality of the results.</w:t>
            </w:r>
          </w:p>
          <w:p w:rsidR="00DA0AAC" w:rsidRPr="005970A0" w:rsidRDefault="00DA0AAC" w:rsidP="00DA0AAC">
            <w:pPr>
              <w:pStyle w:val="DQITableBullet"/>
            </w:pPr>
            <w:r w:rsidRPr="005970A0">
              <w:t xml:space="preserve">Data are of acceptable accuracy at the national level, but some data disaggregated by Indigenous status by State and Territory have relative standard errors greater than 25 per cent and should be used with caution. </w:t>
            </w:r>
          </w:p>
          <w:p w:rsidR="00DA0AAC" w:rsidRPr="005970A0" w:rsidRDefault="00DA0AAC" w:rsidP="00DA0AAC">
            <w:pPr>
              <w:pStyle w:val="DQITableBullet"/>
            </w:pPr>
            <w:r w:rsidRPr="005970A0">
              <w:t>Percentages in tables are rounded and may not sum to 100.</w:t>
            </w:r>
          </w:p>
          <w:p w:rsidR="00DA0AAC" w:rsidRPr="005970A0" w:rsidRDefault="00DA0AAC" w:rsidP="00DA0AAC">
            <w:pPr>
              <w:pStyle w:val="DQITableBullet"/>
            </w:pPr>
            <w:r w:rsidRPr="005970A0">
              <w:t xml:space="preserve">The size of the </w:t>
            </w:r>
            <w:proofErr w:type="spellStart"/>
            <w:r w:rsidRPr="005970A0">
              <w:t>RSEs</w:t>
            </w:r>
            <w:proofErr w:type="spellEnd"/>
            <w:r w:rsidRPr="005970A0">
              <w:t xml:space="preserve"> affects the ability to identify small year to year movements in some disaggregated measures for this indicator for some jurisdictions.</w:t>
            </w:r>
          </w:p>
        </w:tc>
      </w:tr>
    </w:tbl>
    <w:p w:rsidR="00B11361" w:rsidRDefault="00DA0AAC" w:rsidP="00DA0AAC">
      <w:pPr>
        <w:pStyle w:val="Heading4"/>
      </w:pPr>
      <w:bookmarkStart w:id="71" w:name="_Toc396227470"/>
      <w:r>
        <w:lastRenderedPageBreak/>
        <w:t>P</w:t>
      </w:r>
      <w:r w:rsidR="00B11361" w:rsidRPr="005970A0">
        <w:t>roportion of students who were satisfied with the quality of their completed VET course</w:t>
      </w:r>
      <w:bookmarkEnd w:id="71"/>
    </w:p>
    <w:p w:rsidR="00B11361" w:rsidRPr="005970A0" w:rsidRDefault="00B11361" w:rsidP="00B11361">
      <w:pPr>
        <w:pStyle w:val="Box"/>
      </w:pPr>
      <w:r w:rsidRPr="005970A0">
        <w:t xml:space="preserve">Data quality information for this indicator has been drafted by the </w:t>
      </w:r>
      <w:proofErr w:type="spellStart"/>
      <w:r w:rsidR="00E22A04">
        <w:t>NCVER</w:t>
      </w:r>
      <w:proofErr w:type="spellEnd"/>
      <w:r w:rsidRPr="005970A0">
        <w:t xml:space="preserve"> and the Secretariat, in consultation with the VET Working Group.</w:t>
      </w:r>
    </w:p>
    <w:tbl>
      <w:tblPr>
        <w:tblW w:w="5000" w:type="pct"/>
        <w:tblCellMar>
          <w:left w:w="0" w:type="dxa"/>
          <w:right w:w="0" w:type="dxa"/>
        </w:tblCellMar>
        <w:tblLook w:val="0000" w:firstRow="0" w:lastRow="0" w:firstColumn="0" w:lastColumn="0" w:noHBand="0" w:noVBand="0"/>
      </w:tblPr>
      <w:tblGrid>
        <w:gridCol w:w="1559"/>
        <w:gridCol w:w="27"/>
        <w:gridCol w:w="2798"/>
        <w:gridCol w:w="11"/>
        <w:gridCol w:w="3118"/>
        <w:gridCol w:w="1276"/>
      </w:tblGrid>
      <w:tr w:rsidR="00DA0AAC" w:rsidRPr="005970A0" w:rsidTr="00FE2200">
        <w:tc>
          <w:tcPr>
            <w:tcW w:w="4384" w:type="dxa"/>
            <w:gridSpan w:val="3"/>
          </w:tcPr>
          <w:p w:rsidR="00DA0AAC" w:rsidRPr="005970A0" w:rsidRDefault="00DA0AAC" w:rsidP="00DA0AAC">
            <w:pPr>
              <w:pStyle w:val="DQIMainRowHeadings"/>
            </w:pPr>
            <w:r w:rsidRPr="005970A0">
              <w:t>Indicator definition and description</w:t>
            </w:r>
            <w:r w:rsidRPr="005970A0">
              <w:rPr>
                <w:rFonts w:cs="Arial"/>
                <w:sz w:val="22"/>
                <w:szCs w:val="22"/>
              </w:rPr>
              <w:t xml:space="preserve"> </w:t>
            </w:r>
          </w:p>
        </w:tc>
        <w:tc>
          <w:tcPr>
            <w:tcW w:w="4405" w:type="dxa"/>
            <w:gridSpan w:val="3"/>
          </w:tcPr>
          <w:p w:rsidR="00DA0AAC" w:rsidRPr="005970A0" w:rsidRDefault="00DA0AAC" w:rsidP="00DA0AAC">
            <w:pPr>
              <w:pStyle w:val="DQIMainRowHeadings"/>
            </w:pPr>
          </w:p>
        </w:tc>
      </w:tr>
      <w:tr w:rsidR="00B11361" w:rsidRPr="005970A0" w:rsidTr="004F54E5">
        <w:tc>
          <w:tcPr>
            <w:tcW w:w="1559" w:type="dxa"/>
          </w:tcPr>
          <w:p w:rsidR="00B11361" w:rsidRPr="005970A0" w:rsidRDefault="00B11361" w:rsidP="00DA0AAC">
            <w:pPr>
              <w:pStyle w:val="DQIRowHeadings"/>
            </w:pPr>
            <w:r w:rsidRPr="005970A0">
              <w:t>Element</w:t>
            </w:r>
          </w:p>
        </w:tc>
        <w:tc>
          <w:tcPr>
            <w:tcW w:w="7230" w:type="dxa"/>
            <w:gridSpan w:val="5"/>
          </w:tcPr>
          <w:p w:rsidR="00B11361" w:rsidRPr="005970A0" w:rsidRDefault="00B11361" w:rsidP="00AD368D">
            <w:pPr>
              <w:pStyle w:val="DQITableText"/>
            </w:pPr>
            <w:r w:rsidRPr="005970A0">
              <w:t>Outcomes.</w:t>
            </w:r>
          </w:p>
        </w:tc>
      </w:tr>
      <w:tr w:rsidR="00B11361" w:rsidRPr="005970A0" w:rsidTr="004F54E5">
        <w:tc>
          <w:tcPr>
            <w:tcW w:w="1559" w:type="dxa"/>
          </w:tcPr>
          <w:p w:rsidR="00B11361" w:rsidRPr="005970A0" w:rsidRDefault="00B11361" w:rsidP="00DA0AAC">
            <w:pPr>
              <w:pStyle w:val="DQIRowHeadings"/>
            </w:pPr>
            <w:r w:rsidRPr="005970A0">
              <w:t>Indicator</w:t>
            </w:r>
          </w:p>
        </w:tc>
        <w:tc>
          <w:tcPr>
            <w:tcW w:w="7230" w:type="dxa"/>
            <w:gridSpan w:val="5"/>
          </w:tcPr>
          <w:p w:rsidR="00B11361" w:rsidRPr="005970A0" w:rsidRDefault="00B11361" w:rsidP="00AD368D">
            <w:pPr>
              <w:pStyle w:val="DQITableText"/>
            </w:pPr>
            <w:r w:rsidRPr="005970A0">
              <w:t>Student satisfaction with VET</w:t>
            </w:r>
          </w:p>
        </w:tc>
      </w:tr>
      <w:tr w:rsidR="00B11361" w:rsidRPr="005970A0" w:rsidTr="004F54E5">
        <w:tc>
          <w:tcPr>
            <w:tcW w:w="1559" w:type="dxa"/>
          </w:tcPr>
          <w:p w:rsidR="00B11361" w:rsidRPr="005970A0" w:rsidRDefault="00B11361" w:rsidP="00DA0AAC">
            <w:pPr>
              <w:pStyle w:val="DQIRowHeadings"/>
            </w:pPr>
            <w:r w:rsidRPr="005970A0">
              <w:t>Measure (computation)</w:t>
            </w:r>
          </w:p>
        </w:tc>
        <w:tc>
          <w:tcPr>
            <w:tcW w:w="7230" w:type="dxa"/>
            <w:gridSpan w:val="5"/>
          </w:tcPr>
          <w:p w:rsidR="00B11361" w:rsidRPr="005970A0" w:rsidRDefault="00B11361" w:rsidP="00AD368D">
            <w:pPr>
              <w:pStyle w:val="DQITableText"/>
            </w:pPr>
            <w:r w:rsidRPr="005970A0">
              <w:rPr>
                <w:u w:val="single"/>
              </w:rPr>
              <w:t>Definition</w:t>
            </w:r>
          </w:p>
          <w:p w:rsidR="00B11361" w:rsidRPr="005970A0" w:rsidRDefault="00B11361" w:rsidP="00AD368D">
            <w:pPr>
              <w:pStyle w:val="DQITableText"/>
            </w:pPr>
            <w:r w:rsidRPr="005970A0">
              <w:t>The proportion of students who were satisfied with the quality of their completed VET course.</w:t>
            </w:r>
          </w:p>
          <w:p w:rsidR="00B11361" w:rsidRPr="00DA0AAC" w:rsidRDefault="00B11361" w:rsidP="00AD368D">
            <w:pPr>
              <w:pStyle w:val="DQITableText"/>
              <w:rPr>
                <w:u w:val="single"/>
              </w:rPr>
            </w:pPr>
            <w:r w:rsidRPr="00DA0AAC">
              <w:rPr>
                <w:u w:val="single"/>
              </w:rPr>
              <w:t>Numerator/s</w:t>
            </w:r>
          </w:p>
          <w:p w:rsidR="00B11361" w:rsidRPr="005970A0" w:rsidRDefault="00B11361" w:rsidP="00AD368D">
            <w:pPr>
              <w:pStyle w:val="DQITableText"/>
            </w:pPr>
            <w:r w:rsidRPr="005970A0">
              <w:t>Number of graduates who completed their training during the year prior to the nominated year, and who reported that they were ‘satisfied’ or ‘very satisfied’ with their training program.</w:t>
            </w:r>
          </w:p>
          <w:p w:rsidR="00B11361" w:rsidRPr="00DA0AAC" w:rsidRDefault="00B11361" w:rsidP="00AD368D">
            <w:pPr>
              <w:pStyle w:val="DQITableText"/>
              <w:rPr>
                <w:u w:val="single"/>
              </w:rPr>
            </w:pPr>
            <w:r w:rsidRPr="00DA0AAC">
              <w:rPr>
                <w:u w:val="single"/>
              </w:rPr>
              <w:t>Denominator/s</w:t>
            </w:r>
          </w:p>
          <w:p w:rsidR="00B11361" w:rsidRPr="005970A0" w:rsidRDefault="00B11361" w:rsidP="00AD368D">
            <w:pPr>
              <w:pStyle w:val="DQITableText"/>
            </w:pPr>
            <w:r w:rsidRPr="005970A0">
              <w:t>Number of graduates who completed their training during the year prior to the nominated year (less those with the numerator variable not stated).</w:t>
            </w:r>
          </w:p>
          <w:p w:rsidR="00B11361" w:rsidRPr="00DA0AAC" w:rsidRDefault="00B11361" w:rsidP="00AD368D">
            <w:pPr>
              <w:pStyle w:val="DQITableText"/>
              <w:rPr>
                <w:u w:val="single"/>
              </w:rPr>
            </w:pPr>
            <w:r w:rsidRPr="00DA0AAC">
              <w:rPr>
                <w:u w:val="single"/>
              </w:rPr>
              <w:t>Computation/s:</w:t>
            </w:r>
          </w:p>
          <w:p w:rsidR="00B11361" w:rsidRPr="005970A0" w:rsidRDefault="00B11361" w:rsidP="00AD368D">
            <w:pPr>
              <w:pStyle w:val="DQITableText"/>
            </w:pPr>
            <w:r w:rsidRPr="005970A0">
              <w:t>Numerator (above) divided by denominator (above).</w:t>
            </w:r>
          </w:p>
          <w:p w:rsidR="00B11361" w:rsidRPr="005970A0" w:rsidRDefault="00B11361" w:rsidP="00AD368D">
            <w:pPr>
              <w:pStyle w:val="DQITableText"/>
            </w:pPr>
            <w:r w:rsidRPr="005970A0">
              <w:t>‘Graduate’ is defined as a past student who was awarded a qualification from a VET provider in Australia.</w:t>
            </w:r>
          </w:p>
        </w:tc>
      </w:tr>
      <w:tr w:rsidR="00B11361" w:rsidRPr="005970A0" w:rsidTr="004F54E5">
        <w:tc>
          <w:tcPr>
            <w:tcW w:w="1559" w:type="dxa"/>
          </w:tcPr>
          <w:p w:rsidR="00B11361" w:rsidRPr="005970A0" w:rsidRDefault="00B11361" w:rsidP="00DA0AAC">
            <w:pPr>
              <w:pStyle w:val="DQIRowHeadings"/>
            </w:pPr>
            <w:r w:rsidRPr="005970A0">
              <w:t>Data source/s</w:t>
            </w:r>
          </w:p>
        </w:tc>
        <w:tc>
          <w:tcPr>
            <w:tcW w:w="7230" w:type="dxa"/>
            <w:gridSpan w:val="5"/>
          </w:tcPr>
          <w:p w:rsidR="00B11361" w:rsidRPr="005970A0" w:rsidRDefault="00B11361" w:rsidP="00AD368D">
            <w:pPr>
              <w:pStyle w:val="DQITableText"/>
            </w:pPr>
            <w:r w:rsidRPr="005970A0">
              <w:t xml:space="preserve">All data are derived from the </w:t>
            </w:r>
            <w:r w:rsidRPr="005970A0">
              <w:rPr>
                <w:i/>
              </w:rPr>
              <w:t>Student Outcomes Survey</w:t>
            </w:r>
            <w:r w:rsidRPr="005970A0">
              <w:t xml:space="preserve"> (SOS), which is an annual survey of students who successfully complete VET in Australia. This survey is conducted by </w:t>
            </w:r>
            <w:proofErr w:type="spellStart"/>
            <w:r w:rsidR="00C90987">
              <w:t>NCVER</w:t>
            </w:r>
            <w:proofErr w:type="spellEnd"/>
            <w:r w:rsidRPr="005970A0">
              <w:t>.</w:t>
            </w:r>
          </w:p>
          <w:p w:rsidR="00B11361" w:rsidRPr="005970A0" w:rsidRDefault="00B11361" w:rsidP="00AD368D">
            <w:pPr>
              <w:pStyle w:val="DQITableText"/>
            </w:pPr>
            <w:r w:rsidRPr="005970A0">
              <w:t>The sample for the survey is drawn from the National VET Provider Collection.</w:t>
            </w:r>
          </w:p>
        </w:tc>
      </w:tr>
      <w:tr w:rsidR="00FE2200" w:rsidRPr="005970A0" w:rsidTr="00FE2200">
        <w:tc>
          <w:tcPr>
            <w:tcW w:w="7513" w:type="dxa"/>
            <w:gridSpan w:val="5"/>
          </w:tcPr>
          <w:p w:rsidR="00FE2200" w:rsidRPr="005970A0" w:rsidRDefault="00FE2200" w:rsidP="000F719B">
            <w:pPr>
              <w:pStyle w:val="DQIMainRowHeadings"/>
            </w:pPr>
            <w:r w:rsidRPr="005970A0">
              <w:t>Data Quality Framework Dimensions</w:t>
            </w:r>
          </w:p>
        </w:tc>
        <w:tc>
          <w:tcPr>
            <w:tcW w:w="1276" w:type="dxa"/>
          </w:tcPr>
          <w:p w:rsidR="00FE2200" w:rsidRPr="005970A0" w:rsidRDefault="00FE2200" w:rsidP="000F719B">
            <w:pPr>
              <w:pStyle w:val="DQIMainRowHeadings"/>
            </w:pPr>
          </w:p>
        </w:tc>
      </w:tr>
      <w:tr w:rsidR="004F54E5" w:rsidRPr="005970A0" w:rsidTr="004F54E5">
        <w:trPr>
          <w:trHeight w:val="1830"/>
        </w:trPr>
        <w:tc>
          <w:tcPr>
            <w:tcW w:w="1559" w:type="dxa"/>
            <w:vAlign w:val="center"/>
          </w:tcPr>
          <w:p w:rsidR="004F54E5" w:rsidRPr="005970A0" w:rsidRDefault="004F54E5" w:rsidP="00EC0EC7">
            <w:pPr>
              <w:pStyle w:val="DQIRowHeadings"/>
            </w:pPr>
          </w:p>
        </w:tc>
        <w:tc>
          <w:tcPr>
            <w:tcW w:w="7230" w:type="dxa"/>
            <w:gridSpan w:val="5"/>
            <w:vAlign w:val="center"/>
          </w:tcPr>
          <w:p w:rsidR="00155DF2" w:rsidRDefault="00155DF2" w:rsidP="00155DF2">
            <w:pPr>
              <w:pStyle w:val="DQIRowHeadings"/>
            </w:pPr>
            <w:r>
              <w:t xml:space="preserve">For a summary of data quality information against the data quality framework dimensions — Institutional environment, Relevance, Timeliness, Accuracy, Coherence, Accessibility, and Interpretability — please see the related Data collection </w:t>
            </w:r>
            <w:proofErr w:type="spellStart"/>
            <w:r>
              <w:t>DQI</w:t>
            </w:r>
            <w:proofErr w:type="spellEnd"/>
            <w:r>
              <w:t xml:space="preserve"> for:</w:t>
            </w:r>
          </w:p>
          <w:p w:rsidR="00155DF2" w:rsidRDefault="00155DF2" w:rsidP="00155DF2">
            <w:pPr>
              <w:pStyle w:val="DQIRowHeadings"/>
            </w:pPr>
          </w:p>
          <w:p w:rsidR="004F54E5" w:rsidRPr="009D6827" w:rsidRDefault="004F54E5" w:rsidP="00EC0EC7">
            <w:pPr>
              <w:pStyle w:val="DQITableBullet"/>
              <w:jc w:val="left"/>
              <w:rPr>
                <w:u w:val="single"/>
              </w:rPr>
            </w:pPr>
            <w:r>
              <w:t>Student outcomes</w:t>
            </w:r>
            <w:r w:rsidRPr="003E0195">
              <w:t>:</w:t>
            </w:r>
            <w:r>
              <w:t xml:space="preserve"> </w:t>
            </w:r>
            <w:r>
              <w:tab/>
            </w:r>
            <w:r w:rsidR="00FC7692" w:rsidRPr="007047F5">
              <w:t>Student Outcomes S</w:t>
            </w:r>
            <w:r w:rsidRPr="007047F5">
              <w:t>urvey</w:t>
            </w:r>
            <w:r>
              <w:t>.</w:t>
            </w:r>
          </w:p>
        </w:tc>
      </w:tr>
      <w:tr w:rsidR="00FE2200" w:rsidRPr="005970A0" w:rsidTr="004F54E5">
        <w:tc>
          <w:tcPr>
            <w:tcW w:w="4395" w:type="dxa"/>
            <w:gridSpan w:val="4"/>
            <w:shd w:val="clear" w:color="auto" w:fill="auto"/>
          </w:tcPr>
          <w:p w:rsidR="00FE2200" w:rsidRPr="005970A0" w:rsidRDefault="00FE2200" w:rsidP="00FE2200">
            <w:pPr>
              <w:pStyle w:val="DQIMainRowHeadings"/>
            </w:pPr>
            <w:r w:rsidRPr="005970A0">
              <w:t>Data Gaps/Issues Analysis</w:t>
            </w:r>
          </w:p>
        </w:tc>
        <w:tc>
          <w:tcPr>
            <w:tcW w:w="4394" w:type="dxa"/>
            <w:gridSpan w:val="2"/>
            <w:shd w:val="clear" w:color="auto" w:fill="auto"/>
          </w:tcPr>
          <w:p w:rsidR="00FE2200" w:rsidRPr="005970A0" w:rsidRDefault="00FE2200" w:rsidP="00FE2200">
            <w:pPr>
              <w:pStyle w:val="DQIMainRowHeadings"/>
            </w:pPr>
          </w:p>
        </w:tc>
      </w:tr>
      <w:tr w:rsidR="00FE2200" w:rsidRPr="005970A0" w:rsidTr="004F54E5">
        <w:tc>
          <w:tcPr>
            <w:tcW w:w="1586" w:type="dxa"/>
            <w:gridSpan w:val="2"/>
            <w:shd w:val="clear" w:color="auto" w:fill="auto"/>
          </w:tcPr>
          <w:p w:rsidR="00FE2200" w:rsidRPr="005970A0" w:rsidRDefault="00FE2200" w:rsidP="00FE2200">
            <w:pPr>
              <w:pStyle w:val="DQIRowHeadings"/>
            </w:pPr>
            <w:r w:rsidRPr="005970A0">
              <w:t>Key data gaps/ issues</w:t>
            </w:r>
          </w:p>
        </w:tc>
        <w:tc>
          <w:tcPr>
            <w:tcW w:w="7203" w:type="dxa"/>
            <w:gridSpan w:val="4"/>
            <w:shd w:val="clear" w:color="auto" w:fill="auto"/>
          </w:tcPr>
          <w:p w:rsidR="00FE2200" w:rsidRPr="005970A0" w:rsidRDefault="00FE2200" w:rsidP="00AD368D">
            <w:pPr>
              <w:pStyle w:val="DQITableText"/>
            </w:pPr>
            <w:r w:rsidRPr="005970A0">
              <w:rPr>
                <w:rFonts w:cs="Arial"/>
              </w:rPr>
              <w:t xml:space="preserve">The Steering Committee notes the following key data gaps/issues: </w:t>
            </w:r>
          </w:p>
          <w:p w:rsidR="00FE2200" w:rsidRPr="005970A0" w:rsidRDefault="00FE2200" w:rsidP="00FE2200">
            <w:pPr>
              <w:pStyle w:val="DQITableBullet"/>
            </w:pPr>
            <w:r w:rsidRPr="005970A0">
              <w:t xml:space="preserve">Annual data are available from the </w:t>
            </w:r>
            <w:r w:rsidRPr="005970A0">
              <w:rPr>
                <w:i/>
              </w:rPr>
              <w:t>Student Outcomes Survey</w:t>
            </w:r>
            <w:r w:rsidRPr="005970A0">
              <w:t xml:space="preserve">. </w:t>
            </w:r>
            <w:r w:rsidR="00FC7692" w:rsidRPr="006C319A">
              <w:t>The most recent available data are for 2014 (outcomes of students in 2014 who completed qualifications in 2013).</w:t>
            </w:r>
          </w:p>
          <w:p w:rsidR="00FE2200" w:rsidRPr="005970A0" w:rsidRDefault="00FE2200" w:rsidP="00FE2200">
            <w:pPr>
              <w:pStyle w:val="DQITableBullet"/>
            </w:pPr>
            <w:r w:rsidRPr="005970A0">
              <w:t xml:space="preserve">The response rate to this survey was </w:t>
            </w:r>
            <w:r w:rsidR="009F24D8">
              <w:t>38.2 per cent in 2014</w:t>
            </w:r>
            <w:r w:rsidRPr="005970A0">
              <w:t xml:space="preserve">. </w:t>
            </w:r>
            <w:proofErr w:type="spellStart"/>
            <w:r w:rsidRPr="005970A0">
              <w:t>NCVER</w:t>
            </w:r>
            <w:proofErr w:type="spellEnd"/>
            <w:r w:rsidRPr="005970A0">
              <w:t xml:space="preserve"> analysis found that the non-response was not likely to have affected the quality of the results.</w:t>
            </w:r>
          </w:p>
          <w:p w:rsidR="00FE2200" w:rsidRPr="005970A0" w:rsidRDefault="00FE2200" w:rsidP="00FE2200">
            <w:pPr>
              <w:pStyle w:val="DQITableBullet"/>
            </w:pPr>
            <w:r w:rsidRPr="005970A0">
              <w:t xml:space="preserve">Data are of acceptable accuracy at the national level, but some data disaggregated by Indigenous status by State and Territory have relative standard errors greater than 25 per cent and should be used with caution. </w:t>
            </w:r>
          </w:p>
          <w:p w:rsidR="00FE2200" w:rsidRPr="005970A0" w:rsidRDefault="00FE2200" w:rsidP="00FE2200">
            <w:pPr>
              <w:pStyle w:val="DQITableBullet"/>
            </w:pPr>
            <w:r w:rsidRPr="005970A0">
              <w:t>Percentages in tables are rounded and may not sum to 100.</w:t>
            </w:r>
          </w:p>
          <w:p w:rsidR="00FE2200" w:rsidRPr="005970A0" w:rsidRDefault="00FE2200" w:rsidP="00FE2200">
            <w:pPr>
              <w:pStyle w:val="DQITableBullet"/>
            </w:pPr>
            <w:r w:rsidRPr="005970A0">
              <w:t xml:space="preserve">The size of the </w:t>
            </w:r>
            <w:proofErr w:type="spellStart"/>
            <w:r w:rsidRPr="005970A0">
              <w:t>RSEs</w:t>
            </w:r>
            <w:proofErr w:type="spellEnd"/>
            <w:r w:rsidRPr="005970A0">
              <w:t xml:space="preserve"> affects the ability to identify small year to year movements in some disaggregated measures for this indicator for some jurisdictions.</w:t>
            </w:r>
          </w:p>
        </w:tc>
      </w:tr>
    </w:tbl>
    <w:p w:rsidR="00E55854" w:rsidRDefault="00E55854" w:rsidP="00E55854">
      <w:pPr>
        <w:pStyle w:val="BodyText"/>
      </w:pPr>
      <w:bookmarkStart w:id="72" w:name="_Toc325398236"/>
      <w:bookmarkStart w:id="73" w:name="_Toc396227471"/>
    </w:p>
    <w:bookmarkEnd w:id="72"/>
    <w:bookmarkEnd w:id="73"/>
    <w:p w:rsidR="00B11361" w:rsidRPr="005970A0" w:rsidRDefault="00B11361" w:rsidP="00B11361">
      <w:pPr>
        <w:pStyle w:val="Heading3"/>
        <w:spacing w:before="120"/>
      </w:pPr>
      <w:r w:rsidRPr="005970A0">
        <w:br w:type="page"/>
      </w:r>
      <w:bookmarkStart w:id="74" w:name="_Toc396227474"/>
      <w:bookmarkStart w:id="75" w:name="EmployerEngageWithVET"/>
      <w:bookmarkStart w:id="76" w:name="_Toc436148773"/>
      <w:r w:rsidRPr="005970A0">
        <w:lastRenderedPageBreak/>
        <w:t>Employer engagement with VET</w:t>
      </w:r>
      <w:bookmarkEnd w:id="74"/>
      <w:bookmarkEnd w:id="75"/>
      <w:bookmarkEnd w:id="76"/>
    </w:p>
    <w:p w:rsidR="00B11361" w:rsidRPr="005970A0" w:rsidRDefault="00B11361" w:rsidP="00B11361">
      <w:pPr>
        <w:pStyle w:val="Box"/>
      </w:pPr>
      <w:r w:rsidRPr="005970A0">
        <w:t xml:space="preserve">Data quality information for this indicator has been drafted by the </w:t>
      </w:r>
      <w:proofErr w:type="spellStart"/>
      <w:r w:rsidR="00E22A04">
        <w:t>NCVER</w:t>
      </w:r>
      <w:proofErr w:type="spellEnd"/>
      <w:r w:rsidRPr="005970A0">
        <w:t xml:space="preserve"> and the Secretariat, in consultation with the VET Working Group.</w:t>
      </w:r>
    </w:p>
    <w:tbl>
      <w:tblPr>
        <w:tblW w:w="5000" w:type="pct"/>
        <w:tblCellMar>
          <w:left w:w="0" w:type="dxa"/>
          <w:right w:w="0" w:type="dxa"/>
        </w:tblCellMar>
        <w:tblLook w:val="0000" w:firstRow="0" w:lastRow="0" w:firstColumn="0" w:lastColumn="0" w:noHBand="0" w:noVBand="0"/>
      </w:tblPr>
      <w:tblGrid>
        <w:gridCol w:w="1559"/>
        <w:gridCol w:w="62"/>
        <w:gridCol w:w="7168"/>
      </w:tblGrid>
      <w:tr w:rsidR="00B11361" w:rsidRPr="005970A0" w:rsidTr="00B11361">
        <w:tc>
          <w:tcPr>
            <w:tcW w:w="5000" w:type="pct"/>
            <w:gridSpan w:val="3"/>
          </w:tcPr>
          <w:p w:rsidR="00B11361" w:rsidRPr="005970A0" w:rsidRDefault="00B11361" w:rsidP="00AD3934">
            <w:pPr>
              <w:pStyle w:val="DQIMainRowHeadings"/>
            </w:pPr>
            <w:r w:rsidRPr="005970A0">
              <w:t>Indicator definition and description</w:t>
            </w:r>
            <w:r w:rsidRPr="005970A0">
              <w:rPr>
                <w:rFonts w:cs="Arial"/>
                <w:sz w:val="22"/>
                <w:szCs w:val="22"/>
              </w:rPr>
              <w:t xml:space="preserve"> </w:t>
            </w:r>
          </w:p>
        </w:tc>
      </w:tr>
      <w:tr w:rsidR="00B11361" w:rsidRPr="005970A0" w:rsidTr="00B11361">
        <w:tc>
          <w:tcPr>
            <w:tcW w:w="922" w:type="pct"/>
            <w:gridSpan w:val="2"/>
          </w:tcPr>
          <w:p w:rsidR="00B11361" w:rsidRPr="005970A0" w:rsidRDefault="00B11361" w:rsidP="00AD3934">
            <w:pPr>
              <w:pStyle w:val="DQIRowHeadings"/>
            </w:pPr>
            <w:r w:rsidRPr="005970A0">
              <w:t>Element</w:t>
            </w:r>
          </w:p>
        </w:tc>
        <w:tc>
          <w:tcPr>
            <w:tcW w:w="4078" w:type="pct"/>
          </w:tcPr>
          <w:p w:rsidR="00B11361" w:rsidRPr="005970A0" w:rsidRDefault="00B11361" w:rsidP="00AD368D">
            <w:pPr>
              <w:pStyle w:val="DQITableText"/>
            </w:pPr>
            <w:r w:rsidRPr="005970A0">
              <w:t>Outcomes.</w:t>
            </w:r>
          </w:p>
        </w:tc>
      </w:tr>
      <w:tr w:rsidR="00B11361" w:rsidRPr="005970A0" w:rsidTr="00B11361">
        <w:tc>
          <w:tcPr>
            <w:tcW w:w="922" w:type="pct"/>
            <w:gridSpan w:val="2"/>
          </w:tcPr>
          <w:p w:rsidR="00B11361" w:rsidRPr="005970A0" w:rsidRDefault="00B11361" w:rsidP="00AD3934">
            <w:pPr>
              <w:pStyle w:val="DQIRowHeadings"/>
            </w:pPr>
            <w:r w:rsidRPr="005970A0">
              <w:t>Indicator</w:t>
            </w:r>
          </w:p>
        </w:tc>
        <w:tc>
          <w:tcPr>
            <w:tcW w:w="4078" w:type="pct"/>
          </w:tcPr>
          <w:p w:rsidR="00B11361" w:rsidRPr="005970A0" w:rsidRDefault="00B11361" w:rsidP="00AD368D">
            <w:pPr>
              <w:pStyle w:val="DQITableText"/>
            </w:pPr>
            <w:r w:rsidRPr="005970A0">
              <w:t>Employer engagement with VET</w:t>
            </w:r>
          </w:p>
        </w:tc>
      </w:tr>
      <w:tr w:rsidR="00B11361" w:rsidRPr="005970A0" w:rsidTr="00B11361">
        <w:tc>
          <w:tcPr>
            <w:tcW w:w="922" w:type="pct"/>
            <w:gridSpan w:val="2"/>
          </w:tcPr>
          <w:p w:rsidR="00B11361" w:rsidRPr="005970A0" w:rsidRDefault="00B11361" w:rsidP="00AD3934">
            <w:pPr>
              <w:pStyle w:val="DQIRowHeadings"/>
            </w:pPr>
            <w:r w:rsidRPr="005970A0">
              <w:t>Measure (computation)</w:t>
            </w:r>
          </w:p>
        </w:tc>
        <w:tc>
          <w:tcPr>
            <w:tcW w:w="4078" w:type="pct"/>
          </w:tcPr>
          <w:p w:rsidR="00B11361" w:rsidRPr="005970A0" w:rsidRDefault="00B11361" w:rsidP="00AD368D">
            <w:pPr>
              <w:pStyle w:val="DQITableText"/>
            </w:pPr>
            <w:r w:rsidRPr="005970A0">
              <w:rPr>
                <w:u w:val="single"/>
              </w:rPr>
              <w:t>Definition</w:t>
            </w:r>
          </w:p>
          <w:p w:rsidR="00B11361" w:rsidRPr="005970A0" w:rsidRDefault="00B11361" w:rsidP="00AD368D">
            <w:pPr>
              <w:pStyle w:val="DQITableText"/>
            </w:pPr>
            <w:r w:rsidRPr="005970A0">
              <w:t>Employer engagement with VET.</w:t>
            </w:r>
          </w:p>
          <w:p w:rsidR="00B11361" w:rsidRPr="00AD3934" w:rsidRDefault="00B11361" w:rsidP="00AD368D">
            <w:pPr>
              <w:pStyle w:val="DQITableText"/>
              <w:rPr>
                <w:u w:val="single"/>
              </w:rPr>
            </w:pPr>
            <w:r w:rsidRPr="00AD3934">
              <w:rPr>
                <w:u w:val="single"/>
              </w:rPr>
              <w:t>Numerator/s</w:t>
            </w:r>
          </w:p>
          <w:p w:rsidR="00B11361" w:rsidRPr="005970A0" w:rsidRDefault="00B11361" w:rsidP="00AD368D">
            <w:pPr>
              <w:pStyle w:val="DQITableText"/>
            </w:pPr>
            <w:r w:rsidRPr="005970A0">
              <w:t>Number of employers who in the 12 months preceding the interview:</w:t>
            </w:r>
          </w:p>
          <w:p w:rsidR="00A83F90" w:rsidRPr="00A83F90" w:rsidRDefault="00B11361" w:rsidP="00A83F90">
            <w:pPr>
              <w:pStyle w:val="BoxListNumber2"/>
              <w:numPr>
                <w:ilvl w:val="1"/>
                <w:numId w:val="38"/>
              </w:numPr>
              <w:spacing w:before="40" w:line="200" w:lineRule="atLeast"/>
              <w:ind w:left="681" w:hanging="397"/>
              <w:rPr>
                <w:sz w:val="18"/>
              </w:rPr>
            </w:pPr>
            <w:r w:rsidRPr="00A83F90">
              <w:rPr>
                <w:sz w:val="18"/>
              </w:rPr>
              <w:t>had employees undertaking apprenticeships/traineeships, or</w:t>
            </w:r>
          </w:p>
          <w:p w:rsidR="00A83F90" w:rsidRPr="00A83F90" w:rsidRDefault="00B11361" w:rsidP="00A83F90">
            <w:pPr>
              <w:pStyle w:val="BoxListNumber2"/>
              <w:numPr>
                <w:ilvl w:val="1"/>
                <w:numId w:val="38"/>
              </w:numPr>
              <w:spacing w:before="40" w:line="200" w:lineRule="atLeast"/>
              <w:ind w:left="681" w:hanging="397"/>
              <w:rPr>
                <w:sz w:val="18"/>
              </w:rPr>
            </w:pPr>
            <w:r w:rsidRPr="00A83F90">
              <w:rPr>
                <w:sz w:val="18"/>
              </w:rPr>
              <w:t>arranged or provided nationally recognised training (other than apprenticeships /traineeships) for employees, or</w:t>
            </w:r>
          </w:p>
          <w:p w:rsidR="00B11361" w:rsidRPr="00A83F90" w:rsidRDefault="00B11361" w:rsidP="00A83F90">
            <w:pPr>
              <w:pStyle w:val="BoxListNumber2"/>
              <w:numPr>
                <w:ilvl w:val="1"/>
                <w:numId w:val="38"/>
              </w:numPr>
              <w:spacing w:before="40" w:line="200" w:lineRule="atLeast"/>
              <w:ind w:left="681" w:hanging="397"/>
              <w:rPr>
                <w:sz w:val="18"/>
              </w:rPr>
            </w:pPr>
            <w:r w:rsidRPr="00A83F90">
              <w:rPr>
                <w:sz w:val="18"/>
              </w:rPr>
              <w:t>had employees with formal vocational qualifications as a requirement of their job.</w:t>
            </w:r>
          </w:p>
          <w:p w:rsidR="00B11361" w:rsidRPr="00AD3934" w:rsidRDefault="00B11361" w:rsidP="00AD368D">
            <w:pPr>
              <w:pStyle w:val="DQITableText"/>
              <w:rPr>
                <w:u w:val="single"/>
              </w:rPr>
            </w:pPr>
            <w:r w:rsidRPr="00AD3934">
              <w:rPr>
                <w:u w:val="single"/>
              </w:rPr>
              <w:t>Denominator/s</w:t>
            </w:r>
          </w:p>
          <w:p w:rsidR="00B11361" w:rsidRPr="005970A0" w:rsidRDefault="00B11361" w:rsidP="00AD368D">
            <w:pPr>
              <w:pStyle w:val="DQITableText"/>
            </w:pPr>
            <w:r w:rsidRPr="005970A0">
              <w:t>Number of employers (less those with the numerator variable not stated).</w:t>
            </w:r>
          </w:p>
          <w:p w:rsidR="00B11361" w:rsidRPr="00AD3934" w:rsidRDefault="00B11361" w:rsidP="00AD368D">
            <w:pPr>
              <w:pStyle w:val="DQITableText"/>
              <w:rPr>
                <w:u w:val="single"/>
              </w:rPr>
            </w:pPr>
            <w:r w:rsidRPr="00AD3934">
              <w:rPr>
                <w:u w:val="single"/>
              </w:rPr>
              <w:t>Computation/s:</w:t>
            </w:r>
          </w:p>
          <w:p w:rsidR="00B11361" w:rsidRPr="005970A0" w:rsidRDefault="00B11361" w:rsidP="00AD368D">
            <w:pPr>
              <w:pStyle w:val="DQITableText"/>
            </w:pPr>
            <w:r w:rsidRPr="005970A0">
              <w:t>Numerator (above) divided by denominator (above), calculated separately for each of the three categories of employer stated for the numerator.</w:t>
            </w:r>
          </w:p>
          <w:p w:rsidR="00B11361" w:rsidRPr="005970A0" w:rsidRDefault="00B11361" w:rsidP="00AD368D">
            <w:pPr>
              <w:pStyle w:val="DQITableText"/>
            </w:pPr>
            <w:r w:rsidRPr="005970A0">
              <w:t>An ‘employer’ is defined as an organisation in Australia with at least one employee (in the 12 months preceding the interview). An ‘employee’ is defined as ‘a person working in, or operating from, this organisation including full-time, part-time and casual employees’.</w:t>
            </w:r>
          </w:p>
        </w:tc>
      </w:tr>
      <w:tr w:rsidR="00B11361" w:rsidRPr="005970A0" w:rsidTr="00B11361">
        <w:tc>
          <w:tcPr>
            <w:tcW w:w="922" w:type="pct"/>
            <w:gridSpan w:val="2"/>
          </w:tcPr>
          <w:p w:rsidR="00B11361" w:rsidRPr="005970A0" w:rsidRDefault="00B11361" w:rsidP="00AD3934">
            <w:pPr>
              <w:pStyle w:val="DQIRowHeadings"/>
            </w:pPr>
            <w:r w:rsidRPr="005970A0">
              <w:t>Data source/s</w:t>
            </w:r>
          </w:p>
        </w:tc>
        <w:tc>
          <w:tcPr>
            <w:tcW w:w="4078" w:type="pct"/>
          </w:tcPr>
          <w:p w:rsidR="00B11361" w:rsidRPr="005970A0" w:rsidRDefault="00B11361" w:rsidP="00AD368D">
            <w:pPr>
              <w:pStyle w:val="DQITableText"/>
            </w:pPr>
            <w:r w:rsidRPr="005970A0">
              <w:t xml:space="preserve">All data are derived from the </w:t>
            </w:r>
            <w:r w:rsidRPr="007047F5">
              <w:rPr>
                <w:i/>
              </w:rPr>
              <w:t>Survey of Employer Use and Views of the VET System</w:t>
            </w:r>
            <w:r w:rsidRPr="007047F5">
              <w:t xml:space="preserve"> (</w:t>
            </w:r>
            <w:proofErr w:type="spellStart"/>
            <w:r w:rsidRPr="007047F5">
              <w:t>SEUV</w:t>
            </w:r>
            <w:proofErr w:type="spellEnd"/>
            <w:r w:rsidRPr="007047F5">
              <w:t>)</w:t>
            </w:r>
            <w:r w:rsidRPr="005970A0">
              <w:t>, which is a biennial survey. This survey collects information about employers' use and views of the VET system and the various ways employers use the VET system to meet their skill needs.</w:t>
            </w:r>
          </w:p>
        </w:tc>
      </w:tr>
      <w:tr w:rsidR="00B11361" w:rsidRPr="005970A0" w:rsidTr="00B11361">
        <w:tc>
          <w:tcPr>
            <w:tcW w:w="5000" w:type="pct"/>
            <w:gridSpan w:val="3"/>
          </w:tcPr>
          <w:p w:rsidR="00B11361" w:rsidRPr="005970A0" w:rsidRDefault="00B11361" w:rsidP="00AD3934">
            <w:pPr>
              <w:pStyle w:val="DQIMainRowHeadings"/>
            </w:pPr>
            <w:r w:rsidRPr="005970A0">
              <w:t>Data Quality Framework Dimensions</w:t>
            </w:r>
          </w:p>
        </w:tc>
      </w:tr>
      <w:tr w:rsidR="00264E09" w:rsidRPr="005970A0" w:rsidTr="00EC0EC7">
        <w:trPr>
          <w:trHeight w:val="1830"/>
        </w:trPr>
        <w:tc>
          <w:tcPr>
            <w:tcW w:w="887" w:type="pct"/>
            <w:vAlign w:val="center"/>
          </w:tcPr>
          <w:p w:rsidR="00264E09" w:rsidRPr="005970A0" w:rsidRDefault="00264E09" w:rsidP="00EC0EC7">
            <w:pPr>
              <w:pStyle w:val="DQIRowHeadings"/>
            </w:pPr>
          </w:p>
        </w:tc>
        <w:tc>
          <w:tcPr>
            <w:tcW w:w="4113" w:type="pct"/>
            <w:gridSpan w:val="2"/>
            <w:vAlign w:val="center"/>
          </w:tcPr>
          <w:p w:rsidR="00155DF2" w:rsidRDefault="00155DF2" w:rsidP="00155DF2">
            <w:pPr>
              <w:pStyle w:val="DQIRowHeadings"/>
            </w:pPr>
            <w:r>
              <w:t xml:space="preserve">For a summary of data quality information against the data quality framework dimensions — Institutional environment, Relevance, Timeliness, Accuracy, Coherence, Accessibility, and Interpretability — please see the related Data collection </w:t>
            </w:r>
            <w:proofErr w:type="spellStart"/>
            <w:r>
              <w:t>DQI</w:t>
            </w:r>
            <w:proofErr w:type="spellEnd"/>
            <w:r>
              <w:t xml:space="preserve"> for:</w:t>
            </w:r>
          </w:p>
          <w:p w:rsidR="00155DF2" w:rsidRDefault="00155DF2" w:rsidP="00155DF2">
            <w:pPr>
              <w:pStyle w:val="DQIRowHeadings"/>
            </w:pPr>
          </w:p>
          <w:p w:rsidR="00264E09" w:rsidRPr="005970A0" w:rsidRDefault="00264E09" w:rsidP="00EC0EC7">
            <w:pPr>
              <w:pStyle w:val="DQITableBullet"/>
              <w:jc w:val="left"/>
            </w:pPr>
            <w:r>
              <w:t>Employer engagement</w:t>
            </w:r>
            <w:r w:rsidRPr="003E0195">
              <w:t>:</w:t>
            </w:r>
            <w:r>
              <w:t xml:space="preserve"> </w:t>
            </w:r>
            <w:r>
              <w:tab/>
            </w:r>
            <w:r w:rsidRPr="007047F5">
              <w:t>Survey of Employer Use and Views of the VET System</w:t>
            </w:r>
            <w:r w:rsidRPr="00910800">
              <w:rPr>
                <w:rStyle w:val="Hyperlink"/>
                <w:rFonts w:cs="Arial"/>
                <w:color w:val="auto"/>
              </w:rPr>
              <w:t xml:space="preserve"> </w:t>
            </w:r>
          </w:p>
        </w:tc>
      </w:tr>
      <w:tr w:rsidR="00B11361" w:rsidRPr="005970A0" w:rsidTr="00B11361">
        <w:tc>
          <w:tcPr>
            <w:tcW w:w="5000" w:type="pct"/>
            <w:gridSpan w:val="3"/>
            <w:shd w:val="clear" w:color="auto" w:fill="auto"/>
          </w:tcPr>
          <w:p w:rsidR="00B11361" w:rsidRPr="005970A0" w:rsidRDefault="00B11361" w:rsidP="006824D5">
            <w:pPr>
              <w:pStyle w:val="DQIMainRowHeadings"/>
            </w:pPr>
            <w:r w:rsidRPr="005970A0">
              <w:t>Data Gaps/Issues Analysis</w:t>
            </w:r>
          </w:p>
        </w:tc>
      </w:tr>
      <w:tr w:rsidR="00B11361" w:rsidRPr="005970A0" w:rsidTr="00B11361">
        <w:tc>
          <w:tcPr>
            <w:tcW w:w="922" w:type="pct"/>
            <w:gridSpan w:val="2"/>
            <w:shd w:val="clear" w:color="auto" w:fill="auto"/>
          </w:tcPr>
          <w:p w:rsidR="00B11361" w:rsidRPr="005970A0" w:rsidRDefault="00B11361" w:rsidP="006824D5">
            <w:pPr>
              <w:pStyle w:val="DQIRowHeadings"/>
            </w:pPr>
            <w:r w:rsidRPr="005970A0">
              <w:t>Key data gaps/ issues</w:t>
            </w:r>
          </w:p>
        </w:tc>
        <w:tc>
          <w:tcPr>
            <w:tcW w:w="4078" w:type="pct"/>
            <w:shd w:val="clear" w:color="auto" w:fill="auto"/>
          </w:tcPr>
          <w:p w:rsidR="00B11361" w:rsidRPr="005970A0" w:rsidRDefault="00B11361" w:rsidP="00AD368D">
            <w:pPr>
              <w:pStyle w:val="DQITableText"/>
            </w:pPr>
            <w:r w:rsidRPr="005970A0">
              <w:t xml:space="preserve">The Steering Committee notes the following key data gaps/issues: </w:t>
            </w:r>
          </w:p>
          <w:p w:rsidR="00B11361" w:rsidRPr="005970A0" w:rsidRDefault="00B11361" w:rsidP="006824D5">
            <w:pPr>
              <w:pStyle w:val="DQITableBullet"/>
            </w:pPr>
            <w:r w:rsidRPr="005970A0">
              <w:t>Biennial data are available from the Survey of Employer Use and Views (</w:t>
            </w:r>
            <w:proofErr w:type="spellStart"/>
            <w:r w:rsidRPr="005970A0">
              <w:t>SEUV</w:t>
            </w:r>
            <w:proofErr w:type="spellEnd"/>
            <w:r w:rsidRPr="005970A0">
              <w:t xml:space="preserve">). </w:t>
            </w:r>
            <w:r w:rsidR="009F24D8" w:rsidRPr="006C319A">
              <w:t>The most recent data are for 2015. Data from 2005, 2007, 2009, 2011 and 2013 are available in this report.</w:t>
            </w:r>
          </w:p>
          <w:p w:rsidR="00B11361" w:rsidRPr="005970A0" w:rsidRDefault="00B11361" w:rsidP="006824D5">
            <w:pPr>
              <w:pStyle w:val="DQITableBullet"/>
            </w:pPr>
            <w:r w:rsidRPr="005970A0">
              <w:t>Data are of acceptable accuracy at the State and Territory level.</w:t>
            </w:r>
          </w:p>
          <w:p w:rsidR="00B11361" w:rsidRPr="005970A0" w:rsidRDefault="00B11361" w:rsidP="006824D5">
            <w:pPr>
              <w:pStyle w:val="DQITableBullet"/>
            </w:pPr>
            <w:r w:rsidRPr="005970A0">
              <w:t>Detailed explanatory notes are publicly available to assist in the interpretation of results.</w:t>
            </w:r>
          </w:p>
          <w:p w:rsidR="00B11361" w:rsidRPr="005970A0" w:rsidRDefault="00B11361" w:rsidP="006824D5">
            <w:pPr>
              <w:pStyle w:val="DQITableBullet"/>
            </w:pPr>
            <w:r w:rsidRPr="005970A0">
              <w:t xml:space="preserve">Additional data from the data source are available </w:t>
            </w:r>
            <w:proofErr w:type="spellStart"/>
            <w:r w:rsidRPr="005970A0">
              <w:t>on-line</w:t>
            </w:r>
            <w:proofErr w:type="spellEnd"/>
            <w:r w:rsidRPr="005970A0">
              <w:t>, and on request.</w:t>
            </w:r>
          </w:p>
          <w:p w:rsidR="00B11361" w:rsidRPr="005970A0" w:rsidRDefault="009F24D8" w:rsidP="009F24D8">
            <w:pPr>
              <w:pStyle w:val="DQITableBullet"/>
              <w:rPr>
                <w:i/>
              </w:rPr>
            </w:pPr>
            <w:r>
              <w:t>In 2013, i</w:t>
            </w:r>
            <w:r w:rsidR="00ED5F5E" w:rsidRPr="009B206C">
              <w:t xml:space="preserve">mprovements </w:t>
            </w:r>
            <w:r>
              <w:t xml:space="preserve">were </w:t>
            </w:r>
            <w:r w:rsidR="00ED5F5E" w:rsidRPr="009B206C">
              <w:t>made to the weighting methodology applied to responses to the Survey of Employer Use and Views of the VET system (see Employer's use and views of the VET system, 2013: improved weighting methodology &lt;http://</w:t>
            </w:r>
            <w:proofErr w:type="spellStart"/>
            <w:r w:rsidR="00ED5F5E" w:rsidRPr="009B206C">
              <w:t>www.ncver.edu.au</w:t>
            </w:r>
            <w:proofErr w:type="spellEnd"/>
            <w:r w:rsidR="00ED5F5E" w:rsidRPr="009B206C">
              <w:t>/publications/</w:t>
            </w:r>
            <w:proofErr w:type="spellStart"/>
            <w:r w:rsidR="00ED5F5E" w:rsidRPr="009B206C">
              <w:t>2675.html</w:t>
            </w:r>
            <w:proofErr w:type="spellEnd"/>
            <w:r w:rsidR="00ED5F5E" w:rsidRPr="009B206C">
              <w:t xml:space="preserve">&gt;). Results for the 2013 </w:t>
            </w:r>
            <w:r>
              <w:t xml:space="preserve">and 2015 </w:t>
            </w:r>
            <w:r w:rsidR="00ED5F5E" w:rsidRPr="009B206C">
              <w:t>survey</w:t>
            </w:r>
            <w:r>
              <w:t>s</w:t>
            </w:r>
            <w:r w:rsidR="00ED5F5E" w:rsidRPr="009B206C">
              <w:t xml:space="preserve"> are obtained using this improved methodology, which has been applied to data from previous years to maintain the time series. For the latest data, including updated time series, please visit the </w:t>
            </w:r>
            <w:proofErr w:type="spellStart"/>
            <w:r w:rsidR="00ED5F5E" w:rsidRPr="009B206C">
              <w:t>NCVER</w:t>
            </w:r>
            <w:proofErr w:type="spellEnd"/>
            <w:r w:rsidR="00ED5F5E" w:rsidRPr="009B206C">
              <w:t xml:space="preserve"> website, </w:t>
            </w:r>
            <w:proofErr w:type="spellStart"/>
            <w:r w:rsidR="00ED5F5E" w:rsidRPr="009B206C">
              <w:t>www.ncver.edu.au</w:t>
            </w:r>
            <w:proofErr w:type="spellEnd"/>
            <w:r w:rsidR="00ED5F5E" w:rsidRPr="009B206C">
              <w:t>&gt;.</w:t>
            </w:r>
          </w:p>
        </w:tc>
      </w:tr>
    </w:tbl>
    <w:p w:rsidR="00B11361" w:rsidRPr="005970A0" w:rsidRDefault="00B11361" w:rsidP="00B11361">
      <w:pPr>
        <w:pStyle w:val="Heading3"/>
        <w:spacing w:before="120"/>
      </w:pPr>
      <w:bookmarkStart w:id="77" w:name="_Toc396227475"/>
      <w:bookmarkStart w:id="78" w:name="EmployerSatisfactWithVET"/>
      <w:bookmarkStart w:id="79" w:name="_Toc436148774"/>
      <w:r w:rsidRPr="005970A0">
        <w:lastRenderedPageBreak/>
        <w:t>Employer satisfaction with VET</w:t>
      </w:r>
      <w:bookmarkEnd w:id="77"/>
      <w:bookmarkEnd w:id="78"/>
      <w:bookmarkEnd w:id="79"/>
    </w:p>
    <w:p w:rsidR="00EE6EA5" w:rsidRPr="005970A0" w:rsidRDefault="00EE6EA5" w:rsidP="00EE6EA5">
      <w:pPr>
        <w:pStyle w:val="Box"/>
      </w:pPr>
      <w:r w:rsidRPr="005970A0">
        <w:t xml:space="preserve">Data quality information for this indicator has been drafted by the </w:t>
      </w:r>
      <w:proofErr w:type="spellStart"/>
      <w:r>
        <w:t>NCVER</w:t>
      </w:r>
      <w:proofErr w:type="spellEnd"/>
      <w:r w:rsidRPr="005970A0">
        <w:t xml:space="preserve"> and the Secretariat, in consultation with the VET Working Group.</w:t>
      </w:r>
    </w:p>
    <w:tbl>
      <w:tblPr>
        <w:tblW w:w="5000" w:type="pct"/>
        <w:tblCellMar>
          <w:left w:w="0" w:type="dxa"/>
          <w:right w:w="0" w:type="dxa"/>
        </w:tblCellMar>
        <w:tblLook w:val="0000" w:firstRow="0" w:lastRow="0" w:firstColumn="0" w:lastColumn="0" w:noHBand="0" w:noVBand="0"/>
      </w:tblPr>
      <w:tblGrid>
        <w:gridCol w:w="1559"/>
        <w:gridCol w:w="7230"/>
      </w:tblGrid>
      <w:tr w:rsidR="00B11361" w:rsidRPr="005970A0" w:rsidTr="00B11361">
        <w:tc>
          <w:tcPr>
            <w:tcW w:w="5000" w:type="pct"/>
            <w:gridSpan w:val="2"/>
          </w:tcPr>
          <w:p w:rsidR="00B11361" w:rsidRPr="005970A0" w:rsidRDefault="00B11361" w:rsidP="006824D5">
            <w:pPr>
              <w:pStyle w:val="DQIMainRowHeadings"/>
            </w:pPr>
            <w:r w:rsidRPr="005970A0">
              <w:t>Indicator definition and description</w:t>
            </w:r>
            <w:r w:rsidRPr="005970A0">
              <w:rPr>
                <w:rFonts w:cs="Arial"/>
                <w:sz w:val="22"/>
                <w:szCs w:val="22"/>
              </w:rPr>
              <w:t xml:space="preserve"> </w:t>
            </w:r>
          </w:p>
        </w:tc>
      </w:tr>
      <w:tr w:rsidR="00B11361" w:rsidRPr="005970A0" w:rsidTr="00264E09">
        <w:tc>
          <w:tcPr>
            <w:tcW w:w="887" w:type="pct"/>
          </w:tcPr>
          <w:p w:rsidR="00B11361" w:rsidRPr="005970A0" w:rsidRDefault="00B11361" w:rsidP="006824D5">
            <w:pPr>
              <w:pStyle w:val="DQIRowHeadings"/>
            </w:pPr>
            <w:r w:rsidRPr="005970A0">
              <w:t>Element</w:t>
            </w:r>
          </w:p>
        </w:tc>
        <w:tc>
          <w:tcPr>
            <w:tcW w:w="4113" w:type="pct"/>
          </w:tcPr>
          <w:p w:rsidR="00B11361" w:rsidRPr="005970A0" w:rsidRDefault="00B11361" w:rsidP="00AD368D">
            <w:pPr>
              <w:pStyle w:val="DQITableText"/>
            </w:pPr>
            <w:r w:rsidRPr="005970A0">
              <w:t>Outcomes.</w:t>
            </w:r>
          </w:p>
        </w:tc>
      </w:tr>
      <w:tr w:rsidR="00B11361" w:rsidRPr="005970A0" w:rsidTr="00264E09">
        <w:tc>
          <w:tcPr>
            <w:tcW w:w="887" w:type="pct"/>
          </w:tcPr>
          <w:p w:rsidR="00B11361" w:rsidRPr="005970A0" w:rsidRDefault="00B11361" w:rsidP="006824D5">
            <w:pPr>
              <w:pStyle w:val="DQIRowHeadings"/>
            </w:pPr>
            <w:r w:rsidRPr="005970A0">
              <w:t>Indicator</w:t>
            </w:r>
          </w:p>
        </w:tc>
        <w:tc>
          <w:tcPr>
            <w:tcW w:w="4113" w:type="pct"/>
          </w:tcPr>
          <w:p w:rsidR="00B11361" w:rsidRPr="005970A0" w:rsidRDefault="00B11361" w:rsidP="00AD368D">
            <w:pPr>
              <w:pStyle w:val="DQITableText"/>
            </w:pPr>
            <w:r w:rsidRPr="005970A0">
              <w:t>Employer satisfaction with VET</w:t>
            </w:r>
          </w:p>
        </w:tc>
      </w:tr>
      <w:tr w:rsidR="00B11361" w:rsidRPr="005970A0" w:rsidTr="00264E09">
        <w:tc>
          <w:tcPr>
            <w:tcW w:w="887" w:type="pct"/>
          </w:tcPr>
          <w:p w:rsidR="00B11361" w:rsidRPr="005970A0" w:rsidRDefault="00B11361" w:rsidP="006824D5">
            <w:pPr>
              <w:pStyle w:val="DQIRowHeadings"/>
            </w:pPr>
            <w:r w:rsidRPr="005970A0">
              <w:t>Measure (computation)</w:t>
            </w:r>
          </w:p>
        </w:tc>
        <w:tc>
          <w:tcPr>
            <w:tcW w:w="4113" w:type="pct"/>
          </w:tcPr>
          <w:p w:rsidR="00B11361" w:rsidRPr="005970A0" w:rsidRDefault="00B11361" w:rsidP="00AD368D">
            <w:pPr>
              <w:pStyle w:val="DQITableText"/>
            </w:pPr>
            <w:r w:rsidRPr="005970A0">
              <w:rPr>
                <w:u w:val="single"/>
              </w:rPr>
              <w:t>Definition</w:t>
            </w:r>
          </w:p>
          <w:p w:rsidR="00B11361" w:rsidRPr="005970A0" w:rsidRDefault="00B11361" w:rsidP="00AD368D">
            <w:pPr>
              <w:pStyle w:val="DQITableText"/>
            </w:pPr>
            <w:r w:rsidRPr="005970A0">
              <w:t>Employer satisfaction with the VET system.</w:t>
            </w:r>
          </w:p>
          <w:p w:rsidR="00B11361" w:rsidRPr="006824D5" w:rsidRDefault="00B11361" w:rsidP="00AD368D">
            <w:pPr>
              <w:pStyle w:val="DQITableText"/>
              <w:rPr>
                <w:iCs/>
                <w:u w:val="single"/>
              </w:rPr>
            </w:pPr>
            <w:r w:rsidRPr="006824D5">
              <w:rPr>
                <w:iCs/>
                <w:u w:val="single"/>
              </w:rPr>
              <w:t>Numerator</w:t>
            </w:r>
          </w:p>
          <w:p w:rsidR="00B11361" w:rsidRPr="005970A0" w:rsidRDefault="00B11361" w:rsidP="00AD368D">
            <w:pPr>
              <w:pStyle w:val="DQITableText"/>
            </w:pPr>
            <w:r w:rsidRPr="005970A0">
              <w:t>Employers who reported as being satisfied or very satisfied with the VET system in meeting their skill needs.</w:t>
            </w:r>
          </w:p>
          <w:p w:rsidR="00B11361" w:rsidRPr="006824D5" w:rsidRDefault="00B11361" w:rsidP="00AD368D">
            <w:pPr>
              <w:pStyle w:val="DQITableText"/>
              <w:rPr>
                <w:iCs/>
                <w:u w:val="single"/>
              </w:rPr>
            </w:pPr>
            <w:r w:rsidRPr="006824D5">
              <w:rPr>
                <w:iCs/>
                <w:u w:val="single"/>
              </w:rPr>
              <w:t>Denominator</w:t>
            </w:r>
          </w:p>
          <w:p w:rsidR="00B11361" w:rsidRPr="005970A0" w:rsidRDefault="00B11361" w:rsidP="00AD368D">
            <w:pPr>
              <w:pStyle w:val="DQITableText"/>
            </w:pPr>
            <w:r w:rsidRPr="005970A0">
              <w:t>Number of employers engaged with the VET system (less those with the numerator variable not stated)</w:t>
            </w:r>
          </w:p>
          <w:p w:rsidR="00B11361" w:rsidRPr="006824D5" w:rsidRDefault="00B11361" w:rsidP="00AD368D">
            <w:pPr>
              <w:pStyle w:val="DQITableText"/>
              <w:rPr>
                <w:u w:val="single"/>
              </w:rPr>
            </w:pPr>
            <w:r w:rsidRPr="006824D5">
              <w:rPr>
                <w:u w:val="single"/>
              </w:rPr>
              <w:t>Computation/s:</w:t>
            </w:r>
          </w:p>
          <w:p w:rsidR="00B11361" w:rsidRPr="005970A0" w:rsidRDefault="00B11361" w:rsidP="00AD368D">
            <w:pPr>
              <w:pStyle w:val="DQITableText"/>
            </w:pPr>
            <w:r w:rsidRPr="005970A0">
              <w:t>The measure is calculated separately for the number of employers who in the 12 months preceding the interview:</w:t>
            </w:r>
          </w:p>
          <w:p w:rsidR="00B11361" w:rsidRPr="005970A0" w:rsidRDefault="00B11361" w:rsidP="006824D5">
            <w:pPr>
              <w:pStyle w:val="DQITableBullet"/>
            </w:pPr>
            <w:r w:rsidRPr="005970A0">
              <w:t>had employees undertaking apprenticeships/traineeships, or</w:t>
            </w:r>
          </w:p>
          <w:p w:rsidR="00B11361" w:rsidRPr="005970A0" w:rsidRDefault="00B11361" w:rsidP="006824D5">
            <w:pPr>
              <w:pStyle w:val="DQITableBullet"/>
            </w:pPr>
            <w:r w:rsidRPr="005970A0">
              <w:t>arranged or provided nationally recognised training (other than apprenticeships /traineeships) for employees, or</w:t>
            </w:r>
          </w:p>
          <w:p w:rsidR="00B11361" w:rsidRPr="005970A0" w:rsidRDefault="00B11361" w:rsidP="006824D5">
            <w:pPr>
              <w:pStyle w:val="DQITableBullet"/>
            </w:pPr>
            <w:r w:rsidRPr="005970A0">
              <w:t>had employees with formal vocational qualifications as a requirement of their job.</w:t>
            </w:r>
          </w:p>
          <w:p w:rsidR="00B11361" w:rsidRPr="005970A0" w:rsidRDefault="00B11361" w:rsidP="00AD368D">
            <w:pPr>
              <w:pStyle w:val="DQITableText"/>
            </w:pPr>
            <w:r w:rsidRPr="005970A0">
              <w:t>An ‘employer’ is defined as an organisation in Australia with at least one employee (in the 12 months preceding the interview). An ‘employee’ is defined as ‘a person working in, or operating from, this organisation including full-time, part-time and casual employees’.</w:t>
            </w:r>
          </w:p>
        </w:tc>
      </w:tr>
      <w:tr w:rsidR="00B11361" w:rsidRPr="005970A0" w:rsidTr="00264E09">
        <w:tc>
          <w:tcPr>
            <w:tcW w:w="887" w:type="pct"/>
          </w:tcPr>
          <w:p w:rsidR="00B11361" w:rsidRPr="005970A0" w:rsidRDefault="00B11361" w:rsidP="006824D5">
            <w:pPr>
              <w:pStyle w:val="DQIRowHeadings"/>
            </w:pPr>
            <w:r w:rsidRPr="005970A0">
              <w:t>Data source/s</w:t>
            </w:r>
          </w:p>
        </w:tc>
        <w:tc>
          <w:tcPr>
            <w:tcW w:w="4113" w:type="pct"/>
          </w:tcPr>
          <w:p w:rsidR="00B11361" w:rsidRPr="005970A0" w:rsidRDefault="00B11361" w:rsidP="00AD368D">
            <w:pPr>
              <w:pStyle w:val="DQITableText"/>
            </w:pPr>
            <w:r w:rsidRPr="005970A0">
              <w:t xml:space="preserve">All data are derived from the </w:t>
            </w:r>
            <w:r w:rsidRPr="007047F5">
              <w:rPr>
                <w:i/>
              </w:rPr>
              <w:t>Survey of Employer Use and Views of the VET System</w:t>
            </w:r>
            <w:r w:rsidRPr="007047F5">
              <w:t xml:space="preserve"> (</w:t>
            </w:r>
            <w:proofErr w:type="spellStart"/>
            <w:r w:rsidRPr="007047F5">
              <w:t>SEUV</w:t>
            </w:r>
            <w:proofErr w:type="spellEnd"/>
            <w:r w:rsidRPr="007047F5">
              <w:t>)</w:t>
            </w:r>
            <w:r w:rsidRPr="005970A0">
              <w:t>, which is a biennial survey. This survey collects information about employers' use and views of the VET system and the various ways employers use the VET system to meet their skill needs.</w:t>
            </w:r>
          </w:p>
        </w:tc>
      </w:tr>
      <w:tr w:rsidR="00B11361" w:rsidRPr="005970A0" w:rsidTr="00B11361">
        <w:tc>
          <w:tcPr>
            <w:tcW w:w="5000" w:type="pct"/>
            <w:gridSpan w:val="2"/>
          </w:tcPr>
          <w:p w:rsidR="00B11361" w:rsidRPr="005970A0" w:rsidRDefault="00B11361" w:rsidP="006824D5">
            <w:pPr>
              <w:pStyle w:val="DQIMainRowHeadings"/>
            </w:pPr>
            <w:r w:rsidRPr="005970A0">
              <w:t>Data Quality Framework Dimensions</w:t>
            </w:r>
          </w:p>
        </w:tc>
      </w:tr>
      <w:tr w:rsidR="00264E09" w:rsidRPr="005970A0" w:rsidTr="00252BE8">
        <w:tc>
          <w:tcPr>
            <w:tcW w:w="887" w:type="pct"/>
            <w:vAlign w:val="center"/>
          </w:tcPr>
          <w:p w:rsidR="00264E09" w:rsidRPr="005970A0" w:rsidRDefault="00264E09" w:rsidP="00264E09">
            <w:pPr>
              <w:pStyle w:val="DQIRowHeadings"/>
              <w:keepNext w:val="0"/>
            </w:pPr>
          </w:p>
        </w:tc>
        <w:tc>
          <w:tcPr>
            <w:tcW w:w="4113" w:type="pct"/>
            <w:vAlign w:val="center"/>
          </w:tcPr>
          <w:p w:rsidR="00155DF2" w:rsidRDefault="00155DF2" w:rsidP="00155DF2">
            <w:pPr>
              <w:pStyle w:val="DQIRowHeadings"/>
            </w:pPr>
            <w:r>
              <w:t xml:space="preserve">For a summary of data quality information against the data quality framework dimensions — Institutional environment, Relevance, Timeliness, Accuracy, Coherence, Accessibility, and Interpretability — please see the related Data collection </w:t>
            </w:r>
            <w:proofErr w:type="spellStart"/>
            <w:r>
              <w:t>DQI</w:t>
            </w:r>
            <w:proofErr w:type="spellEnd"/>
            <w:r>
              <w:t xml:space="preserve"> for:</w:t>
            </w:r>
          </w:p>
          <w:p w:rsidR="00264E09" w:rsidRPr="005970A0" w:rsidRDefault="00264E09" w:rsidP="00264E09">
            <w:pPr>
              <w:pStyle w:val="DQITableBullet"/>
              <w:keepNext w:val="0"/>
              <w:jc w:val="left"/>
            </w:pPr>
            <w:r>
              <w:t>Employer engagement</w:t>
            </w:r>
            <w:r w:rsidRPr="003E0195">
              <w:t>:</w:t>
            </w:r>
            <w:r>
              <w:t xml:space="preserve"> </w:t>
            </w:r>
            <w:r>
              <w:tab/>
            </w:r>
            <w:r w:rsidRPr="007047F5">
              <w:t>Survey of Employer Use and Views of the VET System</w:t>
            </w:r>
            <w:r w:rsidRPr="00910800">
              <w:rPr>
                <w:rStyle w:val="Hyperlink"/>
                <w:rFonts w:cs="Arial"/>
                <w:color w:val="auto"/>
              </w:rPr>
              <w:t xml:space="preserve"> </w:t>
            </w:r>
          </w:p>
        </w:tc>
      </w:tr>
      <w:tr w:rsidR="00B11361" w:rsidRPr="005970A0" w:rsidTr="00B11361">
        <w:tc>
          <w:tcPr>
            <w:tcW w:w="5000" w:type="pct"/>
            <w:gridSpan w:val="2"/>
            <w:shd w:val="clear" w:color="auto" w:fill="auto"/>
          </w:tcPr>
          <w:p w:rsidR="00B11361" w:rsidRPr="005970A0" w:rsidRDefault="00B11361" w:rsidP="006824D5">
            <w:pPr>
              <w:pStyle w:val="DQIMainRowHeadings"/>
            </w:pPr>
            <w:r w:rsidRPr="005970A0">
              <w:t>Data</w:t>
            </w:r>
            <w:r w:rsidR="006824D5">
              <w:t xml:space="preserve"> </w:t>
            </w:r>
            <w:r w:rsidRPr="005970A0">
              <w:t>Gaps/Issues Analysis</w:t>
            </w:r>
          </w:p>
        </w:tc>
      </w:tr>
      <w:tr w:rsidR="00B11361" w:rsidRPr="005970A0" w:rsidTr="00264E09">
        <w:tc>
          <w:tcPr>
            <w:tcW w:w="887" w:type="pct"/>
            <w:shd w:val="clear" w:color="auto" w:fill="auto"/>
          </w:tcPr>
          <w:p w:rsidR="00B11361" w:rsidRPr="005970A0" w:rsidRDefault="00B11361" w:rsidP="00252BE8">
            <w:pPr>
              <w:pStyle w:val="DQIRowHeadings"/>
              <w:keepNext w:val="0"/>
            </w:pPr>
            <w:r w:rsidRPr="005970A0">
              <w:t>Key data gaps/ issues</w:t>
            </w:r>
          </w:p>
        </w:tc>
        <w:tc>
          <w:tcPr>
            <w:tcW w:w="4113" w:type="pct"/>
            <w:shd w:val="clear" w:color="auto" w:fill="auto"/>
          </w:tcPr>
          <w:p w:rsidR="00B11361" w:rsidRPr="005970A0" w:rsidRDefault="00B11361" w:rsidP="00AD368D">
            <w:pPr>
              <w:pStyle w:val="DQITableText"/>
            </w:pPr>
            <w:r w:rsidRPr="005970A0">
              <w:t xml:space="preserve">The Steering Committee notes the following key data gaps/issues: </w:t>
            </w:r>
          </w:p>
          <w:p w:rsidR="00B11361" w:rsidRPr="005970A0" w:rsidRDefault="00B11361" w:rsidP="000D56BA">
            <w:pPr>
              <w:pStyle w:val="DQITableBullet"/>
            </w:pPr>
            <w:r w:rsidRPr="005970A0">
              <w:t>Biennial data are available from the Survey of Employer Use and Views (</w:t>
            </w:r>
            <w:proofErr w:type="spellStart"/>
            <w:r w:rsidRPr="005970A0">
              <w:t>SEUV</w:t>
            </w:r>
            <w:proofErr w:type="spellEnd"/>
            <w:r w:rsidRPr="005970A0">
              <w:t xml:space="preserve">). </w:t>
            </w:r>
            <w:r w:rsidR="009F24D8" w:rsidRPr="006C319A">
              <w:t>The most recent data are for 2015. Data from 2005, 2007, 2009, 2011 and 2013 are available in this report.</w:t>
            </w:r>
          </w:p>
          <w:p w:rsidR="00B11361" w:rsidRPr="005970A0" w:rsidRDefault="00B11361" w:rsidP="000D56BA">
            <w:pPr>
              <w:pStyle w:val="DQITableBullet"/>
            </w:pPr>
            <w:r w:rsidRPr="005970A0">
              <w:t>Data are of acceptable accuracy at the State and Territory level.</w:t>
            </w:r>
          </w:p>
          <w:p w:rsidR="00B11361" w:rsidRPr="005970A0" w:rsidRDefault="00B11361" w:rsidP="000D56BA">
            <w:pPr>
              <w:pStyle w:val="DQITableBullet"/>
            </w:pPr>
            <w:r w:rsidRPr="005970A0">
              <w:t>Detailed explanatory notes are publicly available to assist in the interpretation of results.</w:t>
            </w:r>
          </w:p>
          <w:p w:rsidR="00B11361" w:rsidRPr="005970A0" w:rsidRDefault="00B11361" w:rsidP="000D56BA">
            <w:pPr>
              <w:pStyle w:val="DQITableBullet"/>
            </w:pPr>
            <w:r w:rsidRPr="005970A0">
              <w:t xml:space="preserve">Additional data from the data source are available </w:t>
            </w:r>
            <w:proofErr w:type="spellStart"/>
            <w:r w:rsidRPr="005970A0">
              <w:t>on-line</w:t>
            </w:r>
            <w:proofErr w:type="spellEnd"/>
            <w:r w:rsidRPr="005970A0">
              <w:t>, and on request.</w:t>
            </w:r>
          </w:p>
          <w:p w:rsidR="00B11361" w:rsidRPr="005970A0" w:rsidRDefault="009F24D8" w:rsidP="00ED5F5E">
            <w:pPr>
              <w:pStyle w:val="DQITableBullet"/>
              <w:rPr>
                <w:i/>
              </w:rPr>
            </w:pPr>
            <w:r>
              <w:t>In 2013, i</w:t>
            </w:r>
            <w:r w:rsidRPr="009B206C">
              <w:t xml:space="preserve">mprovements </w:t>
            </w:r>
            <w:r>
              <w:t xml:space="preserve">were </w:t>
            </w:r>
            <w:r w:rsidRPr="009B206C">
              <w:t>made to the weighting methodology applied to responses</w:t>
            </w:r>
            <w:r>
              <w:t xml:space="preserve"> to</w:t>
            </w:r>
            <w:r w:rsidR="00ED5F5E" w:rsidRPr="00ED5F5E">
              <w:t xml:space="preserve"> the Survey of Employer Use and Views of the VET system (see Employer's use and views of the VET system, 2013: improved weighting methodology &lt;http://</w:t>
            </w:r>
            <w:proofErr w:type="spellStart"/>
            <w:r w:rsidR="00ED5F5E" w:rsidRPr="00ED5F5E">
              <w:t>www.ncver.edu.au</w:t>
            </w:r>
            <w:proofErr w:type="spellEnd"/>
            <w:r w:rsidR="00ED5F5E" w:rsidRPr="00ED5F5E">
              <w:t>/publications/</w:t>
            </w:r>
            <w:proofErr w:type="spellStart"/>
            <w:r w:rsidR="00ED5F5E" w:rsidRPr="00ED5F5E">
              <w:t>2675.html</w:t>
            </w:r>
            <w:proofErr w:type="spellEnd"/>
            <w:r w:rsidR="00ED5F5E" w:rsidRPr="00ED5F5E">
              <w:t xml:space="preserve">&gt;). Results for the 2013 </w:t>
            </w:r>
            <w:r>
              <w:t xml:space="preserve">and 2015 </w:t>
            </w:r>
            <w:r w:rsidR="00ED5F5E" w:rsidRPr="00ED5F5E">
              <w:t>survey</w:t>
            </w:r>
            <w:r>
              <w:t>s</w:t>
            </w:r>
            <w:r w:rsidR="00ED5F5E" w:rsidRPr="00ED5F5E">
              <w:t xml:space="preserve"> are obtained using this improved methodology, which has been applied to data from previous years to maintain the time series. For the latest data, including updated time series, please visit the </w:t>
            </w:r>
            <w:proofErr w:type="spellStart"/>
            <w:r w:rsidR="00ED5F5E" w:rsidRPr="00ED5F5E">
              <w:t>NCVER</w:t>
            </w:r>
            <w:proofErr w:type="spellEnd"/>
            <w:r w:rsidR="00ED5F5E" w:rsidRPr="00ED5F5E">
              <w:t xml:space="preserve"> website, </w:t>
            </w:r>
            <w:proofErr w:type="spellStart"/>
            <w:r w:rsidR="00ED5F5E" w:rsidRPr="00ED5F5E">
              <w:t>www.ncver.edu.au</w:t>
            </w:r>
            <w:proofErr w:type="spellEnd"/>
            <w:r w:rsidR="00ED5F5E" w:rsidRPr="00ED5F5E">
              <w:t>&gt;.</w:t>
            </w:r>
          </w:p>
        </w:tc>
      </w:tr>
    </w:tbl>
    <w:p w:rsidR="007056F1" w:rsidRDefault="007056F1" w:rsidP="00252BE8">
      <w:pPr>
        <w:pStyle w:val="BoxSpaceBelow"/>
      </w:pPr>
    </w:p>
    <w:sectPr w:rsidR="007056F1" w:rsidSect="002A41B6">
      <w:headerReference w:type="even" r:id="rId9"/>
      <w:headerReference w:type="default" r:id="rId10"/>
      <w:footerReference w:type="even" r:id="rId11"/>
      <w:footerReference w:type="default" r:id="rId12"/>
      <w:pgSz w:w="11907" w:h="16840" w:code="9"/>
      <w:pgMar w:top="1984" w:right="1304" w:bottom="1247" w:left="1814" w:header="1701" w:footer="397" w:gutter="0"/>
      <w:pgNumType w:start="1"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493A" w:rsidRDefault="0031493A">
      <w:r>
        <w:separator/>
      </w:r>
    </w:p>
  </w:endnote>
  <w:endnote w:type="continuationSeparator" w:id="0">
    <w:p w:rsidR="0031493A" w:rsidRDefault="003149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31493A" w:rsidTr="00D71E79">
      <w:trPr>
        <w:trHeight w:hRule="exact" w:val="567"/>
      </w:trPr>
      <w:tc>
        <w:tcPr>
          <w:tcW w:w="510" w:type="dxa"/>
        </w:tcPr>
        <w:p w:rsidR="0031493A" w:rsidRPr="00A24443" w:rsidRDefault="0031493A"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8156BF">
            <w:rPr>
              <w:rStyle w:val="PageNumber"/>
              <w:caps w:val="0"/>
              <w:noProof/>
            </w:rPr>
            <w:t>38</w:t>
          </w:r>
          <w:r w:rsidRPr="00A24443">
            <w:rPr>
              <w:rStyle w:val="PageNumber"/>
              <w:caps w:val="0"/>
            </w:rPr>
            <w:fldChar w:fldCharType="end"/>
          </w:r>
        </w:p>
      </w:tc>
      <w:tc>
        <w:tcPr>
          <w:tcW w:w="7767" w:type="dxa"/>
        </w:tcPr>
        <w:p w:rsidR="0031493A" w:rsidRPr="0013739A" w:rsidRDefault="000368CD" w:rsidP="002A41B6">
          <w:pPr>
            <w:pStyle w:val="Footer"/>
            <w:rPr>
              <w:rFonts w:cs="Arial"/>
            </w:rPr>
          </w:pPr>
          <w:r>
            <w:rPr>
              <w:rFonts w:cs="Arial"/>
            </w:rPr>
            <w:t>Report on Government Services 2016</w:t>
          </w:r>
          <w:bookmarkStart w:id="80" w:name="DraftReportEven"/>
          <w:bookmarkEnd w:id="80"/>
        </w:p>
      </w:tc>
      <w:tc>
        <w:tcPr>
          <w:tcW w:w="510" w:type="dxa"/>
        </w:tcPr>
        <w:p w:rsidR="0031493A" w:rsidRDefault="0031493A" w:rsidP="0019293B">
          <w:pPr>
            <w:pStyle w:val="Footer"/>
          </w:pPr>
        </w:p>
      </w:tc>
    </w:tr>
  </w:tbl>
  <w:p w:rsidR="0031493A" w:rsidRDefault="0031493A" w:rsidP="0019293B">
    <w:pPr>
      <w:pStyle w:val="FooterEnd"/>
    </w:pPr>
  </w:p>
  <w:p w:rsidR="0031493A" w:rsidRDefault="0031493A"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31493A" w:rsidTr="00D71E79">
      <w:trPr>
        <w:trHeight w:hRule="exact" w:val="567"/>
      </w:trPr>
      <w:tc>
        <w:tcPr>
          <w:tcW w:w="510" w:type="dxa"/>
        </w:tcPr>
        <w:p w:rsidR="0031493A" w:rsidRDefault="0031493A">
          <w:pPr>
            <w:pStyle w:val="Footer"/>
            <w:ind w:right="360" w:firstLine="360"/>
          </w:pPr>
        </w:p>
      </w:tc>
      <w:tc>
        <w:tcPr>
          <w:tcW w:w="7767" w:type="dxa"/>
        </w:tcPr>
        <w:p w:rsidR="0031493A" w:rsidRPr="00BA5B14" w:rsidRDefault="000368CD" w:rsidP="00D71E79">
          <w:pPr>
            <w:pStyle w:val="Footer"/>
            <w:jc w:val="right"/>
            <w:rPr>
              <w:rFonts w:cs="Arial"/>
            </w:rPr>
          </w:pPr>
          <w:r>
            <w:rPr>
              <w:rFonts w:cs="Arial"/>
            </w:rPr>
            <w:t xml:space="preserve">Vocational Education and Training </w:t>
          </w:r>
          <w:proofErr w:type="spellStart"/>
          <w:r>
            <w:rPr>
              <w:rFonts w:cs="Arial"/>
            </w:rPr>
            <w:t>DQI</w:t>
          </w:r>
          <w:proofErr w:type="spellEnd"/>
        </w:p>
      </w:tc>
      <w:tc>
        <w:tcPr>
          <w:tcW w:w="510" w:type="dxa"/>
        </w:tcPr>
        <w:p w:rsidR="0031493A" w:rsidRPr="00A24443" w:rsidRDefault="0031493A">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8156BF">
            <w:rPr>
              <w:rStyle w:val="PageNumber"/>
              <w:caps w:val="0"/>
              <w:noProof/>
            </w:rPr>
            <w:t>1</w:t>
          </w:r>
          <w:r w:rsidRPr="00A24443">
            <w:rPr>
              <w:rStyle w:val="PageNumber"/>
              <w:caps w:val="0"/>
            </w:rPr>
            <w:fldChar w:fldCharType="end"/>
          </w:r>
        </w:p>
      </w:tc>
    </w:tr>
  </w:tbl>
  <w:p w:rsidR="0031493A" w:rsidRDefault="0031493A">
    <w:pPr>
      <w:pStyle w:val="FooterEnd"/>
    </w:pPr>
  </w:p>
  <w:p w:rsidR="0031493A" w:rsidRDefault="0031493A">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493A" w:rsidRDefault="0031493A">
      <w:r>
        <w:separator/>
      </w:r>
    </w:p>
  </w:footnote>
  <w:footnote w:type="continuationSeparator" w:id="0">
    <w:p w:rsidR="0031493A" w:rsidRDefault="003149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31493A" w:rsidRPr="004E577D" w:rsidTr="0019293B">
      <w:tc>
        <w:tcPr>
          <w:tcW w:w="2155" w:type="dxa"/>
          <w:tcBorders>
            <w:top w:val="single" w:sz="24" w:space="0" w:color="auto"/>
          </w:tcBorders>
        </w:tcPr>
        <w:p w:rsidR="0031493A" w:rsidRDefault="0031493A" w:rsidP="0019293B">
          <w:pPr>
            <w:pStyle w:val="HeaderEven"/>
          </w:pPr>
        </w:p>
      </w:tc>
      <w:tc>
        <w:tcPr>
          <w:tcW w:w="6634" w:type="dxa"/>
          <w:tcBorders>
            <w:top w:val="single" w:sz="6" w:space="0" w:color="auto"/>
          </w:tcBorders>
        </w:tcPr>
        <w:p w:rsidR="0031493A" w:rsidRPr="004E577D" w:rsidRDefault="0031493A" w:rsidP="007B3ABE">
          <w:pPr>
            <w:pStyle w:val="HeaderEven"/>
            <w:jc w:val="right"/>
          </w:pPr>
        </w:p>
      </w:tc>
    </w:tr>
  </w:tbl>
  <w:p w:rsidR="0031493A" w:rsidRDefault="0031493A" w:rsidP="009564F2">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31493A" w:rsidTr="00E669E2">
      <w:tc>
        <w:tcPr>
          <w:tcW w:w="6634" w:type="dxa"/>
          <w:tcBorders>
            <w:top w:val="single" w:sz="6" w:space="0" w:color="auto"/>
          </w:tcBorders>
        </w:tcPr>
        <w:p w:rsidR="0031493A" w:rsidRDefault="0031493A" w:rsidP="004039FA">
          <w:pPr>
            <w:pStyle w:val="HeaderOdd"/>
          </w:pPr>
        </w:p>
      </w:tc>
      <w:tc>
        <w:tcPr>
          <w:tcW w:w="2155" w:type="dxa"/>
          <w:tcBorders>
            <w:top w:val="single" w:sz="24" w:space="0" w:color="auto"/>
          </w:tcBorders>
        </w:tcPr>
        <w:p w:rsidR="0031493A" w:rsidRDefault="0031493A" w:rsidP="00E669E2">
          <w:pPr>
            <w:pStyle w:val="HeaderOdd"/>
          </w:pPr>
        </w:p>
      </w:tc>
    </w:tr>
  </w:tbl>
  <w:p w:rsidR="0031493A" w:rsidRDefault="0031493A"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88"/>
    <w:multiLevelType w:val="singleLevel"/>
    <w:tmpl w:val="0B5AF1CA"/>
    <w:lvl w:ilvl="0">
      <w:start w:val="1"/>
      <w:numFmt w:val="decimal"/>
      <w:lvlText w:val="%1."/>
      <w:lvlJc w:val="left"/>
      <w:pPr>
        <w:tabs>
          <w:tab w:val="num" w:pos="360"/>
        </w:tabs>
        <w:ind w:left="360" w:hanging="360"/>
      </w:pPr>
    </w:lvl>
  </w:abstractNum>
  <w:abstractNum w:abstractNumId="2">
    <w:nsid w:val="FFFFFFFE"/>
    <w:multiLevelType w:val="singleLevel"/>
    <w:tmpl w:val="FFFFFFFF"/>
    <w:lvl w:ilvl="0">
      <w:numFmt w:val="decimal"/>
      <w:lvlText w:val="*"/>
      <w:lvlJc w:val="left"/>
    </w:lvl>
  </w:abstractNum>
  <w:abstractNum w:abstractNumId="3">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03E51274"/>
    <w:multiLevelType w:val="hybridMultilevel"/>
    <w:tmpl w:val="E612055C"/>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6">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7">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0">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1">
    <w:nsid w:val="1DB90439"/>
    <w:multiLevelType w:val="hybridMultilevel"/>
    <w:tmpl w:val="62C831F4"/>
    <w:lvl w:ilvl="0" w:tplc="2174B71A">
      <w:start w:val="1"/>
      <w:numFmt w:val="bullet"/>
      <w:lvlText w:val=""/>
      <w:lvlJc w:val="left"/>
      <w:pPr>
        <w:tabs>
          <w:tab w:val="num" w:pos="363"/>
        </w:tabs>
        <w:ind w:left="426" w:hanging="426"/>
      </w:pPr>
      <w:rPr>
        <w:rFonts w:ascii="Symbol" w:hAnsi="Symbol" w:hint="default"/>
        <w:color w:val="auto"/>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3">
    <w:nsid w:val="24A2040B"/>
    <w:multiLevelType w:val="hybridMultilevel"/>
    <w:tmpl w:val="71C64C02"/>
    <w:lvl w:ilvl="0" w:tplc="0C090001">
      <w:start w:val="1"/>
      <w:numFmt w:val="bullet"/>
      <w:lvlText w:val=""/>
      <w:lvlJc w:val="left"/>
      <w:pPr>
        <w:tabs>
          <w:tab w:val="num" w:pos="720"/>
        </w:tabs>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4">
    <w:nsid w:val="28A86799"/>
    <w:multiLevelType w:val="hybridMultilevel"/>
    <w:tmpl w:val="3FF4F686"/>
    <w:lvl w:ilvl="0" w:tplc="0C090001">
      <w:start w:val="1"/>
      <w:numFmt w:val="bullet"/>
      <w:lvlText w:val=""/>
      <w:lvlJc w:val="left"/>
      <w:pPr>
        <w:ind w:left="36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5">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6">
    <w:nsid w:val="2BF46D4E"/>
    <w:multiLevelType w:val="hybridMultilevel"/>
    <w:tmpl w:val="4870490A"/>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7">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8">
    <w:nsid w:val="44AA644B"/>
    <w:multiLevelType w:val="hybridMultilevel"/>
    <w:tmpl w:val="34EA6A90"/>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9">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1">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2">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3">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4">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6">
    <w:nsid w:val="68A37516"/>
    <w:multiLevelType w:val="hybridMultilevel"/>
    <w:tmpl w:val="4126A864"/>
    <w:lvl w:ilvl="0" w:tplc="0C090001">
      <w:start w:val="1"/>
      <w:numFmt w:val="bullet"/>
      <w:lvlText w:val=""/>
      <w:lvlJc w:val="left"/>
      <w:pPr>
        <w:ind w:left="718" w:hanging="360"/>
      </w:pPr>
      <w:rPr>
        <w:rFonts w:ascii="Symbol" w:hAnsi="Symbol" w:hint="default"/>
      </w:rPr>
    </w:lvl>
    <w:lvl w:ilvl="1" w:tplc="0C090003" w:tentative="1">
      <w:start w:val="1"/>
      <w:numFmt w:val="bullet"/>
      <w:lvlText w:val="o"/>
      <w:lvlJc w:val="left"/>
      <w:pPr>
        <w:ind w:left="1799" w:hanging="360"/>
      </w:pPr>
      <w:rPr>
        <w:rFonts w:ascii="Courier New" w:hAnsi="Courier New" w:cs="Courier New" w:hint="default"/>
      </w:rPr>
    </w:lvl>
    <w:lvl w:ilvl="2" w:tplc="0C090005" w:tentative="1">
      <w:start w:val="1"/>
      <w:numFmt w:val="bullet"/>
      <w:lvlText w:val=""/>
      <w:lvlJc w:val="left"/>
      <w:pPr>
        <w:ind w:left="2519" w:hanging="360"/>
      </w:pPr>
      <w:rPr>
        <w:rFonts w:ascii="Wingdings" w:hAnsi="Wingdings" w:hint="default"/>
      </w:rPr>
    </w:lvl>
    <w:lvl w:ilvl="3" w:tplc="0C090001" w:tentative="1">
      <w:start w:val="1"/>
      <w:numFmt w:val="bullet"/>
      <w:lvlText w:val=""/>
      <w:lvlJc w:val="left"/>
      <w:pPr>
        <w:ind w:left="3239" w:hanging="360"/>
      </w:pPr>
      <w:rPr>
        <w:rFonts w:ascii="Symbol" w:hAnsi="Symbol" w:hint="default"/>
      </w:rPr>
    </w:lvl>
    <w:lvl w:ilvl="4" w:tplc="0C090003" w:tentative="1">
      <w:start w:val="1"/>
      <w:numFmt w:val="bullet"/>
      <w:lvlText w:val="o"/>
      <w:lvlJc w:val="left"/>
      <w:pPr>
        <w:ind w:left="3959" w:hanging="360"/>
      </w:pPr>
      <w:rPr>
        <w:rFonts w:ascii="Courier New" w:hAnsi="Courier New" w:cs="Courier New" w:hint="default"/>
      </w:rPr>
    </w:lvl>
    <w:lvl w:ilvl="5" w:tplc="0C090005" w:tentative="1">
      <w:start w:val="1"/>
      <w:numFmt w:val="bullet"/>
      <w:lvlText w:val=""/>
      <w:lvlJc w:val="left"/>
      <w:pPr>
        <w:ind w:left="4679" w:hanging="360"/>
      </w:pPr>
      <w:rPr>
        <w:rFonts w:ascii="Wingdings" w:hAnsi="Wingdings" w:hint="default"/>
      </w:rPr>
    </w:lvl>
    <w:lvl w:ilvl="6" w:tplc="0C090001" w:tentative="1">
      <w:start w:val="1"/>
      <w:numFmt w:val="bullet"/>
      <w:lvlText w:val=""/>
      <w:lvlJc w:val="left"/>
      <w:pPr>
        <w:ind w:left="5399" w:hanging="360"/>
      </w:pPr>
      <w:rPr>
        <w:rFonts w:ascii="Symbol" w:hAnsi="Symbol" w:hint="default"/>
      </w:rPr>
    </w:lvl>
    <w:lvl w:ilvl="7" w:tplc="0C090003" w:tentative="1">
      <w:start w:val="1"/>
      <w:numFmt w:val="bullet"/>
      <w:lvlText w:val="o"/>
      <w:lvlJc w:val="left"/>
      <w:pPr>
        <w:ind w:left="6119" w:hanging="360"/>
      </w:pPr>
      <w:rPr>
        <w:rFonts w:ascii="Courier New" w:hAnsi="Courier New" w:cs="Courier New" w:hint="default"/>
      </w:rPr>
    </w:lvl>
    <w:lvl w:ilvl="8" w:tplc="0C090005" w:tentative="1">
      <w:start w:val="1"/>
      <w:numFmt w:val="bullet"/>
      <w:lvlText w:val=""/>
      <w:lvlJc w:val="left"/>
      <w:pPr>
        <w:ind w:left="6839" w:hanging="360"/>
      </w:pPr>
      <w:rPr>
        <w:rFonts w:ascii="Wingdings" w:hAnsi="Wingdings" w:hint="default"/>
      </w:rPr>
    </w:lvl>
  </w:abstractNum>
  <w:abstractNum w:abstractNumId="27">
    <w:nsid w:val="70B51DCE"/>
    <w:multiLevelType w:val="hybridMultilevel"/>
    <w:tmpl w:val="8BFCD68E"/>
    <w:lvl w:ilvl="0" w:tplc="AB80F758">
      <w:start w:val="1"/>
      <w:numFmt w:val="bullet"/>
      <w:pStyle w:val="DQITableBullet2"/>
      <w:lvlText w:val="–"/>
      <w:lvlJc w:val="left"/>
      <w:pPr>
        <w:ind w:left="720" w:hanging="360"/>
      </w:pPr>
      <w:rPr>
        <w:rFonts w:ascii="Lucida Sans" w:hAnsi="Lucida Sans" w:hint="default"/>
        <w:b w:val="0"/>
        <w:i w:val="0"/>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9">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30">
    <w:nsid w:val="7CA62F6B"/>
    <w:multiLevelType w:val="hybridMultilevel"/>
    <w:tmpl w:val="C518A072"/>
    <w:lvl w:ilvl="0" w:tplc="87A8C9B6">
      <w:start w:val="1"/>
      <w:numFmt w:val="bullet"/>
      <w:pStyle w:val="DQITable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7"/>
  </w:num>
  <w:num w:numId="2">
    <w:abstractNumId w:val="6"/>
  </w:num>
  <w:num w:numId="3">
    <w:abstractNumId w:val="28"/>
  </w:num>
  <w:num w:numId="4">
    <w:abstractNumId w:val="3"/>
  </w:num>
  <w:num w:numId="5">
    <w:abstractNumId w:val="20"/>
  </w:num>
  <w:num w:numId="6">
    <w:abstractNumId w:val="5"/>
  </w:num>
  <w:num w:numId="7">
    <w:abstractNumId w:val="25"/>
  </w:num>
  <w:num w:numId="8">
    <w:abstractNumId w:val="22"/>
  </w:num>
  <w:num w:numId="9">
    <w:abstractNumId w:val="29"/>
  </w:num>
  <w:num w:numId="10">
    <w:abstractNumId w:val="9"/>
  </w:num>
  <w:num w:numId="11">
    <w:abstractNumId w:val="21"/>
  </w:num>
  <w:num w:numId="12">
    <w:abstractNumId w:val="8"/>
  </w:num>
  <w:num w:numId="13">
    <w:abstractNumId w:val="7"/>
  </w:num>
  <w:num w:numId="14">
    <w:abstractNumId w:val="12"/>
  </w:num>
  <w:num w:numId="1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num>
  <w:num w:numId="19">
    <w:abstractNumId w:val="18"/>
  </w:num>
  <w:num w:numId="20">
    <w:abstractNumId w:val="26"/>
  </w:num>
  <w:num w:numId="21">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num>
  <w:num w:numId="23">
    <w:abstractNumId w:val="23"/>
  </w:num>
  <w:num w:numId="24">
    <w:abstractNumId w:val="19"/>
  </w:num>
  <w:num w:numId="25">
    <w:abstractNumId w:val="24"/>
  </w:num>
  <w:num w:numId="26">
    <w:abstractNumId w:val="10"/>
  </w:num>
  <w:num w:numId="27">
    <w:abstractNumId w:val="27"/>
  </w:num>
  <w:num w:numId="28">
    <w:abstractNumId w:val="30"/>
  </w:num>
  <w:num w:numId="29">
    <w:abstractNumId w:val="7"/>
  </w:num>
  <w:num w:numId="30">
    <w:abstractNumId w:val="7"/>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num>
  <w:num w:numId="34">
    <w:abstractNumId w:val="2"/>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35">
    <w:abstractNumId w:val="4"/>
  </w:num>
  <w:num w:numId="36">
    <w:abstractNumId w:val="2"/>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37">
    <w:abstractNumId w:val="1"/>
  </w:num>
  <w:num w:numId="3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num>
  <w:num w:numId="40">
    <w:abstractNumId w:val="2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1771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G"/>
    <w:docVar w:name="FindingOptions" w:val="1"/>
    <w:docVar w:name="RecOptions" w:val="111"/>
    <w:docVar w:name="ShortChapterTitle" w:val="Vocational Education and Training DQI"/>
    <w:docVar w:name="ShortReportTitle" w:val="Report on Government Services 2012"/>
  </w:docVars>
  <w:rsids>
    <w:rsidRoot w:val="00B96E3E"/>
    <w:rsid w:val="0000415A"/>
    <w:rsid w:val="00004672"/>
    <w:rsid w:val="000049CE"/>
    <w:rsid w:val="00010854"/>
    <w:rsid w:val="0001085B"/>
    <w:rsid w:val="000153D0"/>
    <w:rsid w:val="00020080"/>
    <w:rsid w:val="000260A5"/>
    <w:rsid w:val="00032021"/>
    <w:rsid w:val="000337E3"/>
    <w:rsid w:val="00033993"/>
    <w:rsid w:val="00035368"/>
    <w:rsid w:val="0003664B"/>
    <w:rsid w:val="000368CD"/>
    <w:rsid w:val="00037CB0"/>
    <w:rsid w:val="0004111F"/>
    <w:rsid w:val="00043C13"/>
    <w:rsid w:val="00044DFB"/>
    <w:rsid w:val="00045013"/>
    <w:rsid w:val="00050B54"/>
    <w:rsid w:val="00055D1F"/>
    <w:rsid w:val="0005632F"/>
    <w:rsid w:val="00062BC0"/>
    <w:rsid w:val="00063E84"/>
    <w:rsid w:val="000659D4"/>
    <w:rsid w:val="0006639A"/>
    <w:rsid w:val="00066833"/>
    <w:rsid w:val="0006762E"/>
    <w:rsid w:val="00070798"/>
    <w:rsid w:val="0007150B"/>
    <w:rsid w:val="00072B50"/>
    <w:rsid w:val="00075E0C"/>
    <w:rsid w:val="00081A86"/>
    <w:rsid w:val="000828AF"/>
    <w:rsid w:val="000878F0"/>
    <w:rsid w:val="00090401"/>
    <w:rsid w:val="000938F5"/>
    <w:rsid w:val="000957B4"/>
    <w:rsid w:val="00096F99"/>
    <w:rsid w:val="00097E19"/>
    <w:rsid w:val="000A0627"/>
    <w:rsid w:val="000A0BB0"/>
    <w:rsid w:val="000B601B"/>
    <w:rsid w:val="000C11D1"/>
    <w:rsid w:val="000C207E"/>
    <w:rsid w:val="000C263E"/>
    <w:rsid w:val="000C4901"/>
    <w:rsid w:val="000D08A8"/>
    <w:rsid w:val="000D16DE"/>
    <w:rsid w:val="000D1F3A"/>
    <w:rsid w:val="000D221E"/>
    <w:rsid w:val="000D4A50"/>
    <w:rsid w:val="000D56BA"/>
    <w:rsid w:val="000E3B7C"/>
    <w:rsid w:val="000E6F99"/>
    <w:rsid w:val="000F4744"/>
    <w:rsid w:val="000F64E7"/>
    <w:rsid w:val="000F719B"/>
    <w:rsid w:val="00100CAF"/>
    <w:rsid w:val="00101653"/>
    <w:rsid w:val="00106F9F"/>
    <w:rsid w:val="00107F88"/>
    <w:rsid w:val="00110116"/>
    <w:rsid w:val="00115554"/>
    <w:rsid w:val="00115F58"/>
    <w:rsid w:val="00126EB8"/>
    <w:rsid w:val="001305D2"/>
    <w:rsid w:val="00135150"/>
    <w:rsid w:val="001363AA"/>
    <w:rsid w:val="00155DF2"/>
    <w:rsid w:val="00156D50"/>
    <w:rsid w:val="00163E8D"/>
    <w:rsid w:val="001654FD"/>
    <w:rsid w:val="00165A9D"/>
    <w:rsid w:val="00173352"/>
    <w:rsid w:val="00173BD2"/>
    <w:rsid w:val="0018246A"/>
    <w:rsid w:val="00190192"/>
    <w:rsid w:val="0019293B"/>
    <w:rsid w:val="001939EA"/>
    <w:rsid w:val="00195291"/>
    <w:rsid w:val="00196EAD"/>
    <w:rsid w:val="0019761A"/>
    <w:rsid w:val="001A14AB"/>
    <w:rsid w:val="001A6E25"/>
    <w:rsid w:val="001A7053"/>
    <w:rsid w:val="001A7971"/>
    <w:rsid w:val="001B698F"/>
    <w:rsid w:val="001C0865"/>
    <w:rsid w:val="001C1401"/>
    <w:rsid w:val="001C3318"/>
    <w:rsid w:val="001C3ABA"/>
    <w:rsid w:val="001C4615"/>
    <w:rsid w:val="001C76AC"/>
    <w:rsid w:val="001C7F97"/>
    <w:rsid w:val="001D0FDF"/>
    <w:rsid w:val="001D1BF0"/>
    <w:rsid w:val="001D2E50"/>
    <w:rsid w:val="001D35B6"/>
    <w:rsid w:val="001D3CBE"/>
    <w:rsid w:val="001E21E9"/>
    <w:rsid w:val="001E4613"/>
    <w:rsid w:val="001E7BE8"/>
    <w:rsid w:val="001F0248"/>
    <w:rsid w:val="001F3829"/>
    <w:rsid w:val="001F424E"/>
    <w:rsid w:val="00202C2C"/>
    <w:rsid w:val="00203D32"/>
    <w:rsid w:val="00204533"/>
    <w:rsid w:val="00206097"/>
    <w:rsid w:val="00210245"/>
    <w:rsid w:val="00210501"/>
    <w:rsid w:val="00211652"/>
    <w:rsid w:val="00211855"/>
    <w:rsid w:val="0021260D"/>
    <w:rsid w:val="0021621B"/>
    <w:rsid w:val="00222A89"/>
    <w:rsid w:val="002242C5"/>
    <w:rsid w:val="00227152"/>
    <w:rsid w:val="0023416C"/>
    <w:rsid w:val="002371BA"/>
    <w:rsid w:val="00237E9A"/>
    <w:rsid w:val="00240478"/>
    <w:rsid w:val="00241EEE"/>
    <w:rsid w:val="00242279"/>
    <w:rsid w:val="002465BD"/>
    <w:rsid w:val="00247F7B"/>
    <w:rsid w:val="00250E9B"/>
    <w:rsid w:val="002527FD"/>
    <w:rsid w:val="00252BE8"/>
    <w:rsid w:val="00256302"/>
    <w:rsid w:val="00256C31"/>
    <w:rsid w:val="00257902"/>
    <w:rsid w:val="00264501"/>
    <w:rsid w:val="00264E09"/>
    <w:rsid w:val="0027091E"/>
    <w:rsid w:val="002714B9"/>
    <w:rsid w:val="0027369E"/>
    <w:rsid w:val="0027495C"/>
    <w:rsid w:val="00275F3D"/>
    <w:rsid w:val="00276D92"/>
    <w:rsid w:val="00282B08"/>
    <w:rsid w:val="0029053E"/>
    <w:rsid w:val="00291B40"/>
    <w:rsid w:val="00291D34"/>
    <w:rsid w:val="002A02D9"/>
    <w:rsid w:val="002A1228"/>
    <w:rsid w:val="002A41B6"/>
    <w:rsid w:val="002B126A"/>
    <w:rsid w:val="002B287E"/>
    <w:rsid w:val="002B4008"/>
    <w:rsid w:val="002B4CC9"/>
    <w:rsid w:val="002B7AF0"/>
    <w:rsid w:val="002D0E8E"/>
    <w:rsid w:val="002D2910"/>
    <w:rsid w:val="002D3C38"/>
    <w:rsid w:val="002D3D2F"/>
    <w:rsid w:val="002E248B"/>
    <w:rsid w:val="002E6155"/>
    <w:rsid w:val="002E771E"/>
    <w:rsid w:val="002F3261"/>
    <w:rsid w:val="00300D14"/>
    <w:rsid w:val="00301189"/>
    <w:rsid w:val="00302802"/>
    <w:rsid w:val="00302C68"/>
    <w:rsid w:val="00306C50"/>
    <w:rsid w:val="0030756B"/>
    <w:rsid w:val="003128CC"/>
    <w:rsid w:val="00313A9F"/>
    <w:rsid w:val="0031493A"/>
    <w:rsid w:val="0032345F"/>
    <w:rsid w:val="00323E09"/>
    <w:rsid w:val="00327525"/>
    <w:rsid w:val="0033121A"/>
    <w:rsid w:val="00331500"/>
    <w:rsid w:val="003320B7"/>
    <w:rsid w:val="00333932"/>
    <w:rsid w:val="00333C1E"/>
    <w:rsid w:val="003427EC"/>
    <w:rsid w:val="0034473B"/>
    <w:rsid w:val="003518AA"/>
    <w:rsid w:val="00351D77"/>
    <w:rsid w:val="00353182"/>
    <w:rsid w:val="00356250"/>
    <w:rsid w:val="00357160"/>
    <w:rsid w:val="003602E1"/>
    <w:rsid w:val="00371240"/>
    <w:rsid w:val="003734AC"/>
    <w:rsid w:val="00374731"/>
    <w:rsid w:val="003756D7"/>
    <w:rsid w:val="00377BB6"/>
    <w:rsid w:val="00377E23"/>
    <w:rsid w:val="003831B0"/>
    <w:rsid w:val="003917CB"/>
    <w:rsid w:val="00391AC1"/>
    <w:rsid w:val="00395D4C"/>
    <w:rsid w:val="00395EF2"/>
    <w:rsid w:val="003968F4"/>
    <w:rsid w:val="003B11B3"/>
    <w:rsid w:val="003B2856"/>
    <w:rsid w:val="003B4408"/>
    <w:rsid w:val="003B6FF3"/>
    <w:rsid w:val="003B7067"/>
    <w:rsid w:val="003C0077"/>
    <w:rsid w:val="003C2BC2"/>
    <w:rsid w:val="003C38B5"/>
    <w:rsid w:val="003C3B5D"/>
    <w:rsid w:val="003C3EC4"/>
    <w:rsid w:val="003C5D99"/>
    <w:rsid w:val="003D34A8"/>
    <w:rsid w:val="003D7904"/>
    <w:rsid w:val="003E0195"/>
    <w:rsid w:val="003E592A"/>
    <w:rsid w:val="003F0291"/>
    <w:rsid w:val="003F02FD"/>
    <w:rsid w:val="003F0789"/>
    <w:rsid w:val="003F51AC"/>
    <w:rsid w:val="00401882"/>
    <w:rsid w:val="004038B4"/>
    <w:rsid w:val="004039FA"/>
    <w:rsid w:val="00404F8B"/>
    <w:rsid w:val="004052E5"/>
    <w:rsid w:val="004100C8"/>
    <w:rsid w:val="00412ACE"/>
    <w:rsid w:val="00414A47"/>
    <w:rsid w:val="00417A45"/>
    <w:rsid w:val="00425CF8"/>
    <w:rsid w:val="00426478"/>
    <w:rsid w:val="004279EE"/>
    <w:rsid w:val="00431249"/>
    <w:rsid w:val="00434C19"/>
    <w:rsid w:val="004366E5"/>
    <w:rsid w:val="00440520"/>
    <w:rsid w:val="0044294E"/>
    <w:rsid w:val="00442BDE"/>
    <w:rsid w:val="004446C7"/>
    <w:rsid w:val="00450810"/>
    <w:rsid w:val="00452BA9"/>
    <w:rsid w:val="004633B4"/>
    <w:rsid w:val="004671F8"/>
    <w:rsid w:val="0046785D"/>
    <w:rsid w:val="00471309"/>
    <w:rsid w:val="0047376D"/>
    <w:rsid w:val="00477144"/>
    <w:rsid w:val="00477897"/>
    <w:rsid w:val="004812E7"/>
    <w:rsid w:val="004817C1"/>
    <w:rsid w:val="004821DF"/>
    <w:rsid w:val="004856F7"/>
    <w:rsid w:val="00487576"/>
    <w:rsid w:val="0049304C"/>
    <w:rsid w:val="004932E5"/>
    <w:rsid w:val="004935CD"/>
    <w:rsid w:val="0049459F"/>
    <w:rsid w:val="00495FF8"/>
    <w:rsid w:val="004A6E56"/>
    <w:rsid w:val="004A6FD8"/>
    <w:rsid w:val="004A75E6"/>
    <w:rsid w:val="004B3086"/>
    <w:rsid w:val="004B43AE"/>
    <w:rsid w:val="004B588F"/>
    <w:rsid w:val="004B685E"/>
    <w:rsid w:val="004B7494"/>
    <w:rsid w:val="004C30ED"/>
    <w:rsid w:val="004C5787"/>
    <w:rsid w:val="004C690A"/>
    <w:rsid w:val="004C7CE7"/>
    <w:rsid w:val="004D2892"/>
    <w:rsid w:val="004E5241"/>
    <w:rsid w:val="004E577D"/>
    <w:rsid w:val="004E6A74"/>
    <w:rsid w:val="004E6E5C"/>
    <w:rsid w:val="004E6E88"/>
    <w:rsid w:val="004F3723"/>
    <w:rsid w:val="004F37A7"/>
    <w:rsid w:val="004F54E5"/>
    <w:rsid w:val="004F62FD"/>
    <w:rsid w:val="004F6D5D"/>
    <w:rsid w:val="004F7C4C"/>
    <w:rsid w:val="00501EF8"/>
    <w:rsid w:val="00504F21"/>
    <w:rsid w:val="0050738F"/>
    <w:rsid w:val="00507BC7"/>
    <w:rsid w:val="00513314"/>
    <w:rsid w:val="005158B1"/>
    <w:rsid w:val="005167FD"/>
    <w:rsid w:val="0052242A"/>
    <w:rsid w:val="00525FCB"/>
    <w:rsid w:val="005276AC"/>
    <w:rsid w:val="00530DD3"/>
    <w:rsid w:val="0053401B"/>
    <w:rsid w:val="005366F2"/>
    <w:rsid w:val="00544E63"/>
    <w:rsid w:val="005455AC"/>
    <w:rsid w:val="00546B24"/>
    <w:rsid w:val="0055207C"/>
    <w:rsid w:val="00555BDF"/>
    <w:rsid w:val="0055658E"/>
    <w:rsid w:val="00557414"/>
    <w:rsid w:val="00560346"/>
    <w:rsid w:val="0056248A"/>
    <w:rsid w:val="00563A3B"/>
    <w:rsid w:val="0056691F"/>
    <w:rsid w:val="00582208"/>
    <w:rsid w:val="00582497"/>
    <w:rsid w:val="00582952"/>
    <w:rsid w:val="00583C39"/>
    <w:rsid w:val="005909CF"/>
    <w:rsid w:val="00591E71"/>
    <w:rsid w:val="005926CE"/>
    <w:rsid w:val="00593810"/>
    <w:rsid w:val="00593F78"/>
    <w:rsid w:val="005970A0"/>
    <w:rsid w:val="005A0D14"/>
    <w:rsid w:val="005A1D61"/>
    <w:rsid w:val="005A4448"/>
    <w:rsid w:val="005A5ACB"/>
    <w:rsid w:val="005B11D7"/>
    <w:rsid w:val="005C1818"/>
    <w:rsid w:val="005C68B0"/>
    <w:rsid w:val="005C7CE6"/>
    <w:rsid w:val="005D5C2F"/>
    <w:rsid w:val="005E066E"/>
    <w:rsid w:val="005E0963"/>
    <w:rsid w:val="005E2844"/>
    <w:rsid w:val="005E605C"/>
    <w:rsid w:val="005F03FC"/>
    <w:rsid w:val="005F2A29"/>
    <w:rsid w:val="00604F9C"/>
    <w:rsid w:val="00607BAA"/>
    <w:rsid w:val="00607BF1"/>
    <w:rsid w:val="00612D94"/>
    <w:rsid w:val="00613148"/>
    <w:rsid w:val="0062597F"/>
    <w:rsid w:val="00630D4D"/>
    <w:rsid w:val="00632A74"/>
    <w:rsid w:val="006340A3"/>
    <w:rsid w:val="00635344"/>
    <w:rsid w:val="00636B8C"/>
    <w:rsid w:val="00636D68"/>
    <w:rsid w:val="00636DF3"/>
    <w:rsid w:val="00644B3E"/>
    <w:rsid w:val="00645C35"/>
    <w:rsid w:val="00647BAE"/>
    <w:rsid w:val="00654066"/>
    <w:rsid w:val="0066417F"/>
    <w:rsid w:val="00664264"/>
    <w:rsid w:val="00664513"/>
    <w:rsid w:val="00666D1D"/>
    <w:rsid w:val="0067365B"/>
    <w:rsid w:val="00680521"/>
    <w:rsid w:val="0068153D"/>
    <w:rsid w:val="006820B5"/>
    <w:rsid w:val="006824D5"/>
    <w:rsid w:val="0068457F"/>
    <w:rsid w:val="00684DB8"/>
    <w:rsid w:val="00695038"/>
    <w:rsid w:val="0069744C"/>
    <w:rsid w:val="006A049E"/>
    <w:rsid w:val="006A05F1"/>
    <w:rsid w:val="006A10EE"/>
    <w:rsid w:val="006A1137"/>
    <w:rsid w:val="006A12BD"/>
    <w:rsid w:val="006A4655"/>
    <w:rsid w:val="006A6253"/>
    <w:rsid w:val="006A6DDF"/>
    <w:rsid w:val="006A70F4"/>
    <w:rsid w:val="006B0837"/>
    <w:rsid w:val="006B61B4"/>
    <w:rsid w:val="006C3528"/>
    <w:rsid w:val="006C4C8F"/>
    <w:rsid w:val="006C4D76"/>
    <w:rsid w:val="006C668A"/>
    <w:rsid w:val="006C7038"/>
    <w:rsid w:val="006E0230"/>
    <w:rsid w:val="006E0702"/>
    <w:rsid w:val="006E3ED4"/>
    <w:rsid w:val="006E6135"/>
    <w:rsid w:val="006E73EF"/>
    <w:rsid w:val="006F0D3C"/>
    <w:rsid w:val="006F1EBC"/>
    <w:rsid w:val="006F4072"/>
    <w:rsid w:val="006F5A92"/>
    <w:rsid w:val="00702250"/>
    <w:rsid w:val="007047F5"/>
    <w:rsid w:val="00704CE4"/>
    <w:rsid w:val="007056F1"/>
    <w:rsid w:val="007064E9"/>
    <w:rsid w:val="007066FD"/>
    <w:rsid w:val="007137BC"/>
    <w:rsid w:val="00715A0B"/>
    <w:rsid w:val="00716CC0"/>
    <w:rsid w:val="00722AD4"/>
    <w:rsid w:val="00724E2A"/>
    <w:rsid w:val="00730827"/>
    <w:rsid w:val="00731481"/>
    <w:rsid w:val="00735300"/>
    <w:rsid w:val="007371E2"/>
    <w:rsid w:val="007444FB"/>
    <w:rsid w:val="00752201"/>
    <w:rsid w:val="00753515"/>
    <w:rsid w:val="00754F93"/>
    <w:rsid w:val="007553F3"/>
    <w:rsid w:val="007604BB"/>
    <w:rsid w:val="00761A39"/>
    <w:rsid w:val="00764492"/>
    <w:rsid w:val="00765BDA"/>
    <w:rsid w:val="00772353"/>
    <w:rsid w:val="00772DAD"/>
    <w:rsid w:val="00780782"/>
    <w:rsid w:val="00781C46"/>
    <w:rsid w:val="00783FDA"/>
    <w:rsid w:val="00794B4C"/>
    <w:rsid w:val="007A0D49"/>
    <w:rsid w:val="007A21EB"/>
    <w:rsid w:val="007A265A"/>
    <w:rsid w:val="007A3119"/>
    <w:rsid w:val="007A764E"/>
    <w:rsid w:val="007B3ABE"/>
    <w:rsid w:val="007B63F5"/>
    <w:rsid w:val="007B68DE"/>
    <w:rsid w:val="007C0724"/>
    <w:rsid w:val="007C36C9"/>
    <w:rsid w:val="007C43EC"/>
    <w:rsid w:val="007C736C"/>
    <w:rsid w:val="007C79D3"/>
    <w:rsid w:val="007C79DA"/>
    <w:rsid w:val="007D0BFD"/>
    <w:rsid w:val="007D21A0"/>
    <w:rsid w:val="007D57F5"/>
    <w:rsid w:val="007D66CA"/>
    <w:rsid w:val="007E01E4"/>
    <w:rsid w:val="007E1567"/>
    <w:rsid w:val="007E2755"/>
    <w:rsid w:val="007E364C"/>
    <w:rsid w:val="007E6B15"/>
    <w:rsid w:val="007E6C3A"/>
    <w:rsid w:val="007F080D"/>
    <w:rsid w:val="007F08C2"/>
    <w:rsid w:val="007F2378"/>
    <w:rsid w:val="007F7107"/>
    <w:rsid w:val="00801895"/>
    <w:rsid w:val="00803FAD"/>
    <w:rsid w:val="0081030F"/>
    <w:rsid w:val="008112E0"/>
    <w:rsid w:val="00813ABE"/>
    <w:rsid w:val="00814046"/>
    <w:rsid w:val="008156BF"/>
    <w:rsid w:val="0082087D"/>
    <w:rsid w:val="00823B25"/>
    <w:rsid w:val="0082557D"/>
    <w:rsid w:val="00827604"/>
    <w:rsid w:val="00833D17"/>
    <w:rsid w:val="008353B9"/>
    <w:rsid w:val="00837518"/>
    <w:rsid w:val="008377E7"/>
    <w:rsid w:val="008404F2"/>
    <w:rsid w:val="008447A7"/>
    <w:rsid w:val="00853268"/>
    <w:rsid w:val="00854AF1"/>
    <w:rsid w:val="00857672"/>
    <w:rsid w:val="0086082C"/>
    <w:rsid w:val="00860E73"/>
    <w:rsid w:val="00864ADC"/>
    <w:rsid w:val="00866E62"/>
    <w:rsid w:val="00873488"/>
    <w:rsid w:val="00874DB4"/>
    <w:rsid w:val="00876C21"/>
    <w:rsid w:val="0087737B"/>
    <w:rsid w:val="00880153"/>
    <w:rsid w:val="00880F97"/>
    <w:rsid w:val="0088133A"/>
    <w:rsid w:val="00883DCF"/>
    <w:rsid w:val="00885C6B"/>
    <w:rsid w:val="00887858"/>
    <w:rsid w:val="00891D67"/>
    <w:rsid w:val="0089285E"/>
    <w:rsid w:val="008929C7"/>
    <w:rsid w:val="0089436C"/>
    <w:rsid w:val="008A48B7"/>
    <w:rsid w:val="008B3447"/>
    <w:rsid w:val="008C00BE"/>
    <w:rsid w:val="008C2C4D"/>
    <w:rsid w:val="008C2EAF"/>
    <w:rsid w:val="008C50BE"/>
    <w:rsid w:val="008D00CF"/>
    <w:rsid w:val="008D2118"/>
    <w:rsid w:val="008D3CEB"/>
    <w:rsid w:val="008D49F1"/>
    <w:rsid w:val="008E16E3"/>
    <w:rsid w:val="008F2084"/>
    <w:rsid w:val="008F229C"/>
    <w:rsid w:val="008F23A1"/>
    <w:rsid w:val="008F31BE"/>
    <w:rsid w:val="008F4871"/>
    <w:rsid w:val="008F7987"/>
    <w:rsid w:val="009012EA"/>
    <w:rsid w:val="00902803"/>
    <w:rsid w:val="009030BF"/>
    <w:rsid w:val="00905E38"/>
    <w:rsid w:val="0090683B"/>
    <w:rsid w:val="00906994"/>
    <w:rsid w:val="009106F0"/>
    <w:rsid w:val="00910800"/>
    <w:rsid w:val="00910E51"/>
    <w:rsid w:val="009122D6"/>
    <w:rsid w:val="00914368"/>
    <w:rsid w:val="00915232"/>
    <w:rsid w:val="00916C50"/>
    <w:rsid w:val="00917109"/>
    <w:rsid w:val="009178BD"/>
    <w:rsid w:val="00920D11"/>
    <w:rsid w:val="00921861"/>
    <w:rsid w:val="009309BB"/>
    <w:rsid w:val="00931076"/>
    <w:rsid w:val="009345D9"/>
    <w:rsid w:val="00934A89"/>
    <w:rsid w:val="00934B15"/>
    <w:rsid w:val="0093534E"/>
    <w:rsid w:val="00937F9F"/>
    <w:rsid w:val="00942B62"/>
    <w:rsid w:val="00944C01"/>
    <w:rsid w:val="00944D4A"/>
    <w:rsid w:val="009517F3"/>
    <w:rsid w:val="00955B16"/>
    <w:rsid w:val="009564F2"/>
    <w:rsid w:val="00956A0C"/>
    <w:rsid w:val="00956BD9"/>
    <w:rsid w:val="00962489"/>
    <w:rsid w:val="009626EE"/>
    <w:rsid w:val="009630F0"/>
    <w:rsid w:val="00964D1A"/>
    <w:rsid w:val="00965610"/>
    <w:rsid w:val="009661FD"/>
    <w:rsid w:val="00966CF5"/>
    <w:rsid w:val="0097125C"/>
    <w:rsid w:val="00972785"/>
    <w:rsid w:val="00980CE7"/>
    <w:rsid w:val="0098114E"/>
    <w:rsid w:val="00984DC3"/>
    <w:rsid w:val="00986035"/>
    <w:rsid w:val="00991FB8"/>
    <w:rsid w:val="00995521"/>
    <w:rsid w:val="0099620F"/>
    <w:rsid w:val="0099785F"/>
    <w:rsid w:val="009A19A9"/>
    <w:rsid w:val="009A1F4C"/>
    <w:rsid w:val="009A6E2F"/>
    <w:rsid w:val="009B18A0"/>
    <w:rsid w:val="009B1A18"/>
    <w:rsid w:val="009B3823"/>
    <w:rsid w:val="009B547D"/>
    <w:rsid w:val="009B7469"/>
    <w:rsid w:val="009D2674"/>
    <w:rsid w:val="009D2BB2"/>
    <w:rsid w:val="009D5D88"/>
    <w:rsid w:val="009D6827"/>
    <w:rsid w:val="009E150E"/>
    <w:rsid w:val="009E27B8"/>
    <w:rsid w:val="009E4070"/>
    <w:rsid w:val="009E4FAF"/>
    <w:rsid w:val="009E76E0"/>
    <w:rsid w:val="009F14EE"/>
    <w:rsid w:val="009F199D"/>
    <w:rsid w:val="009F24D8"/>
    <w:rsid w:val="009F696D"/>
    <w:rsid w:val="009F6BC6"/>
    <w:rsid w:val="00A00BBA"/>
    <w:rsid w:val="00A01AF2"/>
    <w:rsid w:val="00A0683E"/>
    <w:rsid w:val="00A121DC"/>
    <w:rsid w:val="00A12BEA"/>
    <w:rsid w:val="00A16EAC"/>
    <w:rsid w:val="00A17328"/>
    <w:rsid w:val="00A200CD"/>
    <w:rsid w:val="00A239BB"/>
    <w:rsid w:val="00A24340"/>
    <w:rsid w:val="00A244B2"/>
    <w:rsid w:val="00A2703A"/>
    <w:rsid w:val="00A31A65"/>
    <w:rsid w:val="00A322A6"/>
    <w:rsid w:val="00A3292F"/>
    <w:rsid w:val="00A33879"/>
    <w:rsid w:val="00A33DA6"/>
    <w:rsid w:val="00A33DFF"/>
    <w:rsid w:val="00A35115"/>
    <w:rsid w:val="00A3758E"/>
    <w:rsid w:val="00A377A9"/>
    <w:rsid w:val="00A44746"/>
    <w:rsid w:val="00A45370"/>
    <w:rsid w:val="00A50EE0"/>
    <w:rsid w:val="00A554AB"/>
    <w:rsid w:val="00A56B7B"/>
    <w:rsid w:val="00A71422"/>
    <w:rsid w:val="00A7432A"/>
    <w:rsid w:val="00A74624"/>
    <w:rsid w:val="00A75B94"/>
    <w:rsid w:val="00A76F77"/>
    <w:rsid w:val="00A81D68"/>
    <w:rsid w:val="00A8335A"/>
    <w:rsid w:val="00A83ED7"/>
    <w:rsid w:val="00A83F90"/>
    <w:rsid w:val="00A918A7"/>
    <w:rsid w:val="00A91952"/>
    <w:rsid w:val="00A94726"/>
    <w:rsid w:val="00A94FA6"/>
    <w:rsid w:val="00A95137"/>
    <w:rsid w:val="00A95241"/>
    <w:rsid w:val="00A97467"/>
    <w:rsid w:val="00AA4D9D"/>
    <w:rsid w:val="00AA6710"/>
    <w:rsid w:val="00AB0681"/>
    <w:rsid w:val="00AB1021"/>
    <w:rsid w:val="00AB1E79"/>
    <w:rsid w:val="00AB73E4"/>
    <w:rsid w:val="00AC25DC"/>
    <w:rsid w:val="00AC6252"/>
    <w:rsid w:val="00AD211C"/>
    <w:rsid w:val="00AD22CA"/>
    <w:rsid w:val="00AD368D"/>
    <w:rsid w:val="00AD3934"/>
    <w:rsid w:val="00AD77E4"/>
    <w:rsid w:val="00AE2DAF"/>
    <w:rsid w:val="00AE2DD3"/>
    <w:rsid w:val="00AE4993"/>
    <w:rsid w:val="00AF194F"/>
    <w:rsid w:val="00AF737D"/>
    <w:rsid w:val="00B0510B"/>
    <w:rsid w:val="00B05A88"/>
    <w:rsid w:val="00B10B3B"/>
    <w:rsid w:val="00B11361"/>
    <w:rsid w:val="00B216F7"/>
    <w:rsid w:val="00B22002"/>
    <w:rsid w:val="00B22C32"/>
    <w:rsid w:val="00B27699"/>
    <w:rsid w:val="00B303E8"/>
    <w:rsid w:val="00B32D65"/>
    <w:rsid w:val="00B4343A"/>
    <w:rsid w:val="00B50306"/>
    <w:rsid w:val="00B53114"/>
    <w:rsid w:val="00B5376F"/>
    <w:rsid w:val="00B53E7E"/>
    <w:rsid w:val="00B53E80"/>
    <w:rsid w:val="00B540BC"/>
    <w:rsid w:val="00B5583F"/>
    <w:rsid w:val="00B6318D"/>
    <w:rsid w:val="00B6342E"/>
    <w:rsid w:val="00B651D5"/>
    <w:rsid w:val="00B67DFA"/>
    <w:rsid w:val="00B70FFA"/>
    <w:rsid w:val="00B7113F"/>
    <w:rsid w:val="00B75870"/>
    <w:rsid w:val="00B76C5D"/>
    <w:rsid w:val="00B7743D"/>
    <w:rsid w:val="00B80A1B"/>
    <w:rsid w:val="00B82092"/>
    <w:rsid w:val="00B86549"/>
    <w:rsid w:val="00B86A90"/>
    <w:rsid w:val="00B9194C"/>
    <w:rsid w:val="00B95CAB"/>
    <w:rsid w:val="00B95F44"/>
    <w:rsid w:val="00B96E3E"/>
    <w:rsid w:val="00BA73B6"/>
    <w:rsid w:val="00BB0A68"/>
    <w:rsid w:val="00BB2AD6"/>
    <w:rsid w:val="00BB4FCD"/>
    <w:rsid w:val="00BB52CD"/>
    <w:rsid w:val="00BB531B"/>
    <w:rsid w:val="00BC16F8"/>
    <w:rsid w:val="00BC2377"/>
    <w:rsid w:val="00BC3AA3"/>
    <w:rsid w:val="00BD073F"/>
    <w:rsid w:val="00BD13EA"/>
    <w:rsid w:val="00BE0209"/>
    <w:rsid w:val="00BE375B"/>
    <w:rsid w:val="00BE3808"/>
    <w:rsid w:val="00BE7173"/>
    <w:rsid w:val="00BE7FDB"/>
    <w:rsid w:val="00BF54B4"/>
    <w:rsid w:val="00BF56E9"/>
    <w:rsid w:val="00BF5DA0"/>
    <w:rsid w:val="00C01491"/>
    <w:rsid w:val="00C039AF"/>
    <w:rsid w:val="00C062E9"/>
    <w:rsid w:val="00C1035B"/>
    <w:rsid w:val="00C13721"/>
    <w:rsid w:val="00C13C0D"/>
    <w:rsid w:val="00C13DB6"/>
    <w:rsid w:val="00C14CAD"/>
    <w:rsid w:val="00C168A1"/>
    <w:rsid w:val="00C17B56"/>
    <w:rsid w:val="00C23689"/>
    <w:rsid w:val="00C30F95"/>
    <w:rsid w:val="00C341A4"/>
    <w:rsid w:val="00C35203"/>
    <w:rsid w:val="00C423F3"/>
    <w:rsid w:val="00C43E88"/>
    <w:rsid w:val="00C45D2C"/>
    <w:rsid w:val="00C5056B"/>
    <w:rsid w:val="00C52E9C"/>
    <w:rsid w:val="00C543F4"/>
    <w:rsid w:val="00C546CE"/>
    <w:rsid w:val="00C61376"/>
    <w:rsid w:val="00C6291C"/>
    <w:rsid w:val="00C633CB"/>
    <w:rsid w:val="00C66FA0"/>
    <w:rsid w:val="00C736D5"/>
    <w:rsid w:val="00C74137"/>
    <w:rsid w:val="00C744E0"/>
    <w:rsid w:val="00C82DF9"/>
    <w:rsid w:val="00C870FC"/>
    <w:rsid w:val="00C8762C"/>
    <w:rsid w:val="00C90987"/>
    <w:rsid w:val="00C933F7"/>
    <w:rsid w:val="00C96230"/>
    <w:rsid w:val="00CA00F9"/>
    <w:rsid w:val="00CA2961"/>
    <w:rsid w:val="00CA481F"/>
    <w:rsid w:val="00CB2B41"/>
    <w:rsid w:val="00CB2BAA"/>
    <w:rsid w:val="00CB2D37"/>
    <w:rsid w:val="00CB500D"/>
    <w:rsid w:val="00CB50D7"/>
    <w:rsid w:val="00CB6200"/>
    <w:rsid w:val="00CB7177"/>
    <w:rsid w:val="00CB7310"/>
    <w:rsid w:val="00CC012A"/>
    <w:rsid w:val="00CC0DC0"/>
    <w:rsid w:val="00CC1998"/>
    <w:rsid w:val="00CC3819"/>
    <w:rsid w:val="00CC4946"/>
    <w:rsid w:val="00CC5BFC"/>
    <w:rsid w:val="00CC6152"/>
    <w:rsid w:val="00CE7D3C"/>
    <w:rsid w:val="00CF189C"/>
    <w:rsid w:val="00CF5B72"/>
    <w:rsid w:val="00CF7AA9"/>
    <w:rsid w:val="00D010B7"/>
    <w:rsid w:val="00D0281A"/>
    <w:rsid w:val="00D03D6B"/>
    <w:rsid w:val="00D10241"/>
    <w:rsid w:val="00D1110B"/>
    <w:rsid w:val="00D15ADD"/>
    <w:rsid w:val="00D20DCB"/>
    <w:rsid w:val="00D21520"/>
    <w:rsid w:val="00D2412D"/>
    <w:rsid w:val="00D25CC8"/>
    <w:rsid w:val="00D270A4"/>
    <w:rsid w:val="00D27589"/>
    <w:rsid w:val="00D34E1B"/>
    <w:rsid w:val="00D37ACC"/>
    <w:rsid w:val="00D406AF"/>
    <w:rsid w:val="00D44666"/>
    <w:rsid w:val="00D46AC0"/>
    <w:rsid w:val="00D54CFC"/>
    <w:rsid w:val="00D57375"/>
    <w:rsid w:val="00D6179F"/>
    <w:rsid w:val="00D63C78"/>
    <w:rsid w:val="00D63D73"/>
    <w:rsid w:val="00D66CEF"/>
    <w:rsid w:val="00D66E1E"/>
    <w:rsid w:val="00D67303"/>
    <w:rsid w:val="00D71E79"/>
    <w:rsid w:val="00D738E2"/>
    <w:rsid w:val="00D74546"/>
    <w:rsid w:val="00D75722"/>
    <w:rsid w:val="00D76509"/>
    <w:rsid w:val="00D867B1"/>
    <w:rsid w:val="00D91108"/>
    <w:rsid w:val="00D94226"/>
    <w:rsid w:val="00D94811"/>
    <w:rsid w:val="00D95B0F"/>
    <w:rsid w:val="00DA0AAC"/>
    <w:rsid w:val="00DA1CC9"/>
    <w:rsid w:val="00DA54DD"/>
    <w:rsid w:val="00DB67C9"/>
    <w:rsid w:val="00DC07C1"/>
    <w:rsid w:val="00DC0C95"/>
    <w:rsid w:val="00DC71EF"/>
    <w:rsid w:val="00DD3D61"/>
    <w:rsid w:val="00DD55B0"/>
    <w:rsid w:val="00DD6580"/>
    <w:rsid w:val="00DE36F2"/>
    <w:rsid w:val="00DE6912"/>
    <w:rsid w:val="00DF031A"/>
    <w:rsid w:val="00DF1B3A"/>
    <w:rsid w:val="00DF3EEB"/>
    <w:rsid w:val="00E00278"/>
    <w:rsid w:val="00E014F2"/>
    <w:rsid w:val="00E01646"/>
    <w:rsid w:val="00E01822"/>
    <w:rsid w:val="00E05501"/>
    <w:rsid w:val="00E063FF"/>
    <w:rsid w:val="00E10C9C"/>
    <w:rsid w:val="00E12BB7"/>
    <w:rsid w:val="00E13E92"/>
    <w:rsid w:val="00E16D0A"/>
    <w:rsid w:val="00E17082"/>
    <w:rsid w:val="00E17C72"/>
    <w:rsid w:val="00E22A04"/>
    <w:rsid w:val="00E24E83"/>
    <w:rsid w:val="00E2640B"/>
    <w:rsid w:val="00E2757D"/>
    <w:rsid w:val="00E33D8F"/>
    <w:rsid w:val="00E340A5"/>
    <w:rsid w:val="00E3419C"/>
    <w:rsid w:val="00E40F74"/>
    <w:rsid w:val="00E44806"/>
    <w:rsid w:val="00E50019"/>
    <w:rsid w:val="00E55854"/>
    <w:rsid w:val="00E669E2"/>
    <w:rsid w:val="00E67440"/>
    <w:rsid w:val="00E70A3A"/>
    <w:rsid w:val="00E72DFC"/>
    <w:rsid w:val="00E7451F"/>
    <w:rsid w:val="00E76135"/>
    <w:rsid w:val="00E7685D"/>
    <w:rsid w:val="00E76E98"/>
    <w:rsid w:val="00E83B0B"/>
    <w:rsid w:val="00E862F3"/>
    <w:rsid w:val="00E86448"/>
    <w:rsid w:val="00E865AC"/>
    <w:rsid w:val="00E877F6"/>
    <w:rsid w:val="00E90398"/>
    <w:rsid w:val="00E91148"/>
    <w:rsid w:val="00E91CDA"/>
    <w:rsid w:val="00EA03CE"/>
    <w:rsid w:val="00EA2AAB"/>
    <w:rsid w:val="00EB1CE3"/>
    <w:rsid w:val="00EB36A1"/>
    <w:rsid w:val="00EC0EC7"/>
    <w:rsid w:val="00EC5697"/>
    <w:rsid w:val="00EC5E2C"/>
    <w:rsid w:val="00EC651C"/>
    <w:rsid w:val="00ED0DD3"/>
    <w:rsid w:val="00ED1E9C"/>
    <w:rsid w:val="00ED3AA8"/>
    <w:rsid w:val="00ED58B3"/>
    <w:rsid w:val="00ED5D0D"/>
    <w:rsid w:val="00ED5F5E"/>
    <w:rsid w:val="00EE3D80"/>
    <w:rsid w:val="00EE6EA5"/>
    <w:rsid w:val="00EF5328"/>
    <w:rsid w:val="00EF71BA"/>
    <w:rsid w:val="00EF7BAE"/>
    <w:rsid w:val="00F05339"/>
    <w:rsid w:val="00F056FC"/>
    <w:rsid w:val="00F104FC"/>
    <w:rsid w:val="00F127FA"/>
    <w:rsid w:val="00F135D8"/>
    <w:rsid w:val="00F17B7F"/>
    <w:rsid w:val="00F26C33"/>
    <w:rsid w:val="00F26D5B"/>
    <w:rsid w:val="00F30B63"/>
    <w:rsid w:val="00F30C6C"/>
    <w:rsid w:val="00F31299"/>
    <w:rsid w:val="00F3263B"/>
    <w:rsid w:val="00F32BC8"/>
    <w:rsid w:val="00F34716"/>
    <w:rsid w:val="00F3534A"/>
    <w:rsid w:val="00F4327E"/>
    <w:rsid w:val="00F46117"/>
    <w:rsid w:val="00F47708"/>
    <w:rsid w:val="00F56081"/>
    <w:rsid w:val="00F61CF5"/>
    <w:rsid w:val="00F631A6"/>
    <w:rsid w:val="00F63519"/>
    <w:rsid w:val="00F65E9A"/>
    <w:rsid w:val="00F664AB"/>
    <w:rsid w:val="00F66F58"/>
    <w:rsid w:val="00F72A6A"/>
    <w:rsid w:val="00F7348D"/>
    <w:rsid w:val="00F85325"/>
    <w:rsid w:val="00F90328"/>
    <w:rsid w:val="00F92B6F"/>
    <w:rsid w:val="00F96165"/>
    <w:rsid w:val="00FA05D6"/>
    <w:rsid w:val="00FA20C6"/>
    <w:rsid w:val="00FA50E5"/>
    <w:rsid w:val="00FA56B9"/>
    <w:rsid w:val="00FB2435"/>
    <w:rsid w:val="00FC157D"/>
    <w:rsid w:val="00FC5421"/>
    <w:rsid w:val="00FC6539"/>
    <w:rsid w:val="00FC66C8"/>
    <w:rsid w:val="00FC7692"/>
    <w:rsid w:val="00FD1AEB"/>
    <w:rsid w:val="00FD22B1"/>
    <w:rsid w:val="00FD3878"/>
    <w:rsid w:val="00FD4528"/>
    <w:rsid w:val="00FD6ED4"/>
    <w:rsid w:val="00FE2200"/>
    <w:rsid w:val="00FE30C9"/>
    <w:rsid w:val="00FE33AA"/>
    <w:rsid w:val="00FE57FB"/>
    <w:rsid w:val="00FE69F9"/>
    <w:rsid w:val="00FF186A"/>
    <w:rsid w:val="00FF24E3"/>
    <w:rsid w:val="00FF27CE"/>
    <w:rsid w:val="00FF516F"/>
    <w:rsid w:val="00FF7E6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71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Hyperlink" w:uiPriority="99"/>
    <w:lsdException w:name="Emphasis"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7047F5"/>
    <w:rPr>
      <w:sz w:val="24"/>
      <w:szCs w:val="24"/>
    </w:rPr>
  </w:style>
  <w:style w:type="paragraph" w:styleId="Heading1">
    <w:name w:val="heading 1"/>
    <w:basedOn w:val="BodyText"/>
    <w:next w:val="BodyText"/>
    <w:rsid w:val="007047F5"/>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7047F5"/>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7047F5"/>
    <w:pPr>
      <w:spacing w:before="560" w:line="320" w:lineRule="exact"/>
      <w:ind w:left="0" w:firstLine="0"/>
      <w:outlineLvl w:val="2"/>
    </w:pPr>
    <w:rPr>
      <w:sz w:val="26"/>
    </w:rPr>
  </w:style>
  <w:style w:type="paragraph" w:styleId="Heading4">
    <w:name w:val="heading 4"/>
    <w:basedOn w:val="Heading3"/>
    <w:next w:val="BodyText"/>
    <w:qFormat/>
    <w:rsid w:val="007047F5"/>
    <w:pPr>
      <w:spacing w:before="480"/>
      <w:outlineLvl w:val="3"/>
    </w:pPr>
    <w:rPr>
      <w:b w:val="0"/>
      <w:sz w:val="24"/>
    </w:rPr>
  </w:style>
  <w:style w:type="paragraph" w:styleId="Heading5">
    <w:name w:val="heading 5"/>
    <w:basedOn w:val="Heading4"/>
    <w:next w:val="BodyText"/>
    <w:link w:val="Heading5Char"/>
    <w:qFormat/>
    <w:rsid w:val="007047F5"/>
    <w:pPr>
      <w:outlineLvl w:val="4"/>
    </w:pPr>
    <w:rPr>
      <w:i/>
      <w:sz w:val="22"/>
    </w:rPr>
  </w:style>
  <w:style w:type="paragraph" w:styleId="Heading6">
    <w:name w:val="heading 6"/>
    <w:basedOn w:val="BodyText"/>
    <w:next w:val="BodyText"/>
    <w:rsid w:val="007047F5"/>
    <w:pPr>
      <w:spacing w:after="60"/>
      <w:jc w:val="left"/>
      <w:outlineLvl w:val="5"/>
    </w:pPr>
    <w:rPr>
      <w:i/>
      <w:sz w:val="22"/>
    </w:rPr>
  </w:style>
  <w:style w:type="paragraph" w:styleId="Heading7">
    <w:name w:val="heading 7"/>
    <w:basedOn w:val="BodyText"/>
    <w:next w:val="BodyText"/>
    <w:rsid w:val="007047F5"/>
    <w:pPr>
      <w:spacing w:after="60" w:line="240" w:lineRule="auto"/>
      <w:jc w:val="left"/>
      <w:outlineLvl w:val="6"/>
    </w:pPr>
    <w:rPr>
      <w:rFonts w:ascii="Arial" w:hAnsi="Arial"/>
      <w:sz w:val="20"/>
    </w:rPr>
  </w:style>
  <w:style w:type="paragraph" w:styleId="Heading8">
    <w:name w:val="heading 8"/>
    <w:basedOn w:val="BodyText"/>
    <w:next w:val="BodyText"/>
    <w:rsid w:val="007047F5"/>
    <w:pPr>
      <w:spacing w:after="60" w:line="240" w:lineRule="auto"/>
      <w:jc w:val="left"/>
      <w:outlineLvl w:val="7"/>
    </w:pPr>
    <w:rPr>
      <w:rFonts w:ascii="Arial" w:hAnsi="Arial"/>
      <w:i/>
      <w:sz w:val="20"/>
    </w:rPr>
  </w:style>
  <w:style w:type="paragraph" w:styleId="Heading9">
    <w:name w:val="heading 9"/>
    <w:basedOn w:val="BodyText"/>
    <w:next w:val="BodyText"/>
    <w:rsid w:val="007047F5"/>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7047F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047F5"/>
  </w:style>
  <w:style w:type="paragraph" w:styleId="BodyText">
    <w:name w:val="Body Text"/>
    <w:link w:val="BodyTextChar"/>
    <w:qFormat/>
    <w:rsid w:val="007047F5"/>
    <w:pPr>
      <w:spacing w:before="240" w:line="300" w:lineRule="atLeast"/>
      <w:jc w:val="both"/>
    </w:pPr>
    <w:rPr>
      <w:sz w:val="24"/>
    </w:rPr>
  </w:style>
  <w:style w:type="paragraph" w:styleId="Footer">
    <w:name w:val="footer"/>
    <w:basedOn w:val="BodyText"/>
    <w:link w:val="FooterChar"/>
    <w:rsid w:val="007047F5"/>
    <w:pPr>
      <w:spacing w:before="80" w:line="200" w:lineRule="exact"/>
      <w:ind w:right="6"/>
      <w:jc w:val="left"/>
    </w:pPr>
    <w:rPr>
      <w:rFonts w:ascii="Arial" w:hAnsi="Arial"/>
      <w:caps/>
      <w:spacing w:val="-4"/>
      <w:sz w:val="16"/>
    </w:rPr>
  </w:style>
  <w:style w:type="paragraph" w:customStyle="1" w:styleId="FooterEnd">
    <w:name w:val="Footer End"/>
    <w:basedOn w:val="Footer"/>
    <w:rsid w:val="007047F5"/>
    <w:pPr>
      <w:spacing w:before="0" w:line="20" w:lineRule="exact"/>
    </w:pPr>
  </w:style>
  <w:style w:type="paragraph" w:styleId="Header">
    <w:name w:val="header"/>
    <w:basedOn w:val="BodyText"/>
    <w:rsid w:val="007047F5"/>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7047F5"/>
    <w:pPr>
      <w:spacing w:line="20" w:lineRule="exact"/>
    </w:pPr>
    <w:rPr>
      <w:sz w:val="16"/>
    </w:rPr>
  </w:style>
  <w:style w:type="paragraph" w:customStyle="1" w:styleId="HeaderEven">
    <w:name w:val="Header Even"/>
    <w:basedOn w:val="Header"/>
    <w:semiHidden/>
    <w:rsid w:val="007047F5"/>
  </w:style>
  <w:style w:type="paragraph" w:customStyle="1" w:styleId="HeaderOdd">
    <w:name w:val="Header Odd"/>
    <w:basedOn w:val="Header"/>
    <w:semiHidden/>
    <w:rsid w:val="007047F5"/>
  </w:style>
  <w:style w:type="character" w:styleId="PageNumber">
    <w:name w:val="page number"/>
    <w:basedOn w:val="DefaultParagraphFont"/>
    <w:rsid w:val="007047F5"/>
    <w:rPr>
      <w:rFonts w:ascii="Arial" w:hAnsi="Arial"/>
      <w:b/>
      <w:sz w:val="16"/>
    </w:rPr>
  </w:style>
  <w:style w:type="paragraph" w:customStyle="1" w:styleId="Abbreviation">
    <w:name w:val="Abbreviation"/>
    <w:basedOn w:val="BodyText"/>
    <w:rsid w:val="007047F5"/>
    <w:pPr>
      <w:spacing w:before="120"/>
      <w:ind w:left="2381" w:hanging="2381"/>
      <w:jc w:val="left"/>
    </w:pPr>
  </w:style>
  <w:style w:type="paragraph" w:customStyle="1" w:styleId="Box">
    <w:name w:val="Box"/>
    <w:basedOn w:val="BodyText"/>
    <w:link w:val="BoxChar"/>
    <w:qFormat/>
    <w:rsid w:val="007047F5"/>
    <w:pPr>
      <w:keepNext/>
      <w:spacing w:before="120" w:line="260" w:lineRule="atLeast"/>
    </w:pPr>
    <w:rPr>
      <w:rFonts w:ascii="Arial" w:hAnsi="Arial"/>
      <w:sz w:val="20"/>
    </w:rPr>
  </w:style>
  <w:style w:type="paragraph" w:customStyle="1" w:styleId="BoxContinued">
    <w:name w:val="Box Continued"/>
    <w:basedOn w:val="BodyText"/>
    <w:next w:val="BodyText"/>
    <w:semiHidden/>
    <w:rsid w:val="007047F5"/>
    <w:pPr>
      <w:spacing w:before="180" w:line="220" w:lineRule="exact"/>
      <w:jc w:val="right"/>
    </w:pPr>
    <w:rPr>
      <w:rFonts w:ascii="Arial" w:hAnsi="Arial"/>
      <w:sz w:val="18"/>
    </w:rPr>
  </w:style>
  <w:style w:type="paragraph" w:customStyle="1" w:styleId="BoxHeading1">
    <w:name w:val="Box Heading 1"/>
    <w:basedOn w:val="BodyText"/>
    <w:next w:val="Box"/>
    <w:rsid w:val="007047F5"/>
    <w:pPr>
      <w:keepNext/>
      <w:spacing w:before="200" w:line="280" w:lineRule="atLeast"/>
    </w:pPr>
    <w:rPr>
      <w:rFonts w:ascii="Arial" w:hAnsi="Arial"/>
      <w:b/>
      <w:sz w:val="22"/>
    </w:rPr>
  </w:style>
  <w:style w:type="paragraph" w:customStyle="1" w:styleId="BoxHeading2">
    <w:name w:val="Box Heading 2"/>
    <w:basedOn w:val="BoxHeading1"/>
    <w:next w:val="Normal"/>
    <w:rsid w:val="007047F5"/>
    <w:rPr>
      <w:b w:val="0"/>
      <w:i/>
    </w:rPr>
  </w:style>
  <w:style w:type="paragraph" w:customStyle="1" w:styleId="BoxListBullet">
    <w:name w:val="Box List Bullet"/>
    <w:basedOn w:val="BodyText"/>
    <w:rsid w:val="007047F5"/>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7047F5"/>
    <w:pPr>
      <w:numPr>
        <w:numId w:val="2"/>
      </w:numPr>
      <w:ind w:left="568" w:hanging="284"/>
    </w:pPr>
  </w:style>
  <w:style w:type="paragraph" w:customStyle="1" w:styleId="BoxListNumber">
    <w:name w:val="Box List Number"/>
    <w:basedOn w:val="BodyText"/>
    <w:rsid w:val="007047F5"/>
    <w:pPr>
      <w:keepNext/>
      <w:numPr>
        <w:numId w:val="13"/>
      </w:numPr>
      <w:spacing w:before="100" w:line="260" w:lineRule="atLeast"/>
    </w:pPr>
    <w:rPr>
      <w:rFonts w:ascii="Arial" w:hAnsi="Arial"/>
      <w:sz w:val="20"/>
    </w:rPr>
  </w:style>
  <w:style w:type="paragraph" w:customStyle="1" w:styleId="BoxListNumber2">
    <w:name w:val="Box List Number 2"/>
    <w:basedOn w:val="BoxListNumber"/>
    <w:rsid w:val="007047F5"/>
    <w:pPr>
      <w:numPr>
        <w:ilvl w:val="1"/>
      </w:numPr>
      <w:ind w:left="681" w:hanging="397"/>
    </w:pPr>
  </w:style>
  <w:style w:type="paragraph" w:customStyle="1" w:styleId="BoxQuote">
    <w:name w:val="Box Quote"/>
    <w:basedOn w:val="BodyText"/>
    <w:next w:val="Box"/>
    <w:qFormat/>
    <w:rsid w:val="007047F5"/>
    <w:pPr>
      <w:keepNext/>
      <w:spacing w:before="60" w:line="240" w:lineRule="exact"/>
      <w:ind w:left="284"/>
    </w:pPr>
    <w:rPr>
      <w:rFonts w:ascii="Arial" w:hAnsi="Arial"/>
      <w:sz w:val="18"/>
    </w:rPr>
  </w:style>
  <w:style w:type="paragraph" w:customStyle="1" w:styleId="Note">
    <w:name w:val="Note"/>
    <w:basedOn w:val="BodyText"/>
    <w:next w:val="BodyText"/>
    <w:link w:val="NoteChar"/>
    <w:rsid w:val="007047F5"/>
    <w:pPr>
      <w:keepLines/>
      <w:spacing w:before="80" w:line="220" w:lineRule="exact"/>
    </w:pPr>
    <w:rPr>
      <w:rFonts w:ascii="Arial" w:hAnsi="Arial"/>
      <w:sz w:val="18"/>
    </w:rPr>
  </w:style>
  <w:style w:type="paragraph" w:customStyle="1" w:styleId="Source">
    <w:name w:val="Source"/>
    <w:basedOn w:val="Normal"/>
    <w:next w:val="BodyText"/>
    <w:rsid w:val="007047F5"/>
    <w:pPr>
      <w:keepLines/>
      <w:spacing w:before="80" w:line="220" w:lineRule="exact"/>
      <w:jc w:val="both"/>
    </w:pPr>
    <w:rPr>
      <w:rFonts w:ascii="Arial" w:hAnsi="Arial"/>
      <w:sz w:val="18"/>
      <w:szCs w:val="20"/>
    </w:rPr>
  </w:style>
  <w:style w:type="paragraph" w:customStyle="1" w:styleId="BoxSource">
    <w:name w:val="Box Source"/>
    <w:basedOn w:val="Source"/>
    <w:next w:val="BodyText"/>
    <w:rsid w:val="007047F5"/>
    <w:pPr>
      <w:spacing w:before="12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7047F5"/>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7047F5"/>
    <w:pPr>
      <w:spacing w:before="120" w:after="0"/>
    </w:pPr>
  </w:style>
  <w:style w:type="paragraph" w:customStyle="1" w:styleId="BoxSubtitle">
    <w:name w:val="Box Subtitle"/>
    <w:basedOn w:val="BoxTitle"/>
    <w:next w:val="Normal"/>
    <w:rsid w:val="007047F5"/>
    <w:pPr>
      <w:spacing w:after="80" w:line="200" w:lineRule="exact"/>
      <w:ind w:firstLine="0"/>
    </w:pPr>
    <w:rPr>
      <w:b w:val="0"/>
      <w:sz w:val="20"/>
    </w:rPr>
  </w:style>
  <w:style w:type="paragraph" w:customStyle="1" w:styleId="Chapter">
    <w:name w:val="Chapter"/>
    <w:basedOn w:val="Heading1"/>
    <w:next w:val="BodyText"/>
    <w:semiHidden/>
    <w:rsid w:val="007047F5"/>
    <w:pPr>
      <w:ind w:left="0" w:firstLine="0"/>
      <w:outlineLvl w:val="9"/>
    </w:pPr>
  </w:style>
  <w:style w:type="paragraph" w:customStyle="1" w:styleId="ChapterSummary">
    <w:name w:val="Chapter Summary"/>
    <w:basedOn w:val="BodyText"/>
    <w:rsid w:val="007047F5"/>
    <w:pPr>
      <w:spacing w:line="280" w:lineRule="atLeast"/>
      <w:ind w:left="907"/>
    </w:pPr>
    <w:rPr>
      <w:rFonts w:ascii="Arial" w:hAnsi="Arial"/>
      <w:b/>
      <w:sz w:val="20"/>
    </w:rPr>
  </w:style>
  <w:style w:type="character" w:styleId="CommentReference">
    <w:name w:val="annotation reference"/>
    <w:basedOn w:val="DefaultParagraphFont"/>
    <w:semiHidden/>
    <w:rsid w:val="007047F5"/>
    <w:rPr>
      <w:b/>
      <w:vanish/>
      <w:color w:val="FF00FF"/>
      <w:sz w:val="20"/>
    </w:rPr>
  </w:style>
  <w:style w:type="paragraph" w:styleId="CommentText">
    <w:name w:val="annotation text"/>
    <w:basedOn w:val="Normal"/>
    <w:link w:val="CommentTextChar"/>
    <w:semiHidden/>
    <w:rsid w:val="007047F5"/>
    <w:pPr>
      <w:spacing w:before="120" w:line="240" w:lineRule="atLeast"/>
      <w:ind w:left="567" w:hanging="567"/>
    </w:pPr>
    <w:rPr>
      <w:sz w:val="20"/>
    </w:rPr>
  </w:style>
  <w:style w:type="paragraph" w:customStyle="1" w:styleId="Continued">
    <w:name w:val="Continued"/>
    <w:basedOn w:val="BoxContinued"/>
    <w:next w:val="BodyText"/>
    <w:rsid w:val="007047F5"/>
  </w:style>
  <w:style w:type="character" w:customStyle="1" w:styleId="DocumentInfo">
    <w:name w:val="Document Info"/>
    <w:basedOn w:val="DefaultParagraphFont"/>
    <w:semiHidden/>
    <w:rsid w:val="007047F5"/>
    <w:rPr>
      <w:rFonts w:ascii="Arial" w:hAnsi="Arial"/>
      <w:sz w:val="14"/>
    </w:rPr>
  </w:style>
  <w:style w:type="character" w:customStyle="1" w:styleId="DraftingNote">
    <w:name w:val="Drafting Note"/>
    <w:basedOn w:val="DefaultParagraphFont"/>
    <w:rsid w:val="007047F5"/>
    <w:rPr>
      <w:b/>
      <w:color w:val="FF0000"/>
      <w:sz w:val="24"/>
      <w:u w:val="dotted"/>
    </w:rPr>
  </w:style>
  <w:style w:type="paragraph" w:customStyle="1" w:styleId="Figure">
    <w:name w:val="Figure"/>
    <w:basedOn w:val="BodyText"/>
    <w:rsid w:val="007047F5"/>
    <w:pPr>
      <w:keepNext/>
      <w:spacing w:before="120" w:after="120" w:line="240" w:lineRule="atLeast"/>
      <w:jc w:val="center"/>
    </w:pPr>
  </w:style>
  <w:style w:type="paragraph" w:customStyle="1" w:styleId="FigureTitle">
    <w:name w:val="Figure Title"/>
    <w:basedOn w:val="Caption"/>
    <w:next w:val="Subtitle"/>
    <w:link w:val="FigureTitleChar"/>
    <w:rsid w:val="007047F5"/>
    <w:pPr>
      <w:spacing w:before="120"/>
    </w:pPr>
  </w:style>
  <w:style w:type="paragraph" w:styleId="Subtitle">
    <w:name w:val="Subtitle"/>
    <w:basedOn w:val="Caption"/>
    <w:link w:val="SubtitleChar"/>
    <w:qFormat/>
    <w:rsid w:val="007047F5"/>
    <w:pPr>
      <w:spacing w:before="0" w:line="200" w:lineRule="exact"/>
      <w:ind w:firstLine="0"/>
    </w:pPr>
    <w:rPr>
      <w:b w:val="0"/>
      <w:sz w:val="20"/>
    </w:rPr>
  </w:style>
  <w:style w:type="paragraph" w:customStyle="1" w:styleId="Finding">
    <w:name w:val="Finding"/>
    <w:basedOn w:val="BodyText"/>
    <w:rsid w:val="007047F5"/>
    <w:pPr>
      <w:keepLines/>
      <w:spacing w:before="120" w:line="280" w:lineRule="atLeast"/>
    </w:pPr>
    <w:rPr>
      <w:rFonts w:ascii="Arial" w:hAnsi="Arial"/>
      <w:sz w:val="22"/>
    </w:rPr>
  </w:style>
  <w:style w:type="paragraph" w:customStyle="1" w:styleId="FindingBullet">
    <w:name w:val="Finding Bullet"/>
    <w:basedOn w:val="Finding"/>
    <w:rsid w:val="007047F5"/>
    <w:pPr>
      <w:numPr>
        <w:numId w:val="3"/>
      </w:numPr>
      <w:spacing w:before="80"/>
    </w:pPr>
  </w:style>
  <w:style w:type="paragraph" w:customStyle="1" w:styleId="FindingNoTitle">
    <w:name w:val="Finding NoTitle"/>
    <w:basedOn w:val="Finding"/>
    <w:rsid w:val="007047F5"/>
    <w:pPr>
      <w:spacing w:before="240"/>
    </w:pPr>
  </w:style>
  <w:style w:type="paragraph" w:customStyle="1" w:styleId="RecTitle">
    <w:name w:val="Rec Title"/>
    <w:basedOn w:val="BodyText"/>
    <w:next w:val="Rec"/>
    <w:qFormat/>
    <w:rsid w:val="007047F5"/>
    <w:pPr>
      <w:keepNext/>
      <w:keepLines/>
      <w:spacing w:line="280" w:lineRule="atLeast"/>
    </w:pPr>
    <w:rPr>
      <w:rFonts w:ascii="Arial" w:hAnsi="Arial"/>
      <w:caps/>
      <w:sz w:val="18"/>
    </w:rPr>
  </w:style>
  <w:style w:type="paragraph" w:customStyle="1" w:styleId="FindingTitle">
    <w:name w:val="Finding Title"/>
    <w:basedOn w:val="RecTitle"/>
    <w:next w:val="Finding"/>
    <w:rsid w:val="007047F5"/>
  </w:style>
  <w:style w:type="character" w:styleId="FootnoteReference">
    <w:name w:val="footnote reference"/>
    <w:basedOn w:val="DefaultParagraphFont"/>
    <w:semiHidden/>
    <w:rsid w:val="007047F5"/>
    <w:rPr>
      <w:rFonts w:ascii="Times New Roman" w:hAnsi="Times New Roman"/>
      <w:position w:val="6"/>
      <w:sz w:val="20"/>
      <w:vertAlign w:val="baseline"/>
    </w:rPr>
  </w:style>
  <w:style w:type="paragraph" w:styleId="FootnoteText">
    <w:name w:val="footnote text"/>
    <w:basedOn w:val="BodyText"/>
    <w:rsid w:val="007047F5"/>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7047F5"/>
    <w:rPr>
      <w:i/>
    </w:rPr>
  </w:style>
  <w:style w:type="paragraph" w:customStyle="1" w:styleId="Jurisdictioncommentsbodytext">
    <w:name w:val="Jurisdiction comments body text"/>
    <w:rsid w:val="007047F5"/>
    <w:pPr>
      <w:spacing w:after="140"/>
      <w:jc w:val="both"/>
    </w:pPr>
    <w:rPr>
      <w:rFonts w:ascii="Arial" w:hAnsi="Arial"/>
      <w:sz w:val="24"/>
      <w:lang w:eastAsia="en-US"/>
    </w:rPr>
  </w:style>
  <w:style w:type="paragraph" w:customStyle="1" w:styleId="Jurisdictioncommentsheading">
    <w:name w:val="Jurisdiction comments heading"/>
    <w:rsid w:val="007047F5"/>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7047F5"/>
    <w:pPr>
      <w:numPr>
        <w:numId w:val="4"/>
      </w:numPr>
      <w:spacing w:after="140"/>
      <w:jc w:val="both"/>
    </w:pPr>
    <w:rPr>
      <w:rFonts w:ascii="Arial" w:hAnsi="Arial"/>
      <w:sz w:val="24"/>
      <w:lang w:eastAsia="en-US"/>
    </w:rPr>
  </w:style>
  <w:style w:type="paragraph" w:styleId="ListBullet">
    <w:name w:val="List Bullet"/>
    <w:basedOn w:val="BodyText"/>
    <w:rsid w:val="007047F5"/>
    <w:pPr>
      <w:numPr>
        <w:numId w:val="5"/>
      </w:numPr>
      <w:spacing w:before="120"/>
    </w:pPr>
  </w:style>
  <w:style w:type="paragraph" w:styleId="ListBullet2">
    <w:name w:val="List Bullet 2"/>
    <w:basedOn w:val="BodyText"/>
    <w:rsid w:val="007047F5"/>
    <w:pPr>
      <w:numPr>
        <w:numId w:val="6"/>
      </w:numPr>
      <w:spacing w:before="120"/>
    </w:pPr>
  </w:style>
  <w:style w:type="paragraph" w:styleId="ListBullet3">
    <w:name w:val="List Bullet 3"/>
    <w:basedOn w:val="BodyText"/>
    <w:rsid w:val="007047F5"/>
    <w:pPr>
      <w:numPr>
        <w:numId w:val="7"/>
      </w:numPr>
      <w:spacing w:before="120"/>
      <w:ind w:left="1020" w:hanging="340"/>
    </w:pPr>
  </w:style>
  <w:style w:type="paragraph" w:styleId="ListNumber">
    <w:name w:val="List Number"/>
    <w:basedOn w:val="BodyText"/>
    <w:rsid w:val="007047F5"/>
    <w:pPr>
      <w:numPr>
        <w:numId w:val="12"/>
      </w:numPr>
      <w:spacing w:before="120"/>
    </w:pPr>
  </w:style>
  <w:style w:type="paragraph" w:styleId="ListNumber2">
    <w:name w:val="List Number 2"/>
    <w:basedOn w:val="ListNumber"/>
    <w:rsid w:val="007047F5"/>
    <w:pPr>
      <w:numPr>
        <w:ilvl w:val="1"/>
      </w:numPr>
    </w:pPr>
  </w:style>
  <w:style w:type="paragraph" w:styleId="ListNumber3">
    <w:name w:val="List Number 3"/>
    <w:basedOn w:val="ListNumber2"/>
    <w:rsid w:val="007047F5"/>
    <w:pPr>
      <w:numPr>
        <w:ilvl w:val="2"/>
      </w:numPr>
    </w:pPr>
  </w:style>
  <w:style w:type="character" w:customStyle="1" w:styleId="NoteLabel">
    <w:name w:val="Note Label"/>
    <w:basedOn w:val="DefaultParagraphFont"/>
    <w:rsid w:val="007047F5"/>
    <w:rPr>
      <w:rFonts w:ascii="Arial" w:hAnsi="Arial"/>
      <w:b/>
      <w:position w:val="6"/>
      <w:sz w:val="18"/>
    </w:rPr>
  </w:style>
  <w:style w:type="paragraph" w:customStyle="1" w:styleId="PartDivider">
    <w:name w:val="Part Divider"/>
    <w:basedOn w:val="BodyText"/>
    <w:next w:val="BodyText"/>
    <w:semiHidden/>
    <w:rsid w:val="007047F5"/>
    <w:pPr>
      <w:spacing w:before="0" w:line="40" w:lineRule="exact"/>
      <w:jc w:val="right"/>
    </w:pPr>
    <w:rPr>
      <w:smallCaps/>
      <w:sz w:val="16"/>
    </w:rPr>
  </w:style>
  <w:style w:type="paragraph" w:customStyle="1" w:styleId="PartNumber">
    <w:name w:val="Part Number"/>
    <w:basedOn w:val="BodyText"/>
    <w:next w:val="BodyText"/>
    <w:semiHidden/>
    <w:rsid w:val="007047F5"/>
    <w:pPr>
      <w:spacing w:before="4000" w:line="320" w:lineRule="exact"/>
      <w:ind w:left="6634"/>
      <w:jc w:val="right"/>
    </w:pPr>
    <w:rPr>
      <w:smallCaps/>
      <w:spacing w:val="60"/>
      <w:sz w:val="32"/>
    </w:rPr>
  </w:style>
  <w:style w:type="paragraph" w:customStyle="1" w:styleId="PartTitle">
    <w:name w:val="Part Title"/>
    <w:basedOn w:val="BodyText"/>
    <w:semiHidden/>
    <w:rsid w:val="007047F5"/>
    <w:pPr>
      <w:spacing w:before="160" w:after="1360" w:line="520" w:lineRule="exact"/>
      <w:ind w:right="2381"/>
      <w:jc w:val="right"/>
    </w:pPr>
    <w:rPr>
      <w:smallCaps/>
      <w:sz w:val="52"/>
    </w:rPr>
  </w:style>
  <w:style w:type="paragraph" w:styleId="Quote">
    <w:name w:val="Quote"/>
    <w:basedOn w:val="BodyText"/>
    <w:next w:val="BodyText"/>
    <w:qFormat/>
    <w:rsid w:val="007047F5"/>
    <w:pPr>
      <w:spacing w:before="120" w:line="280" w:lineRule="exact"/>
      <w:ind w:left="340"/>
    </w:pPr>
    <w:rPr>
      <w:sz w:val="22"/>
    </w:rPr>
  </w:style>
  <w:style w:type="paragraph" w:customStyle="1" w:styleId="QuoteBullet">
    <w:name w:val="Quote Bullet"/>
    <w:basedOn w:val="Quote"/>
    <w:rsid w:val="007047F5"/>
    <w:pPr>
      <w:numPr>
        <w:numId w:val="8"/>
      </w:numPr>
    </w:pPr>
  </w:style>
  <w:style w:type="paragraph" w:customStyle="1" w:styleId="Rec">
    <w:name w:val="Rec"/>
    <w:basedOn w:val="BodyText"/>
    <w:qFormat/>
    <w:rsid w:val="007047F5"/>
    <w:pPr>
      <w:keepLines/>
      <w:spacing w:before="120" w:line="280" w:lineRule="atLeast"/>
    </w:pPr>
    <w:rPr>
      <w:rFonts w:ascii="Arial" w:hAnsi="Arial"/>
      <w:sz w:val="22"/>
    </w:rPr>
  </w:style>
  <w:style w:type="paragraph" w:customStyle="1" w:styleId="RecBullet">
    <w:name w:val="Rec Bullet"/>
    <w:basedOn w:val="Rec"/>
    <w:rsid w:val="007047F5"/>
    <w:pPr>
      <w:numPr>
        <w:numId w:val="9"/>
      </w:numPr>
      <w:spacing w:before="80"/>
    </w:pPr>
  </w:style>
  <w:style w:type="paragraph" w:customStyle="1" w:styleId="RecB">
    <w:name w:val="RecB"/>
    <w:basedOn w:val="Normal"/>
    <w:rsid w:val="007047F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7047F5"/>
    <w:pPr>
      <w:numPr>
        <w:numId w:val="14"/>
      </w:numPr>
      <w:spacing w:before="80"/>
    </w:pPr>
  </w:style>
  <w:style w:type="paragraph" w:customStyle="1" w:styleId="RecBNoTitle">
    <w:name w:val="RecB NoTitle"/>
    <w:basedOn w:val="RecB"/>
    <w:rsid w:val="007047F5"/>
    <w:pPr>
      <w:spacing w:before="240"/>
    </w:pPr>
  </w:style>
  <w:style w:type="paragraph" w:customStyle="1" w:styleId="Reference">
    <w:name w:val="Reference"/>
    <w:basedOn w:val="BodyText"/>
    <w:rsid w:val="007047F5"/>
    <w:pPr>
      <w:spacing w:before="120"/>
      <w:ind w:left="340" w:hanging="340"/>
    </w:pPr>
  </w:style>
  <w:style w:type="paragraph" w:customStyle="1" w:styleId="SequenceInfo">
    <w:name w:val="Sequence Info"/>
    <w:basedOn w:val="BodyText"/>
    <w:semiHidden/>
    <w:rsid w:val="007047F5"/>
    <w:rPr>
      <w:vanish/>
      <w:sz w:val="16"/>
    </w:rPr>
  </w:style>
  <w:style w:type="paragraph" w:customStyle="1" w:styleId="SideNote">
    <w:name w:val="Side Note"/>
    <w:basedOn w:val="BodyText"/>
    <w:next w:val="BodyText"/>
    <w:semiHidden/>
    <w:rsid w:val="007047F5"/>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7047F5"/>
    <w:pPr>
      <w:framePr w:wrap="around"/>
      <w:numPr>
        <w:numId w:val="10"/>
      </w:numPr>
      <w:tabs>
        <w:tab w:val="left" w:pos="227"/>
      </w:tabs>
    </w:pPr>
  </w:style>
  <w:style w:type="paragraph" w:customStyle="1" w:styleId="SideNoteGraphic">
    <w:name w:val="Side Note Graphic"/>
    <w:basedOn w:val="SideNote"/>
    <w:next w:val="BodyText"/>
    <w:semiHidden/>
    <w:rsid w:val="007047F5"/>
    <w:pPr>
      <w:framePr w:wrap="around"/>
    </w:pPr>
  </w:style>
  <w:style w:type="paragraph" w:customStyle="1" w:styleId="TableBodyText">
    <w:name w:val="Table Body Text"/>
    <w:basedOn w:val="BodyText"/>
    <w:link w:val="TableBodyTextChar"/>
    <w:rsid w:val="007047F5"/>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link w:val="TableBulletChar"/>
    <w:rsid w:val="007047F5"/>
    <w:pPr>
      <w:numPr>
        <w:numId w:val="11"/>
      </w:numPr>
      <w:jc w:val="left"/>
    </w:pPr>
  </w:style>
  <w:style w:type="paragraph" w:customStyle="1" w:styleId="TableColumnHeading">
    <w:name w:val="Table Column Heading"/>
    <w:basedOn w:val="TableBodyText"/>
    <w:rsid w:val="007047F5"/>
    <w:pPr>
      <w:spacing w:before="80" w:after="80"/>
    </w:pPr>
    <w:rPr>
      <w:i/>
    </w:rPr>
  </w:style>
  <w:style w:type="paragraph" w:styleId="TOC2">
    <w:name w:val="toc 2"/>
    <w:basedOn w:val="TOC1"/>
    <w:rsid w:val="007047F5"/>
    <w:pPr>
      <w:ind w:left="1134" w:hanging="624"/>
    </w:pPr>
    <w:rPr>
      <w:b w:val="0"/>
    </w:rPr>
  </w:style>
  <w:style w:type="paragraph" w:styleId="TOC3">
    <w:name w:val="toc 3"/>
    <w:basedOn w:val="TOC2"/>
    <w:rsid w:val="007047F5"/>
    <w:pPr>
      <w:spacing w:before="60"/>
      <w:ind w:left="1190" w:hanging="680"/>
    </w:pPr>
  </w:style>
  <w:style w:type="paragraph" w:styleId="TableofFigures">
    <w:name w:val="table of figures"/>
    <w:basedOn w:val="TOC3"/>
    <w:next w:val="BodyText"/>
    <w:semiHidden/>
    <w:rsid w:val="007047F5"/>
    <w:pPr>
      <w:ind w:left="737" w:hanging="737"/>
    </w:pPr>
  </w:style>
  <w:style w:type="paragraph" w:customStyle="1" w:styleId="TableTitle">
    <w:name w:val="Table Title"/>
    <w:basedOn w:val="Caption"/>
    <w:next w:val="Subtitle"/>
    <w:qFormat/>
    <w:rsid w:val="007047F5"/>
    <w:pPr>
      <w:spacing w:before="120"/>
    </w:pPr>
  </w:style>
  <w:style w:type="paragraph" w:customStyle="1" w:styleId="TableUnitsRow">
    <w:name w:val="Table Units Row"/>
    <w:basedOn w:val="TableBodyText"/>
    <w:rsid w:val="007047F5"/>
    <w:pPr>
      <w:spacing w:before="40"/>
    </w:pPr>
  </w:style>
  <w:style w:type="paragraph" w:styleId="TOC1">
    <w:name w:val="toc 1"/>
    <w:basedOn w:val="Normal"/>
    <w:next w:val="TOC2"/>
    <w:link w:val="TOC1Char"/>
    <w:rsid w:val="007047F5"/>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rsid w:val="007047F5"/>
    <w:pPr>
      <w:ind w:left="1191" w:firstLine="0"/>
    </w:pPr>
  </w:style>
  <w:style w:type="character" w:styleId="Hyperlink">
    <w:name w:val="Hyperlink"/>
    <w:basedOn w:val="DefaultParagraphFont"/>
    <w:uiPriority w:val="99"/>
    <w:rsid w:val="00B96E3E"/>
    <w:rPr>
      <w:color w:val="0000FF"/>
      <w:u w:val="single"/>
    </w:rPr>
  </w:style>
  <w:style w:type="paragraph" w:customStyle="1" w:styleId="Text">
    <w:name w:val="Text"/>
    <w:link w:val="TextChar"/>
    <w:rsid w:val="00222A89"/>
    <w:pPr>
      <w:spacing w:before="200" w:line="260" w:lineRule="exact"/>
    </w:pPr>
    <w:rPr>
      <w:rFonts w:ascii="Garamond" w:hAnsi="Garamond"/>
      <w:sz w:val="22"/>
    </w:rPr>
  </w:style>
  <w:style w:type="paragraph" w:customStyle="1" w:styleId="TableFigText">
    <w:name w:val="Table/Fig: Text"/>
    <w:basedOn w:val="Normal"/>
    <w:rsid w:val="00CC6152"/>
    <w:pPr>
      <w:keepLines/>
      <w:tabs>
        <w:tab w:val="left" w:pos="198"/>
      </w:tabs>
      <w:spacing w:before="60" w:after="60" w:line="200" w:lineRule="atLeast"/>
    </w:pPr>
    <w:rPr>
      <w:rFonts w:ascii="Arial" w:hAnsi="Arial"/>
      <w:color w:val="000000"/>
      <w:sz w:val="16"/>
      <w:szCs w:val="20"/>
      <w:lang w:eastAsia="en-US"/>
    </w:rPr>
  </w:style>
  <w:style w:type="character" w:customStyle="1" w:styleId="TextChar">
    <w:name w:val="Text Char"/>
    <w:basedOn w:val="DefaultParagraphFont"/>
    <w:link w:val="Text"/>
    <w:locked/>
    <w:rsid w:val="00222A89"/>
    <w:rPr>
      <w:rFonts w:ascii="Garamond" w:hAnsi="Garamond"/>
      <w:sz w:val="22"/>
      <w:lang w:val="en-AU" w:eastAsia="en-AU" w:bidi="ar-SA"/>
    </w:rPr>
  </w:style>
  <w:style w:type="paragraph" w:customStyle="1" w:styleId="tabletitle0">
    <w:name w:val="tabletitle"/>
    <w:next w:val="Text"/>
    <w:rsid w:val="00222A89"/>
    <w:pPr>
      <w:tabs>
        <w:tab w:val="left" w:pos="992"/>
      </w:tabs>
      <w:spacing w:before="360" w:after="80"/>
    </w:pPr>
    <w:rPr>
      <w:rFonts w:ascii="Arial" w:hAnsi="Arial"/>
      <w:b/>
      <w:sz w:val="17"/>
    </w:rPr>
  </w:style>
  <w:style w:type="paragraph" w:customStyle="1" w:styleId="Tablehead1">
    <w:name w:val="Tablehead1"/>
    <w:rsid w:val="00222A89"/>
    <w:pPr>
      <w:spacing w:before="80" w:after="80"/>
    </w:pPr>
    <w:rPr>
      <w:rFonts w:ascii="Arial" w:hAnsi="Arial"/>
      <w:b/>
      <w:sz w:val="17"/>
    </w:rPr>
  </w:style>
  <w:style w:type="paragraph" w:customStyle="1" w:styleId="Tablehead2">
    <w:name w:val="Tablehead2"/>
    <w:basedOn w:val="Tablehead1"/>
    <w:rsid w:val="00222A89"/>
    <w:pPr>
      <w:tabs>
        <w:tab w:val="left" w:pos="992"/>
      </w:tabs>
      <w:spacing w:before="20" w:after="20"/>
    </w:pPr>
    <w:rPr>
      <w:b w:val="0"/>
    </w:rPr>
  </w:style>
  <w:style w:type="paragraph" w:customStyle="1" w:styleId="Tabletext">
    <w:name w:val="Table text"/>
    <w:next w:val="Text"/>
    <w:rsid w:val="00D03D6B"/>
    <w:pPr>
      <w:spacing w:before="80"/>
    </w:pPr>
    <w:rPr>
      <w:rFonts w:ascii="Arial" w:hAnsi="Arial"/>
      <w:sz w:val="16"/>
    </w:rPr>
  </w:style>
  <w:style w:type="paragraph" w:styleId="CommentSubject">
    <w:name w:val="annotation subject"/>
    <w:basedOn w:val="CommentText"/>
    <w:next w:val="CommentText"/>
    <w:link w:val="CommentSubjectChar"/>
    <w:rsid w:val="0068457F"/>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68457F"/>
    <w:rPr>
      <w:szCs w:val="24"/>
    </w:rPr>
  </w:style>
  <w:style w:type="character" w:customStyle="1" w:styleId="CommentSubjectChar">
    <w:name w:val="Comment Subject Char"/>
    <w:basedOn w:val="CommentTextChar"/>
    <w:link w:val="CommentSubject"/>
    <w:rsid w:val="0068457F"/>
    <w:rPr>
      <w:b/>
      <w:bCs/>
      <w:szCs w:val="24"/>
      <w:lang w:val="en-AU" w:eastAsia="en-AU" w:bidi="ar-SA"/>
    </w:rPr>
  </w:style>
  <w:style w:type="paragraph" w:styleId="BalloonText">
    <w:name w:val="Balloon Text"/>
    <w:basedOn w:val="Normal"/>
    <w:link w:val="BalloonTextChar"/>
    <w:rsid w:val="007047F5"/>
    <w:rPr>
      <w:rFonts w:ascii="Tahoma" w:hAnsi="Tahoma" w:cs="Tahoma"/>
      <w:sz w:val="16"/>
      <w:szCs w:val="16"/>
    </w:rPr>
  </w:style>
  <w:style w:type="character" w:customStyle="1" w:styleId="BalloonTextChar">
    <w:name w:val="Balloon Text Char"/>
    <w:basedOn w:val="DefaultParagraphFont"/>
    <w:link w:val="BalloonText"/>
    <w:rsid w:val="007047F5"/>
    <w:rPr>
      <w:rFonts w:ascii="Tahoma" w:hAnsi="Tahoma" w:cs="Tahoma"/>
      <w:sz w:val="16"/>
      <w:szCs w:val="16"/>
    </w:rPr>
  </w:style>
  <w:style w:type="character" w:customStyle="1" w:styleId="BoxChar">
    <w:name w:val="Box Char"/>
    <w:basedOn w:val="DefaultParagraphFont"/>
    <w:link w:val="Box"/>
    <w:rsid w:val="0068457F"/>
    <w:rPr>
      <w:rFonts w:ascii="Arial" w:hAnsi="Arial"/>
    </w:rPr>
  </w:style>
  <w:style w:type="character" w:styleId="FollowedHyperlink">
    <w:name w:val="FollowedHyperlink"/>
    <w:basedOn w:val="DefaultParagraphFont"/>
    <w:rsid w:val="00256C31"/>
    <w:rPr>
      <w:color w:val="800080" w:themeColor="followedHyperlink"/>
      <w:u w:val="single"/>
    </w:rPr>
  </w:style>
  <w:style w:type="paragraph" w:customStyle="1" w:styleId="Default">
    <w:name w:val="Default"/>
    <w:rsid w:val="008C2EAF"/>
    <w:pPr>
      <w:autoSpaceDE w:val="0"/>
      <w:autoSpaceDN w:val="0"/>
      <w:adjustRightInd w:val="0"/>
    </w:pPr>
    <w:rPr>
      <w:rFonts w:ascii="Arial" w:hAnsi="Arial" w:cs="Arial"/>
      <w:color w:val="000000"/>
      <w:sz w:val="24"/>
      <w:szCs w:val="24"/>
    </w:rPr>
  </w:style>
  <w:style w:type="character" w:customStyle="1" w:styleId="TableBodyTextChar">
    <w:name w:val="Table Body Text Char"/>
    <w:link w:val="TableBodyText"/>
    <w:locked/>
    <w:rsid w:val="005A1D61"/>
    <w:rPr>
      <w:rFonts w:ascii="Arial" w:hAnsi="Arial"/>
      <w:sz w:val="18"/>
    </w:rPr>
  </w:style>
  <w:style w:type="character" w:customStyle="1" w:styleId="TableBulletChar">
    <w:name w:val="Table Bullet Char"/>
    <w:basedOn w:val="TableBodyTextChar"/>
    <w:link w:val="TableBullet"/>
    <w:locked/>
    <w:rsid w:val="005A1D61"/>
    <w:rPr>
      <w:rFonts w:ascii="Arial" w:hAnsi="Arial"/>
      <w:sz w:val="18"/>
    </w:rPr>
  </w:style>
  <w:style w:type="table" w:styleId="TableGrid">
    <w:name w:val="Table Grid"/>
    <w:basedOn w:val="TableNormal"/>
    <w:rsid w:val="007047F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xSpaceAbove">
    <w:name w:val="Box Space Above"/>
    <w:basedOn w:val="BodyText"/>
    <w:rsid w:val="007047F5"/>
    <w:pPr>
      <w:keepNext/>
      <w:spacing w:before="360" w:line="80" w:lineRule="exact"/>
      <w:jc w:val="left"/>
    </w:pPr>
  </w:style>
  <w:style w:type="paragraph" w:customStyle="1" w:styleId="RecBBullet2">
    <w:name w:val="RecB Bullet 2"/>
    <w:basedOn w:val="ListBullet2"/>
    <w:semiHidden/>
    <w:rsid w:val="007047F5"/>
    <w:pPr>
      <w:pBdr>
        <w:left w:val="single" w:sz="24" w:space="29" w:color="C0C0C0"/>
      </w:pBdr>
    </w:pPr>
    <w:rPr>
      <w:b/>
      <w:i/>
    </w:rPr>
  </w:style>
  <w:style w:type="character" w:customStyle="1" w:styleId="SubtitleChar">
    <w:name w:val="Subtitle Char"/>
    <w:basedOn w:val="DefaultParagraphFont"/>
    <w:link w:val="Subtitle"/>
    <w:rsid w:val="007047F5"/>
    <w:rPr>
      <w:rFonts w:ascii="Arial" w:hAnsi="Arial"/>
      <w:szCs w:val="24"/>
    </w:rPr>
  </w:style>
  <w:style w:type="paragraph" w:customStyle="1" w:styleId="BoxListBullet3">
    <w:name w:val="Box List Bullet 3"/>
    <w:basedOn w:val="ListBullet3"/>
    <w:rsid w:val="007047F5"/>
    <w:pPr>
      <w:numPr>
        <w:numId w:val="23"/>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7047F5"/>
    <w:rPr>
      <w:i/>
      <w:iCs/>
    </w:rPr>
  </w:style>
  <w:style w:type="paragraph" w:customStyle="1" w:styleId="BoxQuoteBullet">
    <w:name w:val="Box Quote Bullet"/>
    <w:basedOn w:val="BoxQuote"/>
    <w:next w:val="Box"/>
    <w:rsid w:val="007047F5"/>
    <w:pPr>
      <w:numPr>
        <w:numId w:val="22"/>
      </w:numPr>
      <w:ind w:left="568" w:hanging="284"/>
    </w:pPr>
  </w:style>
  <w:style w:type="paragraph" w:customStyle="1" w:styleId="InformationRequestBullet">
    <w:name w:val="Information Request Bullet"/>
    <w:basedOn w:val="ListBullet"/>
    <w:next w:val="BodyText"/>
    <w:rsid w:val="007047F5"/>
    <w:pPr>
      <w:numPr>
        <w:numId w:val="24"/>
      </w:numPr>
      <w:spacing w:before="80" w:line="280" w:lineRule="atLeast"/>
      <w:ind w:left="357" w:hanging="357"/>
    </w:pPr>
    <w:rPr>
      <w:rFonts w:ascii="Arial" w:hAnsi="Arial"/>
      <w:i/>
      <w:sz w:val="22"/>
    </w:rPr>
  </w:style>
  <w:style w:type="paragraph" w:customStyle="1" w:styleId="BoxSpaceBelow">
    <w:name w:val="Box Space Below"/>
    <w:basedOn w:val="Box"/>
    <w:rsid w:val="007047F5"/>
    <w:pPr>
      <w:keepNext w:val="0"/>
      <w:spacing w:before="60" w:after="60" w:line="80" w:lineRule="exact"/>
    </w:pPr>
    <w:rPr>
      <w:sz w:val="14"/>
    </w:rPr>
  </w:style>
  <w:style w:type="paragraph" w:customStyle="1" w:styleId="KeyPointsListBullet">
    <w:name w:val="Key Points List Bullet"/>
    <w:basedOn w:val="Normal"/>
    <w:qFormat/>
    <w:rsid w:val="007047F5"/>
    <w:pPr>
      <w:keepNext/>
      <w:numPr>
        <w:numId w:val="25"/>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7047F5"/>
    <w:pPr>
      <w:numPr>
        <w:numId w:val="26"/>
      </w:numPr>
      <w:ind w:left="568" w:hanging="284"/>
    </w:pPr>
  </w:style>
  <w:style w:type="paragraph" w:customStyle="1" w:styleId="InformationRequestTitle">
    <w:name w:val="Information Request Title"/>
    <w:basedOn w:val="FindingTitle"/>
    <w:next w:val="InformationRequest"/>
    <w:rsid w:val="007047F5"/>
    <w:rPr>
      <w:i/>
    </w:rPr>
  </w:style>
  <w:style w:type="paragraph" w:customStyle="1" w:styleId="Space">
    <w:name w:val="Space"/>
    <w:basedOn w:val="Normal"/>
    <w:rsid w:val="007047F5"/>
    <w:pPr>
      <w:keepNext/>
      <w:spacing w:line="120" w:lineRule="exact"/>
      <w:jc w:val="both"/>
    </w:pPr>
    <w:rPr>
      <w:rFonts w:ascii="Arial" w:hAnsi="Arial"/>
      <w:sz w:val="20"/>
      <w:szCs w:val="20"/>
    </w:rPr>
  </w:style>
  <w:style w:type="paragraph" w:customStyle="1" w:styleId="Heading1nochapterno">
    <w:name w:val="Heading 1 (no chapter no.)"/>
    <w:basedOn w:val="Heading1"/>
    <w:rsid w:val="007047F5"/>
    <w:pPr>
      <w:spacing w:before="0"/>
      <w:ind w:left="0" w:firstLine="0"/>
    </w:pPr>
  </w:style>
  <w:style w:type="paragraph" w:customStyle="1" w:styleId="Heading2nosectionno">
    <w:name w:val="Heading 2 (no section no.)"/>
    <w:basedOn w:val="Heading2"/>
    <w:rsid w:val="007047F5"/>
    <w:pPr>
      <w:ind w:left="0" w:firstLine="0"/>
    </w:pPr>
  </w:style>
  <w:style w:type="character" w:customStyle="1" w:styleId="Heading5Char">
    <w:name w:val="Heading 5 Char"/>
    <w:basedOn w:val="DefaultParagraphFont"/>
    <w:link w:val="Heading5"/>
    <w:rsid w:val="007047F5"/>
    <w:rPr>
      <w:rFonts w:ascii="Arial" w:hAnsi="Arial"/>
      <w:i/>
      <w:sz w:val="22"/>
    </w:rPr>
  </w:style>
  <w:style w:type="paragraph" w:customStyle="1" w:styleId="Figurespace">
    <w:name w:val="Figure space"/>
    <w:basedOn w:val="Box"/>
    <w:rsid w:val="007047F5"/>
    <w:pPr>
      <w:spacing w:before="0" w:line="120" w:lineRule="exact"/>
    </w:pPr>
  </w:style>
  <w:style w:type="paragraph" w:customStyle="1" w:styleId="FooterDraftReport">
    <w:name w:val="FooterDraftReport"/>
    <w:basedOn w:val="Footer"/>
    <w:link w:val="FooterDraftReportChar"/>
    <w:rsid w:val="007047F5"/>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7047F5"/>
    <w:rPr>
      <w:sz w:val="24"/>
    </w:rPr>
  </w:style>
  <w:style w:type="character" w:customStyle="1" w:styleId="FooterChar">
    <w:name w:val="Footer Char"/>
    <w:basedOn w:val="BodyTextChar"/>
    <w:link w:val="Footer"/>
    <w:rsid w:val="007047F5"/>
    <w:rPr>
      <w:rFonts w:ascii="Arial" w:hAnsi="Arial"/>
      <w:caps/>
      <w:spacing w:val="-4"/>
      <w:sz w:val="16"/>
    </w:rPr>
  </w:style>
  <w:style w:type="character" w:customStyle="1" w:styleId="FooterDraftReportChar">
    <w:name w:val="FooterDraftReport Char"/>
    <w:basedOn w:val="FooterChar"/>
    <w:link w:val="FooterDraftReport"/>
    <w:rsid w:val="007047F5"/>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7047F5"/>
    <w:rPr>
      <w:rFonts w:ascii="Arial" w:hAnsi="Arial"/>
      <w:b/>
      <w:sz w:val="26"/>
      <w:szCs w:val="26"/>
      <w:lang w:eastAsia="en-US"/>
    </w:rPr>
  </w:style>
  <w:style w:type="paragraph" w:customStyle="1" w:styleId="Heading1NotTOC">
    <w:name w:val="Heading 1 Not TOC"/>
    <w:basedOn w:val="Heading1"/>
    <w:next w:val="BodyText"/>
    <w:rsid w:val="00D71E79"/>
    <w:rPr>
      <w:kern w:val="28"/>
      <w:szCs w:val="26"/>
      <w:lang w:eastAsia="en-US"/>
    </w:rPr>
  </w:style>
  <w:style w:type="paragraph" w:customStyle="1" w:styleId="DQIContentsTitle">
    <w:name w:val="DQI Contents Title"/>
    <w:basedOn w:val="Heading5"/>
    <w:next w:val="TOC3"/>
    <w:qFormat/>
    <w:rsid w:val="00D71E79"/>
    <w:rPr>
      <w:b/>
      <w:i w:val="0"/>
      <w:sz w:val="24"/>
      <w:szCs w:val="24"/>
    </w:rPr>
  </w:style>
  <w:style w:type="paragraph" w:customStyle="1" w:styleId="DQIMainRowHeadings">
    <w:name w:val="DQI Main Row Headings"/>
    <w:basedOn w:val="Normal"/>
    <w:next w:val="Normal"/>
    <w:qFormat/>
    <w:rsid w:val="00B11361"/>
    <w:pPr>
      <w:keepNext/>
      <w:keepLines/>
      <w:spacing w:before="120" w:line="200" w:lineRule="atLeast"/>
      <w:ind w:left="6" w:right="113"/>
    </w:pPr>
    <w:rPr>
      <w:rFonts w:ascii="Arial" w:hAnsi="Arial"/>
      <w:b/>
      <w:sz w:val="18"/>
      <w:szCs w:val="20"/>
      <w:u w:val="single"/>
    </w:rPr>
  </w:style>
  <w:style w:type="paragraph" w:customStyle="1" w:styleId="DQITableText">
    <w:name w:val="DQI Table Text"/>
    <w:basedOn w:val="TableBodyText"/>
    <w:qFormat/>
    <w:rsid w:val="00B11361"/>
    <w:pPr>
      <w:spacing w:before="120" w:after="0"/>
      <w:ind w:left="0" w:right="0"/>
      <w:jc w:val="both"/>
    </w:pPr>
  </w:style>
  <w:style w:type="paragraph" w:customStyle="1" w:styleId="DQIRowHeadings">
    <w:name w:val="DQI Row Headings"/>
    <w:basedOn w:val="Normal"/>
    <w:qFormat/>
    <w:rsid w:val="00B11361"/>
    <w:pPr>
      <w:keepNext/>
      <w:keepLines/>
      <w:spacing w:before="120" w:line="200" w:lineRule="atLeast"/>
      <w:ind w:left="6" w:right="113"/>
    </w:pPr>
    <w:rPr>
      <w:rFonts w:ascii="Arial" w:hAnsi="Arial"/>
      <w:b/>
      <w:sz w:val="18"/>
      <w:szCs w:val="20"/>
    </w:rPr>
  </w:style>
  <w:style w:type="paragraph" w:customStyle="1" w:styleId="DQITableBullet">
    <w:name w:val="DQI Table Bullet"/>
    <w:basedOn w:val="TableBullet"/>
    <w:qFormat/>
    <w:rsid w:val="003E0195"/>
    <w:pPr>
      <w:numPr>
        <w:numId w:val="28"/>
      </w:numPr>
      <w:spacing w:before="40" w:after="0"/>
      <w:ind w:left="170" w:hanging="170"/>
      <w:jc w:val="both"/>
    </w:pPr>
  </w:style>
  <w:style w:type="paragraph" w:customStyle="1" w:styleId="DQITableBullet2">
    <w:name w:val="DQI Table Bullet 2"/>
    <w:basedOn w:val="DQITableBullet"/>
    <w:qFormat/>
    <w:rsid w:val="00B11361"/>
    <w:pPr>
      <w:numPr>
        <w:numId w:val="27"/>
      </w:numPr>
      <w:ind w:left="340" w:hanging="170"/>
    </w:pPr>
  </w:style>
  <w:style w:type="character" w:customStyle="1" w:styleId="FigureTitleChar">
    <w:name w:val="Figure Title Char"/>
    <w:link w:val="FigureTitle"/>
    <w:rsid w:val="000337E3"/>
    <w:rPr>
      <w:rFonts w:ascii="Arial" w:hAnsi="Arial"/>
      <w:b/>
      <w:sz w:val="24"/>
      <w:szCs w:val="24"/>
    </w:rPr>
  </w:style>
  <w:style w:type="character" w:customStyle="1" w:styleId="NoteChar">
    <w:name w:val="Note Char"/>
    <w:link w:val="Note"/>
    <w:rsid w:val="000D16DE"/>
    <w:rPr>
      <w:rFonts w:ascii="Arial" w:hAnsi="Arial"/>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Hyperlink" w:uiPriority="99"/>
    <w:lsdException w:name="Emphasis"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7047F5"/>
    <w:rPr>
      <w:sz w:val="24"/>
      <w:szCs w:val="24"/>
    </w:rPr>
  </w:style>
  <w:style w:type="paragraph" w:styleId="Heading1">
    <w:name w:val="heading 1"/>
    <w:basedOn w:val="BodyText"/>
    <w:next w:val="BodyText"/>
    <w:rsid w:val="007047F5"/>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7047F5"/>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7047F5"/>
    <w:pPr>
      <w:spacing w:before="560" w:line="320" w:lineRule="exact"/>
      <w:ind w:left="0" w:firstLine="0"/>
      <w:outlineLvl w:val="2"/>
    </w:pPr>
    <w:rPr>
      <w:sz w:val="26"/>
    </w:rPr>
  </w:style>
  <w:style w:type="paragraph" w:styleId="Heading4">
    <w:name w:val="heading 4"/>
    <w:basedOn w:val="Heading3"/>
    <w:next w:val="BodyText"/>
    <w:qFormat/>
    <w:rsid w:val="007047F5"/>
    <w:pPr>
      <w:spacing w:before="480"/>
      <w:outlineLvl w:val="3"/>
    </w:pPr>
    <w:rPr>
      <w:b w:val="0"/>
      <w:sz w:val="24"/>
    </w:rPr>
  </w:style>
  <w:style w:type="paragraph" w:styleId="Heading5">
    <w:name w:val="heading 5"/>
    <w:basedOn w:val="Heading4"/>
    <w:next w:val="BodyText"/>
    <w:link w:val="Heading5Char"/>
    <w:qFormat/>
    <w:rsid w:val="007047F5"/>
    <w:pPr>
      <w:outlineLvl w:val="4"/>
    </w:pPr>
    <w:rPr>
      <w:i/>
      <w:sz w:val="22"/>
    </w:rPr>
  </w:style>
  <w:style w:type="paragraph" w:styleId="Heading6">
    <w:name w:val="heading 6"/>
    <w:basedOn w:val="BodyText"/>
    <w:next w:val="BodyText"/>
    <w:rsid w:val="007047F5"/>
    <w:pPr>
      <w:spacing w:after="60"/>
      <w:jc w:val="left"/>
      <w:outlineLvl w:val="5"/>
    </w:pPr>
    <w:rPr>
      <w:i/>
      <w:sz w:val="22"/>
    </w:rPr>
  </w:style>
  <w:style w:type="paragraph" w:styleId="Heading7">
    <w:name w:val="heading 7"/>
    <w:basedOn w:val="BodyText"/>
    <w:next w:val="BodyText"/>
    <w:rsid w:val="007047F5"/>
    <w:pPr>
      <w:spacing w:after="60" w:line="240" w:lineRule="auto"/>
      <w:jc w:val="left"/>
      <w:outlineLvl w:val="6"/>
    </w:pPr>
    <w:rPr>
      <w:rFonts w:ascii="Arial" w:hAnsi="Arial"/>
      <w:sz w:val="20"/>
    </w:rPr>
  </w:style>
  <w:style w:type="paragraph" w:styleId="Heading8">
    <w:name w:val="heading 8"/>
    <w:basedOn w:val="BodyText"/>
    <w:next w:val="BodyText"/>
    <w:rsid w:val="007047F5"/>
    <w:pPr>
      <w:spacing w:after="60" w:line="240" w:lineRule="auto"/>
      <w:jc w:val="left"/>
      <w:outlineLvl w:val="7"/>
    </w:pPr>
    <w:rPr>
      <w:rFonts w:ascii="Arial" w:hAnsi="Arial"/>
      <w:i/>
      <w:sz w:val="20"/>
    </w:rPr>
  </w:style>
  <w:style w:type="paragraph" w:styleId="Heading9">
    <w:name w:val="heading 9"/>
    <w:basedOn w:val="BodyText"/>
    <w:next w:val="BodyText"/>
    <w:rsid w:val="007047F5"/>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7047F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047F5"/>
  </w:style>
  <w:style w:type="paragraph" w:styleId="BodyText">
    <w:name w:val="Body Text"/>
    <w:link w:val="BodyTextChar"/>
    <w:qFormat/>
    <w:rsid w:val="007047F5"/>
    <w:pPr>
      <w:spacing w:before="240" w:line="300" w:lineRule="atLeast"/>
      <w:jc w:val="both"/>
    </w:pPr>
    <w:rPr>
      <w:sz w:val="24"/>
    </w:rPr>
  </w:style>
  <w:style w:type="paragraph" w:styleId="Footer">
    <w:name w:val="footer"/>
    <w:basedOn w:val="BodyText"/>
    <w:link w:val="FooterChar"/>
    <w:rsid w:val="007047F5"/>
    <w:pPr>
      <w:spacing w:before="80" w:line="200" w:lineRule="exact"/>
      <w:ind w:right="6"/>
      <w:jc w:val="left"/>
    </w:pPr>
    <w:rPr>
      <w:rFonts w:ascii="Arial" w:hAnsi="Arial"/>
      <w:caps/>
      <w:spacing w:val="-4"/>
      <w:sz w:val="16"/>
    </w:rPr>
  </w:style>
  <w:style w:type="paragraph" w:customStyle="1" w:styleId="FooterEnd">
    <w:name w:val="Footer End"/>
    <w:basedOn w:val="Footer"/>
    <w:rsid w:val="007047F5"/>
    <w:pPr>
      <w:spacing w:before="0" w:line="20" w:lineRule="exact"/>
    </w:pPr>
  </w:style>
  <w:style w:type="paragraph" w:styleId="Header">
    <w:name w:val="header"/>
    <w:basedOn w:val="BodyText"/>
    <w:rsid w:val="007047F5"/>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7047F5"/>
    <w:pPr>
      <w:spacing w:line="20" w:lineRule="exact"/>
    </w:pPr>
    <w:rPr>
      <w:sz w:val="16"/>
    </w:rPr>
  </w:style>
  <w:style w:type="paragraph" w:customStyle="1" w:styleId="HeaderEven">
    <w:name w:val="Header Even"/>
    <w:basedOn w:val="Header"/>
    <w:semiHidden/>
    <w:rsid w:val="007047F5"/>
  </w:style>
  <w:style w:type="paragraph" w:customStyle="1" w:styleId="HeaderOdd">
    <w:name w:val="Header Odd"/>
    <w:basedOn w:val="Header"/>
    <w:semiHidden/>
    <w:rsid w:val="007047F5"/>
  </w:style>
  <w:style w:type="character" w:styleId="PageNumber">
    <w:name w:val="page number"/>
    <w:basedOn w:val="DefaultParagraphFont"/>
    <w:rsid w:val="007047F5"/>
    <w:rPr>
      <w:rFonts w:ascii="Arial" w:hAnsi="Arial"/>
      <w:b/>
      <w:sz w:val="16"/>
    </w:rPr>
  </w:style>
  <w:style w:type="paragraph" w:customStyle="1" w:styleId="Abbreviation">
    <w:name w:val="Abbreviation"/>
    <w:basedOn w:val="BodyText"/>
    <w:rsid w:val="007047F5"/>
    <w:pPr>
      <w:spacing w:before="120"/>
      <w:ind w:left="2381" w:hanging="2381"/>
      <w:jc w:val="left"/>
    </w:pPr>
  </w:style>
  <w:style w:type="paragraph" w:customStyle="1" w:styleId="Box">
    <w:name w:val="Box"/>
    <w:basedOn w:val="BodyText"/>
    <w:link w:val="BoxChar"/>
    <w:qFormat/>
    <w:rsid w:val="007047F5"/>
    <w:pPr>
      <w:keepNext/>
      <w:spacing w:before="120" w:line="260" w:lineRule="atLeast"/>
    </w:pPr>
    <w:rPr>
      <w:rFonts w:ascii="Arial" w:hAnsi="Arial"/>
      <w:sz w:val="20"/>
    </w:rPr>
  </w:style>
  <w:style w:type="paragraph" w:customStyle="1" w:styleId="BoxContinued">
    <w:name w:val="Box Continued"/>
    <w:basedOn w:val="BodyText"/>
    <w:next w:val="BodyText"/>
    <w:semiHidden/>
    <w:rsid w:val="007047F5"/>
    <w:pPr>
      <w:spacing w:before="180" w:line="220" w:lineRule="exact"/>
      <w:jc w:val="right"/>
    </w:pPr>
    <w:rPr>
      <w:rFonts w:ascii="Arial" w:hAnsi="Arial"/>
      <w:sz w:val="18"/>
    </w:rPr>
  </w:style>
  <w:style w:type="paragraph" w:customStyle="1" w:styleId="BoxHeading1">
    <w:name w:val="Box Heading 1"/>
    <w:basedOn w:val="BodyText"/>
    <w:next w:val="Box"/>
    <w:rsid w:val="007047F5"/>
    <w:pPr>
      <w:keepNext/>
      <w:spacing w:before="200" w:line="280" w:lineRule="atLeast"/>
    </w:pPr>
    <w:rPr>
      <w:rFonts w:ascii="Arial" w:hAnsi="Arial"/>
      <w:b/>
      <w:sz w:val="22"/>
    </w:rPr>
  </w:style>
  <w:style w:type="paragraph" w:customStyle="1" w:styleId="BoxHeading2">
    <w:name w:val="Box Heading 2"/>
    <w:basedOn w:val="BoxHeading1"/>
    <w:next w:val="Normal"/>
    <w:rsid w:val="007047F5"/>
    <w:rPr>
      <w:b w:val="0"/>
      <w:i/>
    </w:rPr>
  </w:style>
  <w:style w:type="paragraph" w:customStyle="1" w:styleId="BoxListBullet">
    <w:name w:val="Box List Bullet"/>
    <w:basedOn w:val="BodyText"/>
    <w:rsid w:val="007047F5"/>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7047F5"/>
    <w:pPr>
      <w:numPr>
        <w:numId w:val="2"/>
      </w:numPr>
      <w:ind w:left="568" w:hanging="284"/>
    </w:pPr>
  </w:style>
  <w:style w:type="paragraph" w:customStyle="1" w:styleId="BoxListNumber">
    <w:name w:val="Box List Number"/>
    <w:basedOn w:val="BodyText"/>
    <w:rsid w:val="007047F5"/>
    <w:pPr>
      <w:keepNext/>
      <w:numPr>
        <w:numId w:val="13"/>
      </w:numPr>
      <w:spacing w:before="100" w:line="260" w:lineRule="atLeast"/>
    </w:pPr>
    <w:rPr>
      <w:rFonts w:ascii="Arial" w:hAnsi="Arial"/>
      <w:sz w:val="20"/>
    </w:rPr>
  </w:style>
  <w:style w:type="paragraph" w:customStyle="1" w:styleId="BoxListNumber2">
    <w:name w:val="Box List Number 2"/>
    <w:basedOn w:val="BoxListNumber"/>
    <w:rsid w:val="007047F5"/>
    <w:pPr>
      <w:numPr>
        <w:ilvl w:val="1"/>
      </w:numPr>
      <w:ind w:left="681" w:hanging="397"/>
    </w:pPr>
  </w:style>
  <w:style w:type="paragraph" w:customStyle="1" w:styleId="BoxQuote">
    <w:name w:val="Box Quote"/>
    <w:basedOn w:val="BodyText"/>
    <w:next w:val="Box"/>
    <w:qFormat/>
    <w:rsid w:val="007047F5"/>
    <w:pPr>
      <w:keepNext/>
      <w:spacing w:before="60" w:line="240" w:lineRule="exact"/>
      <w:ind w:left="284"/>
    </w:pPr>
    <w:rPr>
      <w:rFonts w:ascii="Arial" w:hAnsi="Arial"/>
      <w:sz w:val="18"/>
    </w:rPr>
  </w:style>
  <w:style w:type="paragraph" w:customStyle="1" w:styleId="Note">
    <w:name w:val="Note"/>
    <w:basedOn w:val="BodyText"/>
    <w:next w:val="BodyText"/>
    <w:link w:val="NoteChar"/>
    <w:rsid w:val="007047F5"/>
    <w:pPr>
      <w:keepLines/>
      <w:spacing w:before="80" w:line="220" w:lineRule="exact"/>
    </w:pPr>
    <w:rPr>
      <w:rFonts w:ascii="Arial" w:hAnsi="Arial"/>
      <w:sz w:val="18"/>
    </w:rPr>
  </w:style>
  <w:style w:type="paragraph" w:customStyle="1" w:styleId="Source">
    <w:name w:val="Source"/>
    <w:basedOn w:val="Normal"/>
    <w:next w:val="BodyText"/>
    <w:rsid w:val="007047F5"/>
    <w:pPr>
      <w:keepLines/>
      <w:spacing w:before="80" w:line="220" w:lineRule="exact"/>
      <w:jc w:val="both"/>
    </w:pPr>
    <w:rPr>
      <w:rFonts w:ascii="Arial" w:hAnsi="Arial"/>
      <w:sz w:val="18"/>
      <w:szCs w:val="20"/>
    </w:rPr>
  </w:style>
  <w:style w:type="paragraph" w:customStyle="1" w:styleId="BoxSource">
    <w:name w:val="Box Source"/>
    <w:basedOn w:val="Source"/>
    <w:next w:val="BodyText"/>
    <w:rsid w:val="007047F5"/>
    <w:pPr>
      <w:spacing w:before="12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7047F5"/>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7047F5"/>
    <w:pPr>
      <w:spacing w:before="120" w:after="0"/>
    </w:pPr>
  </w:style>
  <w:style w:type="paragraph" w:customStyle="1" w:styleId="BoxSubtitle">
    <w:name w:val="Box Subtitle"/>
    <w:basedOn w:val="BoxTitle"/>
    <w:next w:val="Normal"/>
    <w:rsid w:val="007047F5"/>
    <w:pPr>
      <w:spacing w:after="80" w:line="200" w:lineRule="exact"/>
      <w:ind w:firstLine="0"/>
    </w:pPr>
    <w:rPr>
      <w:b w:val="0"/>
      <w:sz w:val="20"/>
    </w:rPr>
  </w:style>
  <w:style w:type="paragraph" w:customStyle="1" w:styleId="Chapter">
    <w:name w:val="Chapter"/>
    <w:basedOn w:val="Heading1"/>
    <w:next w:val="BodyText"/>
    <w:semiHidden/>
    <w:rsid w:val="007047F5"/>
    <w:pPr>
      <w:ind w:left="0" w:firstLine="0"/>
      <w:outlineLvl w:val="9"/>
    </w:pPr>
  </w:style>
  <w:style w:type="paragraph" w:customStyle="1" w:styleId="ChapterSummary">
    <w:name w:val="Chapter Summary"/>
    <w:basedOn w:val="BodyText"/>
    <w:rsid w:val="007047F5"/>
    <w:pPr>
      <w:spacing w:line="280" w:lineRule="atLeast"/>
      <w:ind w:left="907"/>
    </w:pPr>
    <w:rPr>
      <w:rFonts w:ascii="Arial" w:hAnsi="Arial"/>
      <w:b/>
      <w:sz w:val="20"/>
    </w:rPr>
  </w:style>
  <w:style w:type="character" w:styleId="CommentReference">
    <w:name w:val="annotation reference"/>
    <w:basedOn w:val="DefaultParagraphFont"/>
    <w:semiHidden/>
    <w:rsid w:val="007047F5"/>
    <w:rPr>
      <w:b/>
      <w:vanish/>
      <w:color w:val="FF00FF"/>
      <w:sz w:val="20"/>
    </w:rPr>
  </w:style>
  <w:style w:type="paragraph" w:styleId="CommentText">
    <w:name w:val="annotation text"/>
    <w:basedOn w:val="Normal"/>
    <w:link w:val="CommentTextChar"/>
    <w:semiHidden/>
    <w:rsid w:val="007047F5"/>
    <w:pPr>
      <w:spacing w:before="120" w:line="240" w:lineRule="atLeast"/>
      <w:ind w:left="567" w:hanging="567"/>
    </w:pPr>
    <w:rPr>
      <w:sz w:val="20"/>
    </w:rPr>
  </w:style>
  <w:style w:type="paragraph" w:customStyle="1" w:styleId="Continued">
    <w:name w:val="Continued"/>
    <w:basedOn w:val="BoxContinued"/>
    <w:next w:val="BodyText"/>
    <w:rsid w:val="007047F5"/>
  </w:style>
  <w:style w:type="character" w:customStyle="1" w:styleId="DocumentInfo">
    <w:name w:val="Document Info"/>
    <w:basedOn w:val="DefaultParagraphFont"/>
    <w:semiHidden/>
    <w:rsid w:val="007047F5"/>
    <w:rPr>
      <w:rFonts w:ascii="Arial" w:hAnsi="Arial"/>
      <w:sz w:val="14"/>
    </w:rPr>
  </w:style>
  <w:style w:type="character" w:customStyle="1" w:styleId="DraftingNote">
    <w:name w:val="Drafting Note"/>
    <w:basedOn w:val="DefaultParagraphFont"/>
    <w:rsid w:val="007047F5"/>
    <w:rPr>
      <w:b/>
      <w:color w:val="FF0000"/>
      <w:sz w:val="24"/>
      <w:u w:val="dotted"/>
    </w:rPr>
  </w:style>
  <w:style w:type="paragraph" w:customStyle="1" w:styleId="Figure">
    <w:name w:val="Figure"/>
    <w:basedOn w:val="BodyText"/>
    <w:rsid w:val="007047F5"/>
    <w:pPr>
      <w:keepNext/>
      <w:spacing w:before="120" w:after="120" w:line="240" w:lineRule="atLeast"/>
      <w:jc w:val="center"/>
    </w:pPr>
  </w:style>
  <w:style w:type="paragraph" w:customStyle="1" w:styleId="FigureTitle">
    <w:name w:val="Figure Title"/>
    <w:basedOn w:val="Caption"/>
    <w:next w:val="Subtitle"/>
    <w:link w:val="FigureTitleChar"/>
    <w:rsid w:val="007047F5"/>
    <w:pPr>
      <w:spacing w:before="120"/>
    </w:pPr>
  </w:style>
  <w:style w:type="paragraph" w:styleId="Subtitle">
    <w:name w:val="Subtitle"/>
    <w:basedOn w:val="Caption"/>
    <w:link w:val="SubtitleChar"/>
    <w:qFormat/>
    <w:rsid w:val="007047F5"/>
    <w:pPr>
      <w:spacing w:before="0" w:line="200" w:lineRule="exact"/>
      <w:ind w:firstLine="0"/>
    </w:pPr>
    <w:rPr>
      <w:b w:val="0"/>
      <w:sz w:val="20"/>
    </w:rPr>
  </w:style>
  <w:style w:type="paragraph" w:customStyle="1" w:styleId="Finding">
    <w:name w:val="Finding"/>
    <w:basedOn w:val="BodyText"/>
    <w:rsid w:val="007047F5"/>
    <w:pPr>
      <w:keepLines/>
      <w:spacing w:before="120" w:line="280" w:lineRule="atLeast"/>
    </w:pPr>
    <w:rPr>
      <w:rFonts w:ascii="Arial" w:hAnsi="Arial"/>
      <w:sz w:val="22"/>
    </w:rPr>
  </w:style>
  <w:style w:type="paragraph" w:customStyle="1" w:styleId="FindingBullet">
    <w:name w:val="Finding Bullet"/>
    <w:basedOn w:val="Finding"/>
    <w:rsid w:val="007047F5"/>
    <w:pPr>
      <w:numPr>
        <w:numId w:val="3"/>
      </w:numPr>
      <w:spacing w:before="80"/>
    </w:pPr>
  </w:style>
  <w:style w:type="paragraph" w:customStyle="1" w:styleId="FindingNoTitle">
    <w:name w:val="Finding NoTitle"/>
    <w:basedOn w:val="Finding"/>
    <w:rsid w:val="007047F5"/>
    <w:pPr>
      <w:spacing w:before="240"/>
    </w:pPr>
  </w:style>
  <w:style w:type="paragraph" w:customStyle="1" w:styleId="RecTitle">
    <w:name w:val="Rec Title"/>
    <w:basedOn w:val="BodyText"/>
    <w:next w:val="Rec"/>
    <w:qFormat/>
    <w:rsid w:val="007047F5"/>
    <w:pPr>
      <w:keepNext/>
      <w:keepLines/>
      <w:spacing w:line="280" w:lineRule="atLeast"/>
    </w:pPr>
    <w:rPr>
      <w:rFonts w:ascii="Arial" w:hAnsi="Arial"/>
      <w:caps/>
      <w:sz w:val="18"/>
    </w:rPr>
  </w:style>
  <w:style w:type="paragraph" w:customStyle="1" w:styleId="FindingTitle">
    <w:name w:val="Finding Title"/>
    <w:basedOn w:val="RecTitle"/>
    <w:next w:val="Finding"/>
    <w:rsid w:val="007047F5"/>
  </w:style>
  <w:style w:type="character" w:styleId="FootnoteReference">
    <w:name w:val="footnote reference"/>
    <w:basedOn w:val="DefaultParagraphFont"/>
    <w:semiHidden/>
    <w:rsid w:val="007047F5"/>
    <w:rPr>
      <w:rFonts w:ascii="Times New Roman" w:hAnsi="Times New Roman"/>
      <w:position w:val="6"/>
      <w:sz w:val="20"/>
      <w:vertAlign w:val="baseline"/>
    </w:rPr>
  </w:style>
  <w:style w:type="paragraph" w:styleId="FootnoteText">
    <w:name w:val="footnote text"/>
    <w:basedOn w:val="BodyText"/>
    <w:rsid w:val="007047F5"/>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7047F5"/>
    <w:rPr>
      <w:i/>
    </w:rPr>
  </w:style>
  <w:style w:type="paragraph" w:customStyle="1" w:styleId="Jurisdictioncommentsbodytext">
    <w:name w:val="Jurisdiction comments body text"/>
    <w:rsid w:val="007047F5"/>
    <w:pPr>
      <w:spacing w:after="140"/>
      <w:jc w:val="both"/>
    </w:pPr>
    <w:rPr>
      <w:rFonts w:ascii="Arial" w:hAnsi="Arial"/>
      <w:sz w:val="24"/>
      <w:lang w:eastAsia="en-US"/>
    </w:rPr>
  </w:style>
  <w:style w:type="paragraph" w:customStyle="1" w:styleId="Jurisdictioncommentsheading">
    <w:name w:val="Jurisdiction comments heading"/>
    <w:rsid w:val="007047F5"/>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7047F5"/>
    <w:pPr>
      <w:numPr>
        <w:numId w:val="4"/>
      </w:numPr>
      <w:spacing w:after="140"/>
      <w:jc w:val="both"/>
    </w:pPr>
    <w:rPr>
      <w:rFonts w:ascii="Arial" w:hAnsi="Arial"/>
      <w:sz w:val="24"/>
      <w:lang w:eastAsia="en-US"/>
    </w:rPr>
  </w:style>
  <w:style w:type="paragraph" w:styleId="ListBullet">
    <w:name w:val="List Bullet"/>
    <w:basedOn w:val="BodyText"/>
    <w:rsid w:val="007047F5"/>
    <w:pPr>
      <w:numPr>
        <w:numId w:val="5"/>
      </w:numPr>
      <w:spacing w:before="120"/>
    </w:pPr>
  </w:style>
  <w:style w:type="paragraph" w:styleId="ListBullet2">
    <w:name w:val="List Bullet 2"/>
    <w:basedOn w:val="BodyText"/>
    <w:rsid w:val="007047F5"/>
    <w:pPr>
      <w:numPr>
        <w:numId w:val="6"/>
      </w:numPr>
      <w:spacing w:before="120"/>
    </w:pPr>
  </w:style>
  <w:style w:type="paragraph" w:styleId="ListBullet3">
    <w:name w:val="List Bullet 3"/>
    <w:basedOn w:val="BodyText"/>
    <w:rsid w:val="007047F5"/>
    <w:pPr>
      <w:numPr>
        <w:numId w:val="7"/>
      </w:numPr>
      <w:spacing w:before="120"/>
      <w:ind w:left="1020" w:hanging="340"/>
    </w:pPr>
  </w:style>
  <w:style w:type="paragraph" w:styleId="ListNumber">
    <w:name w:val="List Number"/>
    <w:basedOn w:val="BodyText"/>
    <w:rsid w:val="007047F5"/>
    <w:pPr>
      <w:numPr>
        <w:numId w:val="12"/>
      </w:numPr>
      <w:spacing w:before="120"/>
    </w:pPr>
  </w:style>
  <w:style w:type="paragraph" w:styleId="ListNumber2">
    <w:name w:val="List Number 2"/>
    <w:basedOn w:val="ListNumber"/>
    <w:rsid w:val="007047F5"/>
    <w:pPr>
      <w:numPr>
        <w:ilvl w:val="1"/>
      </w:numPr>
    </w:pPr>
  </w:style>
  <w:style w:type="paragraph" w:styleId="ListNumber3">
    <w:name w:val="List Number 3"/>
    <w:basedOn w:val="ListNumber2"/>
    <w:rsid w:val="007047F5"/>
    <w:pPr>
      <w:numPr>
        <w:ilvl w:val="2"/>
      </w:numPr>
    </w:pPr>
  </w:style>
  <w:style w:type="character" w:customStyle="1" w:styleId="NoteLabel">
    <w:name w:val="Note Label"/>
    <w:basedOn w:val="DefaultParagraphFont"/>
    <w:rsid w:val="007047F5"/>
    <w:rPr>
      <w:rFonts w:ascii="Arial" w:hAnsi="Arial"/>
      <w:b/>
      <w:position w:val="6"/>
      <w:sz w:val="18"/>
    </w:rPr>
  </w:style>
  <w:style w:type="paragraph" w:customStyle="1" w:styleId="PartDivider">
    <w:name w:val="Part Divider"/>
    <w:basedOn w:val="BodyText"/>
    <w:next w:val="BodyText"/>
    <w:semiHidden/>
    <w:rsid w:val="007047F5"/>
    <w:pPr>
      <w:spacing w:before="0" w:line="40" w:lineRule="exact"/>
      <w:jc w:val="right"/>
    </w:pPr>
    <w:rPr>
      <w:smallCaps/>
      <w:sz w:val="16"/>
    </w:rPr>
  </w:style>
  <w:style w:type="paragraph" w:customStyle="1" w:styleId="PartNumber">
    <w:name w:val="Part Number"/>
    <w:basedOn w:val="BodyText"/>
    <w:next w:val="BodyText"/>
    <w:semiHidden/>
    <w:rsid w:val="007047F5"/>
    <w:pPr>
      <w:spacing w:before="4000" w:line="320" w:lineRule="exact"/>
      <w:ind w:left="6634"/>
      <w:jc w:val="right"/>
    </w:pPr>
    <w:rPr>
      <w:smallCaps/>
      <w:spacing w:val="60"/>
      <w:sz w:val="32"/>
    </w:rPr>
  </w:style>
  <w:style w:type="paragraph" w:customStyle="1" w:styleId="PartTitle">
    <w:name w:val="Part Title"/>
    <w:basedOn w:val="BodyText"/>
    <w:semiHidden/>
    <w:rsid w:val="007047F5"/>
    <w:pPr>
      <w:spacing w:before="160" w:after="1360" w:line="520" w:lineRule="exact"/>
      <w:ind w:right="2381"/>
      <w:jc w:val="right"/>
    </w:pPr>
    <w:rPr>
      <w:smallCaps/>
      <w:sz w:val="52"/>
    </w:rPr>
  </w:style>
  <w:style w:type="paragraph" w:styleId="Quote">
    <w:name w:val="Quote"/>
    <w:basedOn w:val="BodyText"/>
    <w:next w:val="BodyText"/>
    <w:qFormat/>
    <w:rsid w:val="007047F5"/>
    <w:pPr>
      <w:spacing w:before="120" w:line="280" w:lineRule="exact"/>
      <w:ind w:left="340"/>
    </w:pPr>
    <w:rPr>
      <w:sz w:val="22"/>
    </w:rPr>
  </w:style>
  <w:style w:type="paragraph" w:customStyle="1" w:styleId="QuoteBullet">
    <w:name w:val="Quote Bullet"/>
    <w:basedOn w:val="Quote"/>
    <w:rsid w:val="007047F5"/>
    <w:pPr>
      <w:numPr>
        <w:numId w:val="8"/>
      </w:numPr>
    </w:pPr>
  </w:style>
  <w:style w:type="paragraph" w:customStyle="1" w:styleId="Rec">
    <w:name w:val="Rec"/>
    <w:basedOn w:val="BodyText"/>
    <w:qFormat/>
    <w:rsid w:val="007047F5"/>
    <w:pPr>
      <w:keepLines/>
      <w:spacing w:before="120" w:line="280" w:lineRule="atLeast"/>
    </w:pPr>
    <w:rPr>
      <w:rFonts w:ascii="Arial" w:hAnsi="Arial"/>
      <w:sz w:val="22"/>
    </w:rPr>
  </w:style>
  <w:style w:type="paragraph" w:customStyle="1" w:styleId="RecBullet">
    <w:name w:val="Rec Bullet"/>
    <w:basedOn w:val="Rec"/>
    <w:rsid w:val="007047F5"/>
    <w:pPr>
      <w:numPr>
        <w:numId w:val="9"/>
      </w:numPr>
      <w:spacing w:before="80"/>
    </w:pPr>
  </w:style>
  <w:style w:type="paragraph" w:customStyle="1" w:styleId="RecB">
    <w:name w:val="RecB"/>
    <w:basedOn w:val="Normal"/>
    <w:rsid w:val="007047F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7047F5"/>
    <w:pPr>
      <w:numPr>
        <w:numId w:val="14"/>
      </w:numPr>
      <w:spacing w:before="80"/>
    </w:pPr>
  </w:style>
  <w:style w:type="paragraph" w:customStyle="1" w:styleId="RecBNoTitle">
    <w:name w:val="RecB NoTitle"/>
    <w:basedOn w:val="RecB"/>
    <w:rsid w:val="007047F5"/>
    <w:pPr>
      <w:spacing w:before="240"/>
    </w:pPr>
  </w:style>
  <w:style w:type="paragraph" w:customStyle="1" w:styleId="Reference">
    <w:name w:val="Reference"/>
    <w:basedOn w:val="BodyText"/>
    <w:rsid w:val="007047F5"/>
    <w:pPr>
      <w:spacing w:before="120"/>
      <w:ind w:left="340" w:hanging="340"/>
    </w:pPr>
  </w:style>
  <w:style w:type="paragraph" w:customStyle="1" w:styleId="SequenceInfo">
    <w:name w:val="Sequence Info"/>
    <w:basedOn w:val="BodyText"/>
    <w:semiHidden/>
    <w:rsid w:val="007047F5"/>
    <w:rPr>
      <w:vanish/>
      <w:sz w:val="16"/>
    </w:rPr>
  </w:style>
  <w:style w:type="paragraph" w:customStyle="1" w:styleId="SideNote">
    <w:name w:val="Side Note"/>
    <w:basedOn w:val="BodyText"/>
    <w:next w:val="BodyText"/>
    <w:semiHidden/>
    <w:rsid w:val="007047F5"/>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7047F5"/>
    <w:pPr>
      <w:framePr w:wrap="around"/>
      <w:numPr>
        <w:numId w:val="10"/>
      </w:numPr>
      <w:tabs>
        <w:tab w:val="left" w:pos="227"/>
      </w:tabs>
    </w:pPr>
  </w:style>
  <w:style w:type="paragraph" w:customStyle="1" w:styleId="SideNoteGraphic">
    <w:name w:val="Side Note Graphic"/>
    <w:basedOn w:val="SideNote"/>
    <w:next w:val="BodyText"/>
    <w:semiHidden/>
    <w:rsid w:val="007047F5"/>
    <w:pPr>
      <w:framePr w:wrap="around"/>
    </w:pPr>
  </w:style>
  <w:style w:type="paragraph" w:customStyle="1" w:styleId="TableBodyText">
    <w:name w:val="Table Body Text"/>
    <w:basedOn w:val="BodyText"/>
    <w:link w:val="TableBodyTextChar"/>
    <w:rsid w:val="007047F5"/>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link w:val="TableBulletChar"/>
    <w:rsid w:val="007047F5"/>
    <w:pPr>
      <w:numPr>
        <w:numId w:val="11"/>
      </w:numPr>
      <w:jc w:val="left"/>
    </w:pPr>
  </w:style>
  <w:style w:type="paragraph" w:customStyle="1" w:styleId="TableColumnHeading">
    <w:name w:val="Table Column Heading"/>
    <w:basedOn w:val="TableBodyText"/>
    <w:rsid w:val="007047F5"/>
    <w:pPr>
      <w:spacing w:before="80" w:after="80"/>
    </w:pPr>
    <w:rPr>
      <w:i/>
    </w:rPr>
  </w:style>
  <w:style w:type="paragraph" w:styleId="TOC2">
    <w:name w:val="toc 2"/>
    <w:basedOn w:val="TOC1"/>
    <w:rsid w:val="007047F5"/>
    <w:pPr>
      <w:ind w:left="1134" w:hanging="624"/>
    </w:pPr>
    <w:rPr>
      <w:b w:val="0"/>
    </w:rPr>
  </w:style>
  <w:style w:type="paragraph" w:styleId="TOC3">
    <w:name w:val="toc 3"/>
    <w:basedOn w:val="TOC2"/>
    <w:rsid w:val="007047F5"/>
    <w:pPr>
      <w:spacing w:before="60"/>
      <w:ind w:left="1190" w:hanging="680"/>
    </w:pPr>
  </w:style>
  <w:style w:type="paragraph" w:styleId="TableofFigures">
    <w:name w:val="table of figures"/>
    <w:basedOn w:val="TOC3"/>
    <w:next w:val="BodyText"/>
    <w:semiHidden/>
    <w:rsid w:val="007047F5"/>
    <w:pPr>
      <w:ind w:left="737" w:hanging="737"/>
    </w:pPr>
  </w:style>
  <w:style w:type="paragraph" w:customStyle="1" w:styleId="TableTitle">
    <w:name w:val="Table Title"/>
    <w:basedOn w:val="Caption"/>
    <w:next w:val="Subtitle"/>
    <w:qFormat/>
    <w:rsid w:val="007047F5"/>
    <w:pPr>
      <w:spacing w:before="120"/>
    </w:pPr>
  </w:style>
  <w:style w:type="paragraph" w:customStyle="1" w:styleId="TableUnitsRow">
    <w:name w:val="Table Units Row"/>
    <w:basedOn w:val="TableBodyText"/>
    <w:rsid w:val="007047F5"/>
    <w:pPr>
      <w:spacing w:before="40"/>
    </w:pPr>
  </w:style>
  <w:style w:type="paragraph" w:styleId="TOC1">
    <w:name w:val="toc 1"/>
    <w:basedOn w:val="Normal"/>
    <w:next w:val="TOC2"/>
    <w:link w:val="TOC1Char"/>
    <w:rsid w:val="007047F5"/>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rsid w:val="007047F5"/>
    <w:pPr>
      <w:ind w:left="1191" w:firstLine="0"/>
    </w:pPr>
  </w:style>
  <w:style w:type="character" w:styleId="Hyperlink">
    <w:name w:val="Hyperlink"/>
    <w:basedOn w:val="DefaultParagraphFont"/>
    <w:uiPriority w:val="99"/>
    <w:rsid w:val="00B96E3E"/>
    <w:rPr>
      <w:color w:val="0000FF"/>
      <w:u w:val="single"/>
    </w:rPr>
  </w:style>
  <w:style w:type="paragraph" w:customStyle="1" w:styleId="Text">
    <w:name w:val="Text"/>
    <w:link w:val="TextChar"/>
    <w:rsid w:val="00222A89"/>
    <w:pPr>
      <w:spacing w:before="200" w:line="260" w:lineRule="exact"/>
    </w:pPr>
    <w:rPr>
      <w:rFonts w:ascii="Garamond" w:hAnsi="Garamond"/>
      <w:sz w:val="22"/>
    </w:rPr>
  </w:style>
  <w:style w:type="paragraph" w:customStyle="1" w:styleId="TableFigText">
    <w:name w:val="Table/Fig: Text"/>
    <w:basedOn w:val="Normal"/>
    <w:rsid w:val="00CC6152"/>
    <w:pPr>
      <w:keepLines/>
      <w:tabs>
        <w:tab w:val="left" w:pos="198"/>
      </w:tabs>
      <w:spacing w:before="60" w:after="60" w:line="200" w:lineRule="atLeast"/>
    </w:pPr>
    <w:rPr>
      <w:rFonts w:ascii="Arial" w:hAnsi="Arial"/>
      <w:color w:val="000000"/>
      <w:sz w:val="16"/>
      <w:szCs w:val="20"/>
      <w:lang w:eastAsia="en-US"/>
    </w:rPr>
  </w:style>
  <w:style w:type="character" w:customStyle="1" w:styleId="TextChar">
    <w:name w:val="Text Char"/>
    <w:basedOn w:val="DefaultParagraphFont"/>
    <w:link w:val="Text"/>
    <w:locked/>
    <w:rsid w:val="00222A89"/>
    <w:rPr>
      <w:rFonts w:ascii="Garamond" w:hAnsi="Garamond"/>
      <w:sz w:val="22"/>
      <w:lang w:val="en-AU" w:eastAsia="en-AU" w:bidi="ar-SA"/>
    </w:rPr>
  </w:style>
  <w:style w:type="paragraph" w:customStyle="1" w:styleId="tabletitle0">
    <w:name w:val="tabletitle"/>
    <w:next w:val="Text"/>
    <w:rsid w:val="00222A89"/>
    <w:pPr>
      <w:tabs>
        <w:tab w:val="left" w:pos="992"/>
      </w:tabs>
      <w:spacing w:before="360" w:after="80"/>
    </w:pPr>
    <w:rPr>
      <w:rFonts w:ascii="Arial" w:hAnsi="Arial"/>
      <w:b/>
      <w:sz w:val="17"/>
    </w:rPr>
  </w:style>
  <w:style w:type="paragraph" w:customStyle="1" w:styleId="Tablehead1">
    <w:name w:val="Tablehead1"/>
    <w:rsid w:val="00222A89"/>
    <w:pPr>
      <w:spacing w:before="80" w:after="80"/>
    </w:pPr>
    <w:rPr>
      <w:rFonts w:ascii="Arial" w:hAnsi="Arial"/>
      <w:b/>
      <w:sz w:val="17"/>
    </w:rPr>
  </w:style>
  <w:style w:type="paragraph" w:customStyle="1" w:styleId="Tablehead2">
    <w:name w:val="Tablehead2"/>
    <w:basedOn w:val="Tablehead1"/>
    <w:rsid w:val="00222A89"/>
    <w:pPr>
      <w:tabs>
        <w:tab w:val="left" w:pos="992"/>
      </w:tabs>
      <w:spacing w:before="20" w:after="20"/>
    </w:pPr>
    <w:rPr>
      <w:b w:val="0"/>
    </w:rPr>
  </w:style>
  <w:style w:type="paragraph" w:customStyle="1" w:styleId="Tabletext">
    <w:name w:val="Table text"/>
    <w:next w:val="Text"/>
    <w:rsid w:val="00D03D6B"/>
    <w:pPr>
      <w:spacing w:before="80"/>
    </w:pPr>
    <w:rPr>
      <w:rFonts w:ascii="Arial" w:hAnsi="Arial"/>
      <w:sz w:val="16"/>
    </w:rPr>
  </w:style>
  <w:style w:type="paragraph" w:styleId="CommentSubject">
    <w:name w:val="annotation subject"/>
    <w:basedOn w:val="CommentText"/>
    <w:next w:val="CommentText"/>
    <w:link w:val="CommentSubjectChar"/>
    <w:rsid w:val="0068457F"/>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68457F"/>
    <w:rPr>
      <w:szCs w:val="24"/>
    </w:rPr>
  </w:style>
  <w:style w:type="character" w:customStyle="1" w:styleId="CommentSubjectChar">
    <w:name w:val="Comment Subject Char"/>
    <w:basedOn w:val="CommentTextChar"/>
    <w:link w:val="CommentSubject"/>
    <w:rsid w:val="0068457F"/>
    <w:rPr>
      <w:b/>
      <w:bCs/>
      <w:szCs w:val="24"/>
      <w:lang w:val="en-AU" w:eastAsia="en-AU" w:bidi="ar-SA"/>
    </w:rPr>
  </w:style>
  <w:style w:type="paragraph" w:styleId="BalloonText">
    <w:name w:val="Balloon Text"/>
    <w:basedOn w:val="Normal"/>
    <w:link w:val="BalloonTextChar"/>
    <w:rsid w:val="007047F5"/>
    <w:rPr>
      <w:rFonts w:ascii="Tahoma" w:hAnsi="Tahoma" w:cs="Tahoma"/>
      <w:sz w:val="16"/>
      <w:szCs w:val="16"/>
    </w:rPr>
  </w:style>
  <w:style w:type="character" w:customStyle="1" w:styleId="BalloonTextChar">
    <w:name w:val="Balloon Text Char"/>
    <w:basedOn w:val="DefaultParagraphFont"/>
    <w:link w:val="BalloonText"/>
    <w:rsid w:val="007047F5"/>
    <w:rPr>
      <w:rFonts w:ascii="Tahoma" w:hAnsi="Tahoma" w:cs="Tahoma"/>
      <w:sz w:val="16"/>
      <w:szCs w:val="16"/>
    </w:rPr>
  </w:style>
  <w:style w:type="character" w:customStyle="1" w:styleId="BoxChar">
    <w:name w:val="Box Char"/>
    <w:basedOn w:val="DefaultParagraphFont"/>
    <w:link w:val="Box"/>
    <w:rsid w:val="0068457F"/>
    <w:rPr>
      <w:rFonts w:ascii="Arial" w:hAnsi="Arial"/>
    </w:rPr>
  </w:style>
  <w:style w:type="character" w:styleId="FollowedHyperlink">
    <w:name w:val="FollowedHyperlink"/>
    <w:basedOn w:val="DefaultParagraphFont"/>
    <w:rsid w:val="00256C31"/>
    <w:rPr>
      <w:color w:val="800080" w:themeColor="followedHyperlink"/>
      <w:u w:val="single"/>
    </w:rPr>
  </w:style>
  <w:style w:type="paragraph" w:customStyle="1" w:styleId="Default">
    <w:name w:val="Default"/>
    <w:rsid w:val="008C2EAF"/>
    <w:pPr>
      <w:autoSpaceDE w:val="0"/>
      <w:autoSpaceDN w:val="0"/>
      <w:adjustRightInd w:val="0"/>
    </w:pPr>
    <w:rPr>
      <w:rFonts w:ascii="Arial" w:hAnsi="Arial" w:cs="Arial"/>
      <w:color w:val="000000"/>
      <w:sz w:val="24"/>
      <w:szCs w:val="24"/>
    </w:rPr>
  </w:style>
  <w:style w:type="character" w:customStyle="1" w:styleId="TableBodyTextChar">
    <w:name w:val="Table Body Text Char"/>
    <w:link w:val="TableBodyText"/>
    <w:locked/>
    <w:rsid w:val="005A1D61"/>
    <w:rPr>
      <w:rFonts w:ascii="Arial" w:hAnsi="Arial"/>
      <w:sz w:val="18"/>
    </w:rPr>
  </w:style>
  <w:style w:type="character" w:customStyle="1" w:styleId="TableBulletChar">
    <w:name w:val="Table Bullet Char"/>
    <w:basedOn w:val="TableBodyTextChar"/>
    <w:link w:val="TableBullet"/>
    <w:locked/>
    <w:rsid w:val="005A1D61"/>
    <w:rPr>
      <w:rFonts w:ascii="Arial" w:hAnsi="Arial"/>
      <w:sz w:val="18"/>
    </w:rPr>
  </w:style>
  <w:style w:type="table" w:styleId="TableGrid">
    <w:name w:val="Table Grid"/>
    <w:basedOn w:val="TableNormal"/>
    <w:rsid w:val="007047F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xSpaceAbove">
    <w:name w:val="Box Space Above"/>
    <w:basedOn w:val="BodyText"/>
    <w:rsid w:val="007047F5"/>
    <w:pPr>
      <w:keepNext/>
      <w:spacing w:before="360" w:line="80" w:lineRule="exact"/>
      <w:jc w:val="left"/>
    </w:pPr>
  </w:style>
  <w:style w:type="paragraph" w:customStyle="1" w:styleId="RecBBullet2">
    <w:name w:val="RecB Bullet 2"/>
    <w:basedOn w:val="ListBullet2"/>
    <w:semiHidden/>
    <w:rsid w:val="007047F5"/>
    <w:pPr>
      <w:pBdr>
        <w:left w:val="single" w:sz="24" w:space="29" w:color="C0C0C0"/>
      </w:pBdr>
    </w:pPr>
    <w:rPr>
      <w:b/>
      <w:i/>
    </w:rPr>
  </w:style>
  <w:style w:type="character" w:customStyle="1" w:styleId="SubtitleChar">
    <w:name w:val="Subtitle Char"/>
    <w:basedOn w:val="DefaultParagraphFont"/>
    <w:link w:val="Subtitle"/>
    <w:rsid w:val="007047F5"/>
    <w:rPr>
      <w:rFonts w:ascii="Arial" w:hAnsi="Arial"/>
      <w:szCs w:val="24"/>
    </w:rPr>
  </w:style>
  <w:style w:type="paragraph" w:customStyle="1" w:styleId="BoxListBullet3">
    <w:name w:val="Box List Bullet 3"/>
    <w:basedOn w:val="ListBullet3"/>
    <w:rsid w:val="007047F5"/>
    <w:pPr>
      <w:numPr>
        <w:numId w:val="23"/>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7047F5"/>
    <w:rPr>
      <w:i/>
      <w:iCs/>
    </w:rPr>
  </w:style>
  <w:style w:type="paragraph" w:customStyle="1" w:styleId="BoxQuoteBullet">
    <w:name w:val="Box Quote Bullet"/>
    <w:basedOn w:val="BoxQuote"/>
    <w:next w:val="Box"/>
    <w:rsid w:val="007047F5"/>
    <w:pPr>
      <w:numPr>
        <w:numId w:val="22"/>
      </w:numPr>
      <w:ind w:left="568" w:hanging="284"/>
    </w:pPr>
  </w:style>
  <w:style w:type="paragraph" w:customStyle="1" w:styleId="InformationRequestBullet">
    <w:name w:val="Information Request Bullet"/>
    <w:basedOn w:val="ListBullet"/>
    <w:next w:val="BodyText"/>
    <w:rsid w:val="007047F5"/>
    <w:pPr>
      <w:numPr>
        <w:numId w:val="24"/>
      </w:numPr>
      <w:spacing w:before="80" w:line="280" w:lineRule="atLeast"/>
      <w:ind w:left="357" w:hanging="357"/>
    </w:pPr>
    <w:rPr>
      <w:rFonts w:ascii="Arial" w:hAnsi="Arial"/>
      <w:i/>
      <w:sz w:val="22"/>
    </w:rPr>
  </w:style>
  <w:style w:type="paragraph" w:customStyle="1" w:styleId="BoxSpaceBelow">
    <w:name w:val="Box Space Below"/>
    <w:basedOn w:val="Box"/>
    <w:rsid w:val="007047F5"/>
    <w:pPr>
      <w:keepNext w:val="0"/>
      <w:spacing w:before="60" w:after="60" w:line="80" w:lineRule="exact"/>
    </w:pPr>
    <w:rPr>
      <w:sz w:val="14"/>
    </w:rPr>
  </w:style>
  <w:style w:type="paragraph" w:customStyle="1" w:styleId="KeyPointsListBullet">
    <w:name w:val="Key Points List Bullet"/>
    <w:basedOn w:val="Normal"/>
    <w:qFormat/>
    <w:rsid w:val="007047F5"/>
    <w:pPr>
      <w:keepNext/>
      <w:numPr>
        <w:numId w:val="25"/>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7047F5"/>
    <w:pPr>
      <w:numPr>
        <w:numId w:val="26"/>
      </w:numPr>
      <w:ind w:left="568" w:hanging="284"/>
    </w:pPr>
  </w:style>
  <w:style w:type="paragraph" w:customStyle="1" w:styleId="InformationRequestTitle">
    <w:name w:val="Information Request Title"/>
    <w:basedOn w:val="FindingTitle"/>
    <w:next w:val="InformationRequest"/>
    <w:rsid w:val="007047F5"/>
    <w:rPr>
      <w:i/>
    </w:rPr>
  </w:style>
  <w:style w:type="paragraph" w:customStyle="1" w:styleId="Space">
    <w:name w:val="Space"/>
    <w:basedOn w:val="Normal"/>
    <w:rsid w:val="007047F5"/>
    <w:pPr>
      <w:keepNext/>
      <w:spacing w:line="120" w:lineRule="exact"/>
      <w:jc w:val="both"/>
    </w:pPr>
    <w:rPr>
      <w:rFonts w:ascii="Arial" w:hAnsi="Arial"/>
      <w:sz w:val="20"/>
      <w:szCs w:val="20"/>
    </w:rPr>
  </w:style>
  <w:style w:type="paragraph" w:customStyle="1" w:styleId="Heading1nochapterno">
    <w:name w:val="Heading 1 (no chapter no.)"/>
    <w:basedOn w:val="Heading1"/>
    <w:rsid w:val="007047F5"/>
    <w:pPr>
      <w:spacing w:before="0"/>
      <w:ind w:left="0" w:firstLine="0"/>
    </w:pPr>
  </w:style>
  <w:style w:type="paragraph" w:customStyle="1" w:styleId="Heading2nosectionno">
    <w:name w:val="Heading 2 (no section no.)"/>
    <w:basedOn w:val="Heading2"/>
    <w:rsid w:val="007047F5"/>
    <w:pPr>
      <w:ind w:left="0" w:firstLine="0"/>
    </w:pPr>
  </w:style>
  <w:style w:type="character" w:customStyle="1" w:styleId="Heading5Char">
    <w:name w:val="Heading 5 Char"/>
    <w:basedOn w:val="DefaultParagraphFont"/>
    <w:link w:val="Heading5"/>
    <w:rsid w:val="007047F5"/>
    <w:rPr>
      <w:rFonts w:ascii="Arial" w:hAnsi="Arial"/>
      <w:i/>
      <w:sz w:val="22"/>
    </w:rPr>
  </w:style>
  <w:style w:type="paragraph" w:customStyle="1" w:styleId="Figurespace">
    <w:name w:val="Figure space"/>
    <w:basedOn w:val="Box"/>
    <w:rsid w:val="007047F5"/>
    <w:pPr>
      <w:spacing w:before="0" w:line="120" w:lineRule="exact"/>
    </w:pPr>
  </w:style>
  <w:style w:type="paragraph" w:customStyle="1" w:styleId="FooterDraftReport">
    <w:name w:val="FooterDraftReport"/>
    <w:basedOn w:val="Footer"/>
    <w:link w:val="FooterDraftReportChar"/>
    <w:rsid w:val="007047F5"/>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7047F5"/>
    <w:rPr>
      <w:sz w:val="24"/>
    </w:rPr>
  </w:style>
  <w:style w:type="character" w:customStyle="1" w:styleId="FooterChar">
    <w:name w:val="Footer Char"/>
    <w:basedOn w:val="BodyTextChar"/>
    <w:link w:val="Footer"/>
    <w:rsid w:val="007047F5"/>
    <w:rPr>
      <w:rFonts w:ascii="Arial" w:hAnsi="Arial"/>
      <w:caps/>
      <w:spacing w:val="-4"/>
      <w:sz w:val="16"/>
    </w:rPr>
  </w:style>
  <w:style w:type="character" w:customStyle="1" w:styleId="FooterDraftReportChar">
    <w:name w:val="FooterDraftReport Char"/>
    <w:basedOn w:val="FooterChar"/>
    <w:link w:val="FooterDraftReport"/>
    <w:rsid w:val="007047F5"/>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7047F5"/>
    <w:rPr>
      <w:rFonts w:ascii="Arial" w:hAnsi="Arial"/>
      <w:b/>
      <w:sz w:val="26"/>
      <w:szCs w:val="26"/>
      <w:lang w:eastAsia="en-US"/>
    </w:rPr>
  </w:style>
  <w:style w:type="paragraph" w:customStyle="1" w:styleId="Heading1NotTOC">
    <w:name w:val="Heading 1 Not TOC"/>
    <w:basedOn w:val="Heading1"/>
    <w:next w:val="BodyText"/>
    <w:rsid w:val="00D71E79"/>
    <w:rPr>
      <w:kern w:val="28"/>
      <w:szCs w:val="26"/>
      <w:lang w:eastAsia="en-US"/>
    </w:rPr>
  </w:style>
  <w:style w:type="paragraph" w:customStyle="1" w:styleId="DQIContentsTitle">
    <w:name w:val="DQI Contents Title"/>
    <w:basedOn w:val="Heading5"/>
    <w:next w:val="TOC3"/>
    <w:qFormat/>
    <w:rsid w:val="00D71E79"/>
    <w:rPr>
      <w:b/>
      <w:i w:val="0"/>
      <w:sz w:val="24"/>
      <w:szCs w:val="24"/>
    </w:rPr>
  </w:style>
  <w:style w:type="paragraph" w:customStyle="1" w:styleId="DQIMainRowHeadings">
    <w:name w:val="DQI Main Row Headings"/>
    <w:basedOn w:val="Normal"/>
    <w:next w:val="Normal"/>
    <w:qFormat/>
    <w:rsid w:val="00B11361"/>
    <w:pPr>
      <w:keepNext/>
      <w:keepLines/>
      <w:spacing w:before="120" w:line="200" w:lineRule="atLeast"/>
      <w:ind w:left="6" w:right="113"/>
    </w:pPr>
    <w:rPr>
      <w:rFonts w:ascii="Arial" w:hAnsi="Arial"/>
      <w:b/>
      <w:sz w:val="18"/>
      <w:szCs w:val="20"/>
      <w:u w:val="single"/>
    </w:rPr>
  </w:style>
  <w:style w:type="paragraph" w:customStyle="1" w:styleId="DQITableText">
    <w:name w:val="DQI Table Text"/>
    <w:basedOn w:val="TableBodyText"/>
    <w:qFormat/>
    <w:rsid w:val="00B11361"/>
    <w:pPr>
      <w:spacing w:before="120" w:after="0"/>
      <w:ind w:left="0" w:right="0"/>
      <w:jc w:val="both"/>
    </w:pPr>
  </w:style>
  <w:style w:type="paragraph" w:customStyle="1" w:styleId="DQIRowHeadings">
    <w:name w:val="DQI Row Headings"/>
    <w:basedOn w:val="Normal"/>
    <w:qFormat/>
    <w:rsid w:val="00B11361"/>
    <w:pPr>
      <w:keepNext/>
      <w:keepLines/>
      <w:spacing w:before="120" w:line="200" w:lineRule="atLeast"/>
      <w:ind w:left="6" w:right="113"/>
    </w:pPr>
    <w:rPr>
      <w:rFonts w:ascii="Arial" w:hAnsi="Arial"/>
      <w:b/>
      <w:sz w:val="18"/>
      <w:szCs w:val="20"/>
    </w:rPr>
  </w:style>
  <w:style w:type="paragraph" w:customStyle="1" w:styleId="DQITableBullet">
    <w:name w:val="DQI Table Bullet"/>
    <w:basedOn w:val="TableBullet"/>
    <w:qFormat/>
    <w:rsid w:val="003E0195"/>
    <w:pPr>
      <w:numPr>
        <w:numId w:val="28"/>
      </w:numPr>
      <w:spacing w:before="40" w:after="0"/>
      <w:ind w:left="170" w:hanging="170"/>
      <w:jc w:val="both"/>
    </w:pPr>
  </w:style>
  <w:style w:type="paragraph" w:customStyle="1" w:styleId="DQITableBullet2">
    <w:name w:val="DQI Table Bullet 2"/>
    <w:basedOn w:val="DQITableBullet"/>
    <w:qFormat/>
    <w:rsid w:val="00B11361"/>
    <w:pPr>
      <w:numPr>
        <w:numId w:val="27"/>
      </w:numPr>
      <w:ind w:left="340" w:hanging="170"/>
    </w:pPr>
  </w:style>
  <w:style w:type="character" w:customStyle="1" w:styleId="FigureTitleChar">
    <w:name w:val="Figure Title Char"/>
    <w:link w:val="FigureTitle"/>
    <w:rsid w:val="000337E3"/>
    <w:rPr>
      <w:rFonts w:ascii="Arial" w:hAnsi="Arial"/>
      <w:b/>
      <w:sz w:val="24"/>
      <w:szCs w:val="24"/>
    </w:rPr>
  </w:style>
  <w:style w:type="character" w:customStyle="1" w:styleId="NoteChar">
    <w:name w:val="Note Char"/>
    <w:link w:val="Note"/>
    <w:rsid w:val="000D16DE"/>
    <w:rPr>
      <w:rFonts w:ascii="Arial" w:hAnsi="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3905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C86420-7FFE-465F-8387-B97106619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223</TotalTime>
  <Pages>39</Pages>
  <Words>13529</Words>
  <Characters>78501</Characters>
  <Application>Microsoft Office Word</Application>
  <DocSecurity>0</DocSecurity>
  <Lines>1857</Lines>
  <Paragraphs>1012</Paragraphs>
  <ScaleCrop>false</ScaleCrop>
  <HeadingPairs>
    <vt:vector size="2" baseType="variant">
      <vt:variant>
        <vt:lpstr>Title</vt:lpstr>
      </vt:variant>
      <vt:variant>
        <vt:i4>1</vt:i4>
      </vt:variant>
    </vt:vector>
  </HeadingPairs>
  <TitlesOfParts>
    <vt:vector size="1" baseType="lpstr">
      <vt:lpstr>DQI 5 Vocational education and training - Report on Government Services 2016</vt:lpstr>
    </vt:vector>
  </TitlesOfParts>
  <Company>Productivity Commission</Company>
  <LinksUpToDate>false</LinksUpToDate>
  <CharactersWithSpaces>91219</CharactersWithSpaces>
  <SharedDoc>false</SharedDoc>
  <HLinks>
    <vt:vector size="462" baseType="variant">
      <vt:variant>
        <vt:i4>1703961</vt:i4>
      </vt:variant>
      <vt:variant>
        <vt:i4>270</vt:i4>
      </vt:variant>
      <vt:variant>
        <vt:i4>0</vt:i4>
      </vt:variant>
      <vt:variant>
        <vt:i4>5</vt:i4>
      </vt:variant>
      <vt:variant>
        <vt:lpwstr>http://www.ncver.edu.au/statistic/21075.html</vt:lpwstr>
      </vt:variant>
      <vt:variant>
        <vt:lpwstr/>
      </vt:variant>
      <vt:variant>
        <vt:i4>7143464</vt:i4>
      </vt:variant>
      <vt:variant>
        <vt:i4>267</vt:i4>
      </vt:variant>
      <vt:variant>
        <vt:i4>0</vt:i4>
      </vt:variant>
      <vt:variant>
        <vt:i4>5</vt:i4>
      </vt:variant>
      <vt:variant>
        <vt:lpwstr>mailto:surveys_req@ncver.edu.au</vt:lpwstr>
      </vt:variant>
      <vt:variant>
        <vt:lpwstr/>
      </vt:variant>
      <vt:variant>
        <vt:i4>1769498</vt:i4>
      </vt:variant>
      <vt:variant>
        <vt:i4>264</vt:i4>
      </vt:variant>
      <vt:variant>
        <vt:i4>0</vt:i4>
      </vt:variant>
      <vt:variant>
        <vt:i4>5</vt:i4>
      </vt:variant>
      <vt:variant>
        <vt:lpwstr>http://www.ncver.edu.au/statistic/21066.html</vt:lpwstr>
      </vt:variant>
      <vt:variant>
        <vt:lpwstr/>
      </vt:variant>
      <vt:variant>
        <vt:i4>8323110</vt:i4>
      </vt:variant>
      <vt:variant>
        <vt:i4>261</vt:i4>
      </vt:variant>
      <vt:variant>
        <vt:i4>0</vt:i4>
      </vt:variant>
      <vt:variant>
        <vt:i4>5</vt:i4>
      </vt:variant>
      <vt:variant>
        <vt:lpwstr>http://www.ncver.edu.au/aboutncver/who.html</vt:lpwstr>
      </vt:variant>
      <vt:variant>
        <vt:lpwstr/>
      </vt:variant>
      <vt:variant>
        <vt:i4>1703961</vt:i4>
      </vt:variant>
      <vt:variant>
        <vt:i4>258</vt:i4>
      </vt:variant>
      <vt:variant>
        <vt:i4>0</vt:i4>
      </vt:variant>
      <vt:variant>
        <vt:i4>5</vt:i4>
      </vt:variant>
      <vt:variant>
        <vt:lpwstr>http://www.ncver.edu.au/statistic/21075.html</vt:lpwstr>
      </vt:variant>
      <vt:variant>
        <vt:lpwstr/>
      </vt:variant>
      <vt:variant>
        <vt:i4>7143464</vt:i4>
      </vt:variant>
      <vt:variant>
        <vt:i4>255</vt:i4>
      </vt:variant>
      <vt:variant>
        <vt:i4>0</vt:i4>
      </vt:variant>
      <vt:variant>
        <vt:i4>5</vt:i4>
      </vt:variant>
      <vt:variant>
        <vt:lpwstr>mailto:surveys_req@ncver.edu.au</vt:lpwstr>
      </vt:variant>
      <vt:variant>
        <vt:lpwstr/>
      </vt:variant>
      <vt:variant>
        <vt:i4>1769498</vt:i4>
      </vt:variant>
      <vt:variant>
        <vt:i4>252</vt:i4>
      </vt:variant>
      <vt:variant>
        <vt:i4>0</vt:i4>
      </vt:variant>
      <vt:variant>
        <vt:i4>5</vt:i4>
      </vt:variant>
      <vt:variant>
        <vt:lpwstr>http://www.ncver.edu.au/statistic/21066.html</vt:lpwstr>
      </vt:variant>
      <vt:variant>
        <vt:lpwstr/>
      </vt:variant>
      <vt:variant>
        <vt:i4>8323110</vt:i4>
      </vt:variant>
      <vt:variant>
        <vt:i4>249</vt:i4>
      </vt:variant>
      <vt:variant>
        <vt:i4>0</vt:i4>
      </vt:variant>
      <vt:variant>
        <vt:i4>5</vt:i4>
      </vt:variant>
      <vt:variant>
        <vt:lpwstr>http://www.ncver.edu.au/aboutncver/who.html</vt:lpwstr>
      </vt:variant>
      <vt:variant>
        <vt:lpwstr/>
      </vt:variant>
      <vt:variant>
        <vt:i4>6029437</vt:i4>
      </vt:variant>
      <vt:variant>
        <vt:i4>246</vt:i4>
      </vt:variant>
      <vt:variant>
        <vt:i4>0</vt:i4>
      </vt:variant>
      <vt:variant>
        <vt:i4>5</vt:i4>
      </vt:variant>
      <vt:variant>
        <vt:lpwstr>http://www.abs.gov.au/ausstats/abs@.nsf/mf/1272.0</vt:lpwstr>
      </vt:variant>
      <vt:variant>
        <vt:lpwstr/>
      </vt:variant>
      <vt:variant>
        <vt:i4>1703961</vt:i4>
      </vt:variant>
      <vt:variant>
        <vt:i4>243</vt:i4>
      </vt:variant>
      <vt:variant>
        <vt:i4>0</vt:i4>
      </vt:variant>
      <vt:variant>
        <vt:i4>5</vt:i4>
      </vt:variant>
      <vt:variant>
        <vt:lpwstr>http://www.ncver.edu.au/statistic/21075.html</vt:lpwstr>
      </vt:variant>
      <vt:variant>
        <vt:lpwstr/>
      </vt:variant>
      <vt:variant>
        <vt:i4>7143464</vt:i4>
      </vt:variant>
      <vt:variant>
        <vt:i4>240</vt:i4>
      </vt:variant>
      <vt:variant>
        <vt:i4>0</vt:i4>
      </vt:variant>
      <vt:variant>
        <vt:i4>5</vt:i4>
      </vt:variant>
      <vt:variant>
        <vt:lpwstr>mailto:surveys_req@ncver.edu.au</vt:lpwstr>
      </vt:variant>
      <vt:variant>
        <vt:lpwstr/>
      </vt:variant>
      <vt:variant>
        <vt:i4>1769497</vt:i4>
      </vt:variant>
      <vt:variant>
        <vt:i4>237</vt:i4>
      </vt:variant>
      <vt:variant>
        <vt:i4>0</vt:i4>
      </vt:variant>
      <vt:variant>
        <vt:i4>5</vt:i4>
      </vt:variant>
      <vt:variant>
        <vt:lpwstr>http://www.ncver.edu.au/statistic/21065.html</vt:lpwstr>
      </vt:variant>
      <vt:variant>
        <vt:lpwstr/>
      </vt:variant>
      <vt:variant>
        <vt:i4>8323110</vt:i4>
      </vt:variant>
      <vt:variant>
        <vt:i4>234</vt:i4>
      </vt:variant>
      <vt:variant>
        <vt:i4>0</vt:i4>
      </vt:variant>
      <vt:variant>
        <vt:i4>5</vt:i4>
      </vt:variant>
      <vt:variant>
        <vt:lpwstr>http://www.ncver.edu.au/aboutncver/who.html</vt:lpwstr>
      </vt:variant>
      <vt:variant>
        <vt:lpwstr/>
      </vt:variant>
      <vt:variant>
        <vt:i4>6029437</vt:i4>
      </vt:variant>
      <vt:variant>
        <vt:i4>231</vt:i4>
      </vt:variant>
      <vt:variant>
        <vt:i4>0</vt:i4>
      </vt:variant>
      <vt:variant>
        <vt:i4>5</vt:i4>
      </vt:variant>
      <vt:variant>
        <vt:lpwstr>http://www.abs.gov.au/ausstats/abs@.nsf/mf/1272.0</vt:lpwstr>
      </vt:variant>
      <vt:variant>
        <vt:lpwstr/>
      </vt:variant>
      <vt:variant>
        <vt:i4>1703961</vt:i4>
      </vt:variant>
      <vt:variant>
        <vt:i4>228</vt:i4>
      </vt:variant>
      <vt:variant>
        <vt:i4>0</vt:i4>
      </vt:variant>
      <vt:variant>
        <vt:i4>5</vt:i4>
      </vt:variant>
      <vt:variant>
        <vt:lpwstr>http://www.ncver.edu.au/statistic/21075.html</vt:lpwstr>
      </vt:variant>
      <vt:variant>
        <vt:lpwstr/>
      </vt:variant>
      <vt:variant>
        <vt:i4>7143464</vt:i4>
      </vt:variant>
      <vt:variant>
        <vt:i4>225</vt:i4>
      </vt:variant>
      <vt:variant>
        <vt:i4>0</vt:i4>
      </vt:variant>
      <vt:variant>
        <vt:i4>5</vt:i4>
      </vt:variant>
      <vt:variant>
        <vt:lpwstr>mailto:surveys_req@ncver.edu.au</vt:lpwstr>
      </vt:variant>
      <vt:variant>
        <vt:lpwstr/>
      </vt:variant>
      <vt:variant>
        <vt:i4>1769497</vt:i4>
      </vt:variant>
      <vt:variant>
        <vt:i4>222</vt:i4>
      </vt:variant>
      <vt:variant>
        <vt:i4>0</vt:i4>
      </vt:variant>
      <vt:variant>
        <vt:i4>5</vt:i4>
      </vt:variant>
      <vt:variant>
        <vt:lpwstr>http://www.ncver.edu.au/statistic/21065.html</vt:lpwstr>
      </vt:variant>
      <vt:variant>
        <vt:lpwstr/>
      </vt:variant>
      <vt:variant>
        <vt:i4>8323110</vt:i4>
      </vt:variant>
      <vt:variant>
        <vt:i4>219</vt:i4>
      </vt:variant>
      <vt:variant>
        <vt:i4>0</vt:i4>
      </vt:variant>
      <vt:variant>
        <vt:i4>5</vt:i4>
      </vt:variant>
      <vt:variant>
        <vt:lpwstr>http://www.ncver.edu.au/aboutncver/who.html</vt:lpwstr>
      </vt:variant>
      <vt:variant>
        <vt:lpwstr/>
      </vt:variant>
      <vt:variant>
        <vt:i4>5111809</vt:i4>
      </vt:variant>
      <vt:variant>
        <vt:i4>216</vt:i4>
      </vt:variant>
      <vt:variant>
        <vt:i4>0</vt:i4>
      </vt:variant>
      <vt:variant>
        <vt:i4>5</vt:i4>
      </vt:variant>
      <vt:variant>
        <vt:lpwstr>http://www.gisca.adelaide.edu.au/</vt:lpwstr>
      </vt:variant>
      <vt:variant>
        <vt:lpwstr/>
      </vt:variant>
      <vt:variant>
        <vt:i4>5111809</vt:i4>
      </vt:variant>
      <vt:variant>
        <vt:i4>213</vt:i4>
      </vt:variant>
      <vt:variant>
        <vt:i4>0</vt:i4>
      </vt:variant>
      <vt:variant>
        <vt:i4>5</vt:i4>
      </vt:variant>
      <vt:variant>
        <vt:lpwstr>http://www.gisca.adelaide.edu.au/</vt:lpwstr>
      </vt:variant>
      <vt:variant>
        <vt:lpwstr/>
      </vt:variant>
      <vt:variant>
        <vt:i4>6029437</vt:i4>
      </vt:variant>
      <vt:variant>
        <vt:i4>210</vt:i4>
      </vt:variant>
      <vt:variant>
        <vt:i4>0</vt:i4>
      </vt:variant>
      <vt:variant>
        <vt:i4>5</vt:i4>
      </vt:variant>
      <vt:variant>
        <vt:lpwstr>http://www.abs.gov.au/ausstats/abs@.nsf/mf/1272.0</vt:lpwstr>
      </vt:variant>
      <vt:variant>
        <vt:lpwstr/>
      </vt:variant>
      <vt:variant>
        <vt:i4>1703961</vt:i4>
      </vt:variant>
      <vt:variant>
        <vt:i4>207</vt:i4>
      </vt:variant>
      <vt:variant>
        <vt:i4>0</vt:i4>
      </vt:variant>
      <vt:variant>
        <vt:i4>5</vt:i4>
      </vt:variant>
      <vt:variant>
        <vt:lpwstr>http://www.ncver.edu.au/statistic/21075.html</vt:lpwstr>
      </vt:variant>
      <vt:variant>
        <vt:lpwstr/>
      </vt:variant>
      <vt:variant>
        <vt:i4>1572895</vt:i4>
      </vt:variant>
      <vt:variant>
        <vt:i4>204</vt:i4>
      </vt:variant>
      <vt:variant>
        <vt:i4>0</vt:i4>
      </vt:variant>
      <vt:variant>
        <vt:i4>5</vt:i4>
      </vt:variant>
      <vt:variant>
        <vt:lpwstr>http://www.ncver.edu.au/statistic/21053.html</vt:lpwstr>
      </vt:variant>
      <vt:variant>
        <vt:lpwstr/>
      </vt:variant>
      <vt:variant>
        <vt:i4>1572895</vt:i4>
      </vt:variant>
      <vt:variant>
        <vt:i4>201</vt:i4>
      </vt:variant>
      <vt:variant>
        <vt:i4>0</vt:i4>
      </vt:variant>
      <vt:variant>
        <vt:i4>5</vt:i4>
      </vt:variant>
      <vt:variant>
        <vt:lpwstr>http://www.ncver.edu.au/statistic/21053.html</vt:lpwstr>
      </vt:variant>
      <vt:variant>
        <vt:lpwstr/>
      </vt:variant>
      <vt:variant>
        <vt:i4>3473452</vt:i4>
      </vt:variant>
      <vt:variant>
        <vt:i4>198</vt:i4>
      </vt:variant>
      <vt:variant>
        <vt:i4>0</vt:i4>
      </vt:variant>
      <vt:variant>
        <vt:i4>5</vt:i4>
      </vt:variant>
      <vt:variant>
        <vt:lpwstr>http://www.ncver.edu.au/avetmiss/21055.html</vt:lpwstr>
      </vt:variant>
      <vt:variant>
        <vt:lpwstr/>
      </vt:variant>
      <vt:variant>
        <vt:i4>3473452</vt:i4>
      </vt:variant>
      <vt:variant>
        <vt:i4>195</vt:i4>
      </vt:variant>
      <vt:variant>
        <vt:i4>0</vt:i4>
      </vt:variant>
      <vt:variant>
        <vt:i4>5</vt:i4>
      </vt:variant>
      <vt:variant>
        <vt:lpwstr>http://www.ncver.edu.au/avetmiss/21055.html</vt:lpwstr>
      </vt:variant>
      <vt:variant>
        <vt:lpwstr/>
      </vt:variant>
      <vt:variant>
        <vt:i4>1572895</vt:i4>
      </vt:variant>
      <vt:variant>
        <vt:i4>192</vt:i4>
      </vt:variant>
      <vt:variant>
        <vt:i4>0</vt:i4>
      </vt:variant>
      <vt:variant>
        <vt:i4>5</vt:i4>
      </vt:variant>
      <vt:variant>
        <vt:lpwstr>http://www.ncver.edu.au/statistic/21053.html</vt:lpwstr>
      </vt:variant>
      <vt:variant>
        <vt:lpwstr/>
      </vt:variant>
      <vt:variant>
        <vt:i4>8323110</vt:i4>
      </vt:variant>
      <vt:variant>
        <vt:i4>189</vt:i4>
      </vt:variant>
      <vt:variant>
        <vt:i4>0</vt:i4>
      </vt:variant>
      <vt:variant>
        <vt:i4>5</vt:i4>
      </vt:variant>
      <vt:variant>
        <vt:lpwstr>http://www.ncver.edu.au/aboutncver/who.html</vt:lpwstr>
      </vt:variant>
      <vt:variant>
        <vt:lpwstr/>
      </vt:variant>
      <vt:variant>
        <vt:i4>6029437</vt:i4>
      </vt:variant>
      <vt:variant>
        <vt:i4>186</vt:i4>
      </vt:variant>
      <vt:variant>
        <vt:i4>0</vt:i4>
      </vt:variant>
      <vt:variant>
        <vt:i4>5</vt:i4>
      </vt:variant>
      <vt:variant>
        <vt:lpwstr>http://www.abs.gov.au/ausstats/abs@.nsf/mf/1272.0</vt:lpwstr>
      </vt:variant>
      <vt:variant>
        <vt:lpwstr/>
      </vt:variant>
      <vt:variant>
        <vt:i4>1703961</vt:i4>
      </vt:variant>
      <vt:variant>
        <vt:i4>183</vt:i4>
      </vt:variant>
      <vt:variant>
        <vt:i4>0</vt:i4>
      </vt:variant>
      <vt:variant>
        <vt:i4>5</vt:i4>
      </vt:variant>
      <vt:variant>
        <vt:lpwstr>http://www.ncver.edu.au/statistic/21075.html</vt:lpwstr>
      </vt:variant>
      <vt:variant>
        <vt:lpwstr/>
      </vt:variant>
      <vt:variant>
        <vt:i4>7143464</vt:i4>
      </vt:variant>
      <vt:variant>
        <vt:i4>180</vt:i4>
      </vt:variant>
      <vt:variant>
        <vt:i4>0</vt:i4>
      </vt:variant>
      <vt:variant>
        <vt:i4>5</vt:i4>
      </vt:variant>
      <vt:variant>
        <vt:lpwstr>mailto:surveys_req@ncver.edu.au</vt:lpwstr>
      </vt:variant>
      <vt:variant>
        <vt:lpwstr/>
      </vt:variant>
      <vt:variant>
        <vt:i4>1769497</vt:i4>
      </vt:variant>
      <vt:variant>
        <vt:i4>177</vt:i4>
      </vt:variant>
      <vt:variant>
        <vt:i4>0</vt:i4>
      </vt:variant>
      <vt:variant>
        <vt:i4>5</vt:i4>
      </vt:variant>
      <vt:variant>
        <vt:lpwstr>http://www.ncver.edu.au/statistic/21065.html</vt:lpwstr>
      </vt:variant>
      <vt:variant>
        <vt:lpwstr/>
      </vt:variant>
      <vt:variant>
        <vt:i4>8323110</vt:i4>
      </vt:variant>
      <vt:variant>
        <vt:i4>174</vt:i4>
      </vt:variant>
      <vt:variant>
        <vt:i4>0</vt:i4>
      </vt:variant>
      <vt:variant>
        <vt:i4>5</vt:i4>
      </vt:variant>
      <vt:variant>
        <vt:lpwstr>http://www.ncver.edu.au/aboutncver/who.html</vt:lpwstr>
      </vt:variant>
      <vt:variant>
        <vt:lpwstr/>
      </vt:variant>
      <vt:variant>
        <vt:i4>6029437</vt:i4>
      </vt:variant>
      <vt:variant>
        <vt:i4>171</vt:i4>
      </vt:variant>
      <vt:variant>
        <vt:i4>0</vt:i4>
      </vt:variant>
      <vt:variant>
        <vt:i4>5</vt:i4>
      </vt:variant>
      <vt:variant>
        <vt:lpwstr>http://www.abs.gov.au/ausstats/abs@.nsf/mf/1272.0</vt:lpwstr>
      </vt:variant>
      <vt:variant>
        <vt:lpwstr/>
      </vt:variant>
      <vt:variant>
        <vt:i4>1703961</vt:i4>
      </vt:variant>
      <vt:variant>
        <vt:i4>168</vt:i4>
      </vt:variant>
      <vt:variant>
        <vt:i4>0</vt:i4>
      </vt:variant>
      <vt:variant>
        <vt:i4>5</vt:i4>
      </vt:variant>
      <vt:variant>
        <vt:lpwstr>http://www.ncver.edu.au/statistic/21075.html</vt:lpwstr>
      </vt:variant>
      <vt:variant>
        <vt:lpwstr/>
      </vt:variant>
      <vt:variant>
        <vt:i4>7143464</vt:i4>
      </vt:variant>
      <vt:variant>
        <vt:i4>165</vt:i4>
      </vt:variant>
      <vt:variant>
        <vt:i4>0</vt:i4>
      </vt:variant>
      <vt:variant>
        <vt:i4>5</vt:i4>
      </vt:variant>
      <vt:variant>
        <vt:lpwstr>mailto:surveys_req@ncver.edu.au</vt:lpwstr>
      </vt:variant>
      <vt:variant>
        <vt:lpwstr/>
      </vt:variant>
      <vt:variant>
        <vt:i4>1769497</vt:i4>
      </vt:variant>
      <vt:variant>
        <vt:i4>162</vt:i4>
      </vt:variant>
      <vt:variant>
        <vt:i4>0</vt:i4>
      </vt:variant>
      <vt:variant>
        <vt:i4>5</vt:i4>
      </vt:variant>
      <vt:variant>
        <vt:lpwstr>http://www.ncver.edu.au/statistic/21065.html</vt:lpwstr>
      </vt:variant>
      <vt:variant>
        <vt:lpwstr/>
      </vt:variant>
      <vt:variant>
        <vt:i4>8323110</vt:i4>
      </vt:variant>
      <vt:variant>
        <vt:i4>159</vt:i4>
      </vt:variant>
      <vt:variant>
        <vt:i4>0</vt:i4>
      </vt:variant>
      <vt:variant>
        <vt:i4>5</vt:i4>
      </vt:variant>
      <vt:variant>
        <vt:lpwstr>http://www.ncver.edu.au/aboutncver/who.html</vt:lpwstr>
      </vt:variant>
      <vt:variant>
        <vt:lpwstr/>
      </vt:variant>
      <vt:variant>
        <vt:i4>6029437</vt:i4>
      </vt:variant>
      <vt:variant>
        <vt:i4>156</vt:i4>
      </vt:variant>
      <vt:variant>
        <vt:i4>0</vt:i4>
      </vt:variant>
      <vt:variant>
        <vt:i4>5</vt:i4>
      </vt:variant>
      <vt:variant>
        <vt:lpwstr>http://www.abs.gov.au/ausstats/abs@.nsf/mf/1272.0</vt:lpwstr>
      </vt:variant>
      <vt:variant>
        <vt:lpwstr/>
      </vt:variant>
      <vt:variant>
        <vt:i4>1703961</vt:i4>
      </vt:variant>
      <vt:variant>
        <vt:i4>153</vt:i4>
      </vt:variant>
      <vt:variant>
        <vt:i4>0</vt:i4>
      </vt:variant>
      <vt:variant>
        <vt:i4>5</vt:i4>
      </vt:variant>
      <vt:variant>
        <vt:lpwstr>http://www.ncver.edu.au/statistic/21075.html</vt:lpwstr>
      </vt:variant>
      <vt:variant>
        <vt:lpwstr/>
      </vt:variant>
      <vt:variant>
        <vt:i4>7143464</vt:i4>
      </vt:variant>
      <vt:variant>
        <vt:i4>150</vt:i4>
      </vt:variant>
      <vt:variant>
        <vt:i4>0</vt:i4>
      </vt:variant>
      <vt:variant>
        <vt:i4>5</vt:i4>
      </vt:variant>
      <vt:variant>
        <vt:lpwstr>mailto:surveys_req@ncver.edu.au</vt:lpwstr>
      </vt:variant>
      <vt:variant>
        <vt:lpwstr/>
      </vt:variant>
      <vt:variant>
        <vt:i4>1769497</vt:i4>
      </vt:variant>
      <vt:variant>
        <vt:i4>147</vt:i4>
      </vt:variant>
      <vt:variant>
        <vt:i4>0</vt:i4>
      </vt:variant>
      <vt:variant>
        <vt:i4>5</vt:i4>
      </vt:variant>
      <vt:variant>
        <vt:lpwstr>http://www.ncver.edu.au/statistic/21065.html</vt:lpwstr>
      </vt:variant>
      <vt:variant>
        <vt:lpwstr/>
      </vt:variant>
      <vt:variant>
        <vt:i4>8323110</vt:i4>
      </vt:variant>
      <vt:variant>
        <vt:i4>144</vt:i4>
      </vt:variant>
      <vt:variant>
        <vt:i4>0</vt:i4>
      </vt:variant>
      <vt:variant>
        <vt:i4>5</vt:i4>
      </vt:variant>
      <vt:variant>
        <vt:lpwstr>http://www.ncver.edu.au/aboutncver/who.html</vt:lpwstr>
      </vt:variant>
      <vt:variant>
        <vt:lpwstr/>
      </vt:variant>
      <vt:variant>
        <vt:i4>6029437</vt:i4>
      </vt:variant>
      <vt:variant>
        <vt:i4>141</vt:i4>
      </vt:variant>
      <vt:variant>
        <vt:i4>0</vt:i4>
      </vt:variant>
      <vt:variant>
        <vt:i4>5</vt:i4>
      </vt:variant>
      <vt:variant>
        <vt:lpwstr>http://www.abs.gov.au/ausstats/abs@.nsf/mf/1272.0</vt:lpwstr>
      </vt:variant>
      <vt:variant>
        <vt:lpwstr/>
      </vt:variant>
      <vt:variant>
        <vt:i4>1703961</vt:i4>
      </vt:variant>
      <vt:variant>
        <vt:i4>138</vt:i4>
      </vt:variant>
      <vt:variant>
        <vt:i4>0</vt:i4>
      </vt:variant>
      <vt:variant>
        <vt:i4>5</vt:i4>
      </vt:variant>
      <vt:variant>
        <vt:lpwstr>http://www.ncver.edu.au/statistic/21075.html</vt:lpwstr>
      </vt:variant>
      <vt:variant>
        <vt:lpwstr/>
      </vt:variant>
      <vt:variant>
        <vt:i4>7143464</vt:i4>
      </vt:variant>
      <vt:variant>
        <vt:i4>135</vt:i4>
      </vt:variant>
      <vt:variant>
        <vt:i4>0</vt:i4>
      </vt:variant>
      <vt:variant>
        <vt:i4>5</vt:i4>
      </vt:variant>
      <vt:variant>
        <vt:lpwstr>mailto:surveys_req@ncver.edu.au</vt:lpwstr>
      </vt:variant>
      <vt:variant>
        <vt:lpwstr/>
      </vt:variant>
      <vt:variant>
        <vt:i4>1769497</vt:i4>
      </vt:variant>
      <vt:variant>
        <vt:i4>132</vt:i4>
      </vt:variant>
      <vt:variant>
        <vt:i4>0</vt:i4>
      </vt:variant>
      <vt:variant>
        <vt:i4>5</vt:i4>
      </vt:variant>
      <vt:variant>
        <vt:lpwstr>http://www.ncver.edu.au/statistic/21065.html</vt:lpwstr>
      </vt:variant>
      <vt:variant>
        <vt:lpwstr/>
      </vt:variant>
      <vt:variant>
        <vt:i4>8323110</vt:i4>
      </vt:variant>
      <vt:variant>
        <vt:i4>129</vt:i4>
      </vt:variant>
      <vt:variant>
        <vt:i4>0</vt:i4>
      </vt:variant>
      <vt:variant>
        <vt:i4>5</vt:i4>
      </vt:variant>
      <vt:variant>
        <vt:lpwstr>http://www.ncver.edu.au/aboutncver/who.html</vt:lpwstr>
      </vt:variant>
      <vt:variant>
        <vt:lpwstr/>
      </vt:variant>
      <vt:variant>
        <vt:i4>3407919</vt:i4>
      </vt:variant>
      <vt:variant>
        <vt:i4>126</vt:i4>
      </vt:variant>
      <vt:variant>
        <vt:i4>0</vt:i4>
      </vt:variant>
      <vt:variant>
        <vt:i4>5</vt:i4>
      </vt:variant>
      <vt:variant>
        <vt:lpwstr>http://www.ncver.edu.au/avetmiss/21064.html</vt:lpwstr>
      </vt:variant>
      <vt:variant>
        <vt:lpwstr/>
      </vt:variant>
      <vt:variant>
        <vt:i4>1703961</vt:i4>
      </vt:variant>
      <vt:variant>
        <vt:i4>123</vt:i4>
      </vt:variant>
      <vt:variant>
        <vt:i4>0</vt:i4>
      </vt:variant>
      <vt:variant>
        <vt:i4>5</vt:i4>
      </vt:variant>
      <vt:variant>
        <vt:lpwstr>http://www.ncver.edu.au/statistic/21075.html</vt:lpwstr>
      </vt:variant>
      <vt:variant>
        <vt:lpwstr/>
      </vt:variant>
      <vt:variant>
        <vt:i4>1572893</vt:i4>
      </vt:variant>
      <vt:variant>
        <vt:i4>120</vt:i4>
      </vt:variant>
      <vt:variant>
        <vt:i4>0</vt:i4>
      </vt:variant>
      <vt:variant>
        <vt:i4>5</vt:i4>
      </vt:variant>
      <vt:variant>
        <vt:lpwstr>http://www.ncver.edu.au/statistic/21051.html</vt:lpwstr>
      </vt:variant>
      <vt:variant>
        <vt:lpwstr/>
      </vt:variant>
      <vt:variant>
        <vt:i4>3407919</vt:i4>
      </vt:variant>
      <vt:variant>
        <vt:i4>117</vt:i4>
      </vt:variant>
      <vt:variant>
        <vt:i4>0</vt:i4>
      </vt:variant>
      <vt:variant>
        <vt:i4>5</vt:i4>
      </vt:variant>
      <vt:variant>
        <vt:lpwstr>http://www.ncver.edu.au/avetmiss/21064.html</vt:lpwstr>
      </vt:variant>
      <vt:variant>
        <vt:lpwstr/>
      </vt:variant>
      <vt:variant>
        <vt:i4>3407919</vt:i4>
      </vt:variant>
      <vt:variant>
        <vt:i4>114</vt:i4>
      </vt:variant>
      <vt:variant>
        <vt:i4>0</vt:i4>
      </vt:variant>
      <vt:variant>
        <vt:i4>5</vt:i4>
      </vt:variant>
      <vt:variant>
        <vt:lpwstr>http://www.ncver.edu.au/avetmiss/21064.html</vt:lpwstr>
      </vt:variant>
      <vt:variant>
        <vt:lpwstr/>
      </vt:variant>
      <vt:variant>
        <vt:i4>1703961</vt:i4>
      </vt:variant>
      <vt:variant>
        <vt:i4>111</vt:i4>
      </vt:variant>
      <vt:variant>
        <vt:i4>0</vt:i4>
      </vt:variant>
      <vt:variant>
        <vt:i4>5</vt:i4>
      </vt:variant>
      <vt:variant>
        <vt:lpwstr>http://www.ncver.edu.au/statistic/21075.html</vt:lpwstr>
      </vt:variant>
      <vt:variant>
        <vt:lpwstr/>
      </vt:variant>
      <vt:variant>
        <vt:i4>1572893</vt:i4>
      </vt:variant>
      <vt:variant>
        <vt:i4>108</vt:i4>
      </vt:variant>
      <vt:variant>
        <vt:i4>0</vt:i4>
      </vt:variant>
      <vt:variant>
        <vt:i4>5</vt:i4>
      </vt:variant>
      <vt:variant>
        <vt:lpwstr>http://www.ncver.edu.au/statistic/21051.html</vt:lpwstr>
      </vt:variant>
      <vt:variant>
        <vt:lpwstr/>
      </vt:variant>
      <vt:variant>
        <vt:i4>3407919</vt:i4>
      </vt:variant>
      <vt:variant>
        <vt:i4>105</vt:i4>
      </vt:variant>
      <vt:variant>
        <vt:i4>0</vt:i4>
      </vt:variant>
      <vt:variant>
        <vt:i4>5</vt:i4>
      </vt:variant>
      <vt:variant>
        <vt:lpwstr>http://www.ncver.edu.au/avetmiss/21064.html</vt:lpwstr>
      </vt:variant>
      <vt:variant>
        <vt:lpwstr/>
      </vt:variant>
      <vt:variant>
        <vt:i4>3407919</vt:i4>
      </vt:variant>
      <vt:variant>
        <vt:i4>102</vt:i4>
      </vt:variant>
      <vt:variant>
        <vt:i4>0</vt:i4>
      </vt:variant>
      <vt:variant>
        <vt:i4>5</vt:i4>
      </vt:variant>
      <vt:variant>
        <vt:lpwstr>http://www.ncver.edu.au/avetmiss/21064.html</vt:lpwstr>
      </vt:variant>
      <vt:variant>
        <vt:lpwstr/>
      </vt:variant>
      <vt:variant>
        <vt:i4>1703961</vt:i4>
      </vt:variant>
      <vt:variant>
        <vt:i4>99</vt:i4>
      </vt:variant>
      <vt:variant>
        <vt:i4>0</vt:i4>
      </vt:variant>
      <vt:variant>
        <vt:i4>5</vt:i4>
      </vt:variant>
      <vt:variant>
        <vt:lpwstr>http://www.ncver.edu.au/statistic/21075.html</vt:lpwstr>
      </vt:variant>
      <vt:variant>
        <vt:lpwstr/>
      </vt:variant>
      <vt:variant>
        <vt:i4>1572893</vt:i4>
      </vt:variant>
      <vt:variant>
        <vt:i4>96</vt:i4>
      </vt:variant>
      <vt:variant>
        <vt:i4>0</vt:i4>
      </vt:variant>
      <vt:variant>
        <vt:i4>5</vt:i4>
      </vt:variant>
      <vt:variant>
        <vt:lpwstr>http://www.ncver.edu.au/statistic/21051.html</vt:lpwstr>
      </vt:variant>
      <vt:variant>
        <vt:lpwstr/>
      </vt:variant>
      <vt:variant>
        <vt:i4>3407919</vt:i4>
      </vt:variant>
      <vt:variant>
        <vt:i4>93</vt:i4>
      </vt:variant>
      <vt:variant>
        <vt:i4>0</vt:i4>
      </vt:variant>
      <vt:variant>
        <vt:i4>5</vt:i4>
      </vt:variant>
      <vt:variant>
        <vt:lpwstr>http://www.ncver.edu.au/avetmiss/21064.html</vt:lpwstr>
      </vt:variant>
      <vt:variant>
        <vt:lpwstr/>
      </vt:variant>
      <vt:variant>
        <vt:i4>3407919</vt:i4>
      </vt:variant>
      <vt:variant>
        <vt:i4>90</vt:i4>
      </vt:variant>
      <vt:variant>
        <vt:i4>0</vt:i4>
      </vt:variant>
      <vt:variant>
        <vt:i4>5</vt:i4>
      </vt:variant>
      <vt:variant>
        <vt:lpwstr>http://www.ncver.edu.au/avetmiss/21064.html</vt:lpwstr>
      </vt:variant>
      <vt:variant>
        <vt:lpwstr/>
      </vt:variant>
      <vt:variant>
        <vt:i4>1703961</vt:i4>
      </vt:variant>
      <vt:variant>
        <vt:i4>87</vt:i4>
      </vt:variant>
      <vt:variant>
        <vt:i4>0</vt:i4>
      </vt:variant>
      <vt:variant>
        <vt:i4>5</vt:i4>
      </vt:variant>
      <vt:variant>
        <vt:lpwstr>http://www.ncver.edu.au/statistic/21075.html</vt:lpwstr>
      </vt:variant>
      <vt:variant>
        <vt:lpwstr/>
      </vt:variant>
      <vt:variant>
        <vt:i4>1572893</vt:i4>
      </vt:variant>
      <vt:variant>
        <vt:i4>84</vt:i4>
      </vt:variant>
      <vt:variant>
        <vt:i4>0</vt:i4>
      </vt:variant>
      <vt:variant>
        <vt:i4>5</vt:i4>
      </vt:variant>
      <vt:variant>
        <vt:lpwstr>http://www.ncver.edu.au/statistic/21051.html</vt:lpwstr>
      </vt:variant>
      <vt:variant>
        <vt:lpwstr/>
      </vt:variant>
      <vt:variant>
        <vt:i4>3407919</vt:i4>
      </vt:variant>
      <vt:variant>
        <vt:i4>81</vt:i4>
      </vt:variant>
      <vt:variant>
        <vt:i4>0</vt:i4>
      </vt:variant>
      <vt:variant>
        <vt:i4>5</vt:i4>
      </vt:variant>
      <vt:variant>
        <vt:lpwstr>http://www.ncver.edu.au/avetmiss/21064.html</vt:lpwstr>
      </vt:variant>
      <vt:variant>
        <vt:lpwstr/>
      </vt:variant>
      <vt:variant>
        <vt:i4>1376309</vt:i4>
      </vt:variant>
      <vt:variant>
        <vt:i4>74</vt:i4>
      </vt:variant>
      <vt:variant>
        <vt:i4>0</vt:i4>
      </vt:variant>
      <vt:variant>
        <vt:i4>5</vt:i4>
      </vt:variant>
      <vt:variant>
        <vt:lpwstr/>
      </vt:variant>
      <vt:variant>
        <vt:lpwstr>_Toc310341216</vt:lpwstr>
      </vt:variant>
      <vt:variant>
        <vt:i4>1376309</vt:i4>
      </vt:variant>
      <vt:variant>
        <vt:i4>68</vt:i4>
      </vt:variant>
      <vt:variant>
        <vt:i4>0</vt:i4>
      </vt:variant>
      <vt:variant>
        <vt:i4>5</vt:i4>
      </vt:variant>
      <vt:variant>
        <vt:lpwstr/>
      </vt:variant>
      <vt:variant>
        <vt:lpwstr>_Toc310341215</vt:lpwstr>
      </vt:variant>
      <vt:variant>
        <vt:i4>1376309</vt:i4>
      </vt:variant>
      <vt:variant>
        <vt:i4>62</vt:i4>
      </vt:variant>
      <vt:variant>
        <vt:i4>0</vt:i4>
      </vt:variant>
      <vt:variant>
        <vt:i4>5</vt:i4>
      </vt:variant>
      <vt:variant>
        <vt:lpwstr/>
      </vt:variant>
      <vt:variant>
        <vt:lpwstr>_Toc310341214</vt:lpwstr>
      </vt:variant>
      <vt:variant>
        <vt:i4>1376309</vt:i4>
      </vt:variant>
      <vt:variant>
        <vt:i4>56</vt:i4>
      </vt:variant>
      <vt:variant>
        <vt:i4>0</vt:i4>
      </vt:variant>
      <vt:variant>
        <vt:i4>5</vt:i4>
      </vt:variant>
      <vt:variant>
        <vt:lpwstr/>
      </vt:variant>
      <vt:variant>
        <vt:lpwstr>_Toc310341213</vt:lpwstr>
      </vt:variant>
      <vt:variant>
        <vt:i4>1376309</vt:i4>
      </vt:variant>
      <vt:variant>
        <vt:i4>50</vt:i4>
      </vt:variant>
      <vt:variant>
        <vt:i4>0</vt:i4>
      </vt:variant>
      <vt:variant>
        <vt:i4>5</vt:i4>
      </vt:variant>
      <vt:variant>
        <vt:lpwstr/>
      </vt:variant>
      <vt:variant>
        <vt:lpwstr>_Toc310341212</vt:lpwstr>
      </vt:variant>
      <vt:variant>
        <vt:i4>1376309</vt:i4>
      </vt:variant>
      <vt:variant>
        <vt:i4>44</vt:i4>
      </vt:variant>
      <vt:variant>
        <vt:i4>0</vt:i4>
      </vt:variant>
      <vt:variant>
        <vt:i4>5</vt:i4>
      </vt:variant>
      <vt:variant>
        <vt:lpwstr/>
      </vt:variant>
      <vt:variant>
        <vt:lpwstr>_Toc310341211</vt:lpwstr>
      </vt:variant>
      <vt:variant>
        <vt:i4>1376309</vt:i4>
      </vt:variant>
      <vt:variant>
        <vt:i4>38</vt:i4>
      </vt:variant>
      <vt:variant>
        <vt:i4>0</vt:i4>
      </vt:variant>
      <vt:variant>
        <vt:i4>5</vt:i4>
      </vt:variant>
      <vt:variant>
        <vt:lpwstr/>
      </vt:variant>
      <vt:variant>
        <vt:lpwstr>_Toc310341210</vt:lpwstr>
      </vt:variant>
      <vt:variant>
        <vt:i4>1310773</vt:i4>
      </vt:variant>
      <vt:variant>
        <vt:i4>32</vt:i4>
      </vt:variant>
      <vt:variant>
        <vt:i4>0</vt:i4>
      </vt:variant>
      <vt:variant>
        <vt:i4>5</vt:i4>
      </vt:variant>
      <vt:variant>
        <vt:lpwstr/>
      </vt:variant>
      <vt:variant>
        <vt:lpwstr>_Toc310341209</vt:lpwstr>
      </vt:variant>
      <vt:variant>
        <vt:i4>1310773</vt:i4>
      </vt:variant>
      <vt:variant>
        <vt:i4>26</vt:i4>
      </vt:variant>
      <vt:variant>
        <vt:i4>0</vt:i4>
      </vt:variant>
      <vt:variant>
        <vt:i4>5</vt:i4>
      </vt:variant>
      <vt:variant>
        <vt:lpwstr/>
      </vt:variant>
      <vt:variant>
        <vt:lpwstr>_Toc310341208</vt:lpwstr>
      </vt:variant>
      <vt:variant>
        <vt:i4>1310773</vt:i4>
      </vt:variant>
      <vt:variant>
        <vt:i4>20</vt:i4>
      </vt:variant>
      <vt:variant>
        <vt:i4>0</vt:i4>
      </vt:variant>
      <vt:variant>
        <vt:i4>5</vt:i4>
      </vt:variant>
      <vt:variant>
        <vt:lpwstr/>
      </vt:variant>
      <vt:variant>
        <vt:lpwstr>_Toc310341207</vt:lpwstr>
      </vt:variant>
      <vt:variant>
        <vt:i4>1310773</vt:i4>
      </vt:variant>
      <vt:variant>
        <vt:i4>14</vt:i4>
      </vt:variant>
      <vt:variant>
        <vt:i4>0</vt:i4>
      </vt:variant>
      <vt:variant>
        <vt:i4>5</vt:i4>
      </vt:variant>
      <vt:variant>
        <vt:lpwstr/>
      </vt:variant>
      <vt:variant>
        <vt:lpwstr>_Toc310341206</vt:lpwstr>
      </vt:variant>
      <vt:variant>
        <vt:i4>1310773</vt:i4>
      </vt:variant>
      <vt:variant>
        <vt:i4>8</vt:i4>
      </vt:variant>
      <vt:variant>
        <vt:i4>0</vt:i4>
      </vt:variant>
      <vt:variant>
        <vt:i4>5</vt:i4>
      </vt:variant>
      <vt:variant>
        <vt:lpwstr/>
      </vt:variant>
      <vt:variant>
        <vt:lpwstr>_Toc310341205</vt:lpwstr>
      </vt:variant>
      <vt:variant>
        <vt:i4>1310773</vt:i4>
      </vt:variant>
      <vt:variant>
        <vt:i4>2</vt:i4>
      </vt:variant>
      <vt:variant>
        <vt:i4>0</vt:i4>
      </vt:variant>
      <vt:variant>
        <vt:i4>5</vt:i4>
      </vt:variant>
      <vt:variant>
        <vt:lpwstr/>
      </vt:variant>
      <vt:variant>
        <vt:lpwstr>_Toc310341204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DQI 5 Vocational education and training - Report on Government Services 2016</dc:title>
  <dc:subject/>
  <dc:creator>Steering Committee for the Review of Government Service Provision</dc:creator>
  <cp:lastModifiedBy>Frech, Tanya</cp:lastModifiedBy>
  <cp:revision>37</cp:revision>
  <cp:lastPrinted>2015-12-21T22:31:00Z</cp:lastPrinted>
  <dcterms:created xsi:type="dcterms:W3CDTF">2015-10-26T04:46:00Z</dcterms:created>
  <dcterms:modified xsi:type="dcterms:W3CDTF">2016-01-04T04:43:00Z</dcterms:modified>
</cp:coreProperties>
</file>