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Default="008E0B3E" w:rsidP="002D5C97">
      <w:pPr>
        <w:pStyle w:val="Heading1"/>
      </w:pPr>
      <w:bookmarkStart w:id="0" w:name="_Toc395619909"/>
      <w:bookmarkStart w:id="1" w:name="_GoBack"/>
      <w:bookmarkEnd w:id="1"/>
      <w:r>
        <w:t>5</w:t>
      </w:r>
      <w:r w:rsidR="00B56B5F">
        <w:tab/>
      </w:r>
      <w:bookmarkStart w:id="2" w:name="ChapterTitle"/>
      <w:r w:rsidR="00B56B5F">
        <w:t>Vocational education and training</w:t>
      </w:r>
      <w:bookmarkEnd w:id="0"/>
      <w:bookmarkEnd w:id="2"/>
    </w:p>
    <w:p w:rsidR="00584638" w:rsidRPr="00F50221" w:rsidRDefault="00584638" w:rsidP="00980255">
      <w:pPr>
        <w:pStyle w:val="Heading4"/>
      </w:pPr>
      <w:r w:rsidRPr="00980255">
        <w:t>CONTENTS</w:t>
      </w:r>
    </w:p>
    <w:sdt>
      <w:sdtPr>
        <w:rPr>
          <w:kern w:val="28"/>
          <w:sz w:val="52"/>
        </w:rPr>
        <w:id w:val="-543906103"/>
        <w:docPartObj>
          <w:docPartGallery w:val="Table of Contents"/>
          <w:docPartUnique/>
        </w:docPartObj>
      </w:sdtPr>
      <w:sdtEndPr>
        <w:rPr>
          <w:noProof/>
          <w:kern w:val="0"/>
          <w:sz w:val="26"/>
        </w:rPr>
      </w:sdtEndPr>
      <w:sdtContent>
        <w:p w:rsidR="004F1527" w:rsidRDefault="004F1527">
          <w:pPr>
            <w:pStyle w:val="TOC2"/>
            <w:tabs>
              <w:tab w:val="left" w:pos="1134"/>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Profile of vocational education and training</w:t>
          </w:r>
          <w:r>
            <w:rPr>
              <w:noProof/>
            </w:rPr>
            <w:tab/>
          </w:r>
          <w:r w:rsidR="00B2540A">
            <w:rPr>
              <w:noProof/>
            </w:rPr>
            <w:t>5.</w:t>
          </w:r>
          <w:r w:rsidR="00111918">
            <w:rPr>
              <w:noProof/>
            </w:rPr>
            <w:t>2</w:t>
          </w:r>
        </w:p>
        <w:p w:rsidR="004F1527" w:rsidRDefault="004F1527">
          <w:pPr>
            <w:pStyle w:val="TOC2"/>
            <w:tabs>
              <w:tab w:val="left" w:pos="1134"/>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B2540A">
            <w:rPr>
              <w:noProof/>
            </w:rPr>
            <w:t>5.</w:t>
          </w:r>
          <w:r w:rsidR="00111918">
            <w:rPr>
              <w:noProof/>
            </w:rPr>
            <w:t>12</w:t>
          </w:r>
        </w:p>
        <w:p w:rsidR="004F1527" w:rsidRDefault="004F1527">
          <w:pPr>
            <w:pStyle w:val="TOC2"/>
            <w:tabs>
              <w:tab w:val="left" w:pos="1134"/>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B2540A">
            <w:rPr>
              <w:noProof/>
            </w:rPr>
            <w:t>5.</w:t>
          </w:r>
          <w:r w:rsidR="00111918">
            <w:rPr>
              <w:noProof/>
            </w:rPr>
            <w:t>14</w:t>
          </w:r>
        </w:p>
        <w:p w:rsidR="004F1527" w:rsidRDefault="004F1527">
          <w:pPr>
            <w:pStyle w:val="TOC2"/>
            <w:tabs>
              <w:tab w:val="left" w:pos="1134"/>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B2540A">
            <w:rPr>
              <w:noProof/>
            </w:rPr>
            <w:t>5.</w:t>
          </w:r>
          <w:r w:rsidR="00111918">
            <w:rPr>
              <w:noProof/>
            </w:rPr>
            <w:t>60</w:t>
          </w:r>
        </w:p>
        <w:p w:rsidR="004F1527" w:rsidRDefault="004F1527">
          <w:pPr>
            <w:pStyle w:val="TOC2"/>
            <w:tabs>
              <w:tab w:val="left" w:pos="1134"/>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Definitions of key terms</w:t>
          </w:r>
          <w:r>
            <w:rPr>
              <w:noProof/>
            </w:rPr>
            <w:tab/>
          </w:r>
          <w:r w:rsidR="00B2540A">
            <w:rPr>
              <w:noProof/>
            </w:rPr>
            <w:t>5.</w:t>
          </w:r>
          <w:r w:rsidR="00111918">
            <w:rPr>
              <w:noProof/>
            </w:rPr>
            <w:t>61</w:t>
          </w:r>
        </w:p>
        <w:p w:rsidR="004F1527" w:rsidRDefault="004F1527">
          <w:pPr>
            <w:pStyle w:val="TOC2"/>
            <w:tabs>
              <w:tab w:val="left" w:pos="1134"/>
            </w:tabs>
            <w:rPr>
              <w:rFonts w:asciiTheme="minorHAnsi" w:eastAsiaTheme="minorEastAsia" w:hAnsiTheme="minorHAnsi" w:cstheme="minorBidi"/>
              <w:noProof/>
              <w:sz w:val="22"/>
              <w:szCs w:val="22"/>
              <w:lang w:eastAsia="en-AU"/>
            </w:rPr>
          </w:pPr>
          <w:r>
            <w:rPr>
              <w:noProof/>
            </w:rPr>
            <w:t>5.6</w:t>
          </w:r>
          <w:r>
            <w:rPr>
              <w:rFonts w:asciiTheme="minorHAnsi" w:eastAsiaTheme="minorEastAsia" w:hAnsiTheme="minorHAnsi" w:cstheme="minorBidi"/>
              <w:noProof/>
              <w:sz w:val="22"/>
              <w:szCs w:val="22"/>
              <w:lang w:eastAsia="en-AU"/>
            </w:rPr>
            <w:tab/>
          </w:r>
          <w:r>
            <w:rPr>
              <w:noProof/>
            </w:rPr>
            <w:t>List of attachment tables</w:t>
          </w:r>
          <w:r>
            <w:rPr>
              <w:noProof/>
            </w:rPr>
            <w:tab/>
          </w:r>
          <w:r w:rsidR="00B2540A">
            <w:rPr>
              <w:noProof/>
            </w:rPr>
            <w:t>5.</w:t>
          </w:r>
          <w:r w:rsidR="00111918">
            <w:rPr>
              <w:noProof/>
            </w:rPr>
            <w:t>64</w:t>
          </w:r>
        </w:p>
        <w:p w:rsidR="00BC49F4" w:rsidRDefault="004F1527" w:rsidP="00917A82">
          <w:pPr>
            <w:pStyle w:val="TOC2"/>
            <w:tabs>
              <w:tab w:val="left" w:pos="1134"/>
            </w:tabs>
            <w:rPr>
              <w:noProof/>
            </w:rPr>
          </w:pPr>
          <w:r>
            <w:rPr>
              <w:noProof/>
            </w:rPr>
            <w:t>5.7</w:t>
          </w:r>
          <w:r>
            <w:rPr>
              <w:rFonts w:asciiTheme="minorHAnsi" w:eastAsiaTheme="minorEastAsia" w:hAnsiTheme="minorHAnsi" w:cstheme="minorBidi"/>
              <w:noProof/>
              <w:sz w:val="22"/>
              <w:szCs w:val="22"/>
              <w:lang w:eastAsia="en-AU"/>
            </w:rPr>
            <w:tab/>
          </w:r>
          <w:r>
            <w:rPr>
              <w:noProof/>
            </w:rPr>
            <w:t>References</w:t>
          </w:r>
          <w:r>
            <w:rPr>
              <w:noProof/>
            </w:rPr>
            <w:tab/>
          </w:r>
          <w:r w:rsidR="00B2540A">
            <w:rPr>
              <w:noProof/>
            </w:rPr>
            <w:t>5.</w:t>
          </w:r>
          <w:r w:rsidR="00111918">
            <w:rPr>
              <w:noProof/>
            </w:rPr>
            <w:t>68</w:t>
          </w:r>
        </w:p>
      </w:sdtContent>
    </w:sdt>
    <w:p w:rsidR="00C368C9" w:rsidRDefault="00C368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368C9" w:rsidTr="00C368C9">
        <w:tc>
          <w:tcPr>
            <w:tcW w:w="8771" w:type="dxa"/>
            <w:tcBorders>
              <w:top w:val="single" w:sz="6" w:space="0" w:color="78A22F"/>
              <w:left w:val="nil"/>
              <w:bottom w:val="nil"/>
              <w:right w:val="nil"/>
            </w:tcBorders>
            <w:shd w:val="clear" w:color="auto" w:fill="F2F2F2" w:themeFill="background1" w:themeFillShade="F2"/>
          </w:tcPr>
          <w:p w:rsidR="00C368C9" w:rsidRDefault="00C368C9">
            <w:pPr>
              <w:pStyle w:val="BoxTitle"/>
            </w:pPr>
            <w:r w:rsidRPr="00EF5A5F">
              <w:t>Attachment tables</w:t>
            </w:r>
          </w:p>
        </w:tc>
      </w:tr>
      <w:tr w:rsidR="00C368C9" w:rsidTr="00C368C9">
        <w:trPr>
          <w:cantSplit/>
        </w:trPr>
        <w:tc>
          <w:tcPr>
            <w:tcW w:w="8771" w:type="dxa"/>
            <w:tcBorders>
              <w:top w:val="nil"/>
              <w:left w:val="nil"/>
              <w:bottom w:val="nil"/>
              <w:right w:val="nil"/>
            </w:tcBorders>
            <w:shd w:val="clear" w:color="auto" w:fill="F2F2F2" w:themeFill="background1" w:themeFillShade="F2"/>
          </w:tcPr>
          <w:p w:rsidR="00C368C9" w:rsidRPr="00EF5A5F" w:rsidRDefault="00C368C9" w:rsidP="00F50221">
            <w:pPr>
              <w:pStyle w:val="Box"/>
            </w:pPr>
            <w:r w:rsidRPr="00EF5A5F">
              <w:t xml:space="preserve">Attachment tables are identified in references throughout this chapter by a ‘5A’ </w:t>
            </w:r>
            <w:r>
              <w:t>prefix</w:t>
            </w:r>
            <w:r w:rsidRPr="00EF5A5F">
              <w:t xml:space="preserve"> (for example, table 5A.1). A full list of attachment tables is provided at the end of this chapter, and the attachment tables are available from the Review website at www.pc.gov.au/</w:t>
            </w:r>
            <w:r w:rsidR="00F50221">
              <w:t>rogs/2016</w:t>
            </w:r>
            <w:r w:rsidRPr="00EF5A5F">
              <w:t>.</w:t>
            </w:r>
          </w:p>
        </w:tc>
      </w:tr>
      <w:tr w:rsidR="00C368C9" w:rsidTr="00C368C9">
        <w:trPr>
          <w:cantSplit/>
        </w:trPr>
        <w:tc>
          <w:tcPr>
            <w:tcW w:w="8771" w:type="dxa"/>
            <w:tcBorders>
              <w:top w:val="nil"/>
              <w:left w:val="nil"/>
              <w:bottom w:val="single" w:sz="6" w:space="0" w:color="78A22F"/>
              <w:right w:val="nil"/>
            </w:tcBorders>
            <w:shd w:val="clear" w:color="auto" w:fill="F2F2F2" w:themeFill="background1" w:themeFillShade="F2"/>
          </w:tcPr>
          <w:p w:rsidR="00C368C9" w:rsidRDefault="00C368C9">
            <w:pPr>
              <w:pStyle w:val="Box"/>
              <w:spacing w:before="0" w:line="120" w:lineRule="exact"/>
            </w:pPr>
          </w:p>
        </w:tc>
      </w:tr>
      <w:tr w:rsidR="00C368C9" w:rsidRPr="000863A5" w:rsidTr="00C368C9">
        <w:tc>
          <w:tcPr>
            <w:tcW w:w="8771" w:type="dxa"/>
            <w:tcBorders>
              <w:top w:val="single" w:sz="6" w:space="0" w:color="78A22F"/>
              <w:left w:val="nil"/>
              <w:bottom w:val="nil"/>
              <w:right w:val="nil"/>
            </w:tcBorders>
          </w:tcPr>
          <w:p w:rsidR="00C368C9" w:rsidRPr="00626D32" w:rsidRDefault="00C368C9" w:rsidP="00C368C9">
            <w:pPr>
              <w:pStyle w:val="BoxSpaceBelow"/>
            </w:pPr>
          </w:p>
        </w:tc>
      </w:tr>
    </w:tbl>
    <w:p w:rsidR="00D03E3A" w:rsidRDefault="005B541C" w:rsidP="00F74889">
      <w:pPr>
        <w:pStyle w:val="BodyText"/>
        <w:rPr>
          <w:shd w:val="clear" w:color="auto" w:fill="FFFF00"/>
        </w:rPr>
      </w:pPr>
      <w:r w:rsidRPr="00EF5A5F">
        <w:t xml:space="preserve">This chapter reports performance information </w:t>
      </w:r>
      <w:r w:rsidR="00C74F3E">
        <w:t xml:space="preserve">for </w:t>
      </w:r>
      <w:r w:rsidRPr="00C74F3E">
        <w:t>government funded</w:t>
      </w:r>
      <w:r w:rsidRPr="00EF5A5F">
        <w:t xml:space="preserve"> vocational education and training (VET) in Australia. </w:t>
      </w:r>
      <w:r w:rsidR="00061E36" w:rsidRPr="00A85855">
        <w:t>For further information on</w:t>
      </w:r>
      <w:r w:rsidR="00D03E3A" w:rsidRPr="00A85855">
        <w:t>:</w:t>
      </w:r>
    </w:p>
    <w:p w:rsidR="00D03E3A" w:rsidRPr="00D03E3A" w:rsidRDefault="00D03E3A" w:rsidP="00F74889">
      <w:pPr>
        <w:pStyle w:val="ListBullet"/>
      </w:pPr>
      <w:r w:rsidRPr="00A85855">
        <w:t>VET in schools</w:t>
      </w:r>
      <w:r w:rsidR="00061E36" w:rsidRPr="00A85855">
        <w:t xml:space="preserve"> see </w:t>
      </w:r>
      <w:r w:rsidR="0018428E" w:rsidRPr="00A85855">
        <w:t>School education (chapter</w:t>
      </w:r>
      <w:r w:rsidR="00061E36" w:rsidRPr="00A85855">
        <w:t> </w:t>
      </w:r>
      <w:r w:rsidR="0018428E" w:rsidRPr="00A85855">
        <w:t>4)</w:t>
      </w:r>
    </w:p>
    <w:p w:rsidR="00C57336" w:rsidRDefault="00D03E3A" w:rsidP="00F74889">
      <w:pPr>
        <w:pStyle w:val="ListBullet"/>
      </w:pPr>
      <w:r w:rsidRPr="00A85855">
        <w:t xml:space="preserve">all tertiary education (including university education) see the </w:t>
      </w:r>
      <w:r w:rsidR="0018428E" w:rsidRPr="00A85855">
        <w:t>Child care, education and training sector overview (sector overview B)</w:t>
      </w:r>
      <w:r w:rsidR="00C57336" w:rsidRPr="00A85855">
        <w:t>.</w:t>
      </w:r>
    </w:p>
    <w:p w:rsidR="007C3D68" w:rsidRDefault="007C3D68" w:rsidP="00F74889">
      <w:pPr>
        <w:pStyle w:val="BodyText"/>
      </w:pPr>
      <w:r w:rsidRPr="0091113B">
        <w:t>Major improvements to reporting on VET in this edition include</w:t>
      </w:r>
      <w:r w:rsidR="00D03E3A">
        <w:t xml:space="preserve"> the presentation of</w:t>
      </w:r>
      <w:r w:rsidRPr="007C3D68">
        <w:t xml:space="preserve"> </w:t>
      </w:r>
      <w:r>
        <w:t xml:space="preserve">a new </w:t>
      </w:r>
      <w:r w:rsidRPr="00A76105">
        <w:t>measure</w:t>
      </w:r>
      <w:r>
        <w:t>:</w:t>
      </w:r>
      <w:r w:rsidRPr="00A76105">
        <w:t xml:space="preserve"> ‘graduates with improved education/training status as a proportion of total student </w:t>
      </w:r>
      <w:r w:rsidRPr="00DF0001">
        <w:rPr>
          <w:i/>
        </w:rPr>
        <w:t>completions</w:t>
      </w:r>
      <w:r w:rsidRPr="00A76105">
        <w:t>’</w:t>
      </w:r>
      <w:r w:rsidR="00C74F3E">
        <w:t>, within the outcome indicator ‘student achievement in VET’</w:t>
      </w:r>
      <w:r w:rsidR="00343DD7">
        <w:t>.</w:t>
      </w:r>
    </w:p>
    <w:p w:rsidR="000802A5" w:rsidRPr="000802A5" w:rsidRDefault="000802A5" w:rsidP="000802A5">
      <w:pPr>
        <w:pStyle w:val="BodyText"/>
      </w:pPr>
      <w:r w:rsidRPr="000802A5">
        <w:t>All abbreviations used in this Report are available in a complete list in volume A: Approach to performance reporting.</w:t>
      </w:r>
    </w:p>
    <w:p w:rsidR="00C57336" w:rsidRPr="00EF5A5F" w:rsidRDefault="003A68D1" w:rsidP="0082139F">
      <w:pPr>
        <w:pStyle w:val="Heading2"/>
      </w:pPr>
      <w:bookmarkStart w:id="3" w:name="_Toc341279239"/>
      <w:bookmarkStart w:id="4" w:name="_Toc429558949"/>
      <w:r>
        <w:lastRenderedPageBreak/>
        <w:t>5.</w:t>
      </w:r>
      <w:r w:rsidR="00111918">
        <w:rPr>
          <w:noProof/>
        </w:rPr>
        <w:t>1</w:t>
      </w:r>
      <w:r w:rsidR="00D660C5">
        <w:tab/>
      </w:r>
      <w:r w:rsidR="00C57336" w:rsidRPr="00EF5A5F">
        <w:t>Profile of vocational education and training</w:t>
      </w:r>
      <w:bookmarkEnd w:id="3"/>
      <w:bookmarkEnd w:id="4"/>
    </w:p>
    <w:p w:rsidR="00C57336" w:rsidRPr="00EF5A5F" w:rsidRDefault="00C57336" w:rsidP="00281C53">
      <w:pPr>
        <w:pStyle w:val="Heading3"/>
      </w:pPr>
      <w:r w:rsidRPr="00EF5A5F">
        <w:t xml:space="preserve">Service overview </w:t>
      </w:r>
    </w:p>
    <w:p w:rsidR="00F50221" w:rsidRDefault="00062941" w:rsidP="00062941">
      <w:pPr>
        <w:pStyle w:val="BodyText"/>
      </w:pPr>
      <w:r>
        <w:t>T</w:t>
      </w:r>
      <w:r w:rsidRPr="00EF5A5F">
        <w:t xml:space="preserve">he </w:t>
      </w:r>
      <w:r>
        <w:t xml:space="preserve">role of the </w:t>
      </w:r>
      <w:r w:rsidRPr="00EF5A5F">
        <w:t xml:space="preserve">VET system </w:t>
      </w:r>
      <w:r>
        <w:t xml:space="preserve">in Australia is to </w:t>
      </w:r>
      <w:r w:rsidR="00B46466">
        <w:t>provide</w:t>
      </w:r>
      <w:r w:rsidRPr="005F22D7">
        <w:t xml:space="preserve"> individuals </w:t>
      </w:r>
      <w:r>
        <w:t xml:space="preserve">with </w:t>
      </w:r>
      <w:r w:rsidRPr="005F22D7">
        <w:t>the skills and qualifications needed to participate effectively in the labour market and contribute to Australia</w:t>
      </w:r>
      <w:r w:rsidR="00AD5F7E">
        <w:t>’</w:t>
      </w:r>
      <w:r w:rsidRPr="005F22D7">
        <w:t>s economic future</w:t>
      </w:r>
      <w:r>
        <w:t xml:space="preserve"> (COAG 2012a). It </w:t>
      </w:r>
      <w:r w:rsidRPr="005F22D7">
        <w:t xml:space="preserve">provides </w:t>
      </w:r>
      <w:r>
        <w:t xml:space="preserve">training to </w:t>
      </w:r>
      <w:r w:rsidRPr="00F76C90">
        <w:t>cover entry</w:t>
      </w:r>
      <w:r w:rsidR="00AD5F7E">
        <w:noBreakHyphen/>
      </w:r>
      <w:r w:rsidRPr="00F76C90">
        <w:t>level jobs through to highly technical occupations</w:t>
      </w:r>
      <w:r>
        <w:t xml:space="preserve"> (</w:t>
      </w:r>
      <w:r w:rsidRPr="00091207">
        <w:t>PM&amp;C</w:t>
      </w:r>
      <w:r>
        <w:t> </w:t>
      </w:r>
      <w:r w:rsidRPr="00091207">
        <w:t>2014</w:t>
      </w:r>
      <w:r>
        <w:t xml:space="preserve">). </w:t>
      </w:r>
    </w:p>
    <w:p w:rsidR="00062941" w:rsidRDefault="00062941" w:rsidP="00062941">
      <w:pPr>
        <w:pStyle w:val="BodyText"/>
      </w:pPr>
      <w:r>
        <w:t xml:space="preserve">It is highly flexible, offering </w:t>
      </w:r>
      <w:r w:rsidRPr="005F2B76">
        <w:t>a diverse range of programs</w:t>
      </w:r>
      <w:r>
        <w:t xml:space="preserve">, </w:t>
      </w:r>
      <w:r w:rsidR="00DE4B50">
        <w:t xml:space="preserve">which provide </w:t>
      </w:r>
      <w:r>
        <w:t xml:space="preserve">nationally recognised qualifications or the achievement of units of competency </w:t>
      </w:r>
      <w:r w:rsidRPr="00EF5A5F">
        <w:t>(box </w:t>
      </w:r>
      <w:r>
        <w:t>5.1</w:t>
      </w:r>
      <w:r w:rsidRPr="00EF5A5F">
        <w:t>).</w:t>
      </w:r>
      <w:r w:rsidR="00F50221">
        <w:t xml:space="preserve"> The types of training range from formal classroom learning to workplace</w:t>
      </w:r>
      <w:r w:rsidR="00AD5F7E">
        <w:noBreakHyphen/>
      </w:r>
      <w:r w:rsidR="00F50221">
        <w:t>based learning, and can include flexible, self</w:t>
      </w:r>
      <w:r w:rsidR="00AD5F7E">
        <w:noBreakHyphen/>
      </w:r>
      <w:r w:rsidR="00F50221">
        <w:t>paced learning and/or online training, often in combination</w:t>
      </w:r>
      <w:r w:rsidR="00DE4B50">
        <w:t xml:space="preserve">. </w:t>
      </w:r>
      <w:r w:rsidR="00DE4B50" w:rsidRPr="00B95014">
        <w:t>Apprenticeships/traineeships</w:t>
      </w:r>
      <w:r w:rsidR="00DE4B50">
        <w:t xml:space="preserve"> </w:t>
      </w:r>
      <w:r w:rsidR="00DE4B50" w:rsidRPr="00B95014">
        <w:t>(referred to as Australian Apprenticeships) combine employment and competency</w:t>
      </w:r>
      <w:r w:rsidR="00AD5F7E">
        <w:noBreakHyphen/>
      </w:r>
      <w:r w:rsidR="00DE4B50" w:rsidRPr="00B95014">
        <w:t>based training</w:t>
      </w:r>
      <w:r w:rsidR="00F50221">
        <w:t>, including both formalised training and on</w:t>
      </w:r>
      <w:r w:rsidR="00DE4B50">
        <w:noBreakHyphen/>
      </w:r>
      <w:r w:rsidR="00F50221">
        <w:t>the</w:t>
      </w:r>
      <w:r w:rsidR="00DE4B50">
        <w:noBreakHyphen/>
      </w:r>
      <w:r w:rsidR="00F50221">
        <w:t>job training. The availability of distance education has increased, with off</w:t>
      </w:r>
      <w:r w:rsidR="00AD5F7E">
        <w:noBreakHyphen/>
      </w:r>
      <w:r w:rsidR="00F50221">
        <w:t>campus options such as correspondence, Internet study and interactive teleconferencing.</w:t>
      </w:r>
    </w:p>
    <w:p w:rsidR="006D4990" w:rsidRDefault="006D4990" w:rsidP="006D49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D4990" w:rsidTr="00DE04DE">
        <w:tc>
          <w:tcPr>
            <w:tcW w:w="8771" w:type="dxa"/>
            <w:tcBorders>
              <w:top w:val="single" w:sz="6" w:space="0" w:color="78A22F"/>
              <w:left w:val="nil"/>
              <w:bottom w:val="nil"/>
              <w:right w:val="nil"/>
            </w:tcBorders>
            <w:shd w:val="clear" w:color="auto" w:fill="F2F2F2" w:themeFill="background1" w:themeFillShade="F2"/>
          </w:tcPr>
          <w:p w:rsidR="006D4990" w:rsidRDefault="006D4990" w:rsidP="00861ACD">
            <w:pPr>
              <w:pStyle w:val="BoxTitle"/>
            </w:pPr>
            <w:r>
              <w:rPr>
                <w:b w:val="0"/>
              </w:rPr>
              <w:t xml:space="preserve">Box </w:t>
            </w:r>
            <w:bookmarkStart w:id="5" w:name="OLE_LINK3"/>
            <w:r w:rsidR="003A68D1">
              <w:rPr>
                <w:b w:val="0"/>
              </w:rPr>
              <w:t>5.</w:t>
            </w:r>
            <w:r w:rsidR="00111918">
              <w:rPr>
                <w:b w:val="0"/>
                <w:noProof/>
              </w:rPr>
              <w:t>1</w:t>
            </w:r>
            <w:bookmarkEnd w:id="5"/>
            <w:r>
              <w:tab/>
            </w:r>
            <w:r w:rsidRPr="00296392">
              <w:t xml:space="preserve">VET </w:t>
            </w:r>
            <w:r>
              <w:t>qualifications and units of competency</w:t>
            </w:r>
          </w:p>
        </w:tc>
      </w:tr>
      <w:tr w:rsidR="006D4990" w:rsidTr="00DE04DE">
        <w:trPr>
          <w:cantSplit/>
        </w:trPr>
        <w:tc>
          <w:tcPr>
            <w:tcW w:w="8771" w:type="dxa"/>
            <w:tcBorders>
              <w:top w:val="nil"/>
              <w:left w:val="nil"/>
              <w:bottom w:val="nil"/>
              <w:right w:val="nil"/>
            </w:tcBorders>
            <w:shd w:val="clear" w:color="auto" w:fill="F2F2F2" w:themeFill="background1" w:themeFillShade="F2"/>
          </w:tcPr>
          <w:p w:rsidR="006D4990" w:rsidRDefault="006D4990" w:rsidP="00DE04DE">
            <w:pPr>
              <w:pStyle w:val="Box"/>
            </w:pPr>
            <w:r>
              <w:t xml:space="preserve">Vocational education and training (VET) programs range in length and complexity. A VET student may choose to complete: </w:t>
            </w:r>
          </w:p>
          <w:p w:rsidR="006D4990" w:rsidRDefault="006D4990" w:rsidP="00DE04DE">
            <w:pPr>
              <w:pStyle w:val="BoxListBullet"/>
            </w:pPr>
            <w:r w:rsidRPr="00835E36">
              <w:rPr>
                <w:i/>
              </w:rPr>
              <w:t>a qualification</w:t>
            </w:r>
            <w:r>
              <w:t xml:space="preserve"> — obtaining qualification levels </w:t>
            </w:r>
            <w:r w:rsidRPr="008428A6">
              <w:t xml:space="preserve">Certificate I through to </w:t>
            </w:r>
            <w:r>
              <w:t>associate degrees</w:t>
            </w:r>
            <w:r w:rsidR="00E815DA">
              <w:t>,</w:t>
            </w:r>
            <w:r>
              <w:t xml:space="preserve"> </w:t>
            </w:r>
            <w:r w:rsidR="00760704" w:rsidRPr="00F74889">
              <w:t>graduate certificates and graduate diplomas</w:t>
            </w:r>
            <w:r w:rsidR="00760704">
              <w:t xml:space="preserve"> </w:t>
            </w:r>
            <w:r>
              <w:t>(sector overview B)</w:t>
            </w:r>
            <w:r w:rsidRPr="008428A6">
              <w:t>. Certificate III is the central qualification for trade training, and Certificate IV generally introduces managerial competencies</w:t>
            </w:r>
          </w:p>
          <w:p w:rsidR="006D4990" w:rsidRDefault="006D4990" w:rsidP="00DE04DE">
            <w:pPr>
              <w:pStyle w:val="BoxListBullet"/>
            </w:pPr>
            <w:r w:rsidRPr="00835E36">
              <w:rPr>
                <w:i/>
              </w:rPr>
              <w:t xml:space="preserve">a single unit of competency </w:t>
            </w:r>
            <w:r>
              <w:rPr>
                <w:i/>
              </w:rPr>
              <w:t xml:space="preserve">or </w:t>
            </w:r>
            <w:r w:rsidRPr="00835E36">
              <w:rPr>
                <w:i/>
              </w:rPr>
              <w:t>module</w:t>
            </w:r>
            <w:r>
              <w:rPr>
                <w:i/>
              </w:rPr>
              <w:t xml:space="preserve"> </w:t>
            </w:r>
            <w:r>
              <w:t>— (which can involve fewer than 10 contact hours)</w:t>
            </w:r>
            <w:r w:rsidRPr="00117AF4">
              <w:t xml:space="preserve"> in order to acquire specific skills that may help specialise or progress in the workplace.</w:t>
            </w:r>
            <w:r w:rsidR="00272CEF">
              <w:t xml:space="preserve"> </w:t>
            </w:r>
            <w:r w:rsidR="00C079B8" w:rsidRPr="006B1F1F">
              <w:t>A unit of competency is a component of a competency standard and/or a statement of a key function or role in a particular job or occupation. A module (also called a subject) is a unit of education or training which can be completed on its own or as part of a course. Modules may also result in the attainment of one or more units of competency.</w:t>
            </w:r>
          </w:p>
          <w:p w:rsidR="006D4990" w:rsidRDefault="006D4990" w:rsidP="00D03E3A">
            <w:pPr>
              <w:pStyle w:val="Box"/>
            </w:pPr>
            <w:r w:rsidRPr="00F74889">
              <w:t xml:space="preserve">All training in the VET system needs to be assessed, because many students complete modules or units of competency without </w:t>
            </w:r>
            <w:r w:rsidR="00D03E3A" w:rsidRPr="00F74889">
              <w:t>completing</w:t>
            </w:r>
            <w:r w:rsidRPr="00F74889">
              <w:t xml:space="preserve"> a course or qualification.</w:t>
            </w:r>
          </w:p>
        </w:tc>
      </w:tr>
      <w:tr w:rsidR="00136D72" w:rsidTr="00DE04DE">
        <w:trPr>
          <w:cantSplit/>
        </w:trPr>
        <w:tc>
          <w:tcPr>
            <w:tcW w:w="8771" w:type="dxa"/>
            <w:tcBorders>
              <w:top w:val="nil"/>
              <w:left w:val="nil"/>
              <w:bottom w:val="nil"/>
              <w:right w:val="nil"/>
            </w:tcBorders>
            <w:shd w:val="clear" w:color="auto" w:fill="F2F2F2"/>
          </w:tcPr>
          <w:p w:rsidR="00136D72" w:rsidRDefault="00136D72" w:rsidP="00AD5F7E">
            <w:pPr>
              <w:pStyle w:val="BoxSource"/>
            </w:pPr>
            <w:r>
              <w:rPr>
                <w:i/>
              </w:rPr>
              <w:t>Source</w:t>
            </w:r>
            <w:r w:rsidRPr="00167F06">
              <w:t xml:space="preserve">: </w:t>
            </w:r>
            <w:r w:rsidRPr="00136D72">
              <w:t>NCVER (201</w:t>
            </w:r>
            <w:r w:rsidR="00097492">
              <w:t>5c</w:t>
            </w:r>
            <w:r w:rsidRPr="00136D72">
              <w:t>)</w:t>
            </w:r>
            <w:r>
              <w:t>; PM&amp;C (2014</w:t>
            </w:r>
            <w:r w:rsidR="00EF11F0">
              <w:t>)</w:t>
            </w:r>
            <w:r w:rsidR="00AD5F7E">
              <w:t>.</w:t>
            </w:r>
          </w:p>
        </w:tc>
      </w:tr>
      <w:tr w:rsidR="006D4990" w:rsidTr="00DE04DE">
        <w:trPr>
          <w:cantSplit/>
        </w:trPr>
        <w:tc>
          <w:tcPr>
            <w:tcW w:w="8771" w:type="dxa"/>
            <w:tcBorders>
              <w:top w:val="nil"/>
              <w:left w:val="nil"/>
              <w:bottom w:val="single" w:sz="6" w:space="0" w:color="78A22F"/>
              <w:right w:val="nil"/>
            </w:tcBorders>
            <w:shd w:val="clear" w:color="auto" w:fill="F2F2F2" w:themeFill="background1" w:themeFillShade="F2"/>
          </w:tcPr>
          <w:p w:rsidR="006D4990" w:rsidRDefault="006D4990" w:rsidP="00F50221">
            <w:pPr>
              <w:pStyle w:val="Box"/>
              <w:keepNext w:val="0"/>
              <w:spacing w:before="0" w:line="120" w:lineRule="exact"/>
            </w:pPr>
          </w:p>
        </w:tc>
      </w:tr>
    </w:tbl>
    <w:p w:rsidR="00F50221" w:rsidRPr="006D4990" w:rsidRDefault="00F50221" w:rsidP="00F50221">
      <w:pPr>
        <w:pStyle w:val="BodyText"/>
      </w:pPr>
      <w:r w:rsidRPr="006D4990">
        <w:t xml:space="preserve">The main reasons that students participate in VET programs are to attain skills — including basic or foundation skills such as literacy and numeracy — for: </w:t>
      </w:r>
    </w:p>
    <w:p w:rsidR="00F50221" w:rsidRPr="006D4990" w:rsidRDefault="00F50221" w:rsidP="00F50221">
      <w:pPr>
        <w:pStyle w:val="ListBullet"/>
      </w:pPr>
      <w:r w:rsidRPr="00DE04DE">
        <w:rPr>
          <w:i/>
        </w:rPr>
        <w:t xml:space="preserve">employment related reasons </w:t>
      </w:r>
      <w:r w:rsidRPr="006D4990">
        <w:t>—</w:t>
      </w:r>
      <w:r>
        <w:t xml:space="preserve"> t</w:t>
      </w:r>
      <w:r w:rsidRPr="006D4990">
        <w:t xml:space="preserve">o improve their ability to enter </w:t>
      </w:r>
      <w:r>
        <w:t>(or re</w:t>
      </w:r>
      <w:r w:rsidR="00AD5F7E">
        <w:noBreakHyphen/>
      </w:r>
      <w:r>
        <w:t xml:space="preserve">enter) </w:t>
      </w:r>
      <w:r w:rsidRPr="006D4990">
        <w:t>the labour force, or advance their earning capacity by:</w:t>
      </w:r>
      <w:r w:rsidRPr="00DE04DE">
        <w:t xml:space="preserve"> </w:t>
      </w:r>
      <w:r w:rsidRPr="006D4990">
        <w:t>developing skills that are in demand by employers</w:t>
      </w:r>
      <w:r>
        <w:t xml:space="preserve">; </w:t>
      </w:r>
      <w:r w:rsidRPr="006D4990">
        <w:t>attaining a nationally</w:t>
      </w:r>
      <w:r w:rsidR="00AD5F7E">
        <w:noBreakHyphen/>
      </w:r>
      <w:r w:rsidRPr="006D4990">
        <w:t>recognised qualification</w:t>
      </w:r>
      <w:r>
        <w:t xml:space="preserve">; or </w:t>
      </w:r>
      <w:r w:rsidRPr="006D4990">
        <w:t>gathering the skills necessary to meet regulatory or licensing requirements</w:t>
      </w:r>
      <w:r>
        <w:t>.</w:t>
      </w:r>
      <w:r w:rsidRPr="006D4990">
        <w:t xml:space="preserve"> In 2014, 83.4 per cent of VET graduates and 76.7 per cent of VET module completers stated that employment</w:t>
      </w:r>
      <w:r w:rsidR="00AD5F7E">
        <w:noBreakHyphen/>
      </w:r>
      <w:r w:rsidRPr="006D4990">
        <w:t>related reasons was the main reason for undertaking study</w:t>
      </w:r>
    </w:p>
    <w:p w:rsidR="00F50221" w:rsidRDefault="00F50221" w:rsidP="00F50221">
      <w:pPr>
        <w:pStyle w:val="ListBullet"/>
      </w:pPr>
      <w:r w:rsidRPr="00136D72">
        <w:rPr>
          <w:i/>
        </w:rPr>
        <w:lastRenderedPageBreak/>
        <w:t xml:space="preserve">personal development </w:t>
      </w:r>
      <w:r w:rsidRPr="006D4990">
        <w:t>—</w:t>
      </w:r>
      <w:r>
        <w:t xml:space="preserve"> </w:t>
      </w:r>
      <w:r w:rsidRPr="006D4990">
        <w:t xml:space="preserve">to </w:t>
      </w:r>
      <w:r w:rsidRPr="00F31EE4">
        <w:t>enhance</w:t>
      </w:r>
      <w:r w:rsidRPr="006D4990">
        <w:t xml:space="preserve"> </w:t>
      </w:r>
      <w:r>
        <w:t xml:space="preserve">their </w:t>
      </w:r>
      <w:r w:rsidRPr="006D4990">
        <w:t>sense of wellbeing and</w:t>
      </w:r>
      <w:r>
        <w:t>/or</w:t>
      </w:r>
      <w:r w:rsidRPr="006D4990">
        <w:t xml:space="preserve"> </w:t>
      </w:r>
      <w:r>
        <w:t>to improve opportunities for social participation</w:t>
      </w:r>
      <w:r w:rsidRPr="006D4990">
        <w:t>. In 2014, 12.5 per cent of VET graduates and 21.1 per cent of VET module completers stated that personal development was the mai</w:t>
      </w:r>
      <w:r>
        <w:t>n reason for undertaking study</w:t>
      </w:r>
      <w:r w:rsidRPr="00F31EE4">
        <w:t xml:space="preserve"> </w:t>
      </w:r>
    </w:p>
    <w:p w:rsidR="00F50221" w:rsidRDefault="00F50221" w:rsidP="00F50221">
      <w:pPr>
        <w:pStyle w:val="ListBullet"/>
      </w:pPr>
      <w:r w:rsidRPr="00136D72">
        <w:rPr>
          <w:i/>
        </w:rPr>
        <w:t xml:space="preserve">further study </w:t>
      </w:r>
      <w:r w:rsidRPr="006D4990">
        <w:t>—</w:t>
      </w:r>
      <w:r>
        <w:t xml:space="preserve"> t</w:t>
      </w:r>
      <w:r w:rsidRPr="006D4990">
        <w:t>o provide a pathway to further tertiary education, including entrance to higher education</w:t>
      </w:r>
      <w:r>
        <w:t>.</w:t>
      </w:r>
      <w:r w:rsidRPr="006D4990">
        <w:t xml:space="preserve"> In 2014, 4.1 per cent of VET graduates and 2.2 per cent of VET module completers stated that further study was the main reason for undertaking study</w:t>
      </w:r>
      <w:r>
        <w:t xml:space="preserve"> (</w:t>
      </w:r>
      <w:r w:rsidRPr="00136D72">
        <w:t>NCVER 201</w:t>
      </w:r>
      <w:r>
        <w:t>4</w:t>
      </w:r>
      <w:r w:rsidRPr="00136D72">
        <w:t>)</w:t>
      </w:r>
      <w:r>
        <w:t>.</w:t>
      </w:r>
    </w:p>
    <w:p w:rsidR="00CB46E8" w:rsidRDefault="00CB46E8" w:rsidP="009C2C7E">
      <w:pPr>
        <w:pStyle w:val="BodyText"/>
      </w:pPr>
      <w:r w:rsidRPr="00EF5A5F">
        <w:t xml:space="preserve">The VET system involves the interaction of students, employers, the Australian, State, </w:t>
      </w:r>
      <w:r w:rsidRPr="005F2B76">
        <w:t xml:space="preserve">Territory and local governments (as both purchasers and providers), and a number of private and community </w:t>
      </w:r>
      <w:r w:rsidR="006D4990">
        <w:t xml:space="preserve">registered training organisations </w:t>
      </w:r>
      <w:r w:rsidR="0053299A">
        <w:t>(</w:t>
      </w:r>
      <w:r w:rsidRPr="005F2B76">
        <w:t>RTOs</w:t>
      </w:r>
      <w:r w:rsidR="0053299A">
        <w:t>)</w:t>
      </w:r>
      <w:r w:rsidR="00020F96">
        <w:t xml:space="preserve"> (box </w:t>
      </w:r>
      <w:r w:rsidR="00CE6041">
        <w:t>5.2</w:t>
      </w:r>
      <w:r w:rsidR="00020F96">
        <w:t>)</w:t>
      </w:r>
      <w:r w:rsidRPr="005F2B76">
        <w:t xml:space="preserve">. </w:t>
      </w:r>
    </w:p>
    <w:p w:rsidR="00020F96" w:rsidRDefault="00020F96" w:rsidP="00020F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20F96" w:rsidTr="00231CB3">
        <w:tc>
          <w:tcPr>
            <w:tcW w:w="8771" w:type="dxa"/>
            <w:tcBorders>
              <w:top w:val="single" w:sz="6" w:space="0" w:color="78A22F"/>
              <w:left w:val="nil"/>
              <w:bottom w:val="nil"/>
              <w:right w:val="nil"/>
            </w:tcBorders>
            <w:shd w:val="clear" w:color="auto" w:fill="F2F2F2"/>
          </w:tcPr>
          <w:p w:rsidR="00020F96" w:rsidRDefault="00020F96" w:rsidP="00E37788">
            <w:pPr>
              <w:pStyle w:val="BoxTitle"/>
            </w:pPr>
            <w:r>
              <w:rPr>
                <w:b w:val="0"/>
              </w:rPr>
              <w:t xml:space="preserve">Box </w:t>
            </w:r>
            <w:bookmarkStart w:id="6" w:name="OLE_LINK4"/>
            <w:r w:rsidR="00CE6041">
              <w:rPr>
                <w:b w:val="0"/>
              </w:rPr>
              <w:t>5.</w:t>
            </w:r>
            <w:r w:rsidR="00111918">
              <w:rPr>
                <w:b w:val="0"/>
                <w:noProof/>
              </w:rPr>
              <w:t>2</w:t>
            </w:r>
            <w:bookmarkEnd w:id="6"/>
            <w:r>
              <w:tab/>
            </w:r>
            <w:r w:rsidR="004B690D">
              <w:t>Registered Training Organisations</w:t>
            </w:r>
          </w:p>
        </w:tc>
      </w:tr>
      <w:tr w:rsidR="00F50221" w:rsidTr="00F50221">
        <w:trPr>
          <w:cantSplit/>
        </w:trPr>
        <w:tc>
          <w:tcPr>
            <w:tcW w:w="8771" w:type="dxa"/>
            <w:tcBorders>
              <w:top w:val="nil"/>
              <w:left w:val="nil"/>
              <w:bottom w:val="nil"/>
              <w:right w:val="nil"/>
            </w:tcBorders>
            <w:shd w:val="clear" w:color="auto" w:fill="F2F2F2"/>
          </w:tcPr>
          <w:p w:rsidR="00796C52" w:rsidRDefault="00796C52" w:rsidP="00796C52">
            <w:pPr>
              <w:pStyle w:val="Box"/>
            </w:pPr>
            <w:r w:rsidRPr="0053299A">
              <w:t xml:space="preserve">RTOs are those training providers registered by </w:t>
            </w:r>
            <w:r>
              <w:t>the Australian Skills Quality Authority (</w:t>
            </w:r>
            <w:r w:rsidRPr="0053299A">
              <w:t>ASQA</w:t>
            </w:r>
            <w:r>
              <w:t>)</w:t>
            </w:r>
            <w:r w:rsidRPr="0053299A">
              <w:t xml:space="preserve"> or</w:t>
            </w:r>
            <w:r>
              <w:t xml:space="preserve"> </w:t>
            </w:r>
            <w:r w:rsidRPr="0053299A">
              <w:t xml:space="preserve">a state regulator to deliver VET services. </w:t>
            </w:r>
            <w:r>
              <w:t xml:space="preserve">The types of training organisation that may be an RTO include: </w:t>
            </w:r>
          </w:p>
          <w:p w:rsidR="00796C52" w:rsidRDefault="00796C52" w:rsidP="00796C52">
            <w:pPr>
              <w:pStyle w:val="BoxListBullet"/>
            </w:pPr>
            <w:r>
              <w:rPr>
                <w:i/>
              </w:rPr>
              <w:t xml:space="preserve">government VET providers, </w:t>
            </w:r>
            <w:r>
              <w:t>such as:</w:t>
            </w:r>
          </w:p>
          <w:p w:rsidR="00796C52" w:rsidRDefault="00796C52" w:rsidP="00796C52">
            <w:pPr>
              <w:pStyle w:val="BoxListBullet2"/>
            </w:pPr>
            <w:r>
              <w:t xml:space="preserve">institutions specialising in VET delivery, including </w:t>
            </w:r>
            <w:r w:rsidRPr="00F50221">
              <w:t>technical and further education (TAFE) institutes and agricultural colleges</w:t>
            </w:r>
            <w:r>
              <w:t xml:space="preserve"> </w:t>
            </w:r>
          </w:p>
          <w:p w:rsidR="00796C52" w:rsidRDefault="00796C52" w:rsidP="00796C52">
            <w:pPr>
              <w:pStyle w:val="BoxListBullet2"/>
            </w:pPr>
            <w:r>
              <w:t>multi</w:t>
            </w:r>
            <w:r>
              <w:noBreakHyphen/>
              <w:t xml:space="preserve">sector education institutions, such as secondary schools or higher education institutions (universities) with an RTO arm — schools and universities can provide dual award courses that </w:t>
            </w:r>
            <w:r w:rsidRPr="00513595">
              <w:t xml:space="preserve">may </w:t>
            </w:r>
            <w:r>
              <w:t>combine traditional studies with VET</w:t>
            </w:r>
          </w:p>
          <w:p w:rsidR="00F50221" w:rsidRDefault="00796C52" w:rsidP="00796C52">
            <w:pPr>
              <w:pStyle w:val="BoxListBullet"/>
            </w:pPr>
            <w:r>
              <w:rPr>
                <w:i/>
              </w:rPr>
              <w:t>c</w:t>
            </w:r>
            <w:r w:rsidRPr="00E71F0C">
              <w:rPr>
                <w:i/>
              </w:rPr>
              <w:t>ommunity education providers</w:t>
            </w:r>
            <w:r>
              <w:t xml:space="preserve"> — such as adult community education providers</w:t>
            </w:r>
          </w:p>
          <w:p w:rsidR="00796C52" w:rsidRDefault="00796C52" w:rsidP="00796C52">
            <w:pPr>
              <w:pStyle w:val="BoxListBullet"/>
            </w:pPr>
            <w:r>
              <w:rPr>
                <w:i/>
              </w:rPr>
              <w:t>o</w:t>
            </w:r>
            <w:r w:rsidRPr="00E71F0C">
              <w:rPr>
                <w:i/>
              </w:rPr>
              <w:t>ther registered providers</w:t>
            </w:r>
            <w:r>
              <w:t>, such as:</w:t>
            </w:r>
          </w:p>
          <w:p w:rsidR="00796C52" w:rsidRDefault="00796C52" w:rsidP="00796C52">
            <w:pPr>
              <w:pStyle w:val="BoxListBullet2"/>
            </w:pPr>
            <w:r>
              <w:t>institutions specialising in VET delivery, including private training businesses</w:t>
            </w:r>
          </w:p>
          <w:p w:rsidR="00796C52" w:rsidRDefault="00796C52" w:rsidP="00796C52">
            <w:pPr>
              <w:pStyle w:val="BoxListBullet2"/>
            </w:pPr>
            <w:r>
              <w:t>industry and community bodies with an RTO arm</w:t>
            </w:r>
          </w:p>
          <w:p w:rsidR="00796C52" w:rsidRDefault="00796C52" w:rsidP="00796C52">
            <w:pPr>
              <w:pStyle w:val="BoxListBullet2"/>
            </w:pPr>
            <w:r>
              <w:t>businesses, organisations and government agencies that have RTO status to train their own staff</w:t>
            </w:r>
          </w:p>
          <w:p w:rsidR="00796C52" w:rsidRDefault="00796C52" w:rsidP="00DE4B50">
            <w:pPr>
              <w:pStyle w:val="BoxListBullet2"/>
            </w:pPr>
            <w:r>
              <w:t xml:space="preserve">Group Training Organisations that also provide VET services — </w:t>
            </w:r>
            <w:r w:rsidRPr="00171D95">
              <w:t>Group Training Organisation</w:t>
            </w:r>
            <w:r>
              <w:t>s</w:t>
            </w:r>
            <w:r w:rsidRPr="00171D95">
              <w:t xml:space="preserve"> </w:t>
            </w:r>
            <w:r>
              <w:t>recruit</w:t>
            </w:r>
            <w:r w:rsidRPr="00171D95">
              <w:t xml:space="preserve"> potential or existing Australian Apprentices under an Apprenticeship/Traineeship Training Contract and place them with ‘host’ employers while they undertake their training</w:t>
            </w:r>
          </w:p>
        </w:tc>
      </w:tr>
      <w:tr w:rsidR="00020F96" w:rsidTr="00231CB3">
        <w:tc>
          <w:tcPr>
            <w:tcW w:w="8771" w:type="dxa"/>
            <w:tcBorders>
              <w:top w:val="nil"/>
              <w:left w:val="nil"/>
              <w:bottom w:val="nil"/>
              <w:right w:val="nil"/>
            </w:tcBorders>
            <w:shd w:val="clear" w:color="auto" w:fill="F2F2F2"/>
          </w:tcPr>
          <w:p w:rsidR="00020F96" w:rsidRDefault="00B722D6" w:rsidP="00796C52">
            <w:pPr>
              <w:pStyle w:val="BoxListBullet2"/>
            </w:pPr>
            <w:r>
              <w:t xml:space="preserve">Australian Apprenticeship Centres </w:t>
            </w:r>
            <w:r w:rsidR="00F50221">
              <w:t xml:space="preserve">(known as </w:t>
            </w:r>
            <w:r w:rsidR="00F50221" w:rsidRPr="00B722D6">
              <w:t xml:space="preserve">Apprenticeship Network providers </w:t>
            </w:r>
            <w:r w:rsidR="00F50221">
              <w:t>from July</w:t>
            </w:r>
            <w:r w:rsidR="00796C52">
              <w:t> </w:t>
            </w:r>
            <w:r w:rsidR="00F50221">
              <w:t xml:space="preserve">2015) </w:t>
            </w:r>
            <w:r>
              <w:t>that also provide VET services —</w:t>
            </w:r>
            <w:r w:rsidR="00F50221">
              <w:t xml:space="preserve"> </w:t>
            </w:r>
            <w:r w:rsidRPr="00B722D6">
              <w:t>deliver support services to employers and Australian Apprentices</w:t>
            </w:r>
            <w:r>
              <w:t>.</w:t>
            </w:r>
          </w:p>
        </w:tc>
      </w:tr>
      <w:tr w:rsidR="00020F96" w:rsidTr="00231CB3">
        <w:tc>
          <w:tcPr>
            <w:tcW w:w="8771" w:type="dxa"/>
            <w:tcBorders>
              <w:top w:val="nil"/>
              <w:left w:val="nil"/>
              <w:bottom w:val="nil"/>
              <w:right w:val="nil"/>
            </w:tcBorders>
            <w:shd w:val="clear" w:color="auto" w:fill="F2F2F2"/>
          </w:tcPr>
          <w:p w:rsidR="00020F96" w:rsidRDefault="00020F96" w:rsidP="00AD5F7E">
            <w:pPr>
              <w:pStyle w:val="BoxSource"/>
            </w:pPr>
            <w:r>
              <w:rPr>
                <w:i/>
              </w:rPr>
              <w:t>Source</w:t>
            </w:r>
            <w:r w:rsidRPr="00167F06">
              <w:t xml:space="preserve">: </w:t>
            </w:r>
            <w:r w:rsidR="0053299A">
              <w:t>ASQA</w:t>
            </w:r>
            <w:r>
              <w:t xml:space="preserve"> (</w:t>
            </w:r>
            <w:r w:rsidR="0053299A">
              <w:t>2015</w:t>
            </w:r>
            <w:r>
              <w:t>)</w:t>
            </w:r>
            <w:r w:rsidR="001B2925">
              <w:t>; Australian Government (2015</w:t>
            </w:r>
            <w:r w:rsidR="00EF11F0">
              <w:t>)</w:t>
            </w:r>
            <w:r w:rsidR="00AD5F7E">
              <w:t>.</w:t>
            </w:r>
          </w:p>
        </w:tc>
      </w:tr>
      <w:tr w:rsidR="00020F96" w:rsidTr="00231CB3">
        <w:tc>
          <w:tcPr>
            <w:tcW w:w="8771" w:type="dxa"/>
            <w:tcBorders>
              <w:top w:val="nil"/>
              <w:left w:val="nil"/>
              <w:bottom w:val="single" w:sz="6" w:space="0" w:color="78A22F"/>
              <w:right w:val="nil"/>
            </w:tcBorders>
            <w:shd w:val="clear" w:color="auto" w:fill="F2F2F2"/>
          </w:tcPr>
          <w:p w:rsidR="00020F96" w:rsidRDefault="00020F96" w:rsidP="00231CB3">
            <w:pPr>
              <w:pStyle w:val="Box"/>
              <w:keepNext w:val="0"/>
              <w:spacing w:before="0" w:line="120" w:lineRule="exact"/>
            </w:pPr>
          </w:p>
        </w:tc>
      </w:tr>
      <w:tr w:rsidR="00020F96" w:rsidRPr="000863A5" w:rsidTr="00231CB3">
        <w:tc>
          <w:tcPr>
            <w:tcW w:w="8771" w:type="dxa"/>
            <w:tcBorders>
              <w:top w:val="single" w:sz="6" w:space="0" w:color="78A22F"/>
              <w:left w:val="nil"/>
              <w:bottom w:val="nil"/>
              <w:right w:val="nil"/>
            </w:tcBorders>
          </w:tcPr>
          <w:p w:rsidR="00020F96" w:rsidRPr="00626D32" w:rsidRDefault="00020F96" w:rsidP="00231CB3">
            <w:pPr>
              <w:pStyle w:val="BoxSpaceBelow"/>
            </w:pPr>
          </w:p>
        </w:tc>
      </w:tr>
    </w:tbl>
    <w:p w:rsidR="00684C64" w:rsidRDefault="0070314E" w:rsidP="00684C64">
      <w:pPr>
        <w:pStyle w:val="BodyText"/>
      </w:pPr>
      <w:r w:rsidRPr="00EF5A5F">
        <w:t xml:space="preserve">Government funded activity is the primary focus of this Report. </w:t>
      </w:r>
      <w:r w:rsidR="00B46466">
        <w:t>Government funded VET</w:t>
      </w:r>
      <w:r w:rsidR="00684C64">
        <w:t xml:space="preserve"> encompasses </w:t>
      </w:r>
      <w:r w:rsidR="00760704">
        <w:t xml:space="preserve">the government subsidised or </w:t>
      </w:r>
      <w:r w:rsidR="00C74F3E">
        <w:t>financed component of VET</w:t>
      </w:r>
      <w:r w:rsidR="00684C64">
        <w:t xml:space="preserve"> delivered by:</w:t>
      </w:r>
    </w:p>
    <w:p w:rsidR="00684C64" w:rsidRDefault="00684C64" w:rsidP="00684C64">
      <w:pPr>
        <w:pStyle w:val="ListBullet"/>
      </w:pPr>
      <w:r>
        <w:lastRenderedPageBreak/>
        <w:t>TAFE institutes and other government VET providers</w:t>
      </w:r>
      <w:r w:rsidR="00062941">
        <w:t xml:space="preserve"> (including </w:t>
      </w:r>
      <w:r>
        <w:t>multi</w:t>
      </w:r>
      <w:r w:rsidR="00AD5F7E">
        <w:noBreakHyphen/>
      </w:r>
      <w:r>
        <w:t>sector higher education institutions</w:t>
      </w:r>
      <w:r w:rsidR="00062941">
        <w:t>)</w:t>
      </w:r>
    </w:p>
    <w:p w:rsidR="00C74F3E" w:rsidRDefault="00684C64" w:rsidP="00684C64">
      <w:pPr>
        <w:pStyle w:val="ListBullet"/>
      </w:pPr>
      <w:r>
        <w:t xml:space="preserve">community education </w:t>
      </w:r>
      <w:r w:rsidR="00C74F3E">
        <w:t>providers</w:t>
      </w:r>
    </w:p>
    <w:p w:rsidR="00684C64" w:rsidRDefault="00684C64" w:rsidP="00684C64">
      <w:pPr>
        <w:pStyle w:val="ListBullet"/>
      </w:pPr>
      <w:r>
        <w:t>other registered providers (</w:t>
      </w:r>
      <w:r w:rsidR="009E37F2">
        <w:t xml:space="preserve">box </w:t>
      </w:r>
      <w:r w:rsidR="003A68D1" w:rsidRPr="003A68D1">
        <w:rPr>
          <w:rFonts w:asciiTheme="minorHAnsi" w:eastAsiaTheme="minorEastAsia" w:hAnsiTheme="minorHAnsi" w:cstheme="minorBidi"/>
          <w:sz w:val="22"/>
          <w:szCs w:val="22"/>
        </w:rPr>
        <w:t>5.3</w:t>
      </w:r>
      <w:r>
        <w:t>).</w:t>
      </w:r>
    </w:p>
    <w:p w:rsidR="00B03A0F" w:rsidRDefault="00B03A0F" w:rsidP="00B03A0F">
      <w:pPr>
        <w:pStyle w:val="BoxSpaceAbove"/>
        <w:spacing w:before="340"/>
      </w:pPr>
    </w:p>
    <w:tbl>
      <w:tblPr>
        <w:tblW w:w="0" w:type="auto"/>
        <w:tblInd w:w="164" w:type="dxa"/>
        <w:tblBorders>
          <w:top w:val="single" w:sz="6" w:space="0" w:color="78A22F"/>
          <w:bottom w:val="single" w:sz="6" w:space="0" w:color="78A22F"/>
        </w:tblBorders>
        <w:tblCellMar>
          <w:left w:w="142" w:type="dxa"/>
          <w:right w:w="142" w:type="dxa"/>
        </w:tblCellMar>
        <w:tblLook w:val="0000" w:firstRow="0" w:lastRow="0" w:firstColumn="0" w:lastColumn="0" w:noHBand="0" w:noVBand="0"/>
      </w:tblPr>
      <w:tblGrid>
        <w:gridCol w:w="8771"/>
      </w:tblGrid>
      <w:tr w:rsidR="00B03A0F" w:rsidTr="006B1F1F">
        <w:trPr>
          <w:cantSplit/>
        </w:trPr>
        <w:tc>
          <w:tcPr>
            <w:tcW w:w="8771" w:type="dxa"/>
            <w:tcBorders>
              <w:bottom w:val="nil"/>
            </w:tcBorders>
            <w:shd w:val="clear" w:color="auto" w:fill="F2F2F2" w:themeFill="background1" w:themeFillShade="F2"/>
          </w:tcPr>
          <w:p w:rsidR="00B03A0F" w:rsidRDefault="00B03A0F" w:rsidP="006B1F1F">
            <w:pPr>
              <w:pStyle w:val="BoxTitle"/>
            </w:pPr>
            <w:r>
              <w:rPr>
                <w:b w:val="0"/>
              </w:rPr>
              <w:t xml:space="preserve">Box </w:t>
            </w:r>
            <w:bookmarkStart w:id="7" w:name="OLE_LINK2"/>
            <w:r w:rsidR="00CE6041">
              <w:rPr>
                <w:b w:val="0"/>
              </w:rPr>
              <w:t>5.</w:t>
            </w:r>
            <w:r w:rsidR="00111918">
              <w:rPr>
                <w:b w:val="0"/>
                <w:noProof/>
              </w:rPr>
              <w:t>3</w:t>
            </w:r>
            <w:bookmarkEnd w:id="7"/>
            <w:r>
              <w:tab/>
              <w:t>Government funded and total VET activity</w:t>
            </w:r>
          </w:p>
        </w:tc>
      </w:tr>
      <w:tr w:rsidR="00B03A0F" w:rsidTr="006B1F1F">
        <w:trPr>
          <w:cantSplit/>
        </w:trPr>
        <w:tc>
          <w:tcPr>
            <w:tcW w:w="8771" w:type="dxa"/>
            <w:tcBorders>
              <w:top w:val="nil"/>
              <w:bottom w:val="single" w:sz="6" w:space="0" w:color="78A22F"/>
            </w:tcBorders>
            <w:shd w:val="clear" w:color="auto" w:fill="F2F2F2" w:themeFill="background1" w:themeFillShade="F2"/>
          </w:tcPr>
          <w:p w:rsidR="0089488C" w:rsidRDefault="0089488C" w:rsidP="00C74F3E">
            <w:pPr>
              <w:pStyle w:val="Box"/>
              <w:spacing w:after="120"/>
            </w:pPr>
            <w:r w:rsidRPr="00F74889">
              <w:t>The focus of this report is government funded VET activity.</w:t>
            </w:r>
          </w:p>
          <w:p w:rsidR="00B46466" w:rsidRDefault="00B03A0F" w:rsidP="00C74F3E">
            <w:pPr>
              <w:pStyle w:val="Box"/>
              <w:spacing w:after="120"/>
            </w:pPr>
            <w:r w:rsidRPr="00296392">
              <w:t>Where this chapt</w:t>
            </w:r>
            <w:r w:rsidR="00B46466">
              <w:t>er refers to ‘government funded</w:t>
            </w:r>
            <w:r w:rsidRPr="00296392">
              <w:t xml:space="preserve"> </w:t>
            </w:r>
            <w:r w:rsidR="0089488C">
              <w:t xml:space="preserve">VET </w:t>
            </w:r>
            <w:r w:rsidRPr="00296392">
              <w:t>activity</w:t>
            </w:r>
            <w:r w:rsidR="00B46466">
              <w:t>’</w:t>
            </w:r>
            <w:r w:rsidRPr="00296392">
              <w:t>, it is defined as VET activity that is funded under Commonwealth and State/Territory recurrent, Commonwealth specific and State/Territory specific funding</w:t>
            </w:r>
            <w:r>
              <w:t xml:space="preserve"> (</w:t>
            </w:r>
            <w:r w:rsidR="00C74AC7">
              <w:t>figure</w:t>
            </w:r>
            <w:r w:rsidR="001F126A">
              <w:t xml:space="preserve"> </w:t>
            </w:r>
            <w:r w:rsidR="00CE6041">
              <w:t>5.1</w:t>
            </w:r>
            <w:r>
              <w:t>)</w:t>
            </w:r>
            <w:r w:rsidRPr="00296392">
              <w:t xml:space="preserve">. This includes activity funded under the </w:t>
            </w:r>
            <w:r w:rsidR="001A22EA">
              <w:rPr>
                <w:i/>
              </w:rPr>
              <w:t xml:space="preserve">National Agreement for Skills and Workforce Development </w:t>
            </w:r>
            <w:r w:rsidR="001A22EA">
              <w:t>(</w:t>
            </w:r>
            <w:r w:rsidR="00C74AC7">
              <w:t>NASWD</w:t>
            </w:r>
            <w:r w:rsidR="001A22EA">
              <w:t>)</w:t>
            </w:r>
            <w:r w:rsidRPr="00296392">
              <w:t xml:space="preserve">. </w:t>
            </w:r>
          </w:p>
          <w:p w:rsidR="00E2445D" w:rsidRDefault="00E2445D" w:rsidP="0089488C">
            <w:pPr>
              <w:pStyle w:val="Box"/>
            </w:pPr>
            <w:r w:rsidRPr="00F74889">
              <w:t xml:space="preserve">Total VET activity </w:t>
            </w:r>
            <w:r w:rsidR="006C0D03" w:rsidRPr="00F74889">
              <w:t xml:space="preserve">refers </w:t>
            </w:r>
            <w:r w:rsidRPr="00F74889">
              <w:t xml:space="preserve">to all nationally accredited training, regardless of funding source. It encompasses </w:t>
            </w:r>
            <w:r w:rsidR="006C0D03" w:rsidRPr="00F74889">
              <w:t xml:space="preserve">activity outside the scope of this report, including </w:t>
            </w:r>
            <w:r w:rsidRPr="00F74889">
              <w:t>VET services delivered on a fee</w:t>
            </w:r>
            <w:r w:rsidR="00AD5F7E">
              <w:noBreakHyphen/>
            </w:r>
            <w:r w:rsidRPr="00F74889">
              <w:t>for</w:t>
            </w:r>
            <w:r w:rsidR="00AD5F7E">
              <w:noBreakHyphen/>
            </w:r>
            <w:r w:rsidRPr="00F74889">
              <w:t xml:space="preserve">service basis </w:t>
            </w:r>
            <w:r w:rsidR="0089488C" w:rsidRPr="00F74889">
              <w:t xml:space="preserve">and </w:t>
            </w:r>
            <w:r w:rsidRPr="00F74889">
              <w:t>paid for privately.</w:t>
            </w:r>
            <w:r>
              <w:t xml:space="preserve"> </w:t>
            </w:r>
          </w:p>
        </w:tc>
      </w:tr>
      <w:tr w:rsidR="00B03A0F" w:rsidTr="000A6644">
        <w:trPr>
          <w:cantSplit/>
        </w:trPr>
        <w:tc>
          <w:tcPr>
            <w:tcW w:w="8771" w:type="dxa"/>
            <w:tcBorders>
              <w:top w:val="single" w:sz="6" w:space="0" w:color="78A22F"/>
              <w:bottom w:val="single" w:sz="6" w:space="0" w:color="78A22F"/>
            </w:tcBorders>
            <w:shd w:val="clear" w:color="auto" w:fill="F2F2F2" w:themeFill="background1" w:themeFillShade="F2"/>
          </w:tcPr>
          <w:p w:rsidR="00B03A0F" w:rsidRPr="009E37F2" w:rsidRDefault="00B03A0F" w:rsidP="006B1F1F">
            <w:pPr>
              <w:pStyle w:val="FigureTitle"/>
              <w:rPr>
                <w:sz w:val="22"/>
              </w:rPr>
            </w:pPr>
            <w:r w:rsidRPr="009E37F2">
              <w:rPr>
                <w:b w:val="0"/>
                <w:sz w:val="22"/>
              </w:rPr>
              <w:t>Figure</w:t>
            </w:r>
            <w:r w:rsidRPr="009E37F2">
              <w:rPr>
                <w:sz w:val="22"/>
              </w:rPr>
              <w:t xml:space="preserve"> </w:t>
            </w:r>
            <w:bookmarkStart w:id="8" w:name="OLE_LINK62"/>
            <w:r w:rsidR="00CE6041">
              <w:rPr>
                <w:b w:val="0"/>
              </w:rPr>
              <w:t>5.</w:t>
            </w:r>
            <w:r w:rsidR="00111918">
              <w:rPr>
                <w:b w:val="0"/>
                <w:noProof/>
              </w:rPr>
              <w:t>1</w:t>
            </w:r>
            <w:bookmarkEnd w:id="8"/>
            <w:r w:rsidRPr="009E37F2">
              <w:rPr>
                <w:sz w:val="22"/>
              </w:rPr>
              <w:tab/>
              <w:t>Government funded VET</w:t>
            </w:r>
            <w:r w:rsidRPr="00EF11F0">
              <w:rPr>
                <w:rStyle w:val="NoteLabel"/>
                <w:b/>
              </w:rPr>
              <w:t>a, b</w:t>
            </w:r>
          </w:p>
          <w:tbl>
            <w:tblPr>
              <w:tblW w:w="5000" w:type="pct"/>
              <w:tblCellMar>
                <w:top w:w="28" w:type="dxa"/>
                <w:left w:w="0" w:type="dxa"/>
                <w:right w:w="0" w:type="dxa"/>
              </w:tblCellMar>
              <w:tblLook w:val="0000" w:firstRow="0" w:lastRow="0" w:firstColumn="0" w:lastColumn="0" w:noHBand="0" w:noVBand="0"/>
            </w:tblPr>
            <w:tblGrid>
              <w:gridCol w:w="259"/>
              <w:gridCol w:w="852"/>
              <w:gridCol w:w="2395"/>
              <w:gridCol w:w="199"/>
              <w:gridCol w:w="1774"/>
              <w:gridCol w:w="1580"/>
              <w:gridCol w:w="1428"/>
            </w:tblGrid>
            <w:tr w:rsidR="00B03A0F" w:rsidTr="006B1F1F">
              <w:trPr>
                <w:trHeight w:hRule="exact" w:val="397"/>
              </w:trPr>
              <w:tc>
                <w:tcPr>
                  <w:tcW w:w="2066" w:type="pct"/>
                  <w:gridSpan w:val="3"/>
                  <w:shd w:val="clear" w:color="auto" w:fill="FFFFFF" w:themeFill="background1"/>
                  <w:tcMar>
                    <w:top w:w="28" w:type="dxa"/>
                  </w:tcMar>
                </w:tcPr>
                <w:p w:rsidR="00B03A0F" w:rsidRDefault="00B03A0F" w:rsidP="006B1F1F">
                  <w:pPr>
                    <w:pStyle w:val="BoxHeading1"/>
                  </w:pPr>
                </w:p>
              </w:tc>
              <w:tc>
                <w:tcPr>
                  <w:tcW w:w="117" w:type="pct"/>
                  <w:shd w:val="clear" w:color="auto" w:fill="FFFFFF" w:themeFill="background1"/>
                  <w:tcMar>
                    <w:top w:w="28" w:type="dxa"/>
                  </w:tcMar>
                </w:tcPr>
                <w:p w:rsidR="00B03A0F" w:rsidRDefault="00B03A0F" w:rsidP="006B1F1F">
                  <w:pPr>
                    <w:pStyle w:val="BoxHeading1"/>
                  </w:pPr>
                </w:p>
              </w:tc>
              <w:tc>
                <w:tcPr>
                  <w:tcW w:w="2817" w:type="pct"/>
                  <w:gridSpan w:val="3"/>
                  <w:tcBorders>
                    <w:bottom w:val="single" w:sz="8" w:space="0" w:color="BFBFBF"/>
                  </w:tcBorders>
                  <w:shd w:val="clear" w:color="auto" w:fill="FFFFFF" w:themeFill="background1"/>
                  <w:vAlign w:val="center"/>
                </w:tcPr>
                <w:p w:rsidR="00B03A0F" w:rsidRDefault="00B03A0F" w:rsidP="006B1F1F">
                  <w:pPr>
                    <w:pStyle w:val="BoxHeading1"/>
                    <w:spacing w:before="0"/>
                    <w:jc w:val="center"/>
                  </w:pPr>
                  <w:r>
                    <w:t>Registered Training Organisations</w:t>
                  </w:r>
                </w:p>
              </w:tc>
            </w:tr>
            <w:tr w:rsidR="00B03A0F" w:rsidTr="00E0257E">
              <w:trPr>
                <w:trHeight w:hRule="exact" w:val="1134"/>
              </w:trPr>
              <w:tc>
                <w:tcPr>
                  <w:tcW w:w="2066" w:type="pct"/>
                  <w:gridSpan w:val="3"/>
                  <w:vMerge w:val="restart"/>
                  <w:shd w:val="clear" w:color="auto" w:fill="FFFFFF" w:themeFill="background1"/>
                  <w:tcMar>
                    <w:top w:w="28" w:type="dxa"/>
                  </w:tcMar>
                  <w:vAlign w:val="bottom"/>
                </w:tcPr>
                <w:p w:rsidR="00B03A0F" w:rsidRDefault="00B03A0F" w:rsidP="006B1F1F">
                  <w:pPr>
                    <w:pStyle w:val="BoxHeading1"/>
                    <w:jc w:val="left"/>
                  </w:pPr>
                  <w:r>
                    <w:t>Source of funding</w:t>
                  </w:r>
                </w:p>
              </w:tc>
              <w:tc>
                <w:tcPr>
                  <w:tcW w:w="117" w:type="pct"/>
                  <w:tcBorders>
                    <w:right w:val="single" w:sz="6" w:space="0" w:color="BFBFBF"/>
                  </w:tcBorders>
                  <w:shd w:val="clear" w:color="auto" w:fill="FFFFFF" w:themeFill="background1"/>
                  <w:tcMar>
                    <w:top w:w="28" w:type="dxa"/>
                  </w:tcMar>
                </w:tcPr>
                <w:p w:rsidR="00B03A0F" w:rsidRDefault="00B03A0F" w:rsidP="006B1F1F">
                  <w:pPr>
                    <w:pStyle w:val="TableColumnHeading"/>
                  </w:pPr>
                </w:p>
              </w:tc>
              <w:tc>
                <w:tcPr>
                  <w:tcW w:w="1045" w:type="pct"/>
                  <w:tcBorders>
                    <w:top w:val="single" w:sz="8" w:space="0" w:color="BFBFBF"/>
                    <w:left w:val="single" w:sz="6" w:space="0" w:color="BFBFBF"/>
                    <w:right w:val="single" w:sz="6" w:space="0" w:color="BFBFBF"/>
                  </w:tcBorders>
                  <w:shd w:val="clear" w:color="auto" w:fill="FFFFFF" w:themeFill="background1"/>
                  <w:vAlign w:val="center"/>
                </w:tcPr>
                <w:p w:rsidR="00E0257E" w:rsidRDefault="00E0257E" w:rsidP="006B1F1F">
                  <w:pPr>
                    <w:pStyle w:val="TableColumnHeading"/>
                    <w:jc w:val="center"/>
                  </w:pPr>
                  <w:r>
                    <w:t xml:space="preserve">Government </w:t>
                  </w:r>
                  <w:r w:rsidR="00C74F3E">
                    <w:t xml:space="preserve">VET </w:t>
                  </w:r>
                  <w:r>
                    <w:t>providers</w:t>
                  </w:r>
                </w:p>
                <w:p w:rsidR="00B03A0F" w:rsidRDefault="00E0257E" w:rsidP="006B1F1F">
                  <w:pPr>
                    <w:pStyle w:val="TableColumnHeading"/>
                    <w:jc w:val="center"/>
                  </w:pPr>
                  <w:r>
                    <w:t xml:space="preserve">— </w:t>
                  </w:r>
                  <w:r w:rsidR="00B03A0F" w:rsidRPr="0066361E">
                    <w:t>TAF</w:t>
                  </w:r>
                  <w:r>
                    <w:t>E and other government RTOs</w:t>
                  </w:r>
                  <w:r w:rsidR="00B03A0F" w:rsidRPr="00EF11F0">
                    <w:rPr>
                      <w:rStyle w:val="NoteLabel"/>
                      <w:i w:val="0"/>
                    </w:rPr>
                    <w:t>c</w:t>
                  </w:r>
                </w:p>
              </w:tc>
              <w:tc>
                <w:tcPr>
                  <w:tcW w:w="931" w:type="pct"/>
                  <w:tcBorders>
                    <w:top w:val="single" w:sz="8" w:space="0" w:color="BFBFBF"/>
                    <w:left w:val="single" w:sz="6" w:space="0" w:color="BFBFBF"/>
                    <w:right w:val="single" w:sz="6" w:space="0" w:color="BFBFBF"/>
                  </w:tcBorders>
                  <w:shd w:val="clear" w:color="auto" w:fill="FFFFFF" w:themeFill="background1"/>
                  <w:vAlign w:val="center"/>
                </w:tcPr>
                <w:p w:rsidR="00B03A0F" w:rsidRDefault="00B03A0F" w:rsidP="006B1F1F">
                  <w:pPr>
                    <w:pStyle w:val="TableColumnHeading"/>
                    <w:jc w:val="center"/>
                  </w:pPr>
                  <w:r>
                    <w:t>Community education providers</w:t>
                  </w:r>
                </w:p>
              </w:tc>
              <w:tc>
                <w:tcPr>
                  <w:tcW w:w="841" w:type="pct"/>
                  <w:tcBorders>
                    <w:top w:val="single" w:sz="8" w:space="0" w:color="BFBFBF"/>
                    <w:left w:val="single" w:sz="6" w:space="0" w:color="BFBFBF"/>
                    <w:right w:val="single" w:sz="6" w:space="0" w:color="BFBFBF"/>
                  </w:tcBorders>
                  <w:shd w:val="clear" w:color="auto" w:fill="FFFFFF" w:themeFill="background1"/>
                  <w:vAlign w:val="center"/>
                </w:tcPr>
                <w:p w:rsidR="00B03A0F" w:rsidRDefault="00B03A0F" w:rsidP="006B1F1F">
                  <w:pPr>
                    <w:pStyle w:val="TableColumnHeading"/>
                    <w:jc w:val="center"/>
                  </w:pPr>
                  <w:r w:rsidRPr="0066361E">
                    <w:t>Other registered providers</w:t>
                  </w:r>
                </w:p>
              </w:tc>
            </w:tr>
            <w:tr w:rsidR="00B03A0F" w:rsidTr="006B1F1F">
              <w:trPr>
                <w:trHeight w:val="57"/>
              </w:trPr>
              <w:tc>
                <w:tcPr>
                  <w:tcW w:w="2066" w:type="pct"/>
                  <w:gridSpan w:val="3"/>
                  <w:vMerge/>
                  <w:tcBorders>
                    <w:bottom w:val="single" w:sz="8" w:space="0" w:color="BFBFBF"/>
                  </w:tcBorders>
                  <w:shd w:val="clear" w:color="auto" w:fill="FFFFFF" w:themeFill="background1"/>
                  <w:tcMar>
                    <w:top w:w="28" w:type="dxa"/>
                  </w:tcMar>
                </w:tcPr>
                <w:p w:rsidR="00B03A0F" w:rsidRDefault="00B03A0F" w:rsidP="006B1F1F">
                  <w:pPr>
                    <w:pStyle w:val="BoxHeading1"/>
                  </w:pPr>
                </w:p>
              </w:tc>
              <w:tc>
                <w:tcPr>
                  <w:tcW w:w="117" w:type="pct"/>
                  <w:tcBorders>
                    <w:bottom w:val="single" w:sz="8" w:space="0" w:color="BFBFBF"/>
                    <w:right w:val="single" w:sz="6" w:space="0" w:color="BFBFBF"/>
                  </w:tcBorders>
                  <w:shd w:val="clear" w:color="auto" w:fill="FFFFFF" w:themeFill="background1"/>
                  <w:tcMar>
                    <w:top w:w="28" w:type="dxa"/>
                  </w:tcMar>
                </w:tcPr>
                <w:p w:rsidR="00B03A0F" w:rsidRDefault="00B03A0F" w:rsidP="006B1F1F">
                  <w:pPr>
                    <w:pStyle w:val="BoxSpaceBelow"/>
                  </w:pPr>
                </w:p>
              </w:tc>
              <w:tc>
                <w:tcPr>
                  <w:tcW w:w="1045" w:type="pct"/>
                  <w:tcBorders>
                    <w:left w:val="single" w:sz="6" w:space="0" w:color="BFBFBF"/>
                    <w:bottom w:val="single" w:sz="18" w:space="0" w:color="auto"/>
                    <w:right w:val="single" w:sz="6" w:space="0" w:color="BFBFBF"/>
                  </w:tcBorders>
                  <w:shd w:val="clear" w:color="auto" w:fill="FFFFFF" w:themeFill="background1"/>
                </w:tcPr>
                <w:p w:rsidR="00B03A0F" w:rsidRDefault="00B03A0F" w:rsidP="006B1F1F">
                  <w:pPr>
                    <w:pStyle w:val="BoxSpaceBelow"/>
                  </w:pPr>
                </w:p>
              </w:tc>
              <w:tc>
                <w:tcPr>
                  <w:tcW w:w="931" w:type="pct"/>
                  <w:tcBorders>
                    <w:left w:val="single" w:sz="6" w:space="0" w:color="BFBFBF"/>
                    <w:bottom w:val="single" w:sz="18" w:space="0" w:color="auto"/>
                    <w:right w:val="single" w:sz="6" w:space="0" w:color="BFBFBF"/>
                  </w:tcBorders>
                  <w:shd w:val="clear" w:color="auto" w:fill="FFFFFF" w:themeFill="background1"/>
                </w:tcPr>
                <w:p w:rsidR="00B03A0F" w:rsidRDefault="00B03A0F" w:rsidP="006B1F1F">
                  <w:pPr>
                    <w:pStyle w:val="BoxSpaceBelow"/>
                  </w:pPr>
                </w:p>
              </w:tc>
              <w:tc>
                <w:tcPr>
                  <w:tcW w:w="841" w:type="pct"/>
                  <w:tcBorders>
                    <w:left w:val="single" w:sz="6" w:space="0" w:color="BFBFBF"/>
                    <w:bottom w:val="single" w:sz="18" w:space="0" w:color="auto"/>
                    <w:right w:val="single" w:sz="6" w:space="0" w:color="BFBFBF"/>
                  </w:tcBorders>
                  <w:shd w:val="clear" w:color="auto" w:fill="FFFFFF" w:themeFill="background1"/>
                </w:tcPr>
                <w:p w:rsidR="00B03A0F" w:rsidRDefault="00B03A0F" w:rsidP="006B1F1F">
                  <w:pPr>
                    <w:pStyle w:val="BoxSpaceBelow"/>
                  </w:pPr>
                </w:p>
              </w:tc>
            </w:tr>
            <w:tr w:rsidR="00B03A0F" w:rsidTr="006C0D03">
              <w:trPr>
                <w:trHeight w:hRule="exact" w:val="397"/>
              </w:trPr>
              <w:tc>
                <w:tcPr>
                  <w:tcW w:w="153" w:type="pct"/>
                  <w:shd w:val="clear" w:color="auto" w:fill="FFFFFF" w:themeFill="background1"/>
                  <w:vAlign w:val="center"/>
                </w:tcPr>
                <w:p w:rsidR="00B03A0F" w:rsidRDefault="00B03A0F" w:rsidP="006B1F1F">
                  <w:pPr>
                    <w:pStyle w:val="TableUnitsRow"/>
                    <w:ind w:left="340"/>
                    <w:jc w:val="left"/>
                  </w:pPr>
                </w:p>
              </w:tc>
              <w:tc>
                <w:tcPr>
                  <w:tcW w:w="2030" w:type="pct"/>
                  <w:gridSpan w:val="3"/>
                  <w:tcBorders>
                    <w:top w:val="single" w:sz="8" w:space="0" w:color="BFBFBF"/>
                    <w:bottom w:val="single" w:sz="8" w:space="0" w:color="BFBFBF"/>
                    <w:right w:val="single" w:sz="18" w:space="0" w:color="auto"/>
                  </w:tcBorders>
                  <w:shd w:val="clear" w:color="auto" w:fill="FFFFFF" w:themeFill="background1"/>
                  <w:vAlign w:val="center"/>
                </w:tcPr>
                <w:p w:rsidR="00B03A0F" w:rsidRDefault="00B03A0F" w:rsidP="006B1F1F">
                  <w:pPr>
                    <w:pStyle w:val="TableUnitsRow"/>
                    <w:ind w:left="0"/>
                    <w:jc w:val="left"/>
                  </w:pPr>
                  <w:r>
                    <w:t>Government subsidised/financed</w:t>
                  </w:r>
                  <w:r>
                    <w:rPr>
                      <w:rStyle w:val="NoteLabel"/>
                    </w:rPr>
                    <w:t xml:space="preserve"> </w:t>
                  </w:r>
                </w:p>
              </w:tc>
              <w:tc>
                <w:tcPr>
                  <w:tcW w:w="1045" w:type="pct"/>
                  <w:tcBorders>
                    <w:top w:val="single" w:sz="18" w:space="0" w:color="auto"/>
                    <w:left w:val="single" w:sz="18" w:space="0" w:color="auto"/>
                    <w:bottom w:val="single" w:sz="8" w:space="0" w:color="BFBFBF"/>
                    <w:right w:val="single" w:sz="6" w:space="0" w:color="BFBFBF"/>
                  </w:tcBorders>
                  <w:shd w:val="clear" w:color="auto" w:fill="78A22F"/>
                </w:tcPr>
                <w:p w:rsidR="00B03A0F" w:rsidRPr="002872A2" w:rsidRDefault="00B03A0F" w:rsidP="00C74AC7">
                  <w:pPr>
                    <w:pStyle w:val="TableBodyText"/>
                    <w:ind w:right="28"/>
                    <w:jc w:val="center"/>
                    <w:rPr>
                      <w:b/>
                      <w:color w:val="FFFFFF" w:themeColor="background1"/>
                      <w:sz w:val="16"/>
                    </w:rPr>
                  </w:pPr>
                </w:p>
              </w:tc>
              <w:tc>
                <w:tcPr>
                  <w:tcW w:w="931" w:type="pct"/>
                  <w:tcBorders>
                    <w:top w:val="single" w:sz="18" w:space="0" w:color="auto"/>
                    <w:left w:val="single" w:sz="6" w:space="0" w:color="BFBFBF"/>
                    <w:bottom w:val="single" w:sz="8" w:space="0" w:color="BFBFBF"/>
                    <w:right w:val="single" w:sz="6" w:space="0" w:color="BFBFBF"/>
                  </w:tcBorders>
                  <w:shd w:val="clear" w:color="auto" w:fill="78A22F"/>
                </w:tcPr>
                <w:p w:rsidR="00B03A0F" w:rsidRPr="002872A2" w:rsidRDefault="00B03A0F" w:rsidP="00C74AC7">
                  <w:pPr>
                    <w:pStyle w:val="TableBodyText"/>
                    <w:ind w:right="28"/>
                    <w:jc w:val="center"/>
                    <w:rPr>
                      <w:b/>
                      <w:color w:val="FFFFFF" w:themeColor="background1"/>
                      <w:sz w:val="16"/>
                    </w:rPr>
                  </w:pPr>
                </w:p>
              </w:tc>
              <w:tc>
                <w:tcPr>
                  <w:tcW w:w="841" w:type="pct"/>
                  <w:tcBorders>
                    <w:top w:val="single" w:sz="18" w:space="0" w:color="auto"/>
                    <w:left w:val="single" w:sz="6" w:space="0" w:color="BFBFBF"/>
                    <w:bottom w:val="single" w:sz="8" w:space="0" w:color="BFBFBF"/>
                    <w:right w:val="single" w:sz="18" w:space="0" w:color="auto"/>
                  </w:tcBorders>
                  <w:shd w:val="clear" w:color="auto" w:fill="78A22F"/>
                </w:tcPr>
                <w:p w:rsidR="00B03A0F" w:rsidRPr="002872A2" w:rsidRDefault="00B03A0F" w:rsidP="00C74AC7">
                  <w:pPr>
                    <w:pStyle w:val="TableBodyText"/>
                    <w:ind w:right="28"/>
                    <w:jc w:val="center"/>
                    <w:rPr>
                      <w:b/>
                      <w:color w:val="FFFFFF" w:themeColor="background1"/>
                      <w:sz w:val="16"/>
                    </w:rPr>
                  </w:pPr>
                </w:p>
              </w:tc>
            </w:tr>
            <w:tr w:rsidR="006C0D03" w:rsidTr="006C0D03">
              <w:trPr>
                <w:trHeight w:hRule="exact" w:val="397"/>
              </w:trPr>
              <w:tc>
                <w:tcPr>
                  <w:tcW w:w="153" w:type="pct"/>
                  <w:shd w:val="clear" w:color="auto" w:fill="FFFFFF" w:themeFill="background1"/>
                  <w:vAlign w:val="center"/>
                </w:tcPr>
                <w:p w:rsidR="006C0D03" w:rsidRDefault="006C0D03" w:rsidP="006B1F1F">
                  <w:pPr>
                    <w:pStyle w:val="TableUnitsRow"/>
                    <w:ind w:left="340"/>
                    <w:jc w:val="left"/>
                  </w:pPr>
                </w:p>
              </w:tc>
              <w:tc>
                <w:tcPr>
                  <w:tcW w:w="2030" w:type="pct"/>
                  <w:gridSpan w:val="3"/>
                  <w:tcBorders>
                    <w:top w:val="single" w:sz="8" w:space="0" w:color="BFBFBF"/>
                    <w:bottom w:val="single" w:sz="8" w:space="0" w:color="BFBFBF"/>
                    <w:right w:val="single" w:sz="18" w:space="0" w:color="auto"/>
                  </w:tcBorders>
                  <w:shd w:val="clear" w:color="auto" w:fill="FFFFFF" w:themeFill="background1"/>
                  <w:vAlign w:val="center"/>
                </w:tcPr>
                <w:p w:rsidR="006C0D03" w:rsidRDefault="006C0D03" w:rsidP="006B1F1F">
                  <w:pPr>
                    <w:pStyle w:val="TableUnitsRow"/>
                    <w:ind w:left="0"/>
                    <w:jc w:val="left"/>
                  </w:pPr>
                  <w:r>
                    <w:t>Domestic fee</w:t>
                  </w:r>
                  <w:r w:rsidR="00AD5F7E">
                    <w:noBreakHyphen/>
                  </w:r>
                  <w:r>
                    <w:t>for</w:t>
                  </w:r>
                  <w:r w:rsidR="00AD5F7E">
                    <w:noBreakHyphen/>
                  </w:r>
                  <w:r>
                    <w:t>service</w:t>
                  </w:r>
                  <w:r>
                    <w:rPr>
                      <w:rStyle w:val="NoteLabel"/>
                    </w:rPr>
                    <w:t>d</w:t>
                  </w:r>
                </w:p>
              </w:tc>
              <w:tc>
                <w:tcPr>
                  <w:tcW w:w="1045" w:type="pct"/>
                  <w:tcBorders>
                    <w:top w:val="single" w:sz="8" w:space="0" w:color="BFBFBF"/>
                    <w:left w:val="single" w:sz="18" w:space="0" w:color="auto"/>
                    <w:bottom w:val="single" w:sz="8" w:space="0" w:color="BFBFBF"/>
                    <w:right w:val="single" w:sz="6" w:space="0" w:color="BFBFBF"/>
                  </w:tcBorders>
                  <w:shd w:val="clear" w:color="auto" w:fill="F2F2F2" w:themeFill="background1" w:themeFillShade="F2"/>
                </w:tcPr>
                <w:p w:rsidR="006C0D03" w:rsidRPr="00C74AC7" w:rsidRDefault="006C0D03" w:rsidP="00072410">
                  <w:pPr>
                    <w:pStyle w:val="TableBodyText"/>
                    <w:ind w:right="28"/>
                    <w:jc w:val="center"/>
                    <w:rPr>
                      <w:b/>
                      <w:sz w:val="16"/>
                    </w:rPr>
                  </w:pPr>
                </w:p>
              </w:tc>
              <w:tc>
                <w:tcPr>
                  <w:tcW w:w="931" w:type="pct"/>
                  <w:tcBorders>
                    <w:top w:val="single" w:sz="8" w:space="0" w:color="BFBFBF"/>
                    <w:left w:val="single" w:sz="6" w:space="0" w:color="BFBFBF"/>
                    <w:bottom w:val="single" w:sz="8" w:space="0" w:color="BFBFBF"/>
                    <w:right w:val="single" w:sz="6" w:space="0" w:color="BFBFBF"/>
                  </w:tcBorders>
                  <w:shd w:val="clear" w:color="auto" w:fill="auto"/>
                </w:tcPr>
                <w:p w:rsidR="006C0D03" w:rsidRPr="00C74AC7" w:rsidRDefault="006C0D03" w:rsidP="00C74AC7">
                  <w:pPr>
                    <w:pStyle w:val="TableBodyText"/>
                    <w:ind w:right="28"/>
                    <w:jc w:val="center"/>
                    <w:rPr>
                      <w:b/>
                      <w:sz w:val="16"/>
                    </w:rPr>
                  </w:pPr>
                </w:p>
              </w:tc>
              <w:tc>
                <w:tcPr>
                  <w:tcW w:w="841" w:type="pct"/>
                  <w:tcBorders>
                    <w:top w:val="single" w:sz="8" w:space="0" w:color="BFBFBF"/>
                    <w:left w:val="single" w:sz="6" w:space="0" w:color="BFBFBF"/>
                    <w:bottom w:val="single" w:sz="8" w:space="0" w:color="BFBFBF"/>
                    <w:right w:val="single" w:sz="18" w:space="0" w:color="auto"/>
                  </w:tcBorders>
                  <w:shd w:val="clear" w:color="auto" w:fill="auto"/>
                </w:tcPr>
                <w:p w:rsidR="006C0D03" w:rsidRPr="00C74AC7" w:rsidRDefault="006C0D03" w:rsidP="00C74AC7">
                  <w:pPr>
                    <w:pStyle w:val="TableBodyText"/>
                    <w:ind w:right="28"/>
                    <w:jc w:val="center"/>
                    <w:rPr>
                      <w:b/>
                      <w:sz w:val="16"/>
                    </w:rPr>
                  </w:pPr>
                </w:p>
              </w:tc>
            </w:tr>
            <w:tr w:rsidR="006C0D03" w:rsidTr="006C0D03">
              <w:trPr>
                <w:trHeight w:hRule="exact" w:val="397"/>
              </w:trPr>
              <w:tc>
                <w:tcPr>
                  <w:tcW w:w="153" w:type="pct"/>
                  <w:tcBorders>
                    <w:bottom w:val="single" w:sz="8" w:space="0" w:color="BFBFBF"/>
                  </w:tcBorders>
                  <w:shd w:val="clear" w:color="auto" w:fill="FFFFFF" w:themeFill="background1"/>
                  <w:vAlign w:val="center"/>
                </w:tcPr>
                <w:p w:rsidR="006C0D03" w:rsidRDefault="006C0D03" w:rsidP="006B1F1F">
                  <w:pPr>
                    <w:pStyle w:val="TableUnitsRow"/>
                    <w:ind w:left="340"/>
                    <w:jc w:val="left"/>
                  </w:pPr>
                </w:p>
              </w:tc>
              <w:tc>
                <w:tcPr>
                  <w:tcW w:w="2030" w:type="pct"/>
                  <w:gridSpan w:val="3"/>
                  <w:tcBorders>
                    <w:top w:val="single" w:sz="8" w:space="0" w:color="BFBFBF"/>
                    <w:bottom w:val="single" w:sz="8" w:space="0" w:color="BFBFBF"/>
                    <w:right w:val="single" w:sz="18" w:space="0" w:color="auto"/>
                  </w:tcBorders>
                  <w:shd w:val="clear" w:color="auto" w:fill="FFFFFF" w:themeFill="background1"/>
                  <w:vAlign w:val="center"/>
                </w:tcPr>
                <w:p w:rsidR="006C0D03" w:rsidRDefault="006C0D03" w:rsidP="006B1F1F">
                  <w:pPr>
                    <w:pStyle w:val="TableUnitsRow"/>
                    <w:ind w:left="0"/>
                    <w:jc w:val="left"/>
                  </w:pPr>
                  <w:r>
                    <w:t>International fee</w:t>
                  </w:r>
                  <w:r w:rsidR="00AD5F7E">
                    <w:noBreakHyphen/>
                  </w:r>
                  <w:r>
                    <w:t>for</w:t>
                  </w:r>
                  <w:r w:rsidR="00AD5F7E">
                    <w:noBreakHyphen/>
                  </w:r>
                  <w:r>
                    <w:t>service</w:t>
                  </w:r>
                  <w:r>
                    <w:rPr>
                      <w:rStyle w:val="NoteLabel"/>
                    </w:rPr>
                    <w:t>d</w:t>
                  </w:r>
                </w:p>
              </w:tc>
              <w:tc>
                <w:tcPr>
                  <w:tcW w:w="1045" w:type="pct"/>
                  <w:tcBorders>
                    <w:top w:val="single" w:sz="8" w:space="0" w:color="BFBFBF"/>
                    <w:left w:val="single" w:sz="18" w:space="0" w:color="auto"/>
                    <w:bottom w:val="single" w:sz="18" w:space="0" w:color="auto"/>
                    <w:right w:val="single" w:sz="6" w:space="0" w:color="BFBFBF"/>
                  </w:tcBorders>
                  <w:shd w:val="clear" w:color="auto" w:fill="F2F2F2" w:themeFill="background1" w:themeFillShade="F2"/>
                </w:tcPr>
                <w:p w:rsidR="006C0D03" w:rsidRPr="00C74AC7" w:rsidRDefault="006C0D03" w:rsidP="00072410">
                  <w:pPr>
                    <w:pStyle w:val="TableBodyText"/>
                    <w:ind w:right="28"/>
                    <w:jc w:val="center"/>
                    <w:rPr>
                      <w:b/>
                      <w:sz w:val="16"/>
                    </w:rPr>
                  </w:pPr>
                </w:p>
              </w:tc>
              <w:tc>
                <w:tcPr>
                  <w:tcW w:w="931" w:type="pct"/>
                  <w:tcBorders>
                    <w:top w:val="single" w:sz="8" w:space="0" w:color="BFBFBF"/>
                    <w:left w:val="single" w:sz="6" w:space="0" w:color="BFBFBF"/>
                    <w:bottom w:val="single" w:sz="18" w:space="0" w:color="auto"/>
                    <w:right w:val="single" w:sz="6" w:space="0" w:color="BFBFBF"/>
                  </w:tcBorders>
                  <w:shd w:val="clear" w:color="auto" w:fill="auto"/>
                </w:tcPr>
                <w:p w:rsidR="006C0D03" w:rsidRPr="00C74AC7" w:rsidRDefault="006C0D03" w:rsidP="00C74AC7">
                  <w:pPr>
                    <w:pStyle w:val="TableBodyText"/>
                    <w:ind w:right="28"/>
                    <w:jc w:val="center"/>
                    <w:rPr>
                      <w:b/>
                      <w:sz w:val="16"/>
                    </w:rPr>
                  </w:pPr>
                </w:p>
              </w:tc>
              <w:tc>
                <w:tcPr>
                  <w:tcW w:w="841" w:type="pct"/>
                  <w:tcBorders>
                    <w:top w:val="single" w:sz="8" w:space="0" w:color="BFBFBF"/>
                    <w:left w:val="single" w:sz="6" w:space="0" w:color="BFBFBF"/>
                    <w:bottom w:val="single" w:sz="18" w:space="0" w:color="auto"/>
                    <w:right w:val="single" w:sz="18" w:space="0" w:color="auto"/>
                  </w:tcBorders>
                  <w:shd w:val="clear" w:color="auto" w:fill="auto"/>
                </w:tcPr>
                <w:p w:rsidR="006C0D03" w:rsidRPr="00C74AC7" w:rsidRDefault="006C0D03" w:rsidP="00C74AC7">
                  <w:pPr>
                    <w:pStyle w:val="TableBodyText"/>
                    <w:ind w:right="28"/>
                    <w:jc w:val="center"/>
                    <w:rPr>
                      <w:b/>
                      <w:sz w:val="16"/>
                    </w:rPr>
                  </w:pPr>
                </w:p>
              </w:tc>
            </w:tr>
            <w:tr w:rsidR="006C0D03" w:rsidTr="006B1F1F">
              <w:trPr>
                <w:trHeight w:hRule="exact" w:val="57"/>
              </w:trPr>
              <w:tc>
                <w:tcPr>
                  <w:tcW w:w="5000" w:type="pct"/>
                  <w:gridSpan w:val="7"/>
                  <w:tcBorders>
                    <w:top w:val="single" w:sz="8" w:space="0" w:color="BFBFBF"/>
                  </w:tcBorders>
                  <w:shd w:val="clear" w:color="auto" w:fill="FFFFFF" w:themeFill="background1"/>
                </w:tcPr>
                <w:p w:rsidR="006C0D03" w:rsidRDefault="006C0D03" w:rsidP="006B1F1F">
                  <w:pPr>
                    <w:pStyle w:val="FooterEnd"/>
                  </w:pPr>
                </w:p>
              </w:tc>
            </w:tr>
            <w:tr w:rsidR="006C0D03" w:rsidTr="00504A86">
              <w:trPr>
                <w:trHeight w:hRule="exact" w:val="340"/>
              </w:trPr>
              <w:tc>
                <w:tcPr>
                  <w:tcW w:w="153" w:type="pct"/>
                  <w:tcBorders>
                    <w:right w:val="single" w:sz="18" w:space="0" w:color="auto"/>
                  </w:tcBorders>
                  <w:shd w:val="clear" w:color="auto" w:fill="FFFFFF" w:themeFill="background1"/>
                </w:tcPr>
                <w:p w:rsidR="006C0D03" w:rsidRDefault="006C0D03" w:rsidP="006B1F1F">
                  <w:pPr>
                    <w:pStyle w:val="Box"/>
                    <w:ind w:left="340"/>
                  </w:pPr>
                </w:p>
              </w:tc>
              <w:tc>
                <w:tcPr>
                  <w:tcW w:w="502" w:type="pct"/>
                  <w:tcBorders>
                    <w:top w:val="single" w:sz="18" w:space="0" w:color="auto"/>
                    <w:left w:val="single" w:sz="18" w:space="0" w:color="auto"/>
                    <w:bottom w:val="single" w:sz="18" w:space="0" w:color="auto"/>
                    <w:right w:val="single" w:sz="18" w:space="0" w:color="auto"/>
                  </w:tcBorders>
                  <w:shd w:val="clear" w:color="auto" w:fill="78A22F"/>
                </w:tcPr>
                <w:p w:rsidR="006C0D03" w:rsidRPr="005A0E23" w:rsidRDefault="006C0D03" w:rsidP="005A0E23">
                  <w:pPr>
                    <w:pStyle w:val="Note"/>
                    <w:jc w:val="center"/>
                    <w:rPr>
                      <w:b/>
                      <w:color w:val="FFFFFF" w:themeColor="background1"/>
                      <w:sz w:val="16"/>
                    </w:rPr>
                  </w:pPr>
                </w:p>
              </w:tc>
              <w:tc>
                <w:tcPr>
                  <w:tcW w:w="3504" w:type="pct"/>
                  <w:gridSpan w:val="4"/>
                  <w:tcBorders>
                    <w:left w:val="single" w:sz="18" w:space="0" w:color="auto"/>
                  </w:tcBorders>
                  <w:shd w:val="clear" w:color="auto" w:fill="FFFFFF" w:themeFill="background1"/>
                  <w:vAlign w:val="center"/>
                </w:tcPr>
                <w:p w:rsidR="006C0D03" w:rsidRDefault="006C0D03" w:rsidP="005A0E23">
                  <w:pPr>
                    <w:pStyle w:val="TableUnitsRow"/>
                    <w:tabs>
                      <w:tab w:val="left" w:pos="710"/>
                    </w:tabs>
                    <w:ind w:left="340"/>
                    <w:jc w:val="left"/>
                  </w:pPr>
                  <w:r>
                    <w:tab/>
                    <w:t>Government Funded VET</w:t>
                  </w:r>
                </w:p>
              </w:tc>
              <w:tc>
                <w:tcPr>
                  <w:tcW w:w="841" w:type="pct"/>
                  <w:shd w:val="clear" w:color="auto" w:fill="FFFFFF" w:themeFill="background1"/>
                </w:tcPr>
                <w:p w:rsidR="006C0D03" w:rsidRDefault="006C0D03" w:rsidP="006B1F1F">
                  <w:pPr>
                    <w:pStyle w:val="TableBodyText"/>
                    <w:ind w:right="28"/>
                  </w:pPr>
                </w:p>
              </w:tc>
            </w:tr>
            <w:tr w:rsidR="006C0D03" w:rsidTr="006B1F1F">
              <w:trPr>
                <w:trHeight w:hRule="exact" w:val="57"/>
              </w:trPr>
              <w:tc>
                <w:tcPr>
                  <w:tcW w:w="5000" w:type="pct"/>
                  <w:gridSpan w:val="7"/>
                  <w:shd w:val="clear" w:color="auto" w:fill="FFFFFF" w:themeFill="background1"/>
                </w:tcPr>
                <w:p w:rsidR="006C0D03" w:rsidRPr="00AB2521" w:rsidRDefault="006C0D03" w:rsidP="006B1F1F">
                  <w:pPr>
                    <w:pStyle w:val="FooterEnd"/>
                  </w:pPr>
                </w:p>
              </w:tc>
            </w:tr>
            <w:tr w:rsidR="006C0D03" w:rsidTr="006B1F1F">
              <w:tc>
                <w:tcPr>
                  <w:tcW w:w="5000" w:type="pct"/>
                  <w:gridSpan w:val="7"/>
                  <w:shd w:val="clear" w:color="auto" w:fill="FFFFFF" w:themeFill="background1"/>
                  <w:vAlign w:val="center"/>
                </w:tcPr>
                <w:p w:rsidR="006C0D03" w:rsidRDefault="006C0D03" w:rsidP="00DE4B50">
                  <w:pPr>
                    <w:pStyle w:val="Note"/>
                  </w:pPr>
                  <w:r w:rsidRPr="0066361E">
                    <w:rPr>
                      <w:rStyle w:val="NoteLabel"/>
                    </w:rPr>
                    <w:t>a</w:t>
                  </w:r>
                  <w:r>
                    <w:t> Government funded VET excludes students who undertake r</w:t>
                  </w:r>
                  <w:r w:rsidRPr="00AD715C">
                    <w:t>ecreation, leisure or personal enrichment education program</w:t>
                  </w:r>
                  <w:r>
                    <w:t xml:space="preserve">s. </w:t>
                  </w:r>
                  <w:r>
                    <w:rPr>
                      <w:rStyle w:val="NoteLabel"/>
                    </w:rPr>
                    <w:t>b</w:t>
                  </w:r>
                  <w:r>
                    <w:t xml:space="preserve"> Government funded </w:t>
                  </w:r>
                  <w:r w:rsidRPr="00AD715C">
                    <w:t xml:space="preserve">VET </w:t>
                  </w:r>
                  <w:r>
                    <w:t xml:space="preserve">excludes </w:t>
                  </w:r>
                  <w:r w:rsidRPr="00AD715C">
                    <w:t xml:space="preserve">programs where the delivery was undertaken by schools. </w:t>
                  </w:r>
                  <w:r>
                    <w:t>Government funded VET includes s</w:t>
                  </w:r>
                  <w:r w:rsidRPr="00AD715C">
                    <w:t>tudents who undertook VET in schools programs at TAFE.</w:t>
                  </w:r>
                  <w:r>
                    <w:t xml:space="preserve"> </w:t>
                  </w:r>
                  <w:r>
                    <w:rPr>
                      <w:rStyle w:val="NoteLabel"/>
                    </w:rPr>
                    <w:t>c </w:t>
                  </w:r>
                  <w:r w:rsidRPr="00165D9C">
                    <w:t>Multi</w:t>
                  </w:r>
                  <w:r>
                    <w:noBreakHyphen/>
                  </w:r>
                  <w:r w:rsidRPr="00165D9C">
                    <w:t xml:space="preserve">sector higher education providers are reported as </w:t>
                  </w:r>
                  <w:r>
                    <w:t>Government providers</w:t>
                  </w:r>
                  <w:r w:rsidRPr="00165D9C">
                    <w:t>.</w:t>
                  </w:r>
                  <w:r>
                    <w:t xml:space="preserve"> </w:t>
                  </w:r>
                  <w:r>
                    <w:rPr>
                      <w:rStyle w:val="NoteLabel"/>
                    </w:rPr>
                    <w:t>d</w:t>
                  </w:r>
                  <w:r>
                    <w:t> Fee</w:t>
                  </w:r>
                  <w:r>
                    <w:noBreakHyphen/>
                    <w:t>for</w:t>
                  </w:r>
                  <w:r>
                    <w:noBreakHyphen/>
                    <w:t>service students pay 100 per cent of their VET fees from private (non</w:t>
                  </w:r>
                  <w:r>
                    <w:noBreakHyphen/>
                    <w:t>government) sources</w:t>
                  </w:r>
                  <w:r w:rsidRPr="00165D9C">
                    <w:t>.</w:t>
                  </w:r>
                </w:p>
              </w:tc>
            </w:tr>
          </w:tbl>
          <w:p w:rsidR="00B03A0F" w:rsidRPr="00296392" w:rsidRDefault="00B03A0F" w:rsidP="006B1F1F">
            <w:pPr>
              <w:pStyle w:val="Box"/>
            </w:pPr>
          </w:p>
        </w:tc>
      </w:tr>
      <w:tr w:rsidR="006C0D03" w:rsidTr="00072410">
        <w:trPr>
          <w:cantSplit/>
        </w:trPr>
        <w:tc>
          <w:tcPr>
            <w:tcW w:w="8771" w:type="dxa"/>
            <w:tcBorders>
              <w:top w:val="nil"/>
              <w:bottom w:val="nil"/>
            </w:tcBorders>
            <w:shd w:val="clear" w:color="auto" w:fill="F2F2F2" w:themeFill="background1" w:themeFillShade="F2"/>
          </w:tcPr>
          <w:p w:rsidR="006C0D03" w:rsidRDefault="006C0D03" w:rsidP="00072410">
            <w:pPr>
              <w:pStyle w:val="Box"/>
            </w:pPr>
            <w:r w:rsidRPr="00F74889">
              <w:t xml:space="preserve">Where possible, performance indicators in this Report are reported for Government funded VET. Due to data limitations, some data are presented for a different scope. </w:t>
            </w:r>
          </w:p>
          <w:p w:rsidR="006C0D03" w:rsidRDefault="006C0D03" w:rsidP="00072410">
            <w:pPr>
              <w:pStyle w:val="BoxListBullet"/>
            </w:pPr>
            <w:r>
              <w:t>Measures from the VET finance collection, relate to Government VET providers only (including government subsidised/financed and fee</w:t>
            </w:r>
            <w:r>
              <w:noBreakHyphen/>
              <w:t>for</w:t>
            </w:r>
            <w:r>
              <w:noBreakHyphen/>
              <w:t xml:space="preserve">service activities). </w:t>
            </w:r>
          </w:p>
          <w:p w:rsidR="006C0D03" w:rsidRDefault="006C0D03" w:rsidP="00072410">
            <w:pPr>
              <w:pStyle w:val="BoxListBullet"/>
            </w:pPr>
            <w:r>
              <w:t xml:space="preserve">Measures of </w:t>
            </w:r>
            <w:r w:rsidR="006F1BFF">
              <w:t xml:space="preserve">VET student </w:t>
            </w:r>
            <w:r w:rsidR="005B4837">
              <w:t xml:space="preserve">qualification </w:t>
            </w:r>
            <w:r w:rsidR="006F1BFF">
              <w:t>completions</w:t>
            </w:r>
            <w:r>
              <w:t>, relate to G</w:t>
            </w:r>
            <w:r w:rsidRPr="00296392">
              <w:t xml:space="preserve">overnment </w:t>
            </w:r>
            <w:r>
              <w:t>funded VET, plus the fee</w:t>
            </w:r>
            <w:r>
              <w:noBreakHyphen/>
              <w:t>for</w:t>
            </w:r>
            <w:r>
              <w:noBreakHyphen/>
              <w:t>service activity of Government VET providers</w:t>
            </w:r>
            <w:r w:rsidRPr="00296392">
              <w:t>.</w:t>
            </w:r>
          </w:p>
          <w:p w:rsidR="006C0D03" w:rsidRPr="00296392" w:rsidRDefault="006C0D03" w:rsidP="00072410">
            <w:pPr>
              <w:pStyle w:val="BoxListBullet"/>
            </w:pPr>
            <w:r>
              <w:t>Measures of employer engagement and satisfaction with VET relate to total VET activity.</w:t>
            </w:r>
          </w:p>
        </w:tc>
      </w:tr>
      <w:tr w:rsidR="001A22EA" w:rsidTr="00197C0A">
        <w:tblPrEx>
          <w:tblBorders>
            <w:left w:val="single" w:sz="6" w:space="0" w:color="78A22F"/>
            <w:right w:val="single" w:sz="6" w:space="0" w:color="78A22F"/>
          </w:tblBorders>
        </w:tblPrEx>
        <w:trPr>
          <w:cantSplit/>
        </w:trPr>
        <w:tc>
          <w:tcPr>
            <w:tcW w:w="8771" w:type="dxa"/>
            <w:tcBorders>
              <w:top w:val="nil"/>
              <w:left w:val="nil"/>
              <w:bottom w:val="single" w:sz="6" w:space="0" w:color="78A22F"/>
              <w:right w:val="nil"/>
            </w:tcBorders>
            <w:shd w:val="clear" w:color="auto" w:fill="F2F2F2"/>
          </w:tcPr>
          <w:p w:rsidR="001A22EA" w:rsidRDefault="001A22EA">
            <w:pPr>
              <w:pStyle w:val="Box"/>
              <w:spacing w:before="0" w:line="120" w:lineRule="exact"/>
            </w:pPr>
          </w:p>
        </w:tc>
      </w:tr>
      <w:tr w:rsidR="001A22EA" w:rsidRPr="000863A5" w:rsidTr="00197C0A">
        <w:tblPrEx>
          <w:tblBorders>
            <w:left w:val="single" w:sz="6" w:space="0" w:color="78A22F"/>
            <w:right w:val="single" w:sz="6" w:space="0" w:color="78A22F"/>
          </w:tblBorders>
        </w:tblPrEx>
        <w:tc>
          <w:tcPr>
            <w:tcW w:w="8771" w:type="dxa"/>
            <w:tcBorders>
              <w:top w:val="single" w:sz="6" w:space="0" w:color="78A22F"/>
              <w:left w:val="nil"/>
              <w:bottom w:val="nil"/>
              <w:right w:val="nil"/>
            </w:tcBorders>
          </w:tcPr>
          <w:p w:rsidR="001A22EA" w:rsidRPr="00626D32" w:rsidRDefault="001A22EA" w:rsidP="00197C0A">
            <w:pPr>
              <w:pStyle w:val="BoxSpaceBelow"/>
            </w:pPr>
          </w:p>
        </w:tc>
      </w:tr>
    </w:tbl>
    <w:p w:rsidR="004C2872" w:rsidRDefault="004C2872" w:rsidP="004C2872">
      <w:pPr>
        <w:pStyle w:val="Heading3"/>
      </w:pPr>
      <w:r w:rsidRPr="00EF5A5F">
        <w:lastRenderedPageBreak/>
        <w:t xml:space="preserve">Roles and responsibilities </w:t>
      </w:r>
    </w:p>
    <w:p w:rsidR="00B1559F" w:rsidRDefault="00B1559F" w:rsidP="00B1559F">
      <w:pPr>
        <w:pStyle w:val="BodyText"/>
      </w:pPr>
      <w:r w:rsidRPr="00964FD9">
        <w:t>VET is an area of shared responsibility between governments</w:t>
      </w:r>
      <w:r>
        <w:t xml:space="preserve"> and industry as outlined in the revised</w:t>
      </w:r>
      <w:r w:rsidRPr="00964FD9">
        <w:t xml:space="preserve"> </w:t>
      </w:r>
      <w:r>
        <w:t>NASWD</w:t>
      </w:r>
      <w:r w:rsidRPr="00964FD9">
        <w:t xml:space="preserve"> and </w:t>
      </w:r>
      <w:r>
        <w:t>the</w:t>
      </w:r>
      <w:r w:rsidRPr="00964FD9">
        <w:t xml:space="preserve"> </w:t>
      </w:r>
      <w:r w:rsidRPr="008A63EF">
        <w:rPr>
          <w:i/>
        </w:rPr>
        <w:t>National Partnership Agreement on Skills Reform</w:t>
      </w:r>
      <w:r>
        <w:t xml:space="preserve"> (COAG</w:t>
      </w:r>
      <w:r w:rsidR="00ED6FF4">
        <w:t> </w:t>
      </w:r>
      <w:r>
        <w:t>2012a,</w:t>
      </w:r>
      <w:r w:rsidR="00ED6FF4">
        <w:t> </w:t>
      </w:r>
      <w:r>
        <w:t>2012b)</w:t>
      </w:r>
      <w:r w:rsidRPr="00964FD9">
        <w:t xml:space="preserve">. </w:t>
      </w:r>
      <w:r>
        <w:t>Figure </w:t>
      </w:r>
      <w:r w:rsidR="003A68D1">
        <w:t>5.2</w:t>
      </w:r>
      <w:r>
        <w:t xml:space="preserve"> summarises the roles and responsibilities of selected VET stakeholders in 2014.</w:t>
      </w:r>
      <w:r w:rsidRPr="00B1559F">
        <w:t xml:space="preserve"> </w:t>
      </w:r>
    </w:p>
    <w:p w:rsidR="00B1559F" w:rsidRDefault="00B1559F" w:rsidP="001441F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1559F" w:rsidTr="001441FB">
        <w:tc>
          <w:tcPr>
            <w:tcW w:w="8771" w:type="dxa"/>
            <w:tcBorders>
              <w:top w:val="single" w:sz="6" w:space="0" w:color="78A22F"/>
              <w:left w:val="nil"/>
              <w:bottom w:val="nil"/>
              <w:right w:val="nil"/>
            </w:tcBorders>
            <w:shd w:val="clear" w:color="auto" w:fill="auto"/>
          </w:tcPr>
          <w:p w:rsidR="00B1559F" w:rsidRPr="00176D3F" w:rsidRDefault="00B1559F" w:rsidP="00B1559F">
            <w:pPr>
              <w:pStyle w:val="FigureTitle"/>
            </w:pPr>
            <w:r w:rsidRPr="00784A05">
              <w:rPr>
                <w:b w:val="0"/>
              </w:rPr>
              <w:t xml:space="preserve">Figure </w:t>
            </w:r>
            <w:bookmarkStart w:id="9" w:name="OLE_LINK5"/>
            <w:r w:rsidR="003A68D1">
              <w:rPr>
                <w:b w:val="0"/>
              </w:rPr>
              <w:t>5.</w:t>
            </w:r>
            <w:r w:rsidR="00111918">
              <w:rPr>
                <w:b w:val="0"/>
                <w:noProof/>
              </w:rPr>
              <w:t>2</w:t>
            </w:r>
            <w:bookmarkEnd w:id="9"/>
            <w:r>
              <w:tab/>
              <w:t>VET roles and responsibilities</w:t>
            </w:r>
            <w:r w:rsidR="001F126A">
              <w:t xml:space="preserve"> in 2014</w:t>
            </w:r>
          </w:p>
        </w:tc>
      </w:tr>
      <w:tr w:rsidR="00B1559F" w:rsidTr="003F3F4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1559F" w:rsidTr="003F3F46">
              <w:trPr>
                <w:jc w:val="center"/>
              </w:trPr>
              <w:tc>
                <w:tcPr>
                  <w:tcW w:w="5000" w:type="pct"/>
                  <w:tcBorders>
                    <w:top w:val="nil"/>
                    <w:bottom w:val="nil"/>
                  </w:tcBorders>
                  <w:shd w:val="clear" w:color="auto" w:fill="auto"/>
                </w:tcPr>
                <w:p w:rsidR="00B1559F" w:rsidRDefault="00F74889" w:rsidP="001441FB">
                  <w:pPr>
                    <w:pStyle w:val="Figure"/>
                    <w:spacing w:before="60" w:after="60"/>
                  </w:pPr>
                  <w:r>
                    <w:rPr>
                      <w:noProof/>
                    </w:rPr>
                    <w:drawing>
                      <wp:inline distT="0" distB="0" distL="0" distR="0" wp14:anchorId="527467C2" wp14:editId="56BD60FB">
                        <wp:extent cx="5400040" cy="5701665"/>
                        <wp:effectExtent l="0" t="0" r="0" b="0"/>
                        <wp:docPr id="2" name="Picture 2" descr="Figure 5.2 VET roles and responsibilities in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5701665"/>
                                </a:xfrm>
                                <a:prstGeom prst="rect">
                                  <a:avLst/>
                                </a:prstGeom>
                                <a:noFill/>
                                <a:ln>
                                  <a:noFill/>
                                </a:ln>
                              </pic:spPr>
                            </pic:pic>
                          </a:graphicData>
                        </a:graphic>
                      </wp:inline>
                    </w:drawing>
                  </w:r>
                </w:p>
              </w:tc>
            </w:tr>
          </w:tbl>
          <w:p w:rsidR="00B1559F" w:rsidRDefault="00B1559F" w:rsidP="001441FB">
            <w:pPr>
              <w:pStyle w:val="Figure"/>
            </w:pPr>
          </w:p>
        </w:tc>
      </w:tr>
      <w:tr w:rsidR="00B1559F" w:rsidTr="001441FB">
        <w:tc>
          <w:tcPr>
            <w:tcW w:w="8771" w:type="dxa"/>
            <w:tcBorders>
              <w:top w:val="nil"/>
              <w:left w:val="nil"/>
              <w:bottom w:val="single" w:sz="6" w:space="0" w:color="78A22F"/>
              <w:right w:val="nil"/>
            </w:tcBorders>
            <w:shd w:val="clear" w:color="auto" w:fill="auto"/>
          </w:tcPr>
          <w:p w:rsidR="00B1559F" w:rsidRDefault="00B1559F" w:rsidP="001441FB">
            <w:pPr>
              <w:pStyle w:val="Figurespace"/>
            </w:pPr>
          </w:p>
        </w:tc>
      </w:tr>
      <w:tr w:rsidR="00B1559F" w:rsidRPr="000863A5" w:rsidTr="001441FB">
        <w:tc>
          <w:tcPr>
            <w:tcW w:w="8771" w:type="dxa"/>
            <w:tcBorders>
              <w:top w:val="single" w:sz="6" w:space="0" w:color="78A22F"/>
              <w:left w:val="nil"/>
              <w:bottom w:val="nil"/>
              <w:right w:val="nil"/>
            </w:tcBorders>
          </w:tcPr>
          <w:p w:rsidR="00B1559F" w:rsidRPr="00626D32" w:rsidRDefault="00B1559F" w:rsidP="001441FB">
            <w:pPr>
              <w:pStyle w:val="BoxSpaceBelow"/>
            </w:pPr>
          </w:p>
        </w:tc>
      </w:tr>
    </w:tbl>
    <w:p w:rsidR="00F01FBA" w:rsidRDefault="00F01FBA" w:rsidP="00F01FBA">
      <w:pPr>
        <w:pStyle w:val="Heading4"/>
      </w:pPr>
      <w:r>
        <w:lastRenderedPageBreak/>
        <w:t xml:space="preserve">Federal </w:t>
      </w:r>
      <w:r w:rsidR="007528EC">
        <w:t xml:space="preserve">governance </w:t>
      </w:r>
      <w:r>
        <w:t>arrangements</w:t>
      </w:r>
    </w:p>
    <w:p w:rsidR="00B1559F" w:rsidRDefault="00B1559F" w:rsidP="00B1559F">
      <w:pPr>
        <w:pStyle w:val="BodyText"/>
      </w:pPr>
      <w:r>
        <w:t xml:space="preserve">The NASWD </w:t>
      </w:r>
      <w:r w:rsidRPr="00964FD9">
        <w:t>set</w:t>
      </w:r>
      <w:r>
        <w:t>s</w:t>
      </w:r>
      <w:r w:rsidRPr="00964FD9">
        <w:t xml:space="preserve"> out the commitment between the Australian Government and State and Territory governments, to work towards increasing the skill levels of all Australians, including </w:t>
      </w:r>
      <w:r>
        <w:t>Aboriginal and Torres Strait Islander</w:t>
      </w:r>
      <w:r w:rsidRPr="00964FD9">
        <w:t xml:space="preserve"> Australians</w:t>
      </w:r>
      <w:r>
        <w:t xml:space="preserve"> (COAG 2012a)</w:t>
      </w:r>
      <w:r w:rsidRPr="00964FD9">
        <w:t>.</w:t>
      </w:r>
      <w:r>
        <w:t xml:space="preserve"> </w:t>
      </w:r>
    </w:p>
    <w:p w:rsidR="004C2872" w:rsidRPr="00964FD9" w:rsidRDefault="004C2872" w:rsidP="004C2872">
      <w:pPr>
        <w:pStyle w:val="BodyText"/>
      </w:pPr>
      <w:r w:rsidRPr="00964FD9">
        <w:t>State and Territory governments manage the delivery of VET within their jurisdictions</w:t>
      </w:r>
      <w:r>
        <w:t>.</w:t>
      </w:r>
      <w:r w:rsidRPr="00964FD9">
        <w:t xml:space="preserve"> </w:t>
      </w:r>
      <w:r>
        <w:t xml:space="preserve">They have </w:t>
      </w:r>
      <w:r w:rsidR="001F126A">
        <w:t xml:space="preserve">historically </w:t>
      </w:r>
      <w:r w:rsidRPr="00964FD9">
        <w:t>provided approximately two</w:t>
      </w:r>
      <w:r w:rsidR="00040061">
        <w:noBreakHyphen/>
      </w:r>
      <w:r w:rsidRPr="00964FD9">
        <w:t>thirds of the funding in the VET system</w:t>
      </w:r>
      <w:r>
        <w:t xml:space="preserve"> (PM&amp;C</w:t>
      </w:r>
      <w:r w:rsidR="007B523A">
        <w:t> </w:t>
      </w:r>
      <w:r>
        <w:t>2014)</w:t>
      </w:r>
      <w:r w:rsidR="001F126A">
        <w:t>, facilitating</w:t>
      </w:r>
      <w:r w:rsidRPr="00964FD9">
        <w:t xml:space="preserve"> the development and training of the</w:t>
      </w:r>
      <w:r w:rsidR="001F126A">
        <w:t xml:space="preserve"> public VET workforce and ensuring</w:t>
      </w:r>
      <w:r w:rsidRPr="00964FD9">
        <w:t xml:space="preserve"> the effective operation of the training market. </w:t>
      </w:r>
    </w:p>
    <w:p w:rsidR="004C2872" w:rsidRDefault="004C2872" w:rsidP="004C2872">
      <w:pPr>
        <w:pStyle w:val="BodyText"/>
      </w:pPr>
      <w:r w:rsidRPr="00964FD9">
        <w:t xml:space="preserve">The Australian Government provides financial support to </w:t>
      </w:r>
      <w:r>
        <w:t>S</w:t>
      </w:r>
      <w:r w:rsidRPr="00964FD9">
        <w:t>tate and Territor</w:t>
      </w:r>
      <w:r>
        <w:t>y governments</w:t>
      </w:r>
      <w:r w:rsidRPr="00964FD9">
        <w:t xml:space="preserve"> to susta</w:t>
      </w:r>
      <w:r>
        <w:t>in</w:t>
      </w:r>
      <w:r w:rsidRPr="00964FD9">
        <w:t xml:space="preserve"> national training systems</w:t>
      </w:r>
      <w:r>
        <w:t>,</w:t>
      </w:r>
      <w:r w:rsidRPr="00964FD9">
        <w:t xml:space="preserve"> through funding mechanisms under the Intergovernmental Agreement</w:t>
      </w:r>
      <w:r>
        <w:t xml:space="preserve"> on Federal Financial Relations</w:t>
      </w:r>
      <w:r w:rsidRPr="00964FD9">
        <w:t>. The Australian Government also provides specific incentives, interventions and assistance for national priority areas.</w:t>
      </w:r>
    </w:p>
    <w:p w:rsidR="00071C95" w:rsidRDefault="001F126A" w:rsidP="004C2872">
      <w:pPr>
        <w:pStyle w:val="BodyText"/>
      </w:pPr>
      <w:r>
        <w:t>In</w:t>
      </w:r>
      <w:r w:rsidR="00071C95" w:rsidRPr="00E62246">
        <w:t xml:space="preserve"> December 2013, </w:t>
      </w:r>
      <w:r w:rsidR="00ED6FF4">
        <w:t>Council of Australian Governments (</w:t>
      </w:r>
      <w:r w:rsidR="000E214B" w:rsidRPr="00964FD9">
        <w:t>COAG</w:t>
      </w:r>
      <w:r w:rsidR="00ED6FF4">
        <w:t>)</w:t>
      </w:r>
      <w:r w:rsidR="000E214B" w:rsidRPr="00964FD9">
        <w:t xml:space="preserve"> </w:t>
      </w:r>
      <w:r w:rsidR="00071C95" w:rsidRPr="00E62246">
        <w:t xml:space="preserve">agreed </w:t>
      </w:r>
      <w:r>
        <w:t xml:space="preserve">to replace the former </w:t>
      </w:r>
      <w:r w:rsidRPr="00E62246">
        <w:t xml:space="preserve">Standing Council for Tertiary Education Skills and Employment </w:t>
      </w:r>
      <w:r>
        <w:t xml:space="preserve">and supporting bodies with </w:t>
      </w:r>
      <w:r w:rsidR="000E214B">
        <w:t>the COAG</w:t>
      </w:r>
      <w:r w:rsidR="00071C95">
        <w:t xml:space="preserve"> </w:t>
      </w:r>
      <w:r w:rsidR="000E214B" w:rsidRPr="00964FD9">
        <w:t>Industry and Skills Council (CISC)</w:t>
      </w:r>
      <w:r w:rsidR="00071C95">
        <w:t>.</w:t>
      </w:r>
      <w:r w:rsidR="00040061">
        <w:t xml:space="preserve"> </w:t>
      </w:r>
      <w:r w:rsidR="00071C95" w:rsidRPr="00964FD9">
        <w:t>CISC</w:t>
      </w:r>
      <w:r w:rsidR="00071C95">
        <w:t xml:space="preserve"> develops policy reforms </w:t>
      </w:r>
      <w:r w:rsidR="00071C95" w:rsidRPr="00964FD9">
        <w:t>for the national training system</w:t>
      </w:r>
      <w:r w:rsidR="00071C95">
        <w:t xml:space="preserve"> for consideration by COAG and oversees the implementation of policy reforms agreed by COAG</w:t>
      </w:r>
      <w:r w:rsidR="00071C95" w:rsidRPr="00964FD9">
        <w:t xml:space="preserve">. </w:t>
      </w:r>
      <w:r w:rsidR="00071C95">
        <w:t>CISC</w:t>
      </w:r>
      <w:r w:rsidR="00071C95" w:rsidRPr="00964FD9">
        <w:t xml:space="preserve"> ha</w:t>
      </w:r>
      <w:r w:rsidR="00071C95">
        <w:t>s</w:t>
      </w:r>
      <w:r w:rsidR="00071C95" w:rsidRPr="00964FD9">
        <w:t xml:space="preserve"> responsibility </w:t>
      </w:r>
      <w:r w:rsidR="00071C95">
        <w:t xml:space="preserve">to </w:t>
      </w:r>
      <w:r w:rsidR="00071C95" w:rsidRPr="001E0132">
        <w:t xml:space="preserve">pursue and monitor priority issues of national significance </w:t>
      </w:r>
      <w:r w:rsidR="00071C95">
        <w:t xml:space="preserve">in relation to industry and skills policy </w:t>
      </w:r>
      <w:r w:rsidR="00071C95" w:rsidRPr="001E0132">
        <w:t xml:space="preserve">and </w:t>
      </w:r>
      <w:r w:rsidR="00071C95">
        <w:t xml:space="preserve">to </w:t>
      </w:r>
      <w:r w:rsidR="00071C95" w:rsidRPr="001E0132">
        <w:t>take action to resolve issues that arise between governments</w:t>
      </w:r>
      <w:r w:rsidR="00071C95">
        <w:t xml:space="preserve"> (DIS 2015)</w:t>
      </w:r>
      <w:r w:rsidR="00071C95" w:rsidRPr="001E0132">
        <w:t xml:space="preserve">. </w:t>
      </w:r>
      <w:r w:rsidR="00071C95" w:rsidRPr="00964FD9">
        <w:t xml:space="preserve">CISC </w:t>
      </w:r>
      <w:r w:rsidR="00071C95">
        <w:t>i</w:t>
      </w:r>
      <w:r w:rsidR="00071C95" w:rsidRPr="00964FD9">
        <w:t>s chaired by the Australian Government Minister for Industry, who ha</w:t>
      </w:r>
      <w:r w:rsidR="00071C95">
        <w:t>s</w:t>
      </w:r>
      <w:r w:rsidR="00071C95" w:rsidRPr="00964FD9">
        <w:t xml:space="preserve"> portfolio responsibility for skills. </w:t>
      </w:r>
      <w:r w:rsidR="00071C95" w:rsidRPr="00545A1C">
        <w:t xml:space="preserve">State and Territory </w:t>
      </w:r>
      <w:r w:rsidR="00071C95">
        <w:t>governments</w:t>
      </w:r>
      <w:r w:rsidR="00071C95" w:rsidRPr="00545A1C">
        <w:t xml:space="preserve"> </w:t>
      </w:r>
      <w:r w:rsidR="00071C95">
        <w:t>a</w:t>
      </w:r>
      <w:r w:rsidR="00071C95" w:rsidRPr="00545A1C">
        <w:t>re represented by ministers with portfolio responsibility for industry and skills</w:t>
      </w:r>
      <w:r w:rsidR="00040061">
        <w:t xml:space="preserve"> </w:t>
      </w:r>
      <w:r w:rsidR="00071C95">
        <w:t>(DET 2014)</w:t>
      </w:r>
      <w:r w:rsidR="00071C95" w:rsidRPr="00964FD9">
        <w:t xml:space="preserve">. </w:t>
      </w:r>
    </w:p>
    <w:p w:rsidR="008373F7" w:rsidRDefault="008373F7" w:rsidP="00E574F7">
      <w:pPr>
        <w:pStyle w:val="Heading4"/>
      </w:pPr>
      <w:r>
        <w:t xml:space="preserve">Industry liaison </w:t>
      </w:r>
      <w:r w:rsidR="00F01FBA">
        <w:t xml:space="preserve">on </w:t>
      </w:r>
      <w:r>
        <w:t>skills and training</w:t>
      </w:r>
    </w:p>
    <w:p w:rsidR="00071C95" w:rsidRDefault="00071C95" w:rsidP="00071C95">
      <w:pPr>
        <w:pStyle w:val="BodyText"/>
      </w:pPr>
      <w:r>
        <w:t xml:space="preserve">On 15 August 2014, the </w:t>
      </w:r>
      <w:r w:rsidRPr="00040061">
        <w:t>Vocational Education and Training Advisory Board</w:t>
      </w:r>
      <w:r>
        <w:t xml:space="preserve"> was established. The b</w:t>
      </w:r>
      <w:r w:rsidRPr="00035620">
        <w:t>oard is comprised of</w:t>
      </w:r>
      <w:r>
        <w:t xml:space="preserve"> industry representatives and </w:t>
      </w:r>
      <w:r w:rsidRPr="00E263EC">
        <w:t>provid</w:t>
      </w:r>
      <w:r>
        <w:t>es</w:t>
      </w:r>
      <w:r w:rsidRPr="00E263EC">
        <w:t xml:space="preserve"> advice to </w:t>
      </w:r>
      <w:r>
        <w:t xml:space="preserve">the </w:t>
      </w:r>
      <w:r w:rsidR="00040061">
        <w:t xml:space="preserve">Commonwealth </w:t>
      </w:r>
      <w:r w:rsidRPr="0037617C">
        <w:t>Minister for Industry regarding priorities for reform</w:t>
      </w:r>
      <w:r w:rsidR="00040061">
        <w:t xml:space="preserve">s across the breadth of </w:t>
      </w:r>
      <w:r>
        <w:t>the VET sector.</w:t>
      </w:r>
      <w:r w:rsidRPr="00E263EC">
        <w:t xml:space="preserve"> </w:t>
      </w:r>
    </w:p>
    <w:p w:rsidR="00071C95" w:rsidRDefault="00071C95" w:rsidP="00071C95">
      <w:pPr>
        <w:pStyle w:val="BodyText"/>
      </w:pPr>
      <w:r>
        <w:t>In 2014, Industry Skills Councils represent</w:t>
      </w:r>
      <w:r w:rsidR="00040061">
        <w:t xml:space="preserve">ed the </w:t>
      </w:r>
      <w:r>
        <w:t xml:space="preserve">skill needs across </w:t>
      </w:r>
      <w:r w:rsidR="00040061">
        <w:t xml:space="preserve">12 specific </w:t>
      </w:r>
      <w:r>
        <w:t>industry sectors</w:t>
      </w:r>
      <w:r w:rsidR="00040061">
        <w:t xml:space="preserve"> (such as AgriFood, Community services and health, and Manufacturing)</w:t>
      </w:r>
      <w:r>
        <w:t xml:space="preserve">. </w:t>
      </w:r>
      <w:r w:rsidRPr="00AF7052">
        <w:t>Industry Skills Councils are independent, industry</w:t>
      </w:r>
      <w:r w:rsidR="00AD5F7E">
        <w:noBreakHyphen/>
      </w:r>
      <w:r w:rsidRPr="00AF7052">
        <w:t xml:space="preserve">led, not for profit companies funded by </w:t>
      </w:r>
      <w:r w:rsidR="00040061">
        <w:t xml:space="preserve">the Australian </w:t>
      </w:r>
      <w:r w:rsidRPr="00AF7052">
        <w:t xml:space="preserve">Government. </w:t>
      </w:r>
      <w:r>
        <w:t>T</w:t>
      </w:r>
      <w:r w:rsidRPr="00AF7052">
        <w:t>heir role is to identify and respond to the skill development and workforce planning needs of their respective industries</w:t>
      </w:r>
      <w:r>
        <w:t xml:space="preserve"> (ISC 2014). </w:t>
      </w:r>
    </w:p>
    <w:p w:rsidR="004C2872" w:rsidRDefault="004C2872" w:rsidP="00F01FBA">
      <w:pPr>
        <w:pStyle w:val="Heading4"/>
      </w:pPr>
      <w:r>
        <w:t xml:space="preserve">Regulation of VET </w:t>
      </w:r>
    </w:p>
    <w:p w:rsidR="000A6644" w:rsidRDefault="000A6644" w:rsidP="000A6644">
      <w:pPr>
        <w:pStyle w:val="BodyText"/>
      </w:pPr>
      <w:r>
        <w:t>National r</w:t>
      </w:r>
      <w:r w:rsidRPr="008E0F2F">
        <w:t xml:space="preserve">egulation </w:t>
      </w:r>
      <w:r w:rsidR="004C2872" w:rsidRPr="008E0F2F">
        <w:t xml:space="preserve">of VET </w:t>
      </w:r>
      <w:r w:rsidR="004C2872">
        <w:t xml:space="preserve">RTOs </w:t>
      </w:r>
      <w:r>
        <w:t>is</w:t>
      </w:r>
      <w:r w:rsidR="004C2872">
        <w:t xml:space="preserve"> managed through</w:t>
      </w:r>
      <w:r>
        <w:t xml:space="preserve"> </w:t>
      </w:r>
      <w:r w:rsidR="004C2872" w:rsidRPr="000457CF">
        <w:t>ASQA</w:t>
      </w:r>
      <w:r>
        <w:t xml:space="preserve">. ASQA </w:t>
      </w:r>
      <w:r w:rsidR="004C2872" w:rsidRPr="00383496">
        <w:t>regulat</w:t>
      </w:r>
      <w:r w:rsidR="00EF157F">
        <w:t>e</w:t>
      </w:r>
      <w:r>
        <w:t>s</w:t>
      </w:r>
      <w:r w:rsidR="004C2872" w:rsidRPr="00383496">
        <w:t xml:space="preserve"> courses </w:t>
      </w:r>
      <w:r>
        <w:t>(including ‘</w:t>
      </w:r>
      <w:r w:rsidRPr="008A1981">
        <w:t>accredited courses</w:t>
      </w:r>
      <w:r>
        <w:t>’</w:t>
      </w:r>
      <w:r w:rsidRPr="008A1981">
        <w:t xml:space="preserve"> </w:t>
      </w:r>
      <w:r>
        <w:t xml:space="preserve">— discussed </w:t>
      </w:r>
      <w:r w:rsidR="00F01FBA">
        <w:t>below</w:t>
      </w:r>
      <w:r>
        <w:t xml:space="preserve">) </w:t>
      </w:r>
      <w:r w:rsidR="004C2872" w:rsidRPr="00383496">
        <w:t xml:space="preserve">and training providers to ensure nationally approved quality standards </w:t>
      </w:r>
      <w:r>
        <w:t>a</w:t>
      </w:r>
      <w:r w:rsidR="004C2872" w:rsidRPr="00383496">
        <w:t>re met</w:t>
      </w:r>
      <w:r w:rsidR="004C2872">
        <w:t xml:space="preserve"> (ASQA 2015). </w:t>
      </w:r>
    </w:p>
    <w:p w:rsidR="004C2872" w:rsidRDefault="004C2872" w:rsidP="000A6644">
      <w:pPr>
        <w:pStyle w:val="BodyText"/>
      </w:pPr>
      <w:r>
        <w:lastRenderedPageBreak/>
        <w:t>ASQA ha</w:t>
      </w:r>
      <w:r w:rsidR="000A6644">
        <w:t>s</w:t>
      </w:r>
      <w:r w:rsidRPr="00383496">
        <w:t xml:space="preserve"> jurisdiction over all RTOs, except those </w:t>
      </w:r>
      <w:r>
        <w:t xml:space="preserve">RTOs </w:t>
      </w:r>
      <w:r w:rsidRPr="00383496">
        <w:t xml:space="preserve">that do not offer services to overseas students </w:t>
      </w:r>
      <w:r>
        <w:t>and operate</w:t>
      </w:r>
      <w:r w:rsidRPr="00383496">
        <w:t xml:space="preserve"> solely in Victoria or Western Australia</w:t>
      </w:r>
      <w:r>
        <w:t xml:space="preserve">, which </w:t>
      </w:r>
      <w:r w:rsidR="002B4CC0">
        <w:t>ar</w:t>
      </w:r>
      <w:r>
        <w:t>e regulated by the:</w:t>
      </w:r>
    </w:p>
    <w:p w:rsidR="004C2872" w:rsidRDefault="004C2872" w:rsidP="00040061">
      <w:pPr>
        <w:pStyle w:val="ListBullet"/>
      </w:pPr>
      <w:r w:rsidRPr="00383496">
        <w:t>Victorian Registration and Qualifications Authority</w:t>
      </w:r>
      <w:r>
        <w:t xml:space="preserve"> (Victoria) </w:t>
      </w:r>
    </w:p>
    <w:p w:rsidR="004C2872" w:rsidRDefault="004C2872" w:rsidP="00040061">
      <w:pPr>
        <w:pStyle w:val="ListBullet"/>
      </w:pPr>
      <w:r w:rsidRPr="00383496">
        <w:t>Training Accreditation Council</w:t>
      </w:r>
      <w:r>
        <w:t xml:space="preserve"> (WA)</w:t>
      </w:r>
      <w:r w:rsidRPr="00383496">
        <w:t>.</w:t>
      </w:r>
    </w:p>
    <w:p w:rsidR="004C2872" w:rsidRPr="008373F7" w:rsidRDefault="007B523A" w:rsidP="000A6644">
      <w:pPr>
        <w:pStyle w:val="BodyText"/>
        <w:rPr>
          <w:i/>
        </w:rPr>
      </w:pPr>
      <w:r w:rsidRPr="007B523A">
        <w:t>Multi</w:t>
      </w:r>
      <w:r w:rsidR="00AD5F7E">
        <w:noBreakHyphen/>
      </w:r>
      <w:r w:rsidR="004C2872" w:rsidRPr="008E0F2F">
        <w:t xml:space="preserve">sector training providers </w:t>
      </w:r>
      <w:r w:rsidR="004C2872">
        <w:t xml:space="preserve">— that </w:t>
      </w:r>
      <w:r w:rsidR="004C2872" w:rsidRPr="008E0F2F">
        <w:t xml:space="preserve">offer both higher education and </w:t>
      </w:r>
      <w:r w:rsidR="004C2872">
        <w:t xml:space="preserve">VET </w:t>
      </w:r>
      <w:r w:rsidR="004C2872" w:rsidRPr="008E0F2F">
        <w:t xml:space="preserve">courses </w:t>
      </w:r>
      <w:r w:rsidR="004C2872">
        <w:t xml:space="preserve">— </w:t>
      </w:r>
      <w:r w:rsidR="000A6644">
        <w:t xml:space="preserve">must </w:t>
      </w:r>
      <w:r w:rsidR="004C2872" w:rsidRPr="008E0F2F">
        <w:t xml:space="preserve">comply with ASQA </w:t>
      </w:r>
      <w:r w:rsidR="004C2872">
        <w:t>and</w:t>
      </w:r>
      <w:r>
        <w:t xml:space="preserve"> the Tertiary Education Quality and Standards Agency</w:t>
      </w:r>
      <w:r w:rsidR="004C2872">
        <w:t xml:space="preserve">. </w:t>
      </w:r>
    </w:p>
    <w:p w:rsidR="00F01FBA" w:rsidRDefault="00F01FBA" w:rsidP="00F01FBA">
      <w:pPr>
        <w:pStyle w:val="Heading4"/>
      </w:pPr>
      <w:r>
        <w:t>Nationally recognised training</w:t>
      </w:r>
    </w:p>
    <w:p w:rsidR="00F01FBA" w:rsidRDefault="00F01FBA" w:rsidP="00F01FBA">
      <w:pPr>
        <w:pStyle w:val="BodyText"/>
      </w:pPr>
      <w:r>
        <w:t>T</w:t>
      </w:r>
      <w:r w:rsidRPr="00383496">
        <w:t xml:space="preserve">he </w:t>
      </w:r>
      <w:r w:rsidRPr="002B4CC0">
        <w:t>Australian Qualifications Framework (AQF)</w:t>
      </w:r>
      <w:r w:rsidRPr="00383496">
        <w:t xml:space="preserve"> </w:t>
      </w:r>
      <w:r w:rsidRPr="005F3BF9">
        <w:t>is the national policy for regulated qualifications in Australian education and training. It incorporates the qualifications from each education and training sector into a single comprehensive national qualifications framework. The AQF was first introduced in 1995 to underpin the national system of qualifications in Australia encompassing higher education, vocational education and training and schools.</w:t>
      </w:r>
      <w:r>
        <w:t xml:space="preserve"> In 2014, the AQF was managed by </w:t>
      </w:r>
      <w:r w:rsidRPr="008E0F2F">
        <w:t xml:space="preserve">the </w:t>
      </w:r>
      <w:r>
        <w:t xml:space="preserve">Australian Government </w:t>
      </w:r>
      <w:r w:rsidRPr="008E0F2F">
        <w:t xml:space="preserve">Department of Education and Training in consultation with the </w:t>
      </w:r>
      <w:r>
        <w:t xml:space="preserve">Australian Government </w:t>
      </w:r>
      <w:r w:rsidRPr="008E0F2F">
        <w:t>Department of Industry and Science and State and Territory governments</w:t>
      </w:r>
      <w:r>
        <w:t xml:space="preserve"> (AQF 2015)</w:t>
      </w:r>
      <w:r w:rsidRPr="00383496">
        <w:t xml:space="preserve">. </w:t>
      </w:r>
    </w:p>
    <w:p w:rsidR="00F01FBA" w:rsidRDefault="00F01FBA" w:rsidP="00F01FBA">
      <w:pPr>
        <w:pStyle w:val="BodyText"/>
      </w:pPr>
      <w:r>
        <w:t xml:space="preserve">The VET </w:t>
      </w:r>
      <w:r w:rsidRPr="00952247">
        <w:t xml:space="preserve">sector </w:t>
      </w:r>
      <w:r>
        <w:t>delivers</w:t>
      </w:r>
      <w:r w:rsidRPr="00952247">
        <w:t xml:space="preserve"> </w:t>
      </w:r>
      <w:r>
        <w:t>‘</w:t>
      </w:r>
      <w:r w:rsidRPr="00952247">
        <w:t>nationa</w:t>
      </w:r>
      <w:r>
        <w:t>lly recognised training’ through:</w:t>
      </w:r>
    </w:p>
    <w:p w:rsidR="00F01FBA" w:rsidRDefault="002B4CC0" w:rsidP="00F01FBA">
      <w:pPr>
        <w:pStyle w:val="ListBullet"/>
      </w:pPr>
      <w:r>
        <w:rPr>
          <w:i/>
        </w:rPr>
        <w:t>t</w:t>
      </w:r>
      <w:r w:rsidR="00F01FBA" w:rsidRPr="000457CF">
        <w:rPr>
          <w:i/>
        </w:rPr>
        <w:t>raining packages</w:t>
      </w:r>
      <w:r w:rsidR="00F01FBA">
        <w:t xml:space="preserve"> —</w:t>
      </w:r>
      <w:r>
        <w:t xml:space="preserve"> </w:t>
      </w:r>
      <w:r w:rsidR="00F01FBA">
        <w:t>developed by Industry Skills Councils to meet the training needs of industry</w:t>
      </w:r>
      <w:r>
        <w:t>/ies</w:t>
      </w:r>
      <w:r w:rsidR="00F01FBA">
        <w:t xml:space="preserve">, endorsed by </w:t>
      </w:r>
      <w:r>
        <w:t xml:space="preserve">the Australian, </w:t>
      </w:r>
      <w:r w:rsidR="001F126A">
        <w:t xml:space="preserve">State </w:t>
      </w:r>
      <w:r w:rsidR="00F01FBA">
        <w:t xml:space="preserve">and </w:t>
      </w:r>
      <w:r w:rsidR="001F126A">
        <w:t xml:space="preserve">Territory </w:t>
      </w:r>
      <w:r w:rsidR="00F01FBA">
        <w:t xml:space="preserve">governments, and approved for use throughout Australia </w:t>
      </w:r>
      <w:r w:rsidR="00134A00">
        <w:t>(</w:t>
      </w:r>
      <w:r w:rsidR="00F01FBA">
        <w:t>ASQA 2015). Each training package is made up of three components:</w:t>
      </w:r>
    </w:p>
    <w:p w:rsidR="00F01FBA" w:rsidRDefault="002B4CC0" w:rsidP="00F01FBA">
      <w:pPr>
        <w:pStyle w:val="ListBullet2"/>
      </w:pPr>
      <w:r>
        <w:t>u</w:t>
      </w:r>
      <w:r w:rsidR="00F01FBA">
        <w:t>nits of competency: which define the skills and knowledge to operate effectively and how they need to be applied to perform effectively in a workplace context.</w:t>
      </w:r>
    </w:p>
    <w:p w:rsidR="00F01FBA" w:rsidRDefault="002B4CC0" w:rsidP="00F01FBA">
      <w:pPr>
        <w:pStyle w:val="ListBullet2"/>
      </w:pPr>
      <w:r>
        <w:t>q</w:t>
      </w:r>
      <w:r w:rsidR="00F01FBA">
        <w:t>ualifications framework: which outlines the required groups of units of competency ranging from Certificate I to Graduate Diploma level.</w:t>
      </w:r>
    </w:p>
    <w:p w:rsidR="00F01FBA" w:rsidRDefault="002B4CC0" w:rsidP="00F01FBA">
      <w:pPr>
        <w:pStyle w:val="ListBullet2"/>
      </w:pPr>
      <w:r>
        <w:t>a</w:t>
      </w:r>
      <w:r w:rsidR="00F01FBA">
        <w:t>ssessment guidelines: which establishes the industry</w:t>
      </w:r>
      <w:r w:rsidR="00AD5F7E">
        <w:t>’</w:t>
      </w:r>
      <w:r w:rsidR="00F01FBA">
        <w:t xml:space="preserve">s preferred approach to assessment, including the qualifications required by assessors (ASQA 2015). </w:t>
      </w:r>
    </w:p>
    <w:p w:rsidR="00F01FBA" w:rsidRDefault="002B4CC0" w:rsidP="00F01FBA">
      <w:pPr>
        <w:pStyle w:val="ListBullet"/>
      </w:pPr>
      <w:r>
        <w:rPr>
          <w:i/>
        </w:rPr>
        <w:t>a</w:t>
      </w:r>
      <w:r w:rsidR="00F01FBA" w:rsidRPr="00E007FA">
        <w:rPr>
          <w:i/>
        </w:rPr>
        <w:t>ccredited courses</w:t>
      </w:r>
      <w:r w:rsidR="00F01FBA">
        <w:rPr>
          <w:i/>
        </w:rPr>
        <w:t xml:space="preserve"> </w:t>
      </w:r>
      <w:r w:rsidR="00F01FBA">
        <w:t xml:space="preserve">— </w:t>
      </w:r>
      <w:r>
        <w:t>a</w:t>
      </w:r>
      <w:r w:rsidR="00F01FBA" w:rsidRPr="00806129">
        <w:t xml:space="preserve">ccreditation means the course is </w:t>
      </w:r>
      <w:r w:rsidR="00CA238B" w:rsidRPr="00806129">
        <w:t xml:space="preserve">recognised </w:t>
      </w:r>
      <w:r w:rsidR="00F01FBA" w:rsidRPr="00806129">
        <w:t>nationally</w:t>
      </w:r>
      <w:r w:rsidR="008A2602">
        <w:t xml:space="preserve"> </w:t>
      </w:r>
      <w:r w:rsidR="00F01FBA" w:rsidRPr="00806129">
        <w:t>and that a</w:t>
      </w:r>
      <w:r w:rsidR="00F01FBA">
        <w:t xml:space="preserve">n </w:t>
      </w:r>
      <w:r w:rsidR="00F01FBA" w:rsidRPr="00806129">
        <w:t xml:space="preserve">RTO can issue a recognised VET qualification or VET statement of attainment following its full or partial completion. </w:t>
      </w:r>
      <w:r w:rsidR="008A2602" w:rsidRPr="00F74889">
        <w:t>Course accreditation may be provided by Australian or State and Territory government regulators.</w:t>
      </w:r>
    </w:p>
    <w:p w:rsidR="000A6644" w:rsidRPr="00EC7F16" w:rsidRDefault="000A6644" w:rsidP="00EC7F16">
      <w:pPr>
        <w:pStyle w:val="Heading4"/>
      </w:pPr>
      <w:r w:rsidRPr="00EC7F16">
        <w:t>VET data and research</w:t>
      </w:r>
    </w:p>
    <w:p w:rsidR="00BA0162" w:rsidRPr="00383496" w:rsidRDefault="00BA0162" w:rsidP="00BA0162">
      <w:pPr>
        <w:pStyle w:val="BodyText"/>
      </w:pPr>
      <w:r>
        <w:t>T</w:t>
      </w:r>
      <w:r w:rsidRPr="00383496">
        <w:t xml:space="preserve">he National Centre for Vocational Education Research (NCVER) </w:t>
      </w:r>
      <w:r w:rsidR="000A6644">
        <w:t>is</w:t>
      </w:r>
      <w:r w:rsidRPr="00383496">
        <w:t xml:space="preserve"> Australia’s clearing house for VET data and research. The organisation is a not</w:t>
      </w:r>
      <w:r w:rsidR="00AD5F7E">
        <w:noBreakHyphen/>
      </w:r>
      <w:r w:rsidRPr="00383496">
        <w:t>for</w:t>
      </w:r>
      <w:r w:rsidR="00AD5F7E">
        <w:noBreakHyphen/>
      </w:r>
      <w:r w:rsidRPr="00383496">
        <w:t xml:space="preserve">profit company owned by </w:t>
      </w:r>
      <w:r w:rsidR="002B4CC0">
        <w:lastRenderedPageBreak/>
        <w:t xml:space="preserve">Australian, </w:t>
      </w:r>
      <w:r w:rsidRPr="00383496">
        <w:t>State</w:t>
      </w:r>
      <w:r w:rsidR="002B4CC0">
        <w:t xml:space="preserve"> and</w:t>
      </w:r>
      <w:r w:rsidR="00AD5F7E">
        <w:t xml:space="preserve"> </w:t>
      </w:r>
      <w:r w:rsidRPr="00383496">
        <w:t xml:space="preserve">Territory and </w:t>
      </w:r>
      <w:r w:rsidR="002B4CC0">
        <w:t>government</w:t>
      </w:r>
      <w:r w:rsidRPr="00383496">
        <w:t xml:space="preserve"> ministers responsible for training</w:t>
      </w:r>
      <w:r>
        <w:t xml:space="preserve"> (NCVER 2015</w:t>
      </w:r>
      <w:r w:rsidR="00097492">
        <w:t>a</w:t>
      </w:r>
      <w:r>
        <w:t>)</w:t>
      </w:r>
      <w:r w:rsidRPr="00383496">
        <w:t xml:space="preserve">. </w:t>
      </w:r>
    </w:p>
    <w:p w:rsidR="000A6644" w:rsidRDefault="000A6644" w:rsidP="000A6644">
      <w:pPr>
        <w:pStyle w:val="BodyText"/>
      </w:pPr>
      <w:r>
        <w:t xml:space="preserve">As </w:t>
      </w:r>
      <w:r w:rsidRPr="008373F7">
        <w:t>a requirement of registration</w:t>
      </w:r>
      <w:r>
        <w:t>,</w:t>
      </w:r>
      <w:r w:rsidRPr="008373F7">
        <w:t xml:space="preserve"> RTOs </w:t>
      </w:r>
      <w:r>
        <w:t xml:space="preserve">must </w:t>
      </w:r>
      <w:r w:rsidRPr="008373F7">
        <w:t xml:space="preserve">submit data </w:t>
      </w:r>
      <w:r>
        <w:t xml:space="preserve">on all accredited training activity </w:t>
      </w:r>
      <w:r w:rsidRPr="008373F7">
        <w:t>to either NCVER or their respective State or Territory Training Authorities</w:t>
      </w:r>
      <w:r>
        <w:t xml:space="preserve"> (NCVER 2015</w:t>
      </w:r>
      <w:r w:rsidR="00097492">
        <w:t>a</w:t>
      </w:r>
      <w:r>
        <w:t>)</w:t>
      </w:r>
      <w:r w:rsidRPr="008373F7">
        <w:t>.</w:t>
      </w:r>
    </w:p>
    <w:p w:rsidR="001446ED" w:rsidRDefault="001446ED" w:rsidP="001446ED">
      <w:pPr>
        <w:pStyle w:val="Heading3"/>
      </w:pPr>
      <w:r>
        <w:t>Funding</w:t>
      </w:r>
    </w:p>
    <w:p w:rsidR="001446ED" w:rsidRPr="002570D4" w:rsidRDefault="001F126A" w:rsidP="001446ED">
      <w:pPr>
        <w:pStyle w:val="BodyText"/>
      </w:pPr>
      <w:r>
        <w:t xml:space="preserve">The </w:t>
      </w:r>
      <w:r w:rsidRPr="004B0752">
        <w:t>Australian, State and Territory governments</w:t>
      </w:r>
      <w:r>
        <w:t>’</w:t>
      </w:r>
      <w:r w:rsidRPr="004B0752">
        <w:t xml:space="preserve"> </w:t>
      </w:r>
      <w:r>
        <w:t>r</w:t>
      </w:r>
      <w:r w:rsidR="001446ED" w:rsidRPr="004B0752">
        <w:t>ecurrent expenditure on VET totalled $</w:t>
      </w:r>
      <w:r w:rsidR="00E574F7" w:rsidRPr="004B0752">
        <w:t>5.2</w:t>
      </w:r>
      <w:r w:rsidR="001446ED" w:rsidRPr="004B0752">
        <w:t> billion in 201</w:t>
      </w:r>
      <w:r w:rsidR="00E574F7" w:rsidRPr="004B0752">
        <w:t>4</w:t>
      </w:r>
      <w:r w:rsidR="001446ED" w:rsidRPr="004B0752">
        <w:t xml:space="preserve"> — </w:t>
      </w:r>
      <w:r w:rsidR="002B4CC0">
        <w:t xml:space="preserve">representing in real terms an increase of 4.0 per cent from 2004, but </w:t>
      </w:r>
      <w:r w:rsidR="002B4CC0" w:rsidRPr="004B0752">
        <w:t xml:space="preserve">a decrease of 11.9 per cent from 2013 </w:t>
      </w:r>
      <w:r w:rsidR="002B4CC0" w:rsidRPr="004B0752">
        <w:rPr>
          <w:shd w:val="clear" w:color="auto" w:fill="FFFFFF" w:themeFill="background1"/>
        </w:rPr>
        <w:t>(table 5A.1</w:t>
      </w:r>
      <w:r w:rsidR="002B4CC0" w:rsidRPr="004B0752">
        <w:t>).</w:t>
      </w:r>
      <w:r w:rsidR="002B4CC0">
        <w:t xml:space="preserve"> Nationally, </w:t>
      </w:r>
      <w:r w:rsidR="002B4CC0" w:rsidRPr="004B0752">
        <w:t xml:space="preserve">government </w:t>
      </w:r>
      <w:r w:rsidR="001446ED" w:rsidRPr="004B0752">
        <w:t>recurrent expenditure was equal to $3</w:t>
      </w:r>
      <w:r w:rsidR="00955C4E" w:rsidRPr="004B0752">
        <w:t>34.06</w:t>
      </w:r>
      <w:r w:rsidR="001446ED" w:rsidRPr="004B0752">
        <w:t> per person aged 15–64 years in 201</w:t>
      </w:r>
      <w:r w:rsidR="00955C4E" w:rsidRPr="004B0752">
        <w:t>4</w:t>
      </w:r>
      <w:r w:rsidR="001446ED" w:rsidRPr="004B0752">
        <w:t xml:space="preserve"> (t</w:t>
      </w:r>
      <w:r w:rsidR="001446ED" w:rsidRPr="002570D4">
        <w:t xml:space="preserve">able 5A.2). </w:t>
      </w:r>
    </w:p>
    <w:p w:rsidR="001446ED" w:rsidRDefault="001446ED" w:rsidP="001446ED">
      <w:pPr>
        <w:pStyle w:val="Heading4"/>
      </w:pPr>
      <w:r>
        <w:t>V</w:t>
      </w:r>
      <w:r w:rsidRPr="00EF5A5F">
        <w:t>ET funding flows</w:t>
      </w:r>
    </w:p>
    <w:p w:rsidR="002B4CC0" w:rsidRDefault="002B4CC0" w:rsidP="001446ED">
      <w:pPr>
        <w:pStyle w:val="BodyText"/>
      </w:pPr>
      <w:r>
        <w:t xml:space="preserve">Figure </w:t>
      </w:r>
      <w:r w:rsidR="003A68D1">
        <w:t>5.3</w:t>
      </w:r>
      <w:r>
        <w:t xml:space="preserve"> outlines the major funding flows with the VET system in 2014.</w:t>
      </w:r>
    </w:p>
    <w:p w:rsidR="003B79E1" w:rsidRPr="000942ED" w:rsidRDefault="003B79E1" w:rsidP="00F74889">
      <w:pPr>
        <w:pStyle w:val="BodyText"/>
      </w:pPr>
      <w:r>
        <w:t>A significant component of government expenditure on VET is in the form of</w:t>
      </w:r>
      <w:r w:rsidR="008E2AD0">
        <w:t>:</w:t>
      </w:r>
    </w:p>
    <w:p w:rsidR="003B79E1" w:rsidRDefault="008E2AD0" w:rsidP="00F74889">
      <w:pPr>
        <w:pStyle w:val="ListBullet"/>
      </w:pPr>
      <w:r>
        <w:rPr>
          <w:i/>
        </w:rPr>
        <w:t>State and Territory government funding</w:t>
      </w:r>
      <w:r w:rsidR="00D32988" w:rsidRPr="00D32988">
        <w:rPr>
          <w:i/>
        </w:rPr>
        <w:t xml:space="preserve"> </w:t>
      </w:r>
      <w:r w:rsidR="003B79E1" w:rsidRPr="00D32988">
        <w:rPr>
          <w:i/>
        </w:rPr>
        <w:t>to RTOs</w:t>
      </w:r>
      <w:r w:rsidR="003B79E1">
        <w:t xml:space="preserve"> — State and Territory governments fund RTOs </w:t>
      </w:r>
      <w:r w:rsidR="00E815DA">
        <w:t xml:space="preserve">directly </w:t>
      </w:r>
      <w:r w:rsidR="003B79E1">
        <w:t xml:space="preserve">via annual grants </w:t>
      </w:r>
      <w:r w:rsidR="00E815DA">
        <w:t>(</w:t>
      </w:r>
      <w:r w:rsidR="003B79E1">
        <w:t>or appropriation</w:t>
      </w:r>
      <w:r w:rsidR="00E815DA">
        <w:t>s)</w:t>
      </w:r>
      <w:r w:rsidR="003B79E1">
        <w:t xml:space="preserve"> or competitive tendering arrangements.</w:t>
      </w:r>
      <w:r w:rsidR="00170869" w:rsidRPr="00170869">
        <w:t xml:space="preserve"> These arrangements vary across States and Territories. Nationally </w:t>
      </w:r>
      <w:r w:rsidR="00170869">
        <w:t>i</w:t>
      </w:r>
      <w:r w:rsidR="003B79E1">
        <w:t>n 2014</w:t>
      </w:r>
      <w:r w:rsidR="00D32988">
        <w:t xml:space="preserve">, </w:t>
      </w:r>
      <w:r w:rsidR="003B79E1" w:rsidRPr="00EF5A5F">
        <w:t>State and Territory governments provide</w:t>
      </w:r>
      <w:r w:rsidR="003B79E1">
        <w:t>d</w:t>
      </w:r>
      <w:r w:rsidR="003B79E1" w:rsidRPr="00CD1406">
        <w:t xml:space="preserve"> </w:t>
      </w:r>
      <w:r w:rsidR="003B79E1" w:rsidRPr="00955C4E">
        <w:t>$3.7 billion in funding</w:t>
      </w:r>
      <w:r w:rsidR="003B79E1">
        <w:t xml:space="preserve"> </w:t>
      </w:r>
      <w:r w:rsidR="003B79E1" w:rsidRPr="00955C4E">
        <w:t>— 70.8</w:t>
      </w:r>
      <w:r w:rsidR="00170869">
        <w:t> </w:t>
      </w:r>
      <w:r w:rsidR="003B79E1" w:rsidRPr="00955C4E">
        <w:t>per</w:t>
      </w:r>
      <w:r w:rsidR="00170869">
        <w:t> </w:t>
      </w:r>
      <w:r w:rsidR="003B79E1" w:rsidRPr="00955C4E">
        <w:t xml:space="preserve">cent of </w:t>
      </w:r>
      <w:r>
        <w:t xml:space="preserve">total </w:t>
      </w:r>
      <w:r w:rsidR="003B79E1" w:rsidRPr="00955C4E">
        <w:t>government funding</w:t>
      </w:r>
      <w:r w:rsidR="003B79E1" w:rsidRPr="00CD1406">
        <w:t xml:space="preserve"> </w:t>
      </w:r>
    </w:p>
    <w:p w:rsidR="003B79E1" w:rsidRDefault="00D32988" w:rsidP="00F74889">
      <w:pPr>
        <w:pStyle w:val="ListBullet"/>
      </w:pPr>
      <w:r w:rsidRPr="00D32988">
        <w:rPr>
          <w:i/>
        </w:rPr>
        <w:t>Australian Government</w:t>
      </w:r>
      <w:r w:rsidR="008E2AD0">
        <w:rPr>
          <w:i/>
        </w:rPr>
        <w:t xml:space="preserve"> funding to States and Territories</w:t>
      </w:r>
      <w:r>
        <w:t xml:space="preserve"> — </w:t>
      </w:r>
      <w:r w:rsidR="003B79E1" w:rsidRPr="00CD1406">
        <w:t>the Australian Government provided funding</w:t>
      </w:r>
      <w:r>
        <w:t xml:space="preserve">, </w:t>
      </w:r>
      <w:r w:rsidR="008E2AD0">
        <w:t xml:space="preserve">through the </w:t>
      </w:r>
      <w:r w:rsidR="00A85855">
        <w:t>National Specific Purpose Payment</w:t>
      </w:r>
      <w:r w:rsidR="00A85855" w:rsidRPr="008E2AD0">
        <w:t xml:space="preserve"> </w:t>
      </w:r>
      <w:r w:rsidR="00A85855">
        <w:t xml:space="preserve">for </w:t>
      </w:r>
      <w:r w:rsidR="008E2AD0" w:rsidRPr="008E2AD0">
        <w:t>Skills and Workforce Development</w:t>
      </w:r>
      <w:r>
        <w:t xml:space="preserve"> and National Partnership Payments</w:t>
      </w:r>
      <w:r w:rsidR="008E2AD0">
        <w:t>,</w:t>
      </w:r>
      <w:r>
        <w:t xml:space="preserve"> to State and Territory governments</w:t>
      </w:r>
      <w:r w:rsidR="008E2AD0">
        <w:t>. In 2014, the Australian Government provided</w:t>
      </w:r>
      <w:r w:rsidR="003B79E1" w:rsidRPr="00CD1406">
        <w:t xml:space="preserve"> </w:t>
      </w:r>
      <w:r w:rsidR="008E2AD0" w:rsidRPr="00CD1406">
        <w:t>$</w:t>
      </w:r>
      <w:r w:rsidR="008E2AD0">
        <w:t>1.5 </w:t>
      </w:r>
      <w:r w:rsidR="008E2AD0" w:rsidRPr="00CD1406">
        <w:t>billion</w:t>
      </w:r>
      <w:r w:rsidR="008E2AD0">
        <w:t xml:space="preserve"> in funding</w:t>
      </w:r>
      <w:r w:rsidR="008E2AD0" w:rsidRPr="00CD1406">
        <w:t xml:space="preserve"> </w:t>
      </w:r>
      <w:r w:rsidR="003B79E1" w:rsidRPr="00CD1406">
        <w:t>(table</w:t>
      </w:r>
      <w:r w:rsidR="003B79E1">
        <w:t> </w:t>
      </w:r>
      <w:r w:rsidR="003B79E1" w:rsidRPr="00CD1406">
        <w:t>5A.</w:t>
      </w:r>
      <w:r w:rsidR="003B79E1">
        <w:t>10</w:t>
      </w:r>
      <w:r w:rsidR="003B79E1" w:rsidRPr="00CD1406">
        <w:t xml:space="preserve">). </w:t>
      </w:r>
    </w:p>
    <w:p w:rsidR="00D32988" w:rsidRDefault="00D32988" w:rsidP="00F74889">
      <w:pPr>
        <w:pStyle w:val="BodyText"/>
      </w:pPr>
      <w:r>
        <w:t>In addition, the Australian, State and Territory governments provide</w:t>
      </w:r>
      <w:r w:rsidR="00A85855">
        <w:t>d</w:t>
      </w:r>
      <w:r>
        <w:t xml:space="preserve"> </w:t>
      </w:r>
      <w:r w:rsidR="00A85855">
        <w:t xml:space="preserve">the following </w:t>
      </w:r>
      <w:r>
        <w:t xml:space="preserve">funding streams to </w:t>
      </w:r>
      <w:r w:rsidR="00A85855">
        <w:t>VET participants</w:t>
      </w:r>
      <w:r>
        <w:t>.</w:t>
      </w:r>
    </w:p>
    <w:p w:rsidR="003B79E1" w:rsidRDefault="003B79E1" w:rsidP="00170869">
      <w:pPr>
        <w:pStyle w:val="ListBullet"/>
      </w:pPr>
      <w:r w:rsidRPr="000942ED">
        <w:rPr>
          <w:i/>
        </w:rPr>
        <w:t>Incentives and loans to individuals</w:t>
      </w:r>
      <w:r>
        <w:t xml:space="preserve"> — the Australian, State and Territory governments support VET students with the cost of </w:t>
      </w:r>
      <w:r w:rsidRPr="000D5388">
        <w:t xml:space="preserve">living and learning </w:t>
      </w:r>
      <w:r>
        <w:t>dur</w:t>
      </w:r>
      <w:r w:rsidRPr="000D5388">
        <w:t>ing</w:t>
      </w:r>
      <w:r>
        <w:t xml:space="preserve"> study/apprenticeship in the form of incentive payments, program subsidies and government loans — </w:t>
      </w:r>
      <w:r w:rsidR="00E815DA" w:rsidRPr="00F74889">
        <w:t>such as</w:t>
      </w:r>
      <w:r w:rsidRPr="00F74889">
        <w:t xml:space="preserve"> the Australian Government income contingent loan scheme VET FEE</w:t>
      </w:r>
      <w:r w:rsidR="00AD5F7E">
        <w:noBreakHyphen/>
      </w:r>
      <w:r w:rsidRPr="00F74889">
        <w:t>HELP</w:t>
      </w:r>
      <w:r w:rsidR="00170869" w:rsidRPr="00F74889">
        <w:t xml:space="preserve"> (see section 5.5 for definition)</w:t>
      </w:r>
      <w:r w:rsidRPr="00F74889">
        <w:t xml:space="preserve">. </w:t>
      </w:r>
    </w:p>
    <w:p w:rsidR="003B79E1" w:rsidRDefault="003B79E1" w:rsidP="003B79E1">
      <w:pPr>
        <w:pStyle w:val="ListBullet"/>
      </w:pPr>
      <w:r>
        <w:rPr>
          <w:i/>
        </w:rPr>
        <w:t>Skills development and incentives to employers</w:t>
      </w:r>
      <w:r>
        <w:t xml:space="preserve"> — </w:t>
      </w:r>
      <w:r w:rsidR="008E2AD0">
        <w:t xml:space="preserve">the </w:t>
      </w:r>
      <w:r>
        <w:t xml:space="preserve">Australian, State and Territory governments provide subsidies and incentive payments to support employers with the cost of employing and training their staff — such as for </w:t>
      </w:r>
      <w:r w:rsidRPr="00EF5A5F">
        <w:t>Australian Apprenticeships</w:t>
      </w:r>
      <w:r>
        <w:t xml:space="preserve">. In addition to the costs and benefits of employing individuals engaged in VET, </w:t>
      </w:r>
      <w:r w:rsidRPr="00BD103E">
        <w:t xml:space="preserve">companies can contribute </w:t>
      </w:r>
      <w:r>
        <w:t xml:space="preserve">VET funding </w:t>
      </w:r>
      <w:r w:rsidRPr="00BD103E">
        <w:t xml:space="preserve">by </w:t>
      </w:r>
      <w:r>
        <w:t xml:space="preserve">directly </w:t>
      </w:r>
      <w:r w:rsidRPr="00BD103E">
        <w:t>purchasing training for the</w:t>
      </w:r>
      <w:r>
        <w:t>ir employees.</w:t>
      </w:r>
    </w:p>
    <w:p w:rsidR="003B79E1" w:rsidRPr="00A5698D" w:rsidRDefault="003B79E1" w:rsidP="003B79E1">
      <w:pPr>
        <w:pStyle w:val="ListBullet"/>
      </w:pPr>
      <w:r w:rsidRPr="00492D5D">
        <w:rPr>
          <w:i/>
        </w:rPr>
        <w:lastRenderedPageBreak/>
        <w:t>Support for the National Training System</w:t>
      </w:r>
      <w:r w:rsidRPr="00A5698D">
        <w:t xml:space="preserve"> —</w:t>
      </w:r>
      <w:r>
        <w:t xml:space="preserve"> As well as direct support to employers, the Australian, State and Territory governments provide funding to industry bodies to support the training system, and assist in the identification of skills needs and the development of skills programs. </w:t>
      </w:r>
      <w:r w:rsidR="00E815DA" w:rsidRPr="00F74889">
        <w:t>E</w:t>
      </w:r>
      <w:r w:rsidR="002A5D13" w:rsidRPr="00F74889">
        <w:t>xample</w:t>
      </w:r>
      <w:r w:rsidR="00E815DA" w:rsidRPr="00F74889">
        <w:t>s include</w:t>
      </w:r>
      <w:r w:rsidR="002A5D13" w:rsidRPr="00F74889">
        <w:t xml:space="preserve"> the </w:t>
      </w:r>
      <w:r w:rsidR="008E2AD0" w:rsidRPr="00F74889">
        <w:t xml:space="preserve">funding of the Industry Skills Councils and </w:t>
      </w:r>
      <w:r w:rsidRPr="00F74889">
        <w:t>Australian Apprenticeships Centres</w:t>
      </w:r>
      <w:r w:rsidR="008E2AD0" w:rsidRPr="00F74889">
        <w:t xml:space="preserve"> </w:t>
      </w:r>
      <w:r w:rsidRPr="00F74889">
        <w:t>(Australian Government 2015).</w:t>
      </w:r>
    </w:p>
    <w:p w:rsidR="001446ED" w:rsidRDefault="001446ED" w:rsidP="001446E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446ED" w:rsidTr="000E0803">
        <w:tc>
          <w:tcPr>
            <w:tcW w:w="8771" w:type="dxa"/>
            <w:tcBorders>
              <w:top w:val="single" w:sz="6" w:space="0" w:color="78A22F"/>
              <w:left w:val="nil"/>
              <w:bottom w:val="nil"/>
              <w:right w:val="nil"/>
            </w:tcBorders>
            <w:shd w:val="clear" w:color="auto" w:fill="auto"/>
          </w:tcPr>
          <w:p w:rsidR="001446ED" w:rsidRPr="00176D3F" w:rsidRDefault="001446ED" w:rsidP="000E0803">
            <w:pPr>
              <w:pStyle w:val="FigureTitle"/>
            </w:pPr>
            <w:r w:rsidRPr="00784A05">
              <w:rPr>
                <w:b w:val="0"/>
              </w:rPr>
              <w:t xml:space="preserve">Figure </w:t>
            </w:r>
            <w:bookmarkStart w:id="10" w:name="OLE_LINK6"/>
            <w:r w:rsidR="003A68D1">
              <w:rPr>
                <w:b w:val="0"/>
              </w:rPr>
              <w:t>5.</w:t>
            </w:r>
            <w:r w:rsidR="00111918">
              <w:rPr>
                <w:b w:val="0"/>
                <w:noProof/>
              </w:rPr>
              <w:t>3</w:t>
            </w:r>
            <w:bookmarkEnd w:id="10"/>
            <w:r>
              <w:tab/>
            </w:r>
            <w:r w:rsidRPr="00EF5A5F">
              <w:t>Major funding flows within the VET system</w:t>
            </w:r>
            <w:r>
              <w:t>, 2014</w:t>
            </w:r>
          </w:p>
        </w:tc>
      </w:tr>
      <w:tr w:rsidR="001446ED" w:rsidTr="000E080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1446ED" w:rsidTr="00BC6B68">
              <w:tc>
                <w:tcPr>
                  <w:tcW w:w="5000" w:type="pct"/>
                  <w:tcBorders>
                    <w:top w:val="nil"/>
                    <w:bottom w:val="nil"/>
                  </w:tcBorders>
                  <w:shd w:val="clear" w:color="auto" w:fill="auto"/>
                </w:tcPr>
                <w:p w:rsidR="001446ED" w:rsidRPr="005019B8" w:rsidRDefault="00F74889" w:rsidP="000E0803">
                  <w:pPr>
                    <w:pStyle w:val="Figure"/>
                    <w:rPr>
                      <w:rStyle w:val="DraftingNote"/>
                      <w:b w:val="0"/>
                      <w:color w:val="auto"/>
                      <w:u w:val="none"/>
                    </w:rPr>
                  </w:pPr>
                  <w:r>
                    <w:rPr>
                      <w:noProof/>
                    </w:rPr>
                    <w:drawing>
                      <wp:inline distT="0" distB="0" distL="0" distR="0" wp14:anchorId="3A3E5F6A" wp14:editId="05DF445F">
                        <wp:extent cx="5379085" cy="5389880"/>
                        <wp:effectExtent l="0" t="0" r="0" b="1270"/>
                        <wp:docPr id="5" name="Picture 5" descr="Figure 5.3 Major funding flows within the VET system,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79085" cy="5389880"/>
                                </a:xfrm>
                                <a:prstGeom prst="rect">
                                  <a:avLst/>
                                </a:prstGeom>
                                <a:noFill/>
                                <a:ln>
                                  <a:noFill/>
                                </a:ln>
                              </pic:spPr>
                            </pic:pic>
                          </a:graphicData>
                        </a:graphic>
                      </wp:inline>
                    </w:drawing>
                  </w:r>
                </w:p>
              </w:tc>
            </w:tr>
          </w:tbl>
          <w:p w:rsidR="001446ED" w:rsidRDefault="001446ED" w:rsidP="000E0803">
            <w:pPr>
              <w:pStyle w:val="Figure"/>
            </w:pPr>
          </w:p>
        </w:tc>
      </w:tr>
      <w:tr w:rsidR="001446ED" w:rsidTr="000E0803">
        <w:tc>
          <w:tcPr>
            <w:tcW w:w="8771" w:type="dxa"/>
            <w:tcBorders>
              <w:top w:val="nil"/>
              <w:left w:val="nil"/>
              <w:bottom w:val="single" w:sz="6" w:space="0" w:color="78A22F"/>
              <w:right w:val="nil"/>
            </w:tcBorders>
            <w:shd w:val="clear" w:color="auto" w:fill="auto"/>
          </w:tcPr>
          <w:p w:rsidR="001446ED" w:rsidRDefault="001446ED" w:rsidP="000E0803">
            <w:pPr>
              <w:pStyle w:val="Figurespace"/>
            </w:pPr>
          </w:p>
        </w:tc>
      </w:tr>
      <w:tr w:rsidR="001446ED" w:rsidRPr="000863A5" w:rsidTr="000E0803">
        <w:tc>
          <w:tcPr>
            <w:tcW w:w="8771" w:type="dxa"/>
            <w:tcBorders>
              <w:top w:val="single" w:sz="6" w:space="0" w:color="78A22F"/>
              <w:left w:val="nil"/>
              <w:bottom w:val="nil"/>
              <w:right w:val="nil"/>
            </w:tcBorders>
          </w:tcPr>
          <w:p w:rsidR="001446ED" w:rsidRPr="00626D32" w:rsidRDefault="001446ED" w:rsidP="000E0803">
            <w:pPr>
              <w:pStyle w:val="BoxSpaceBelow"/>
            </w:pPr>
          </w:p>
        </w:tc>
      </w:tr>
    </w:tbl>
    <w:p w:rsidR="001446ED" w:rsidRDefault="001446ED" w:rsidP="001446ED">
      <w:pPr>
        <w:pStyle w:val="BodyText"/>
      </w:pPr>
      <w:r>
        <w:t xml:space="preserve">In addition the Australian, State and Territory governments funded a number of specific </w:t>
      </w:r>
      <w:r w:rsidR="003D3CE9">
        <w:t>VET programs in 2014, including:</w:t>
      </w:r>
    </w:p>
    <w:p w:rsidR="000468DE" w:rsidRDefault="001446ED" w:rsidP="001446ED">
      <w:pPr>
        <w:pStyle w:val="ListBullet"/>
      </w:pPr>
      <w:r w:rsidRPr="00F74889">
        <w:rPr>
          <w:i/>
        </w:rPr>
        <w:t xml:space="preserve">Special needs funding </w:t>
      </w:r>
      <w:r w:rsidRPr="00F74889">
        <w:t>—</w:t>
      </w:r>
      <w:r w:rsidR="00EC524C" w:rsidRPr="00F74889">
        <w:t xml:space="preserve"> </w:t>
      </w:r>
      <w:r w:rsidR="00503FD0" w:rsidRPr="00F74889">
        <w:t xml:space="preserve">to </w:t>
      </w:r>
      <w:r w:rsidRPr="00F74889">
        <w:t>support individuals or communities with special needs</w:t>
      </w:r>
      <w:r w:rsidR="00503FD0" w:rsidRPr="00F74889">
        <w:t xml:space="preserve"> to assist them to </w:t>
      </w:r>
      <w:r w:rsidRPr="00F74889">
        <w:t>more effectively engage in further training or in the labour force</w:t>
      </w:r>
      <w:r w:rsidR="000468DE" w:rsidRPr="00F74889">
        <w:t>.</w:t>
      </w:r>
    </w:p>
    <w:p w:rsidR="001446ED" w:rsidRDefault="001446ED" w:rsidP="001446ED">
      <w:pPr>
        <w:pStyle w:val="ListBullet"/>
      </w:pPr>
      <w:r>
        <w:rPr>
          <w:i/>
        </w:rPr>
        <w:lastRenderedPageBreak/>
        <w:t xml:space="preserve">VET in schools </w:t>
      </w:r>
      <w:r>
        <w:t>—</w:t>
      </w:r>
      <w:r w:rsidR="00EC524C">
        <w:t xml:space="preserve"> </w:t>
      </w:r>
      <w:r>
        <w:t>support to school</w:t>
      </w:r>
      <w:r w:rsidR="00AD5F7E">
        <w:noBreakHyphen/>
      </w:r>
      <w:r>
        <w:t>based VET programs</w:t>
      </w:r>
      <w:r w:rsidRPr="00827B7D">
        <w:t xml:space="preserve"> that provide credit towards a nationally recognised VET qualification</w:t>
      </w:r>
      <w:r>
        <w:t>.</w:t>
      </w:r>
    </w:p>
    <w:p w:rsidR="001446ED" w:rsidRPr="00582059" w:rsidRDefault="001446ED" w:rsidP="001446ED">
      <w:pPr>
        <w:pStyle w:val="ListBullet"/>
      </w:pPr>
      <w:r w:rsidRPr="00810A59">
        <w:rPr>
          <w:i/>
        </w:rPr>
        <w:t>Trade Training Centres</w:t>
      </w:r>
      <w:r>
        <w:t xml:space="preserve"> —</w:t>
      </w:r>
      <w:r w:rsidR="00EC524C">
        <w:t xml:space="preserve"> </w:t>
      </w:r>
      <w:r>
        <w:t xml:space="preserve">a </w:t>
      </w:r>
      <w:r w:rsidR="00DA4CA5">
        <w:t xml:space="preserve">national </w:t>
      </w:r>
      <w:r>
        <w:t>partnership between the Australian Government and State and Territory governments (and non</w:t>
      </w:r>
      <w:r>
        <w:noBreakHyphen/>
        <w:t>government schools) in which the Australian Government has provided funding to secondary schools for new or refurbished trade training buildings and trades equipment for the centres (D</w:t>
      </w:r>
      <w:r w:rsidR="00441728">
        <w:t>ET</w:t>
      </w:r>
      <w:r>
        <w:t xml:space="preserve"> 2015</w:t>
      </w:r>
      <w:r w:rsidR="00CA56D8">
        <w:t>a</w:t>
      </w:r>
      <w:r>
        <w:t>).</w:t>
      </w:r>
    </w:p>
    <w:p w:rsidR="00DA4CA5" w:rsidRDefault="00DA4CA5" w:rsidP="00DA4CA5">
      <w:pPr>
        <w:pStyle w:val="BodyText"/>
      </w:pPr>
      <w:r w:rsidRPr="00EF5A5F">
        <w:t>RTOs also receive revenue from individuals and organisations</w:t>
      </w:r>
      <w:r>
        <w:t xml:space="preserve"> (government and non</w:t>
      </w:r>
      <w:r>
        <w:noBreakHyphen/>
        <w:t>government)</w:t>
      </w:r>
      <w:r w:rsidRPr="00EF5A5F">
        <w:t xml:space="preserve"> for </w:t>
      </w:r>
      <w:r w:rsidR="00CB5D93">
        <w:t xml:space="preserve">payment of course and administration fees (from individuals), </w:t>
      </w:r>
      <w:r w:rsidRPr="00EF5A5F">
        <w:t>ancillary trading revenue, other operating revenue and revenue from Australian, State and Territory go</w:t>
      </w:r>
      <w:r>
        <w:t>vernment specific purpose funds.</w:t>
      </w:r>
    </w:p>
    <w:p w:rsidR="001446ED" w:rsidRPr="00EF5A5F" w:rsidRDefault="001446ED" w:rsidP="001446ED">
      <w:pPr>
        <w:pStyle w:val="Heading4"/>
      </w:pPr>
      <w:r w:rsidRPr="00EF5A5F">
        <w:t>Allocation of VET funding</w:t>
      </w:r>
    </w:p>
    <w:p w:rsidR="001446ED" w:rsidRDefault="001446ED" w:rsidP="001446ED">
      <w:pPr>
        <w:pStyle w:val="BodyText"/>
      </w:pPr>
      <w:r>
        <w:t xml:space="preserve">Increasingly, VET funding is provided through contestable processes (open to private </w:t>
      </w:r>
      <w:r w:rsidR="00C02366" w:rsidRPr="00F74889">
        <w:t>and public</w:t>
      </w:r>
      <w:r w:rsidR="00C02366">
        <w:t xml:space="preserve"> </w:t>
      </w:r>
      <w:r>
        <w:t xml:space="preserve">RTOs), with explicit subsidies for provision of training in regional areas or for disadvantaged students (PM&amp;C 2014). </w:t>
      </w:r>
      <w:r w:rsidRPr="005125E4">
        <w:t>In 201</w:t>
      </w:r>
      <w:r w:rsidR="00DA4CA5">
        <w:t>4</w:t>
      </w:r>
      <w:r w:rsidRPr="005125E4">
        <w:t>,</w:t>
      </w:r>
      <w:r>
        <w:t xml:space="preserve"> </w:t>
      </w:r>
      <w:r w:rsidRPr="005125E4">
        <w:t>$</w:t>
      </w:r>
      <w:r>
        <w:t>2.</w:t>
      </w:r>
      <w:r w:rsidR="00DA4CA5">
        <w:t>4</w:t>
      </w:r>
      <w:r>
        <w:t> </w:t>
      </w:r>
      <w:r w:rsidRPr="005125E4">
        <w:t>billion (</w:t>
      </w:r>
      <w:r>
        <w:t>4</w:t>
      </w:r>
      <w:r w:rsidR="0046733B">
        <w:t>6.4</w:t>
      </w:r>
      <w:r>
        <w:t xml:space="preserve"> </w:t>
      </w:r>
      <w:r w:rsidRPr="005125E4">
        <w:t>per</w:t>
      </w:r>
      <w:r>
        <w:t xml:space="preserve"> </w:t>
      </w:r>
      <w:r w:rsidRPr="005125E4">
        <w:t xml:space="preserve">cent) of government VET funding was allocated on a competitive basis — </w:t>
      </w:r>
      <w:r>
        <w:t xml:space="preserve">a </w:t>
      </w:r>
      <w:r w:rsidR="0046733B">
        <w:t>4.4</w:t>
      </w:r>
      <w:r>
        <w:t xml:space="preserve"> </w:t>
      </w:r>
      <w:r w:rsidRPr="005125E4">
        <w:t>per</w:t>
      </w:r>
      <w:r>
        <w:t xml:space="preserve"> </w:t>
      </w:r>
      <w:r w:rsidRPr="005125E4">
        <w:t xml:space="preserve">cent </w:t>
      </w:r>
      <w:r>
        <w:t xml:space="preserve">decrease </w:t>
      </w:r>
      <w:r w:rsidRPr="005125E4">
        <w:t xml:space="preserve">in real terms </w:t>
      </w:r>
      <w:r>
        <w:t>from</w:t>
      </w:r>
      <w:r w:rsidRPr="005125E4">
        <w:t xml:space="preserve"> 201</w:t>
      </w:r>
      <w:r w:rsidR="00DA4CA5">
        <w:t>3</w:t>
      </w:r>
      <w:r w:rsidRPr="005125E4">
        <w:t xml:space="preserve"> (table</w:t>
      </w:r>
      <w:r>
        <w:t xml:space="preserve"> </w:t>
      </w:r>
      <w:r w:rsidRPr="005125E4">
        <w:t>5A</w:t>
      </w:r>
      <w:r w:rsidRPr="00980255">
        <w:t>.</w:t>
      </w:r>
      <w:r w:rsidR="00DA4CA5" w:rsidRPr="00980255">
        <w:t>10</w:t>
      </w:r>
      <w:r w:rsidRPr="00980255">
        <w:t>)</w:t>
      </w:r>
      <w:r w:rsidR="00B80B19">
        <w:t xml:space="preserve">, </w:t>
      </w:r>
      <w:r w:rsidR="00373716">
        <w:t xml:space="preserve">of </w:t>
      </w:r>
      <w:r w:rsidR="00B80B19">
        <w:t>which</w:t>
      </w:r>
      <w:r w:rsidRPr="00980255">
        <w:t xml:space="preserve"> $1.</w:t>
      </w:r>
      <w:r w:rsidR="00DA4CA5" w:rsidRPr="00980255">
        <w:t>5</w:t>
      </w:r>
      <w:r w:rsidRPr="00980255">
        <w:t> billion</w:t>
      </w:r>
      <w:r w:rsidRPr="005125E4">
        <w:t xml:space="preserve"> was allocated to non</w:t>
      </w:r>
      <w:r w:rsidRPr="005125E4">
        <w:noBreakHyphen/>
      </w:r>
      <w:r w:rsidR="00DA4CA5">
        <w:t>TAFE</w:t>
      </w:r>
      <w:r w:rsidRPr="005125E4">
        <w:t xml:space="preserve"> providers</w:t>
      </w:r>
      <w:r w:rsidR="00AD0B28">
        <w:t>. Funding to non</w:t>
      </w:r>
      <w:r w:rsidR="00AD0B28">
        <w:noBreakHyphen/>
        <w:t xml:space="preserve">TAFE providers has grown 222 per cent since 2005, at an annual average rate of 13.9 per cent </w:t>
      </w:r>
      <w:r w:rsidRPr="005125E4">
        <w:t>(table 5A.</w:t>
      </w:r>
      <w:r w:rsidR="00CA56D8">
        <w:t>9</w:t>
      </w:r>
      <w:r w:rsidRPr="005125E4">
        <w:t>).</w:t>
      </w:r>
    </w:p>
    <w:p w:rsidR="001446ED" w:rsidRPr="00EF5A5F" w:rsidRDefault="001446ED" w:rsidP="001446ED">
      <w:pPr>
        <w:pStyle w:val="BodyText"/>
      </w:pPr>
      <w:r w:rsidRPr="00EF5A5F">
        <w:t xml:space="preserve">Processes used </w:t>
      </w:r>
      <w:r>
        <w:t xml:space="preserve">to </w:t>
      </w:r>
      <w:r w:rsidRPr="00EF5A5F">
        <w:t xml:space="preserve">allocate funds on a competitive basis include: </w:t>
      </w:r>
    </w:p>
    <w:p w:rsidR="001446ED" w:rsidRPr="004B0752" w:rsidRDefault="001446ED" w:rsidP="001446ED">
      <w:pPr>
        <w:pStyle w:val="ListBullet"/>
      </w:pPr>
      <w:r w:rsidRPr="0007335C">
        <w:rPr>
          <w:i/>
        </w:rPr>
        <w:t>user choice</w:t>
      </w:r>
      <w:r w:rsidRPr="0007335C">
        <w:t xml:space="preserve"> </w:t>
      </w:r>
      <w:r>
        <w:t xml:space="preserve">— </w:t>
      </w:r>
      <w:r w:rsidRPr="0007335C">
        <w:t xml:space="preserve">where </w:t>
      </w:r>
      <w:r w:rsidRPr="004B0752">
        <w:t>the employer and apprentice/trainee choose an RTO and government funds flow to that provider</w:t>
      </w:r>
      <w:r w:rsidR="008B7932">
        <w:t xml:space="preserve">. Nationally in 2014, </w:t>
      </w:r>
      <w:r w:rsidR="00AD0B28" w:rsidRPr="004B0752">
        <w:t>1</w:t>
      </w:r>
      <w:r w:rsidR="00CA56D8">
        <w:t>3.1</w:t>
      </w:r>
      <w:r w:rsidR="00AD0B28" w:rsidRPr="004B0752">
        <w:t> per cent of government funding</w:t>
      </w:r>
      <w:r w:rsidR="008B7932">
        <w:t xml:space="preserve"> was allocated on a user choice basis</w:t>
      </w:r>
    </w:p>
    <w:p w:rsidR="00626055" w:rsidRDefault="001446ED" w:rsidP="00AD0B28">
      <w:pPr>
        <w:pStyle w:val="ListBullet"/>
      </w:pPr>
      <w:r w:rsidRPr="004B0752">
        <w:rPr>
          <w:i/>
        </w:rPr>
        <w:t>competitive tendering</w:t>
      </w:r>
      <w:r w:rsidRPr="004B0752">
        <w:t xml:space="preserve"> — where government and private RTOs compete for funding contracts from State and Territory training authorities in response to government offers (tenders). Tenders can be contested by any RTO (open competitive tendering), or restricted to specific types of training or target groups (limited competitive tendering)</w:t>
      </w:r>
      <w:r w:rsidR="00AD0B28" w:rsidRPr="004B0752">
        <w:t xml:space="preserve"> </w:t>
      </w:r>
      <w:r w:rsidR="008B7932">
        <w:t>Nationally in 2014, 2.4</w:t>
      </w:r>
      <w:r w:rsidR="008B7932" w:rsidRPr="004B0752">
        <w:t> per cent of government funding</w:t>
      </w:r>
      <w:r w:rsidR="008B7932">
        <w:t xml:space="preserve"> was allocated on a competitive tendering basis</w:t>
      </w:r>
      <w:r w:rsidR="00AD0B28" w:rsidRPr="004B0752">
        <w:t xml:space="preserve"> </w:t>
      </w:r>
    </w:p>
    <w:p w:rsidR="001446ED" w:rsidRPr="004B0752" w:rsidRDefault="00626055" w:rsidP="00AD0B28">
      <w:pPr>
        <w:pStyle w:val="ListBullet"/>
      </w:pPr>
      <w:r w:rsidRPr="00626055">
        <w:rPr>
          <w:i/>
        </w:rPr>
        <w:t xml:space="preserve">entitlement funding </w:t>
      </w:r>
      <w:r>
        <w:t xml:space="preserve">— combines </w:t>
      </w:r>
      <w:r w:rsidRPr="004B0752">
        <w:t>aspects of user choice and competitive tendering with guaranteed government</w:t>
      </w:r>
      <w:r w:rsidR="00AD5F7E">
        <w:noBreakHyphen/>
      </w:r>
      <w:r w:rsidRPr="004B0752">
        <w:t>subsidised training places for qualifications</w:t>
      </w:r>
      <w:r>
        <w:t xml:space="preserve"> </w:t>
      </w:r>
      <w:r w:rsidRPr="004B0752">
        <w:t>(box </w:t>
      </w:r>
      <w:r w:rsidR="003A68D1">
        <w:t>5.4</w:t>
      </w:r>
      <w:r w:rsidRPr="004B0752">
        <w:t>)</w:t>
      </w:r>
      <w:r>
        <w:t>.</w:t>
      </w:r>
      <w:r w:rsidRPr="00626055">
        <w:t xml:space="preserve"> </w:t>
      </w:r>
      <w:r>
        <w:t>E</w:t>
      </w:r>
      <w:r w:rsidRPr="004B0752">
        <w:t xml:space="preserve">ntitlement funding programs in 2014 accounted for 30.9 per cent of all government funding allocated to </w:t>
      </w:r>
      <w:r>
        <w:t xml:space="preserve">VET </w:t>
      </w:r>
      <w:r w:rsidR="00C6434F">
        <w:t xml:space="preserve">in 2014 </w:t>
      </w:r>
      <w:r w:rsidR="00AD0B28" w:rsidRPr="004B0752">
        <w:t>(table 5A.10)</w:t>
      </w:r>
      <w:r w:rsidR="001446ED" w:rsidRPr="004B0752">
        <w:t>.</w:t>
      </w:r>
    </w:p>
    <w:p w:rsidR="001446ED" w:rsidRDefault="001446ED" w:rsidP="001446E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446ED" w:rsidTr="000E0803">
        <w:tc>
          <w:tcPr>
            <w:tcW w:w="8771" w:type="dxa"/>
            <w:tcBorders>
              <w:top w:val="single" w:sz="6" w:space="0" w:color="78A22F"/>
              <w:left w:val="nil"/>
              <w:bottom w:val="nil"/>
              <w:right w:val="nil"/>
            </w:tcBorders>
            <w:shd w:val="clear" w:color="auto" w:fill="F2F2F2"/>
          </w:tcPr>
          <w:p w:rsidR="001446ED" w:rsidRDefault="001446ED" w:rsidP="000E0803">
            <w:pPr>
              <w:pStyle w:val="BoxTitle"/>
            </w:pPr>
            <w:r>
              <w:rPr>
                <w:b w:val="0"/>
              </w:rPr>
              <w:t xml:space="preserve">Box </w:t>
            </w:r>
            <w:bookmarkStart w:id="11" w:name="OLE_LINK56"/>
            <w:r w:rsidR="003A68D1">
              <w:rPr>
                <w:b w:val="0"/>
              </w:rPr>
              <w:t>5.</w:t>
            </w:r>
            <w:r w:rsidR="00111918">
              <w:rPr>
                <w:b w:val="0"/>
                <w:noProof/>
              </w:rPr>
              <w:t>4</w:t>
            </w:r>
            <w:bookmarkEnd w:id="11"/>
            <w:r>
              <w:tab/>
              <w:t>Entitlement funding</w:t>
            </w:r>
          </w:p>
        </w:tc>
      </w:tr>
      <w:tr w:rsidR="001446ED" w:rsidTr="000E0803">
        <w:trPr>
          <w:cantSplit/>
        </w:trPr>
        <w:tc>
          <w:tcPr>
            <w:tcW w:w="8771" w:type="dxa"/>
            <w:tcBorders>
              <w:top w:val="nil"/>
              <w:left w:val="nil"/>
              <w:bottom w:val="nil"/>
              <w:right w:val="nil"/>
            </w:tcBorders>
            <w:shd w:val="clear" w:color="auto" w:fill="F2F2F2"/>
          </w:tcPr>
          <w:p w:rsidR="001446ED" w:rsidRDefault="001446ED" w:rsidP="000E0803">
            <w:pPr>
              <w:pStyle w:val="Box"/>
            </w:pPr>
            <w:r>
              <w:t>Entitlement funding models have been progressively introduced across jurisdictions from mid</w:t>
            </w:r>
            <w:r>
              <w:noBreakHyphen/>
              <w:t>2009</w:t>
            </w:r>
            <w:r w:rsidR="001D155A">
              <w:t xml:space="preserve">, </w:t>
            </w:r>
            <w:r w:rsidR="001D155A" w:rsidRPr="00F74889">
              <w:t xml:space="preserve">although each State </w:t>
            </w:r>
            <w:r w:rsidR="00533334" w:rsidRPr="00F74889">
              <w:t xml:space="preserve">or </w:t>
            </w:r>
            <w:r w:rsidR="001D155A" w:rsidRPr="00F74889">
              <w:t>Territory’s entitlement funding system has its own characteristics</w:t>
            </w:r>
            <w:r w:rsidR="001D155A">
              <w:t xml:space="preserve">. </w:t>
            </w:r>
            <w:r>
              <w:t>Entitlement funding programs consist of two key features:</w:t>
            </w:r>
          </w:p>
          <w:p w:rsidR="001446ED" w:rsidRDefault="001446ED" w:rsidP="000E0803">
            <w:pPr>
              <w:pStyle w:val="BoxListNumber"/>
            </w:pPr>
            <w:r>
              <w:t>Student entitlement to VET training — They provide a guaranteed government</w:t>
            </w:r>
            <w:r w:rsidR="00AD5F7E">
              <w:noBreakHyphen/>
            </w:r>
            <w:r>
              <w:t>subsidised training place for working age residents to obtain qualifications. Restrictions on the entitlement schemes vary across jurisdiction</w:t>
            </w:r>
            <w:r w:rsidR="003D204A">
              <w:t>s</w:t>
            </w:r>
            <w:r>
              <w:t xml:space="preserve">. Restrictions include: caps on the number of places that may be filled in a year; </w:t>
            </w:r>
            <w:r w:rsidR="00D32988" w:rsidRPr="00F74889">
              <w:t>financial caps on the total level of funding;</w:t>
            </w:r>
            <w:r w:rsidR="00D32988">
              <w:t xml:space="preserve"> </w:t>
            </w:r>
            <w:r>
              <w:t>level</w:t>
            </w:r>
            <w:r w:rsidR="003D204A">
              <w:t>s</w:t>
            </w:r>
            <w:r>
              <w:t xml:space="preserve"> of qualification people have an entitlement to; and whether it is a person’s ‘initial’ qualification. </w:t>
            </w:r>
          </w:p>
          <w:p w:rsidR="001D155A" w:rsidRPr="001D155A" w:rsidRDefault="001446ED" w:rsidP="001D155A">
            <w:pPr>
              <w:pStyle w:val="BoxListNumber"/>
              <w:rPr>
                <w:rStyle w:val="DraftingNote"/>
                <w:b w:val="0"/>
                <w:color w:val="auto"/>
                <w:sz w:val="20"/>
                <w:u w:val="none"/>
              </w:rPr>
            </w:pPr>
            <w:r>
              <w:t>Demand driven VET training — Government subsidies are contestable and are allocated to the RTO (government or private) of the students’ choice. Governments may place some limits on student choice, by restricting the number of RTOs that offer entitlement funding places.</w:t>
            </w:r>
          </w:p>
        </w:tc>
      </w:tr>
      <w:tr w:rsidR="001446ED" w:rsidTr="000E0803">
        <w:trPr>
          <w:cantSplit/>
        </w:trPr>
        <w:tc>
          <w:tcPr>
            <w:tcW w:w="8771" w:type="dxa"/>
            <w:tcBorders>
              <w:top w:val="nil"/>
              <w:left w:val="nil"/>
              <w:bottom w:val="nil"/>
              <w:right w:val="nil"/>
            </w:tcBorders>
            <w:shd w:val="clear" w:color="auto" w:fill="F2F2F2"/>
          </w:tcPr>
          <w:p w:rsidR="001446ED" w:rsidRDefault="001446ED" w:rsidP="00C8234B">
            <w:pPr>
              <w:pStyle w:val="BoxSource"/>
            </w:pPr>
            <w:r>
              <w:rPr>
                <w:i/>
              </w:rPr>
              <w:t>Source</w:t>
            </w:r>
            <w:r w:rsidRPr="00167F06">
              <w:t xml:space="preserve">: </w:t>
            </w:r>
            <w:r w:rsidR="00C8234B">
              <w:t>State and Territory governments</w:t>
            </w:r>
            <w:r>
              <w:t>.</w:t>
            </w:r>
          </w:p>
        </w:tc>
      </w:tr>
      <w:tr w:rsidR="001446ED" w:rsidTr="000E0803">
        <w:trPr>
          <w:cantSplit/>
        </w:trPr>
        <w:tc>
          <w:tcPr>
            <w:tcW w:w="8771" w:type="dxa"/>
            <w:tcBorders>
              <w:top w:val="nil"/>
              <w:left w:val="nil"/>
              <w:bottom w:val="single" w:sz="6" w:space="0" w:color="78A22F"/>
              <w:right w:val="nil"/>
            </w:tcBorders>
            <w:shd w:val="clear" w:color="auto" w:fill="F2F2F2"/>
          </w:tcPr>
          <w:p w:rsidR="001446ED" w:rsidRDefault="001446ED" w:rsidP="000E0803">
            <w:pPr>
              <w:pStyle w:val="Box"/>
              <w:spacing w:before="0" w:line="120" w:lineRule="exact"/>
            </w:pPr>
          </w:p>
        </w:tc>
      </w:tr>
      <w:tr w:rsidR="001446ED" w:rsidRPr="000863A5" w:rsidTr="000E0803">
        <w:tc>
          <w:tcPr>
            <w:tcW w:w="8771" w:type="dxa"/>
            <w:tcBorders>
              <w:top w:val="single" w:sz="6" w:space="0" w:color="78A22F"/>
              <w:left w:val="nil"/>
              <w:bottom w:val="nil"/>
              <w:right w:val="nil"/>
            </w:tcBorders>
          </w:tcPr>
          <w:p w:rsidR="001446ED" w:rsidRPr="007C0ADB" w:rsidRDefault="001446ED" w:rsidP="000E0803">
            <w:pPr>
              <w:pStyle w:val="BoxSpaceBelow"/>
            </w:pPr>
          </w:p>
        </w:tc>
      </w:tr>
    </w:tbl>
    <w:p w:rsidR="00112304" w:rsidRPr="00EF5A5F" w:rsidRDefault="00112304" w:rsidP="00112304">
      <w:pPr>
        <w:pStyle w:val="Heading3"/>
      </w:pPr>
      <w:r w:rsidRPr="00EF5A5F">
        <w:t xml:space="preserve">Size and scope </w:t>
      </w:r>
    </w:p>
    <w:p w:rsidR="00112304" w:rsidRPr="00EF5A5F" w:rsidRDefault="00112304" w:rsidP="00112304">
      <w:pPr>
        <w:pStyle w:val="Heading4"/>
      </w:pPr>
      <w:r w:rsidRPr="00EF5A5F">
        <w:t>Students</w:t>
      </w:r>
    </w:p>
    <w:p w:rsidR="004C2872" w:rsidRDefault="004C2872" w:rsidP="004C2872">
      <w:pPr>
        <w:pStyle w:val="BodyText"/>
      </w:pPr>
      <w:r w:rsidRPr="00F74889">
        <w:t xml:space="preserve">Approximately </w:t>
      </w:r>
      <w:r w:rsidR="009B671D" w:rsidRPr="00F74889">
        <w:t>1.4</w:t>
      </w:r>
      <w:r w:rsidRPr="00F74889">
        <w:t xml:space="preserve"> million </w:t>
      </w:r>
      <w:r w:rsidR="009B671D" w:rsidRPr="00F74889">
        <w:t xml:space="preserve">government funded students participated </w:t>
      </w:r>
      <w:r w:rsidRPr="00F74889">
        <w:t>in VET programs across Australia in 201</w:t>
      </w:r>
      <w:r w:rsidR="001B5E46" w:rsidRPr="00F74889">
        <w:t>4</w:t>
      </w:r>
      <w:r w:rsidR="00CE5794" w:rsidRPr="00F74889">
        <w:t xml:space="preserve"> (table 5A.4)</w:t>
      </w:r>
      <w:r w:rsidR="009B671D" w:rsidRPr="00F74889">
        <w:t>.</w:t>
      </w:r>
      <w:r w:rsidRPr="00EF5A5F">
        <w:t xml:space="preserve"> </w:t>
      </w:r>
    </w:p>
    <w:p w:rsidR="00112304" w:rsidRPr="00EF5A5F" w:rsidRDefault="00112304" w:rsidP="00112304">
      <w:pPr>
        <w:pStyle w:val="Heading4"/>
      </w:pPr>
      <w:r w:rsidRPr="00EF5A5F">
        <w:t>Hours</w:t>
      </w:r>
    </w:p>
    <w:p w:rsidR="00112304" w:rsidRPr="00EF5A5F" w:rsidRDefault="001460EE" w:rsidP="00F74889">
      <w:pPr>
        <w:pStyle w:val="BodyText"/>
      </w:pPr>
      <w:r w:rsidRPr="001460EE">
        <w:t xml:space="preserve">Government funded VET students participated in 457.0 million government funded annual hours in 2014, with an average </w:t>
      </w:r>
      <w:r w:rsidR="00D32988" w:rsidRPr="001460EE">
        <w:t xml:space="preserve">of </w:t>
      </w:r>
      <w:r w:rsidRPr="001460EE">
        <w:t>328.0 hours per student</w:t>
      </w:r>
      <w:r w:rsidR="00CE5794" w:rsidRPr="00F74889">
        <w:t xml:space="preserve"> (table 5A.4).</w:t>
      </w:r>
    </w:p>
    <w:p w:rsidR="00112304" w:rsidRPr="00EF5A5F" w:rsidRDefault="00112304" w:rsidP="00112304">
      <w:pPr>
        <w:pStyle w:val="Heading4"/>
      </w:pPr>
      <w:r w:rsidRPr="00EF5A5F">
        <w:t>Courses</w:t>
      </w:r>
    </w:p>
    <w:p w:rsidR="00471D41" w:rsidRDefault="00471D41" w:rsidP="00112304">
      <w:pPr>
        <w:pStyle w:val="BodyText"/>
      </w:pPr>
      <w:r>
        <w:t xml:space="preserve">A single VET </w:t>
      </w:r>
      <w:r w:rsidR="00D32988">
        <w:t>student</w:t>
      </w:r>
      <w:r>
        <w:t xml:space="preserve"> may enrol in multiple VET courses. </w:t>
      </w:r>
      <w:r w:rsidR="0004538F">
        <w:t>Nationally i</w:t>
      </w:r>
      <w:r w:rsidR="0004538F" w:rsidRPr="00120335">
        <w:t>n 201</w:t>
      </w:r>
      <w:r w:rsidR="0004538F">
        <w:t>4</w:t>
      </w:r>
      <w:r w:rsidR="0004538F" w:rsidRPr="00120335">
        <w:t xml:space="preserve">, </w:t>
      </w:r>
      <w:r>
        <w:t xml:space="preserve">1.4 million </w:t>
      </w:r>
      <w:r w:rsidR="00B80B19">
        <w:t xml:space="preserve">government funded VET students </w:t>
      </w:r>
      <w:r w:rsidR="0004538F">
        <w:t xml:space="preserve">were enrolled in </w:t>
      </w:r>
      <w:r w:rsidR="00B77BFE" w:rsidRPr="00F74889">
        <w:t>1.8</w:t>
      </w:r>
      <w:r w:rsidRPr="00F74889">
        <w:t> </w:t>
      </w:r>
      <w:r w:rsidR="0004538F" w:rsidRPr="00F74889">
        <w:t>million</w:t>
      </w:r>
      <w:r w:rsidR="0004538F">
        <w:t xml:space="preserve"> courses</w:t>
      </w:r>
      <w:r>
        <w:t xml:space="preserve"> (table</w:t>
      </w:r>
      <w:r w:rsidR="00CA56D8">
        <w:t>s 5A.4 and 5A.</w:t>
      </w:r>
      <w:r>
        <w:t xml:space="preserve">6). </w:t>
      </w:r>
      <w:r w:rsidR="00B80B19">
        <w:t xml:space="preserve">Data of government funded student enrolments, </w:t>
      </w:r>
      <w:r>
        <w:t>aged 20–64 years</w:t>
      </w:r>
      <w:r w:rsidR="00B80B19">
        <w:t xml:space="preserve">, </w:t>
      </w:r>
      <w:r w:rsidR="00DE4B50">
        <w:t>are</w:t>
      </w:r>
      <w:r w:rsidR="00B80B19">
        <w:t xml:space="preserve"> provided in </w:t>
      </w:r>
      <w:r>
        <w:t>table 5A.7</w:t>
      </w:r>
      <w:r w:rsidR="0004538F" w:rsidRPr="00120335">
        <w:t>.</w:t>
      </w:r>
      <w:r>
        <w:t xml:space="preserve"> </w:t>
      </w:r>
    </w:p>
    <w:p w:rsidR="0004538F" w:rsidRDefault="00471D41" w:rsidP="00112304">
      <w:pPr>
        <w:pStyle w:val="BodyText"/>
      </w:pPr>
      <w:r>
        <w:t xml:space="preserve">Nationally, the highest </w:t>
      </w:r>
      <w:r w:rsidRPr="00FD4EA2">
        <w:t xml:space="preserve">qualification </w:t>
      </w:r>
      <w:r>
        <w:t xml:space="preserve">level </w:t>
      </w:r>
      <w:r w:rsidRPr="00FD4EA2">
        <w:t xml:space="preserve">attempted by </w:t>
      </w:r>
      <w:r w:rsidR="003D204A">
        <w:t>government funded VET</w:t>
      </w:r>
      <w:r w:rsidR="003D204A" w:rsidRPr="00FD4EA2">
        <w:t xml:space="preserve"> </w:t>
      </w:r>
      <w:r w:rsidRPr="00FD4EA2">
        <w:t>student</w:t>
      </w:r>
      <w:r>
        <w:t>s</w:t>
      </w:r>
      <w:r w:rsidRPr="00FD4EA2">
        <w:t xml:space="preserve"> in </w:t>
      </w:r>
      <w:r>
        <w:t>2014 was:</w:t>
      </w:r>
    </w:p>
    <w:p w:rsidR="00471D41" w:rsidRDefault="00471D41" w:rsidP="00112304">
      <w:pPr>
        <w:pStyle w:val="ListBullet"/>
      </w:pPr>
      <w:r w:rsidRPr="00120335">
        <w:t>diploma or above</w:t>
      </w:r>
      <w:r>
        <w:t xml:space="preserve"> — </w:t>
      </w:r>
      <w:r w:rsidR="00112304">
        <w:t>11.</w:t>
      </w:r>
      <w:r w:rsidR="001B5E46">
        <w:t>9</w:t>
      </w:r>
      <w:r w:rsidR="00112304">
        <w:t xml:space="preserve"> </w:t>
      </w:r>
      <w:r w:rsidR="00112304" w:rsidRPr="00120335">
        <w:t>per</w:t>
      </w:r>
      <w:r w:rsidR="00112304">
        <w:t xml:space="preserve"> </w:t>
      </w:r>
      <w:r w:rsidR="00112304" w:rsidRPr="00120335">
        <w:t xml:space="preserve">cent </w:t>
      </w:r>
    </w:p>
    <w:p w:rsidR="00471D41" w:rsidRDefault="00471D41" w:rsidP="00112304">
      <w:pPr>
        <w:pStyle w:val="ListBullet"/>
      </w:pPr>
      <w:r w:rsidRPr="00120335">
        <w:t>certificate level III or IV</w:t>
      </w:r>
      <w:r>
        <w:t xml:space="preserve"> — </w:t>
      </w:r>
      <w:r w:rsidR="001B5E46">
        <w:t>60.0</w:t>
      </w:r>
      <w:r w:rsidR="00112304">
        <w:t xml:space="preserve"> </w:t>
      </w:r>
      <w:r w:rsidR="00112304" w:rsidRPr="00120335">
        <w:t>per</w:t>
      </w:r>
      <w:r w:rsidR="00112304">
        <w:t xml:space="preserve"> </w:t>
      </w:r>
      <w:r w:rsidR="00112304" w:rsidRPr="00120335">
        <w:t xml:space="preserve">cent </w:t>
      </w:r>
    </w:p>
    <w:p w:rsidR="00471D41" w:rsidRDefault="00471D41" w:rsidP="00112304">
      <w:pPr>
        <w:pStyle w:val="ListBullet"/>
      </w:pPr>
      <w:r w:rsidRPr="00120335">
        <w:t>certificate level I or II or lower</w:t>
      </w:r>
      <w:r w:rsidR="00112304" w:rsidRPr="00120335">
        <w:t xml:space="preserve">, </w:t>
      </w:r>
      <w:r>
        <w:t xml:space="preserve">20.1 </w:t>
      </w:r>
      <w:r w:rsidRPr="00120335">
        <w:t>per cent</w:t>
      </w:r>
      <w:r>
        <w:t xml:space="preserve"> (table 5A.5).</w:t>
      </w:r>
    </w:p>
    <w:p w:rsidR="00112304" w:rsidRDefault="00B80B19" w:rsidP="00471D41">
      <w:pPr>
        <w:pStyle w:val="BodyText"/>
      </w:pPr>
      <w:r>
        <w:lastRenderedPageBreak/>
        <w:t xml:space="preserve">A further </w:t>
      </w:r>
      <w:r w:rsidR="001B5E46">
        <w:t>8.1</w:t>
      </w:r>
      <w:r w:rsidR="00112304">
        <w:t xml:space="preserve"> </w:t>
      </w:r>
      <w:r w:rsidR="00112304" w:rsidRPr="00120335">
        <w:t xml:space="preserve">per cent </w:t>
      </w:r>
      <w:r w:rsidR="00471D41">
        <w:t xml:space="preserve">of government funded students </w:t>
      </w:r>
      <w:r w:rsidR="00112304" w:rsidRPr="00120335">
        <w:t>were enrolled in a course that did not lead directly to a qualification (table 5A.5).</w:t>
      </w:r>
    </w:p>
    <w:p w:rsidR="001B5E46" w:rsidRDefault="001B5E46" w:rsidP="00112304">
      <w:pPr>
        <w:pStyle w:val="BodyText"/>
        <w:rPr>
          <w:shd w:val="clear" w:color="auto" w:fill="FFFFFF" w:themeFill="background1"/>
        </w:rPr>
      </w:pPr>
      <w:r>
        <w:rPr>
          <w:shd w:val="clear" w:color="auto" w:fill="FFFFFF" w:themeFill="background1"/>
        </w:rPr>
        <w:t>VET students undertake course</w:t>
      </w:r>
      <w:r w:rsidR="00CA56D8">
        <w:rPr>
          <w:shd w:val="clear" w:color="auto" w:fill="FFFFFF" w:themeFill="background1"/>
        </w:rPr>
        <w:t>s</w:t>
      </w:r>
      <w:r>
        <w:rPr>
          <w:shd w:val="clear" w:color="auto" w:fill="FFFFFF" w:themeFill="background1"/>
        </w:rPr>
        <w:t xml:space="preserve"> in a range of fields of education. </w:t>
      </w:r>
      <w:r w:rsidR="003D204A">
        <w:rPr>
          <w:shd w:val="clear" w:color="auto" w:fill="FFFFFF" w:themeFill="background1"/>
        </w:rPr>
        <w:t>Of all students that were either government funded or fee</w:t>
      </w:r>
      <w:r w:rsidR="00AD5F7E">
        <w:rPr>
          <w:shd w:val="clear" w:color="auto" w:fill="FFFFFF" w:themeFill="background1"/>
        </w:rPr>
        <w:noBreakHyphen/>
      </w:r>
      <w:r w:rsidR="003D204A">
        <w:rPr>
          <w:shd w:val="clear" w:color="auto" w:fill="FFFFFF" w:themeFill="background1"/>
        </w:rPr>
        <w:t>for</w:t>
      </w:r>
      <w:r w:rsidR="00AD5F7E">
        <w:rPr>
          <w:shd w:val="clear" w:color="auto" w:fill="FFFFFF" w:themeFill="background1"/>
        </w:rPr>
        <w:noBreakHyphen/>
      </w:r>
      <w:r w:rsidR="003D204A">
        <w:rPr>
          <w:shd w:val="clear" w:color="auto" w:fill="FFFFFF" w:themeFill="background1"/>
        </w:rPr>
        <w:t>service attending a TAFE or other government RTO, t</w:t>
      </w:r>
      <w:r>
        <w:rPr>
          <w:shd w:val="clear" w:color="auto" w:fill="FFFFFF" w:themeFill="background1"/>
        </w:rPr>
        <w:t>he fields of education with the largest number of students in 2014 were:</w:t>
      </w:r>
    </w:p>
    <w:p w:rsidR="001B5E46" w:rsidRDefault="001B5E46" w:rsidP="001B5E46">
      <w:pPr>
        <w:pStyle w:val="ListBullet"/>
        <w:rPr>
          <w:shd w:val="clear" w:color="auto" w:fill="FFFFFF" w:themeFill="background1"/>
        </w:rPr>
      </w:pPr>
      <w:r>
        <w:rPr>
          <w:shd w:val="clear" w:color="auto" w:fill="FFFFFF" w:themeFill="background1"/>
        </w:rPr>
        <w:t>management and commerce (18.6 per cent)</w:t>
      </w:r>
    </w:p>
    <w:p w:rsidR="001B5E46" w:rsidRDefault="001B5E46" w:rsidP="001B5E46">
      <w:pPr>
        <w:pStyle w:val="ListBullet"/>
        <w:rPr>
          <w:shd w:val="clear" w:color="auto" w:fill="FFFFFF" w:themeFill="background1"/>
        </w:rPr>
      </w:pPr>
      <w:r>
        <w:rPr>
          <w:shd w:val="clear" w:color="auto" w:fill="FFFFFF" w:themeFill="background1"/>
        </w:rPr>
        <w:t>engineering and related technologies (16.3 per cent)</w:t>
      </w:r>
    </w:p>
    <w:p w:rsidR="001B5E46" w:rsidRDefault="001B5E46" w:rsidP="001B5E46">
      <w:pPr>
        <w:pStyle w:val="ListBullet"/>
        <w:rPr>
          <w:shd w:val="clear" w:color="auto" w:fill="FFFFFF" w:themeFill="background1"/>
        </w:rPr>
      </w:pPr>
      <w:r>
        <w:rPr>
          <w:shd w:val="clear" w:color="auto" w:fill="FFFFFF" w:themeFill="background1"/>
        </w:rPr>
        <w:t>society and culture (</w:t>
      </w:r>
      <w:r w:rsidR="00507822">
        <w:rPr>
          <w:shd w:val="clear" w:color="auto" w:fill="FFFFFF" w:themeFill="background1"/>
        </w:rPr>
        <w:t>13.7 per cent) (NCVER 2014).</w:t>
      </w:r>
      <w:r>
        <w:rPr>
          <w:shd w:val="clear" w:color="auto" w:fill="FFFFFF" w:themeFill="background1"/>
        </w:rPr>
        <w:t xml:space="preserve"> </w:t>
      </w:r>
    </w:p>
    <w:p w:rsidR="00112304" w:rsidRPr="00EF5A5F" w:rsidRDefault="00112304" w:rsidP="00112304">
      <w:pPr>
        <w:pStyle w:val="Heading4"/>
      </w:pPr>
      <w:r w:rsidRPr="00EF5A5F">
        <w:t>Institutions</w:t>
      </w:r>
    </w:p>
    <w:p w:rsidR="00550272" w:rsidRDefault="00112304" w:rsidP="00D411C2">
      <w:pPr>
        <w:pStyle w:val="BodyText"/>
      </w:pPr>
      <w:r w:rsidRPr="00120335">
        <w:t>In 201</w:t>
      </w:r>
      <w:r w:rsidR="00550272">
        <w:t>4</w:t>
      </w:r>
      <w:r w:rsidRPr="00120335">
        <w:t>, government funded programs were delivered by</w:t>
      </w:r>
      <w:r>
        <w:t xml:space="preserve"> 20</w:t>
      </w:r>
      <w:r w:rsidR="00550272">
        <w:t>71</w:t>
      </w:r>
      <w:r>
        <w:t xml:space="preserve"> </w:t>
      </w:r>
      <w:r w:rsidRPr="00120335">
        <w:t xml:space="preserve">RTOs at </w:t>
      </w:r>
      <w:r w:rsidR="00550272">
        <w:t>31</w:t>
      </w:r>
      <w:r w:rsidR="00AD5F7E">
        <w:t> </w:t>
      </w:r>
      <w:r w:rsidR="00550272">
        <w:t>031</w:t>
      </w:r>
      <w:r>
        <w:t xml:space="preserve"> </w:t>
      </w:r>
      <w:r w:rsidRPr="00EF5A5F">
        <w:t xml:space="preserve">locations </w:t>
      </w:r>
      <w:r w:rsidR="001060F3">
        <w:t xml:space="preserve">in Australia </w:t>
      </w:r>
      <w:r w:rsidRPr="00EF5A5F">
        <w:t>(table 5A.3).</w:t>
      </w:r>
      <w:r w:rsidR="00550272">
        <w:t xml:space="preserve"> </w:t>
      </w:r>
    </w:p>
    <w:p w:rsidR="000D02C6" w:rsidRPr="00B0036D" w:rsidRDefault="00237D70" w:rsidP="00D411C2">
      <w:pPr>
        <w:pStyle w:val="BodyText"/>
      </w:pPr>
      <w:r>
        <w:t xml:space="preserve">Nationally in 2014, </w:t>
      </w:r>
      <w:r w:rsidR="00550272">
        <w:t>t</w:t>
      </w:r>
      <w:r w:rsidR="00112304" w:rsidRPr="00EF5A5F">
        <w:t xml:space="preserve">he value of </w:t>
      </w:r>
      <w:r w:rsidR="00550272">
        <w:t>physical non</w:t>
      </w:r>
      <w:r w:rsidR="00AD5F7E">
        <w:noBreakHyphen/>
      </w:r>
      <w:r w:rsidR="00550272">
        <w:t>current assets</w:t>
      </w:r>
      <w:r w:rsidR="00112304" w:rsidRPr="00EF5A5F">
        <w:t xml:space="preserve"> </w:t>
      </w:r>
      <w:r>
        <w:t xml:space="preserve">owned by </w:t>
      </w:r>
      <w:r w:rsidR="001060F3">
        <w:t>TAFE and other government</w:t>
      </w:r>
      <w:r w:rsidRPr="00EF5A5F">
        <w:t xml:space="preserve"> </w:t>
      </w:r>
      <w:r w:rsidR="003D204A">
        <w:t>RTO</w:t>
      </w:r>
      <w:r w:rsidR="00B80B19">
        <w:t>s</w:t>
      </w:r>
      <w:r w:rsidR="003D204A">
        <w:t xml:space="preserve"> </w:t>
      </w:r>
      <w:r w:rsidR="00112304" w:rsidRPr="00120335">
        <w:t xml:space="preserve">was </w:t>
      </w:r>
      <w:r w:rsidR="00550272">
        <w:t>$9.8 billion, predominantly related to the value of buildings (table</w:t>
      </w:r>
      <w:r w:rsidR="003D204A">
        <w:t> </w:t>
      </w:r>
      <w:r w:rsidR="00550272">
        <w:t>5A.</w:t>
      </w:r>
      <w:r w:rsidR="00CA56D8">
        <w:t>36</w:t>
      </w:r>
      <w:r w:rsidR="00550272">
        <w:t xml:space="preserve">). </w:t>
      </w:r>
      <w:r w:rsidR="00F70C39">
        <w:t xml:space="preserve">The net assets of government </w:t>
      </w:r>
      <w:r w:rsidR="001060F3">
        <w:t xml:space="preserve">TAFE and other government </w:t>
      </w:r>
      <w:r w:rsidR="00F70C39">
        <w:t>VET providers</w:t>
      </w:r>
      <w:r w:rsidR="00550272">
        <w:t xml:space="preserve"> </w:t>
      </w:r>
      <w:r w:rsidR="00F70C39" w:rsidRPr="00120335">
        <w:t xml:space="preserve">per </w:t>
      </w:r>
      <w:r w:rsidR="00F70C39" w:rsidRPr="00EF5A5F">
        <w:t xml:space="preserve">person </w:t>
      </w:r>
      <w:r w:rsidR="00F70C39">
        <w:t xml:space="preserve">in the population </w:t>
      </w:r>
      <w:r w:rsidR="00F70C39" w:rsidRPr="00EF5A5F">
        <w:t xml:space="preserve">aged 15–64 years </w:t>
      </w:r>
      <w:r w:rsidR="00F70C39">
        <w:t>was</w:t>
      </w:r>
      <w:r w:rsidR="00550272">
        <w:t xml:space="preserve"> </w:t>
      </w:r>
      <w:r w:rsidR="00112304">
        <w:t>$</w:t>
      </w:r>
      <w:r w:rsidR="00550272">
        <w:t>673.74</w:t>
      </w:r>
      <w:r w:rsidR="00112304">
        <w:t xml:space="preserve"> </w:t>
      </w:r>
      <w:r w:rsidR="00112304" w:rsidRPr="00EF5A5F">
        <w:t>(table 5A.</w:t>
      </w:r>
      <w:r w:rsidR="00CA56D8">
        <w:t>8</w:t>
      </w:r>
      <w:r w:rsidR="00112304" w:rsidRPr="00EF5A5F">
        <w:t>).</w:t>
      </w:r>
      <w:bookmarkStart w:id="12" w:name="_Toc341279240"/>
    </w:p>
    <w:p w:rsidR="00C57336" w:rsidRPr="00EF5A5F" w:rsidRDefault="003A68D1" w:rsidP="00281C53">
      <w:pPr>
        <w:pStyle w:val="Heading2"/>
      </w:pPr>
      <w:bookmarkStart w:id="13" w:name="_Toc429558950"/>
      <w:r>
        <w:t>5.</w:t>
      </w:r>
      <w:r w:rsidR="00111918">
        <w:rPr>
          <w:noProof/>
        </w:rPr>
        <w:t>2</w:t>
      </w:r>
      <w:r w:rsidR="00D660C5">
        <w:tab/>
      </w:r>
      <w:r w:rsidR="00C57336" w:rsidRPr="00EF5A5F">
        <w:t>Framework of performance indicators</w:t>
      </w:r>
      <w:bookmarkEnd w:id="12"/>
      <w:bookmarkEnd w:id="13"/>
    </w:p>
    <w:p w:rsidR="003A4DAB" w:rsidRPr="00626055" w:rsidRDefault="00626055" w:rsidP="00D411C2">
      <w:pPr>
        <w:pStyle w:val="BodyText"/>
      </w:pPr>
      <w:r>
        <w:t xml:space="preserve">Box </w:t>
      </w:r>
      <w:r w:rsidR="003A68D1">
        <w:t>5.5</w:t>
      </w:r>
      <w:r>
        <w:t xml:space="preserve"> </w:t>
      </w:r>
      <w:r w:rsidRPr="009A0722">
        <w:t xml:space="preserve">describes the </w:t>
      </w:r>
      <w:r>
        <w:t>objective and outcomes for the VET system,</w:t>
      </w:r>
      <w:r w:rsidRPr="009A0722">
        <w:t xml:space="preserve"> agreed by </w:t>
      </w:r>
      <w:r>
        <w:t xml:space="preserve">COAG in the NASWD, </w:t>
      </w:r>
      <w:r w:rsidRPr="00CE46CD">
        <w:t xml:space="preserve">which underpin the performance indicator framework. </w:t>
      </w:r>
      <w:r w:rsidR="008E4B7D" w:rsidRPr="008E4B7D">
        <w:rPr>
          <w:szCs w:val="26"/>
        </w:rPr>
        <w:t xml:space="preserve">Performance indicators reported in this chapter are aligned with VET performance indicators in the most recent version of the NASWD, where relevant. </w:t>
      </w:r>
    </w:p>
    <w:p w:rsidR="00BC49F4" w:rsidRPr="007C0ADB" w:rsidRDefault="00BC49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49F4" w:rsidTr="00BC49F4">
        <w:tc>
          <w:tcPr>
            <w:tcW w:w="8771" w:type="dxa"/>
            <w:tcBorders>
              <w:top w:val="single" w:sz="6" w:space="0" w:color="78A22F"/>
              <w:left w:val="nil"/>
              <w:bottom w:val="nil"/>
              <w:right w:val="nil"/>
            </w:tcBorders>
            <w:shd w:val="clear" w:color="auto" w:fill="F2F2F2" w:themeFill="background1" w:themeFillShade="F2"/>
          </w:tcPr>
          <w:p w:rsidR="00BC49F4" w:rsidRDefault="00BC49F4" w:rsidP="00BC49F4">
            <w:pPr>
              <w:pStyle w:val="BoxTitle"/>
            </w:pPr>
            <w:r>
              <w:rPr>
                <w:b w:val="0"/>
              </w:rPr>
              <w:t xml:space="preserve">Box </w:t>
            </w:r>
            <w:bookmarkStart w:id="14" w:name="OLE_LINK9"/>
            <w:r w:rsidR="003A68D1">
              <w:rPr>
                <w:b w:val="0"/>
              </w:rPr>
              <w:t>5.</w:t>
            </w:r>
            <w:r w:rsidR="00111918">
              <w:rPr>
                <w:b w:val="0"/>
                <w:noProof/>
              </w:rPr>
              <w:t>5</w:t>
            </w:r>
            <w:bookmarkEnd w:id="14"/>
            <w:r>
              <w:tab/>
            </w:r>
            <w:r w:rsidRPr="00EF5A5F">
              <w:t xml:space="preserve">Objectives for </w:t>
            </w:r>
            <w:r w:rsidR="00D411C2">
              <w:t>VET</w:t>
            </w:r>
          </w:p>
        </w:tc>
      </w:tr>
      <w:tr w:rsidR="00BC49F4" w:rsidTr="00BC49F4">
        <w:trPr>
          <w:cantSplit/>
        </w:trPr>
        <w:tc>
          <w:tcPr>
            <w:tcW w:w="8771" w:type="dxa"/>
            <w:tcBorders>
              <w:top w:val="nil"/>
              <w:left w:val="nil"/>
              <w:bottom w:val="nil"/>
              <w:right w:val="nil"/>
            </w:tcBorders>
            <w:shd w:val="clear" w:color="auto" w:fill="F2F2F2" w:themeFill="background1" w:themeFillShade="F2"/>
          </w:tcPr>
          <w:p w:rsidR="00BC49F4" w:rsidRDefault="00BC49F4" w:rsidP="00BC49F4">
            <w:pPr>
              <w:pStyle w:val="BoxListBullet"/>
              <w:numPr>
                <w:ilvl w:val="0"/>
                <w:numId w:val="0"/>
              </w:numPr>
            </w:pPr>
            <w:r w:rsidRPr="00F42E9B">
              <w:t>The objective f</w:t>
            </w:r>
            <w:r>
              <w:t xml:space="preserve">or the </w:t>
            </w:r>
            <w:r w:rsidRPr="00F42E9B">
              <w:t>VET system</w:t>
            </w:r>
            <w:r>
              <w:t>,</w:t>
            </w:r>
            <w:r w:rsidRPr="00F42E9B">
              <w:t xml:space="preserve"> </w:t>
            </w:r>
            <w:r>
              <w:t>as outlined in the NASWD, is:</w:t>
            </w:r>
          </w:p>
          <w:p w:rsidR="00BC49F4" w:rsidRDefault="00BC49F4" w:rsidP="00BC49F4">
            <w:pPr>
              <w:pStyle w:val="BoxListBullet"/>
              <w:spacing w:before="80"/>
            </w:pPr>
            <w:r>
              <w:t xml:space="preserve">a system </w:t>
            </w:r>
            <w:r w:rsidRPr="00F42E9B">
              <w:t>that delivers a productive and highly skilled workforce and which enables all working age Australians to develop the skills and qualifications needed to participate effectively in the labour market and contribute to Australia</w:t>
            </w:r>
            <w:r w:rsidR="008B7466">
              <w:t>’</w:t>
            </w:r>
            <w:r w:rsidRPr="00F42E9B">
              <w:t>s economic future</w:t>
            </w:r>
            <w:r>
              <w:t>,</w:t>
            </w:r>
            <w:r w:rsidRPr="00F42E9B">
              <w:t xml:space="preserve"> and supports the achievement of increased rates of workforce participation.</w:t>
            </w:r>
          </w:p>
          <w:p w:rsidR="00BC49F4" w:rsidRDefault="00BC49F4" w:rsidP="00BC49F4">
            <w:pPr>
              <w:pStyle w:val="BoxListBullet"/>
              <w:numPr>
                <w:ilvl w:val="0"/>
                <w:numId w:val="0"/>
              </w:numPr>
              <w:spacing w:before="120"/>
            </w:pPr>
            <w:r>
              <w:t>Success in meeting the objective for the VET system is underpinned in the NASWD by the following target outcomes:</w:t>
            </w:r>
          </w:p>
          <w:p w:rsidR="00BC49F4" w:rsidRDefault="00BC49F4" w:rsidP="00BC49F4">
            <w:pPr>
              <w:pStyle w:val="BoxListBullet"/>
              <w:spacing w:before="80"/>
            </w:pPr>
            <w:r w:rsidRPr="00C05D42">
              <w:t>the skill levels of the working age population are increased to meet th</w:t>
            </w:r>
            <w:r>
              <w:t>e changing needs of the economy</w:t>
            </w:r>
          </w:p>
          <w:p w:rsidR="00BC49F4" w:rsidRDefault="00BC49F4" w:rsidP="00BC49F4">
            <w:pPr>
              <w:pStyle w:val="BoxListBullet"/>
              <w:spacing w:before="80"/>
            </w:pPr>
            <w:r w:rsidRPr="00C05D42">
              <w:t>all working age Australians have the opportunity to develop skills</w:t>
            </w:r>
          </w:p>
          <w:p w:rsidR="00BC49F4" w:rsidRPr="00C05D42" w:rsidRDefault="00BC49F4" w:rsidP="00BC49F4">
            <w:pPr>
              <w:pStyle w:val="BoxListBullet"/>
              <w:spacing w:before="80"/>
            </w:pPr>
            <w:r w:rsidRPr="00C05D42">
              <w:t>training delivers the skills and capabilities needed for improved economic participation for working age Australians.</w:t>
            </w:r>
          </w:p>
          <w:p w:rsidR="00BC49F4" w:rsidRDefault="00BC49F4" w:rsidP="00BC49F4">
            <w:pPr>
              <w:pStyle w:val="BoxListBullet"/>
              <w:numPr>
                <w:ilvl w:val="0"/>
                <w:numId w:val="0"/>
              </w:numPr>
              <w:spacing w:before="120"/>
            </w:pPr>
            <w:r>
              <w:t xml:space="preserve">The NASWD also acknowledges the need for the VET system to address the particular needs of </w:t>
            </w:r>
            <w:r w:rsidRPr="00CC3A33">
              <w:t>individual</w:t>
            </w:r>
            <w:r>
              <w:t>s</w:t>
            </w:r>
            <w:r w:rsidRPr="00CC3A33">
              <w:t xml:space="preserve"> experiencing disadvantage or disengagement </w:t>
            </w:r>
            <w:r>
              <w:t xml:space="preserve">with </w:t>
            </w:r>
            <w:r w:rsidRPr="00CC3A33">
              <w:t>gaining skills that lead to employment or other meaningful engagement in society</w:t>
            </w:r>
            <w:r>
              <w:t>.</w:t>
            </w:r>
          </w:p>
          <w:p w:rsidR="00BC49F4" w:rsidRDefault="00FD63B2" w:rsidP="00626055">
            <w:pPr>
              <w:pStyle w:val="BoxListBullet"/>
              <w:numPr>
                <w:ilvl w:val="0"/>
                <w:numId w:val="0"/>
              </w:numPr>
              <w:spacing w:before="120"/>
            </w:pPr>
            <w:r>
              <w:t>These objectives are to be met through the provision of s</w:t>
            </w:r>
            <w:r w:rsidR="00626055">
              <w:t>ervices in an efficient manner.</w:t>
            </w:r>
          </w:p>
        </w:tc>
      </w:tr>
      <w:tr w:rsidR="00BC49F4" w:rsidTr="00BC49F4">
        <w:trPr>
          <w:cantSplit/>
        </w:trPr>
        <w:tc>
          <w:tcPr>
            <w:tcW w:w="8771" w:type="dxa"/>
            <w:tcBorders>
              <w:top w:val="nil"/>
              <w:left w:val="nil"/>
              <w:bottom w:val="nil"/>
              <w:right w:val="nil"/>
            </w:tcBorders>
            <w:shd w:val="clear" w:color="auto" w:fill="F2F2F2" w:themeFill="background1" w:themeFillShade="F2"/>
          </w:tcPr>
          <w:p w:rsidR="00BC49F4" w:rsidRDefault="00BC49F4" w:rsidP="00BC49B0">
            <w:pPr>
              <w:pStyle w:val="BoxSource"/>
            </w:pPr>
            <w:r w:rsidRPr="00EF5A5F">
              <w:rPr>
                <w:i/>
              </w:rPr>
              <w:t>Source</w:t>
            </w:r>
            <w:r w:rsidRPr="00EF5A5F">
              <w:t>: COAG (</w:t>
            </w:r>
            <w:r>
              <w:t>2012</w:t>
            </w:r>
            <w:r w:rsidR="008A63EF">
              <w:t>a</w:t>
            </w:r>
            <w:r w:rsidRPr="00EF5A5F">
              <w:t>).</w:t>
            </w:r>
          </w:p>
        </w:tc>
      </w:tr>
      <w:tr w:rsidR="00BC49F4" w:rsidTr="00BC49F4">
        <w:trPr>
          <w:cantSplit/>
        </w:trPr>
        <w:tc>
          <w:tcPr>
            <w:tcW w:w="8771" w:type="dxa"/>
            <w:tcBorders>
              <w:top w:val="nil"/>
              <w:left w:val="nil"/>
              <w:bottom w:val="single" w:sz="6" w:space="0" w:color="78A22F"/>
              <w:right w:val="nil"/>
            </w:tcBorders>
            <w:shd w:val="clear" w:color="auto" w:fill="F2F2F2" w:themeFill="background1" w:themeFillShade="F2"/>
          </w:tcPr>
          <w:p w:rsidR="00BC49F4" w:rsidRDefault="00BC49F4" w:rsidP="00C8234B">
            <w:pPr>
              <w:pStyle w:val="Box"/>
              <w:keepNext w:val="0"/>
              <w:spacing w:before="0" w:line="120" w:lineRule="exact"/>
            </w:pPr>
          </w:p>
        </w:tc>
      </w:tr>
    </w:tbl>
    <w:p w:rsidR="00D411C2" w:rsidRDefault="00D411C2" w:rsidP="00D411C2">
      <w:pPr>
        <w:pStyle w:val="BodyText"/>
        <w:spacing w:after="240"/>
      </w:pPr>
      <w:r w:rsidRPr="00DB572D">
        <w:t xml:space="preserve">The performance indicator framework provides information on equity, efficiency and effectiveness, and distinguishes the outputs and outcomes of </w:t>
      </w:r>
      <w:r w:rsidR="00FD63B2">
        <w:t>VET</w:t>
      </w:r>
      <w:r>
        <w:t xml:space="preserve"> </w:t>
      </w:r>
      <w:r w:rsidRPr="00DB572D">
        <w:t>services (figure</w:t>
      </w:r>
      <w:r>
        <w:t> </w:t>
      </w:r>
      <w:r w:rsidR="003A68D1">
        <w:t>5.4</w:t>
      </w:r>
      <w:r w:rsidRPr="00DB572D">
        <w:t xml:space="preserve">). The performance indicator framework shows which data are comparable in the </w:t>
      </w:r>
      <w:r>
        <w:t>2016</w:t>
      </w:r>
      <w:r w:rsidR="00FD63B2">
        <w:t> </w:t>
      </w:r>
      <w:r w:rsidRPr="00DB572D">
        <w:t xml:space="preserve">Report. For data that are not considered directly comparable, text includes relevant caveats and supporting commentary. Chapter 1 discusses data comparability </w:t>
      </w:r>
      <w:r w:rsidRPr="00BC07B7">
        <w:t>and completeness</w:t>
      </w:r>
      <w:r>
        <w:t xml:space="preserve"> </w:t>
      </w:r>
      <w:r w:rsidRPr="00DB572D">
        <w:t>from a Report</w:t>
      </w:r>
      <w:r>
        <w:noBreakHyphen/>
      </w:r>
      <w:r w:rsidRPr="00DB572D">
        <w:t>wide perspective (section 1.6).</w:t>
      </w:r>
    </w:p>
    <w:p w:rsidR="008E4B7D" w:rsidRDefault="00D411C2" w:rsidP="00D411C2">
      <w:pPr>
        <w:pStyle w:val="BodyText"/>
        <w:spacing w:after="240"/>
      </w:pPr>
      <w:r>
        <w:t>In addition to section 5.1, the Report’s Statistical context chapter contains data that may assist in interpreting the performance indicators presented in this chapter. These data cover a range of demographic and geographic characteristics (chapter 2).</w:t>
      </w:r>
    </w:p>
    <w:p w:rsidR="00BC49F4" w:rsidRDefault="00AD5F7E" w:rsidP="00BC49F4">
      <w:pPr>
        <w:pStyle w:val="BoxSpaceAbove"/>
      </w:pPr>
      <w:r>
        <w:lastRenderedPageBreak/>
        <w:t xml:space="preserve"> </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49F4" w:rsidTr="00BC49F4">
        <w:tc>
          <w:tcPr>
            <w:tcW w:w="8771" w:type="dxa"/>
            <w:tcBorders>
              <w:top w:val="single" w:sz="6" w:space="0" w:color="78A22F"/>
              <w:left w:val="nil"/>
              <w:bottom w:val="nil"/>
              <w:right w:val="nil"/>
            </w:tcBorders>
            <w:shd w:val="clear" w:color="auto" w:fill="auto"/>
          </w:tcPr>
          <w:p w:rsidR="00BC49F4" w:rsidRPr="00176D3F" w:rsidRDefault="00BC49F4" w:rsidP="00B43EB8">
            <w:pPr>
              <w:pStyle w:val="FigureTitle"/>
            </w:pPr>
            <w:r w:rsidRPr="00784A05">
              <w:rPr>
                <w:b w:val="0"/>
              </w:rPr>
              <w:t xml:space="preserve">Figure </w:t>
            </w:r>
            <w:bookmarkStart w:id="15" w:name="OLE_LINK8"/>
            <w:r w:rsidR="003A68D1">
              <w:rPr>
                <w:b w:val="0"/>
              </w:rPr>
              <w:t>5.</w:t>
            </w:r>
            <w:r w:rsidR="00111918">
              <w:rPr>
                <w:b w:val="0"/>
                <w:noProof/>
              </w:rPr>
              <w:t>4</w:t>
            </w:r>
            <w:bookmarkEnd w:id="15"/>
            <w:r>
              <w:tab/>
            </w:r>
            <w:r w:rsidRPr="00E51808">
              <w:t xml:space="preserve">VET performance indicator framework </w:t>
            </w:r>
          </w:p>
        </w:tc>
      </w:tr>
      <w:tr w:rsidR="00BC49F4" w:rsidTr="00BC49F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BC49F4" w:rsidTr="00BC49F4">
              <w:tc>
                <w:tcPr>
                  <w:tcW w:w="5000" w:type="pct"/>
                  <w:tcBorders>
                    <w:top w:val="nil"/>
                    <w:bottom w:val="nil"/>
                  </w:tcBorders>
                </w:tcPr>
                <w:p w:rsidR="00BC49F4" w:rsidRDefault="00ED2F7D" w:rsidP="00BC49F4">
                  <w:pPr>
                    <w:pStyle w:val="Figure"/>
                    <w:spacing w:before="60" w:after="60"/>
                  </w:pPr>
                  <w:r>
                    <w:rPr>
                      <w:noProof/>
                    </w:rPr>
                    <w:drawing>
                      <wp:inline distT="0" distB="0" distL="0" distR="0" wp14:anchorId="614EA256" wp14:editId="20B6B56E">
                        <wp:extent cx="5325110" cy="4238625"/>
                        <wp:effectExtent l="0" t="0" r="8890" b="9525"/>
                        <wp:docPr id="3" name="Picture 3" descr="Figure 5.4 VET performance indicator framework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25110" cy="4238625"/>
                                </a:xfrm>
                                <a:prstGeom prst="rect">
                                  <a:avLst/>
                                </a:prstGeom>
                                <a:noFill/>
                                <a:ln>
                                  <a:noFill/>
                                </a:ln>
                              </pic:spPr>
                            </pic:pic>
                          </a:graphicData>
                        </a:graphic>
                      </wp:inline>
                    </w:drawing>
                  </w:r>
                </w:p>
              </w:tc>
            </w:tr>
          </w:tbl>
          <w:p w:rsidR="00BC49F4" w:rsidRDefault="00BC49F4" w:rsidP="00BC49F4">
            <w:pPr>
              <w:pStyle w:val="Figure"/>
            </w:pPr>
          </w:p>
        </w:tc>
      </w:tr>
      <w:tr w:rsidR="00BC49F4" w:rsidTr="00BC49F4">
        <w:tc>
          <w:tcPr>
            <w:tcW w:w="8771" w:type="dxa"/>
            <w:tcBorders>
              <w:top w:val="nil"/>
              <w:left w:val="nil"/>
              <w:bottom w:val="single" w:sz="6" w:space="0" w:color="78A22F"/>
              <w:right w:val="nil"/>
            </w:tcBorders>
            <w:shd w:val="clear" w:color="auto" w:fill="auto"/>
          </w:tcPr>
          <w:p w:rsidR="00BC49F4" w:rsidRDefault="00BC49F4" w:rsidP="00BC49F4">
            <w:pPr>
              <w:pStyle w:val="Figurespace"/>
            </w:pPr>
          </w:p>
        </w:tc>
      </w:tr>
      <w:tr w:rsidR="00BC49F4" w:rsidRPr="000863A5" w:rsidTr="00BC49F4">
        <w:tc>
          <w:tcPr>
            <w:tcW w:w="8771" w:type="dxa"/>
            <w:tcBorders>
              <w:top w:val="single" w:sz="6" w:space="0" w:color="78A22F"/>
              <w:left w:val="nil"/>
              <w:bottom w:val="nil"/>
              <w:right w:val="nil"/>
            </w:tcBorders>
          </w:tcPr>
          <w:p w:rsidR="00BC49F4" w:rsidRPr="00626D32" w:rsidRDefault="00BC49F4" w:rsidP="00FD63B2">
            <w:pPr>
              <w:pStyle w:val="BoxSpaceBelow"/>
            </w:pPr>
          </w:p>
        </w:tc>
      </w:tr>
    </w:tbl>
    <w:p w:rsidR="00C57336" w:rsidRPr="00EF5A5F" w:rsidRDefault="003A68D1" w:rsidP="00E97FCA">
      <w:pPr>
        <w:pStyle w:val="Heading2"/>
      </w:pPr>
      <w:bookmarkStart w:id="16" w:name="_Toc341279241"/>
      <w:bookmarkStart w:id="17" w:name="_Toc429558951"/>
      <w:r>
        <w:t>5.</w:t>
      </w:r>
      <w:r w:rsidR="00111918">
        <w:rPr>
          <w:noProof/>
        </w:rPr>
        <w:t>3</w:t>
      </w:r>
      <w:r w:rsidR="00D660C5">
        <w:tab/>
      </w:r>
      <w:r w:rsidR="00C57336" w:rsidRPr="00EF5A5F">
        <w:t>Key performance indicator results</w:t>
      </w:r>
      <w:bookmarkEnd w:id="16"/>
      <w:bookmarkEnd w:id="17"/>
    </w:p>
    <w:p w:rsidR="00C57336" w:rsidRDefault="00626055" w:rsidP="00040DCF">
      <w:pPr>
        <w:pStyle w:val="BodyText"/>
      </w:pPr>
      <w:r>
        <w:t>D</w:t>
      </w:r>
      <w:r w:rsidR="00C57336" w:rsidRPr="00EF5A5F">
        <w:t>ifferent delivery environments, locations and types of client</w:t>
      </w:r>
      <w:r>
        <w:t xml:space="preserve"> can affect t</w:t>
      </w:r>
      <w:r w:rsidRPr="00EF5A5F">
        <w:t>he equity, effectiveness</w:t>
      </w:r>
      <w:r>
        <w:t xml:space="preserve"> and efficiency of VET services.</w:t>
      </w:r>
    </w:p>
    <w:p w:rsidR="00D411C2" w:rsidRPr="003455FC" w:rsidRDefault="00D411C2" w:rsidP="00D411C2">
      <w:pPr>
        <w:pStyle w:val="BodyText"/>
        <w:rPr>
          <w:rFonts w:eastAsia="Calibri"/>
          <w:color w:val="000000" w:themeColor="text1"/>
          <w:lang w:eastAsia="en-US"/>
        </w:rPr>
      </w:pPr>
      <w:r w:rsidRPr="000B1E0C">
        <w:rPr>
          <w:rFonts w:eastAsia="Calibri"/>
          <w:color w:val="000000" w:themeColor="text1"/>
          <w:lang w:eastAsia="en-US"/>
        </w:rPr>
        <w:t xml:space="preserve">Data quality information (DQI) is </w:t>
      </w:r>
      <w:r>
        <w:rPr>
          <w:rFonts w:eastAsia="Calibri"/>
          <w:color w:val="000000" w:themeColor="text1"/>
          <w:lang w:eastAsia="en-US"/>
        </w:rPr>
        <w:t xml:space="preserve">included where available for performance indicators in this Report. The </w:t>
      </w:r>
      <w:r w:rsidRPr="000B1E0C">
        <w:rPr>
          <w:rFonts w:eastAsia="Calibri"/>
          <w:color w:val="000000" w:themeColor="text1"/>
          <w:lang w:eastAsia="en-US"/>
        </w:rPr>
        <w:t xml:space="preserve">purpose of DQI is to provide structured and consistent information about quality aspects of data used to report on performance indicators, in addition to material in the chapter or sector overview and attachment tables. All DQI for the </w:t>
      </w:r>
      <w:r>
        <w:rPr>
          <w:rFonts w:eastAsia="Calibri"/>
          <w:color w:val="000000" w:themeColor="text1"/>
          <w:lang w:eastAsia="en-US"/>
        </w:rPr>
        <w:t>2016</w:t>
      </w:r>
      <w:r w:rsidRPr="000B1E0C">
        <w:rPr>
          <w:rFonts w:eastAsia="Calibri"/>
          <w:color w:val="000000" w:themeColor="text1"/>
          <w:lang w:eastAsia="en-US"/>
        </w:rPr>
        <w:t> Report can be fou</w:t>
      </w:r>
      <w:r>
        <w:rPr>
          <w:rFonts w:eastAsia="Calibri"/>
          <w:color w:val="000000" w:themeColor="text1"/>
          <w:lang w:eastAsia="en-US"/>
        </w:rPr>
        <w:t>nd at www.pc.gov.au/</w:t>
      </w:r>
      <w:r w:rsidRPr="000B1E0C">
        <w:rPr>
          <w:rFonts w:eastAsia="Calibri"/>
          <w:color w:val="000000" w:themeColor="text1"/>
          <w:lang w:eastAsia="en-US"/>
        </w:rPr>
        <w:t>rogs/</w:t>
      </w:r>
      <w:r>
        <w:rPr>
          <w:rFonts w:eastAsia="Calibri"/>
          <w:color w:val="000000" w:themeColor="text1"/>
          <w:lang w:eastAsia="en-US"/>
        </w:rPr>
        <w:t>2016</w:t>
      </w:r>
      <w:r w:rsidRPr="003455FC">
        <w:rPr>
          <w:rFonts w:eastAsia="Calibri"/>
          <w:color w:val="000000" w:themeColor="text1"/>
          <w:lang w:eastAsia="en-US"/>
        </w:rPr>
        <w:t>.</w:t>
      </w:r>
    </w:p>
    <w:p w:rsidR="00C57336" w:rsidRPr="00EF5A5F" w:rsidRDefault="00C57336" w:rsidP="00281C53">
      <w:pPr>
        <w:pStyle w:val="Heading3"/>
      </w:pPr>
      <w:r w:rsidRPr="00EF5A5F">
        <w:t>Outputs</w:t>
      </w:r>
    </w:p>
    <w:p w:rsidR="00D411C2" w:rsidRPr="009E5CE0" w:rsidRDefault="00D411C2" w:rsidP="00D411C2">
      <w:pPr>
        <w:pStyle w:val="BodyText"/>
        <w:rPr>
          <w:color w:val="000000" w:themeColor="text1"/>
        </w:rPr>
      </w:pPr>
      <w:r w:rsidRPr="009E5CE0">
        <w:rPr>
          <w:color w:val="000000" w:themeColor="text1"/>
        </w:rPr>
        <w:t>Outputs are the actual services delivered (while outcomes are the impact of these services on the status of an individual or group) (see chapter 1, section 1.5).</w:t>
      </w:r>
      <w:r>
        <w:rPr>
          <w:color w:val="000000" w:themeColor="text1"/>
        </w:rPr>
        <w:t xml:space="preserve"> Output information is also critical for equitable, efficient and effective management of government services.</w:t>
      </w:r>
    </w:p>
    <w:p w:rsidR="00C57336" w:rsidRPr="00EF5A5F" w:rsidRDefault="00C57336" w:rsidP="00D411C2">
      <w:pPr>
        <w:pStyle w:val="Heading3"/>
      </w:pPr>
      <w:r w:rsidRPr="00EF5A5F">
        <w:lastRenderedPageBreak/>
        <w:t xml:space="preserve">Equity </w:t>
      </w:r>
    </w:p>
    <w:p w:rsidR="00C57336" w:rsidRPr="00EF5A5F" w:rsidRDefault="001B5815" w:rsidP="00D411C2">
      <w:pPr>
        <w:pStyle w:val="Heading4"/>
      </w:pPr>
      <w:r>
        <w:t xml:space="preserve">Access — </w:t>
      </w:r>
      <w:r w:rsidR="00C57336" w:rsidRPr="00EF5A5F">
        <w:t>VET participation by target group</w:t>
      </w:r>
    </w:p>
    <w:p w:rsidR="00856FBE" w:rsidRDefault="00626055" w:rsidP="00463C64">
      <w:pPr>
        <w:pStyle w:val="BodyText"/>
      </w:pPr>
      <w:r w:rsidRPr="00EF5A5F">
        <w:t>‘VET participation by target group’ is an indicator of governments’ objective</w:t>
      </w:r>
      <w:r>
        <w:t xml:space="preserve"> that </w:t>
      </w:r>
      <w:r w:rsidRPr="00DC3600">
        <w:t>disadvantage</w:t>
      </w:r>
      <w:r>
        <w:t>d groups</w:t>
      </w:r>
      <w:r w:rsidRPr="00DC3600">
        <w:t xml:space="preserve"> </w:t>
      </w:r>
      <w:r>
        <w:t>have equitable access to the VET system</w:t>
      </w:r>
      <w:r w:rsidRPr="00DC3600">
        <w:t xml:space="preserve"> </w:t>
      </w:r>
      <w:r w:rsidR="001B5815" w:rsidRPr="00EF5A5F">
        <w:t xml:space="preserve">(box </w:t>
      </w:r>
      <w:r w:rsidR="003A68D1">
        <w:t>5.6</w:t>
      </w:r>
      <w:r w:rsidR="001B5815" w:rsidRPr="00EF5A5F">
        <w:t>)</w:t>
      </w:r>
      <w:r w:rsidR="001B5815" w:rsidRPr="00DC3600">
        <w:t xml:space="preserve">. </w:t>
      </w:r>
    </w:p>
    <w:p w:rsidR="001B5815" w:rsidRPr="007C0ADB" w:rsidRDefault="001B581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B5815" w:rsidTr="006B1F1F">
        <w:tc>
          <w:tcPr>
            <w:tcW w:w="8771" w:type="dxa"/>
            <w:tcBorders>
              <w:top w:val="single" w:sz="6" w:space="0" w:color="78A22F"/>
              <w:left w:val="nil"/>
              <w:bottom w:val="nil"/>
              <w:right w:val="nil"/>
            </w:tcBorders>
            <w:shd w:val="clear" w:color="auto" w:fill="F2F2F2"/>
          </w:tcPr>
          <w:p w:rsidR="001B5815" w:rsidRDefault="001B5815" w:rsidP="001B5815">
            <w:pPr>
              <w:pStyle w:val="BoxTitle"/>
            </w:pPr>
            <w:r>
              <w:rPr>
                <w:b w:val="0"/>
              </w:rPr>
              <w:t xml:space="preserve">Box </w:t>
            </w:r>
            <w:bookmarkStart w:id="18" w:name="OLE_LINK11"/>
            <w:r w:rsidR="003A68D1">
              <w:rPr>
                <w:b w:val="0"/>
              </w:rPr>
              <w:t>5.</w:t>
            </w:r>
            <w:r w:rsidR="00111918">
              <w:rPr>
                <w:b w:val="0"/>
                <w:noProof/>
              </w:rPr>
              <w:t>6</w:t>
            </w:r>
            <w:bookmarkEnd w:id="18"/>
            <w:r>
              <w:tab/>
            </w:r>
            <w:r w:rsidRPr="00EF5A5F">
              <w:t>VET participation by target group</w:t>
            </w:r>
          </w:p>
        </w:tc>
      </w:tr>
      <w:tr w:rsidR="001B5815" w:rsidTr="006B1F1F">
        <w:trPr>
          <w:cantSplit/>
        </w:trPr>
        <w:tc>
          <w:tcPr>
            <w:tcW w:w="8771" w:type="dxa"/>
            <w:tcBorders>
              <w:top w:val="nil"/>
              <w:left w:val="nil"/>
              <w:bottom w:val="nil"/>
              <w:right w:val="nil"/>
            </w:tcBorders>
            <w:shd w:val="clear" w:color="auto" w:fill="F2F2F2"/>
          </w:tcPr>
          <w:p w:rsidR="001B5815" w:rsidRPr="00EF5A5F" w:rsidRDefault="001B5815" w:rsidP="001B5815">
            <w:pPr>
              <w:pStyle w:val="Box"/>
            </w:pPr>
            <w:r w:rsidRPr="00EF5A5F">
              <w:t>‘VET participation by target group’ is defined as the number of government funded participants in the VET system who self</w:t>
            </w:r>
            <w:r w:rsidR="00AD5F7E">
              <w:noBreakHyphen/>
            </w:r>
            <w:r w:rsidRPr="00EF5A5F">
              <w:t xml:space="preserve">identified that they are from a target group, as a proportion of the total number of people in the population in that group. </w:t>
            </w:r>
            <w:r w:rsidRPr="001B5815">
              <w:t>For this Report,</w:t>
            </w:r>
            <w:r>
              <w:t xml:space="preserve"> t</w:t>
            </w:r>
            <w:r w:rsidRPr="00EF5A5F">
              <w:t>he designated equity groups are:</w:t>
            </w:r>
          </w:p>
          <w:p w:rsidR="001B5815" w:rsidRPr="00EF5A5F" w:rsidRDefault="001B5815" w:rsidP="001B5815">
            <w:pPr>
              <w:pStyle w:val="BoxListBullet"/>
            </w:pPr>
            <w:r>
              <w:t>Aboriginal and Torres Strait Islander people</w:t>
            </w:r>
            <w:r w:rsidR="003A4DAB">
              <w:t xml:space="preserve"> </w:t>
            </w:r>
          </w:p>
          <w:p w:rsidR="001B5815" w:rsidRPr="00EF5A5F" w:rsidRDefault="001B5815" w:rsidP="001B5815">
            <w:pPr>
              <w:pStyle w:val="BoxListBullet"/>
            </w:pPr>
            <w:r w:rsidRPr="00EF5A5F">
              <w:t>people from remote and very remote areas</w:t>
            </w:r>
            <w:r w:rsidR="00463C64">
              <w:t xml:space="preserve"> — </w:t>
            </w:r>
            <w:r w:rsidR="00463C64" w:rsidRPr="000D462B">
              <w:t>based on students’ home postcode using the Accessibility and Remoteness Index for Australia (ARIA) classification system</w:t>
            </w:r>
            <w:r w:rsidR="00626055">
              <w:t>. Under the ARIA classification there are no major cities in Tasmania,</w:t>
            </w:r>
            <w:r w:rsidR="00BC49B0">
              <w:t xml:space="preserve"> no outer regional or remote area</w:t>
            </w:r>
            <w:r w:rsidR="00626055">
              <w:t>s in the ACT and no major cities or</w:t>
            </w:r>
            <w:r w:rsidR="00095CAA">
              <w:t xml:space="preserve"> inner regional areas in the NT</w:t>
            </w:r>
          </w:p>
          <w:p w:rsidR="001B5815" w:rsidRPr="00EF5A5F" w:rsidRDefault="001B5815" w:rsidP="001B5815">
            <w:pPr>
              <w:pStyle w:val="BoxListBullet"/>
            </w:pPr>
            <w:r w:rsidRPr="00EF5A5F">
              <w:t>people with disability</w:t>
            </w:r>
          </w:p>
          <w:p w:rsidR="001B5815" w:rsidRPr="00EF5A5F" w:rsidRDefault="001B5815" w:rsidP="001B5815">
            <w:pPr>
              <w:pStyle w:val="BoxListBullet"/>
            </w:pPr>
            <w:r w:rsidRPr="00EF5A5F">
              <w:t>people speaking a language other than English (LOTE) at home.</w:t>
            </w:r>
          </w:p>
          <w:p w:rsidR="004B0752" w:rsidRDefault="00C53D0C" w:rsidP="00980255">
            <w:pPr>
              <w:pStyle w:val="Box"/>
            </w:pPr>
            <w:r>
              <w:t>All else being equal, i</w:t>
            </w:r>
            <w:r w:rsidR="004B0752" w:rsidRPr="00BC49B0">
              <w:t xml:space="preserve">t is desirable that VET participation by target </w:t>
            </w:r>
            <w:r w:rsidR="004B0752" w:rsidRPr="00980255">
              <w:t>group</w:t>
            </w:r>
            <w:r w:rsidR="004B0752" w:rsidRPr="00BC49B0">
              <w:t xml:space="preserve"> is at</w:t>
            </w:r>
            <w:r w:rsidR="00F61A98" w:rsidRPr="00BC49B0">
              <w:t>, or above,</w:t>
            </w:r>
            <w:r w:rsidR="004B0752" w:rsidRPr="00BC49B0">
              <w:t xml:space="preserve"> a similar level to that for all students. A lower participation rate means the target group is underrepresented in VET.</w:t>
            </w:r>
          </w:p>
          <w:p w:rsidR="004B0752" w:rsidRDefault="004B0752" w:rsidP="004B0752">
            <w:pPr>
              <w:pStyle w:val="Box"/>
            </w:pPr>
            <w:r w:rsidRPr="00EF5A5F">
              <w:t xml:space="preserve">Care needs to be taken in interpreting the participation rates presented for people with disability, people speaking a LOTE at home, and </w:t>
            </w:r>
            <w:r>
              <w:t>Aboriginal and Torres Strait Islander people</w:t>
            </w:r>
            <w:r w:rsidRPr="00EF5A5F">
              <w:t>, because the data depend on self</w:t>
            </w:r>
            <w:r w:rsidR="00AD5F7E">
              <w:noBreakHyphen/>
            </w:r>
            <w:r w:rsidRPr="00EF5A5F">
              <w:t xml:space="preserve">identification at the time of </w:t>
            </w:r>
            <w:r>
              <w:t>enrolment and the number of non</w:t>
            </w:r>
            <w:r>
              <w:noBreakHyphen/>
            </w:r>
            <w:r w:rsidRPr="00EF5A5F">
              <w:t>responses (that is, students who did not indicate whether or not they belong to these groups</w:t>
            </w:r>
            <w:r>
              <w:t>) varies across jurisdictions.</w:t>
            </w:r>
          </w:p>
          <w:p w:rsidR="004B0752" w:rsidRDefault="004B0752" w:rsidP="00F61A98">
            <w:pPr>
              <w:pStyle w:val="Box"/>
            </w:pPr>
            <w:r w:rsidRPr="00EF5A5F">
              <w:t xml:space="preserve">Data on participation </w:t>
            </w:r>
            <w:r w:rsidRPr="00611386">
              <w:t xml:space="preserve">by </w:t>
            </w:r>
            <w:r w:rsidRPr="00A26D57">
              <w:t>Indigenous status</w:t>
            </w:r>
            <w:r w:rsidRPr="00EF5A5F">
              <w:t xml:space="preserve"> are for students identified as aged 15</w:t>
            </w:r>
            <w:r>
              <w:t>–</w:t>
            </w:r>
            <w:r w:rsidRPr="00EF5A5F">
              <w:t>64</w:t>
            </w:r>
            <w:r>
              <w:t xml:space="preserve"> </w:t>
            </w:r>
            <w:r w:rsidRPr="00EF5A5F">
              <w:t>years, and data on participation for other groups are reported for students of all ages. Data on participation are for students in Australia</w:t>
            </w:r>
            <w:r w:rsidR="00AD5F7E">
              <w:t>’</w:t>
            </w:r>
            <w:r w:rsidRPr="00EF5A5F">
              <w:t>s government funded VET system.</w:t>
            </w:r>
          </w:p>
        </w:tc>
      </w:tr>
      <w:tr w:rsidR="009407E6" w:rsidTr="004A350E">
        <w:trPr>
          <w:cantSplit/>
        </w:trPr>
        <w:tc>
          <w:tcPr>
            <w:tcW w:w="8771" w:type="dxa"/>
            <w:tcBorders>
              <w:top w:val="nil"/>
              <w:left w:val="nil"/>
              <w:bottom w:val="nil"/>
              <w:right w:val="nil"/>
            </w:tcBorders>
            <w:shd w:val="clear" w:color="auto" w:fill="F2F2F2" w:themeFill="background1" w:themeFillShade="F2"/>
          </w:tcPr>
          <w:p w:rsidR="00463C64" w:rsidRDefault="00463C64" w:rsidP="009407E6">
            <w:pPr>
              <w:pStyle w:val="Box"/>
            </w:pPr>
            <w:r w:rsidRPr="00A26D57">
              <w:t xml:space="preserve">The participation rates by Indigenous status are calculated from two sources and comparability issues may occur when rates utilise data from different sources. This measure uses a numerator from the National VET provider collection and a denominator of </w:t>
            </w:r>
            <w:r w:rsidR="00BC49B0">
              <w:t>projected</w:t>
            </w:r>
            <w:r w:rsidRPr="00A26D57">
              <w:t xml:space="preserve"> </w:t>
            </w:r>
            <w:r w:rsidR="00BC49B0" w:rsidRPr="00A26D57">
              <w:t>resident population</w:t>
            </w:r>
            <w:r w:rsidRPr="00A26D57">
              <w:t xml:space="preserve">. </w:t>
            </w:r>
          </w:p>
          <w:p w:rsidR="009407E6" w:rsidRDefault="009407E6" w:rsidP="009407E6">
            <w:pPr>
              <w:pStyle w:val="Box"/>
            </w:pPr>
            <w:r w:rsidRPr="00F51738">
              <w:t>Data reported for this measure:</w:t>
            </w:r>
          </w:p>
          <w:p w:rsidR="009407E6" w:rsidRPr="001D1E8C" w:rsidRDefault="009407E6" w:rsidP="009407E6">
            <w:pPr>
              <w:pStyle w:val="BoxListBullet"/>
            </w:pPr>
            <w:r w:rsidRPr="001D1E8C">
              <w:t>may not be comparable (subject to caveats) within jurisdictions over time and may not be comparable across jurisdictions</w:t>
            </w:r>
          </w:p>
          <w:p w:rsidR="009407E6" w:rsidRPr="001D1E8C" w:rsidRDefault="009407E6" w:rsidP="009407E6">
            <w:pPr>
              <w:pStyle w:val="BoxListBullet"/>
            </w:pPr>
            <w:r w:rsidRPr="001D1E8C">
              <w:t>are complete for the current reporting period (subject to caveats). All required 201</w:t>
            </w:r>
            <w:r w:rsidR="00F61A98">
              <w:t>4</w:t>
            </w:r>
            <w:r w:rsidRPr="001D1E8C">
              <w:t xml:space="preserve"> data are available for all jurisdictions.</w:t>
            </w:r>
          </w:p>
          <w:p w:rsidR="009407E6" w:rsidRDefault="009407E6" w:rsidP="00D22DD3">
            <w:pPr>
              <w:pStyle w:val="Box"/>
            </w:pPr>
            <w:r w:rsidRPr="00EF5A5F">
              <w:t xml:space="preserve">Data quality information for this indicator is at </w:t>
            </w:r>
            <w:r w:rsidR="006E0D24">
              <w:t>www.pc.gov.au</w:t>
            </w:r>
            <w:r w:rsidRPr="00EF5A5F">
              <w:t>/rogs/</w:t>
            </w:r>
            <w:r>
              <w:t>201</w:t>
            </w:r>
            <w:r w:rsidR="00D22DD3">
              <w:t>6</w:t>
            </w:r>
            <w:r w:rsidRPr="00EF5A5F">
              <w:t>.</w:t>
            </w:r>
          </w:p>
        </w:tc>
      </w:tr>
      <w:tr w:rsidR="009407E6" w:rsidTr="004A350E">
        <w:trPr>
          <w:cantSplit/>
        </w:trPr>
        <w:tc>
          <w:tcPr>
            <w:tcW w:w="8771" w:type="dxa"/>
            <w:tcBorders>
              <w:top w:val="nil"/>
              <w:left w:val="nil"/>
              <w:bottom w:val="single" w:sz="6" w:space="0" w:color="78A22F"/>
              <w:right w:val="nil"/>
            </w:tcBorders>
            <w:shd w:val="clear" w:color="auto" w:fill="F2F2F2" w:themeFill="background1" w:themeFillShade="F2"/>
          </w:tcPr>
          <w:p w:rsidR="009407E6" w:rsidRDefault="009407E6" w:rsidP="00C53D0C">
            <w:pPr>
              <w:pStyle w:val="Box"/>
              <w:keepNext w:val="0"/>
              <w:spacing w:before="0" w:line="120" w:lineRule="exact"/>
            </w:pPr>
          </w:p>
        </w:tc>
      </w:tr>
    </w:tbl>
    <w:p w:rsidR="00711910" w:rsidRPr="00EF5A5F" w:rsidRDefault="00711910" w:rsidP="00D411C2">
      <w:pPr>
        <w:pStyle w:val="Heading5"/>
      </w:pPr>
      <w:r w:rsidRPr="00EF5A5F">
        <w:lastRenderedPageBreak/>
        <w:t xml:space="preserve">VET participation by target group — </w:t>
      </w:r>
      <w:r w:rsidR="00804C04">
        <w:t>Aboriginal and Torres Strait Islander people</w:t>
      </w:r>
    </w:p>
    <w:p w:rsidR="007C5D17" w:rsidRDefault="00960BF1" w:rsidP="007C5D17">
      <w:pPr>
        <w:pStyle w:val="BodyText"/>
      </w:pPr>
      <w:r>
        <w:t xml:space="preserve">Nationally in 2014, the participation rate for Aboriginal and Torres Strait Islander people aged 15–64 years was 17.2 </w:t>
      </w:r>
      <w:r w:rsidRPr="00E51808">
        <w:t>per</w:t>
      </w:r>
      <w:r>
        <w:t xml:space="preserve"> </w:t>
      </w:r>
      <w:r w:rsidRPr="00E51808">
        <w:t xml:space="preserve">cent </w:t>
      </w:r>
      <w:r>
        <w:t xml:space="preserve">compared to 8.2 </w:t>
      </w:r>
      <w:r w:rsidRPr="00E51808">
        <w:t>per</w:t>
      </w:r>
      <w:r>
        <w:t xml:space="preserve"> cent for</w:t>
      </w:r>
      <w:r w:rsidRPr="00EF5A5F">
        <w:t xml:space="preserve"> </w:t>
      </w:r>
      <w:r>
        <w:t>non</w:t>
      </w:r>
      <w:r>
        <w:noBreakHyphen/>
        <w:t>Indigenous people.</w:t>
      </w:r>
      <w:r w:rsidRPr="00EF5A5F">
        <w:t xml:space="preserve"> </w:t>
      </w:r>
      <w:r>
        <w:t>T</w:t>
      </w:r>
      <w:r w:rsidR="00711910" w:rsidRPr="00EF5A5F">
        <w:t xml:space="preserve">he participation rate </w:t>
      </w:r>
      <w:r w:rsidR="00E03077" w:rsidRPr="00EF5A5F">
        <w:t xml:space="preserve">in government funded VET </w:t>
      </w:r>
      <w:r w:rsidR="00711910" w:rsidRPr="00EF5A5F">
        <w:t xml:space="preserve">for </w:t>
      </w:r>
      <w:r w:rsidR="00804C04">
        <w:t xml:space="preserve">Aboriginal and Torres Strait Islander </w:t>
      </w:r>
      <w:r w:rsidR="00711910" w:rsidRPr="00EF5A5F">
        <w:t>p</w:t>
      </w:r>
      <w:r w:rsidR="00812E68">
        <w:t>eople</w:t>
      </w:r>
      <w:r w:rsidR="00711910" w:rsidRPr="00EF5A5F">
        <w:t xml:space="preserve"> aged 15–64</w:t>
      </w:r>
      <w:r w:rsidR="00AE5734">
        <w:t xml:space="preserve"> </w:t>
      </w:r>
      <w:r w:rsidR="00711910" w:rsidRPr="00EF5A5F">
        <w:t xml:space="preserve">years </w:t>
      </w:r>
      <w:r w:rsidR="007C5D17">
        <w:t>has been consistently</w:t>
      </w:r>
      <w:r w:rsidR="00711910" w:rsidRPr="00E51808">
        <w:t xml:space="preserve"> </w:t>
      </w:r>
      <w:r w:rsidR="00463C64">
        <w:t>higher than for non</w:t>
      </w:r>
      <w:r w:rsidR="00463C64">
        <w:noBreakHyphen/>
        <w:t xml:space="preserve">Indigenous people </w:t>
      </w:r>
      <w:r w:rsidR="007C5D17">
        <w:t>over</w:t>
      </w:r>
      <w:r w:rsidR="0086426C">
        <w:t xml:space="preserve"> the last </w:t>
      </w:r>
      <w:r w:rsidR="00463C64">
        <w:t xml:space="preserve">10 years </w:t>
      </w:r>
      <w:r w:rsidR="008261B0" w:rsidRPr="00E51808">
        <w:t xml:space="preserve">(figure </w:t>
      </w:r>
      <w:r w:rsidR="003A68D1">
        <w:t>5.5</w:t>
      </w:r>
      <w:r w:rsidR="008261B0" w:rsidRPr="00E51808">
        <w:t>)</w:t>
      </w:r>
      <w:r w:rsidR="008261B0">
        <w:t>.</w:t>
      </w:r>
    </w:p>
    <w:p w:rsidR="009407E6" w:rsidRPr="007C0ADB" w:rsidRDefault="009407E6" w:rsidP="004A350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407E6" w:rsidTr="004A350E">
        <w:tc>
          <w:tcPr>
            <w:tcW w:w="8771" w:type="dxa"/>
            <w:tcBorders>
              <w:top w:val="single" w:sz="6" w:space="0" w:color="78A22F"/>
              <w:left w:val="nil"/>
              <w:bottom w:val="nil"/>
              <w:right w:val="nil"/>
            </w:tcBorders>
            <w:shd w:val="clear" w:color="auto" w:fill="auto"/>
          </w:tcPr>
          <w:p w:rsidR="009407E6" w:rsidRPr="00176D3F" w:rsidRDefault="009407E6" w:rsidP="00AD2A4A">
            <w:pPr>
              <w:pStyle w:val="FigureTitle"/>
            </w:pPr>
            <w:r w:rsidRPr="00784A05">
              <w:rPr>
                <w:b w:val="0"/>
              </w:rPr>
              <w:t xml:space="preserve">Figure </w:t>
            </w:r>
            <w:bookmarkStart w:id="19" w:name="OLE_LINK14"/>
            <w:r w:rsidR="003A68D1">
              <w:rPr>
                <w:b w:val="0"/>
              </w:rPr>
              <w:t>5.</w:t>
            </w:r>
            <w:r w:rsidR="00111918">
              <w:rPr>
                <w:b w:val="0"/>
                <w:noProof/>
              </w:rPr>
              <w:t>5</w:t>
            </w:r>
            <w:bookmarkEnd w:id="19"/>
            <w:r>
              <w:tab/>
            </w:r>
            <w:r w:rsidRPr="00C02C05">
              <w:t>National VET participation rate for people aged 15–64 years, by</w:t>
            </w:r>
            <w:r w:rsidR="00804C04">
              <w:t xml:space="preserve"> </w:t>
            </w:r>
            <w:r w:rsidR="00AD2A4A">
              <w:t>Indigenous</w:t>
            </w:r>
            <w:r w:rsidR="00804C04">
              <w:t xml:space="preserve"> </w:t>
            </w:r>
            <w:r w:rsidRPr="00C02C05">
              <w:t>status</w:t>
            </w:r>
            <w:r w:rsidR="009F3AAE">
              <w:rPr>
                <w:rStyle w:val="NoteLabel"/>
                <w:b/>
              </w:rPr>
              <w:t>a</w:t>
            </w:r>
          </w:p>
        </w:tc>
      </w:tr>
      <w:tr w:rsidR="009407E6" w:rsidTr="004A350E">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407E6" w:rsidTr="009407E6">
              <w:tc>
                <w:tcPr>
                  <w:tcW w:w="5000" w:type="pct"/>
                  <w:tcBorders>
                    <w:top w:val="nil"/>
                    <w:bottom w:val="nil"/>
                  </w:tcBorders>
                </w:tcPr>
                <w:p w:rsidR="009407E6" w:rsidRDefault="00CE71B8" w:rsidP="00145970">
                  <w:pPr>
                    <w:pStyle w:val="Figure"/>
                    <w:spacing w:before="60" w:after="60"/>
                  </w:pPr>
                  <w:r>
                    <w:rPr>
                      <w:noProof/>
                    </w:rPr>
                    <w:drawing>
                      <wp:inline distT="0" distB="0" distL="0" distR="0">
                        <wp:extent cx="5389880" cy="2689225"/>
                        <wp:effectExtent l="0" t="0" r="1270" b="0"/>
                        <wp:docPr id="1" name="Picture 1" descr="Figure 5.5 National VET participation rate for people aged 15–64 years, by Indigenous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9880" cy="2689225"/>
                                </a:xfrm>
                                <a:prstGeom prst="rect">
                                  <a:avLst/>
                                </a:prstGeom>
                                <a:noFill/>
                                <a:ln>
                                  <a:noFill/>
                                </a:ln>
                              </pic:spPr>
                            </pic:pic>
                          </a:graphicData>
                        </a:graphic>
                      </wp:inline>
                    </w:drawing>
                  </w:r>
                </w:p>
              </w:tc>
            </w:tr>
          </w:tbl>
          <w:p w:rsidR="009407E6" w:rsidRDefault="009407E6" w:rsidP="004A350E">
            <w:pPr>
              <w:pStyle w:val="Figure"/>
            </w:pPr>
          </w:p>
        </w:tc>
      </w:tr>
      <w:tr w:rsidR="009407E6" w:rsidRPr="00176D3F" w:rsidTr="004A350E">
        <w:tc>
          <w:tcPr>
            <w:tcW w:w="8771" w:type="dxa"/>
            <w:tcBorders>
              <w:top w:val="nil"/>
              <w:left w:val="nil"/>
              <w:bottom w:val="nil"/>
              <w:right w:val="nil"/>
            </w:tcBorders>
            <w:shd w:val="clear" w:color="auto" w:fill="auto"/>
          </w:tcPr>
          <w:p w:rsidR="009407E6" w:rsidRPr="00176D3F" w:rsidRDefault="002E487B" w:rsidP="00DA4D56">
            <w:pPr>
              <w:pStyle w:val="Note"/>
            </w:pPr>
            <w:r>
              <w:rPr>
                <w:rStyle w:val="NoteLabel"/>
              </w:rPr>
              <w:t>a</w:t>
            </w:r>
            <w:r>
              <w:t xml:space="preserve"> </w:t>
            </w:r>
            <w:r w:rsidRPr="006D3797">
              <w:t xml:space="preserve">See </w:t>
            </w:r>
            <w:r w:rsidR="00DA4D56">
              <w:t xml:space="preserve">box </w:t>
            </w:r>
            <w:r w:rsidR="003A68D1">
              <w:t>5.6</w:t>
            </w:r>
            <w:r>
              <w:t xml:space="preserve"> </w:t>
            </w:r>
            <w:r w:rsidRPr="006D3797">
              <w:t xml:space="preserve">and table </w:t>
            </w:r>
            <w:r>
              <w:t>5</w:t>
            </w:r>
            <w:r w:rsidRPr="006D3797">
              <w:t>A.</w:t>
            </w:r>
            <w:r>
              <w:t>12</w:t>
            </w:r>
            <w:r w:rsidRPr="006D3797">
              <w:t xml:space="preserve"> for detailed definitions, footnotes and caveats</w:t>
            </w:r>
            <w:r w:rsidR="00FD5E77">
              <w:t>.</w:t>
            </w:r>
          </w:p>
        </w:tc>
      </w:tr>
      <w:tr w:rsidR="009407E6" w:rsidRPr="00176D3F" w:rsidTr="004A350E">
        <w:tc>
          <w:tcPr>
            <w:tcW w:w="8771" w:type="dxa"/>
            <w:tcBorders>
              <w:top w:val="nil"/>
              <w:left w:val="nil"/>
              <w:bottom w:val="nil"/>
              <w:right w:val="nil"/>
            </w:tcBorders>
            <w:shd w:val="clear" w:color="auto" w:fill="auto"/>
          </w:tcPr>
          <w:p w:rsidR="009407E6" w:rsidRPr="00176D3F" w:rsidRDefault="009407E6" w:rsidP="00516044">
            <w:pPr>
              <w:pStyle w:val="Source"/>
            </w:pPr>
            <w:r w:rsidRPr="00080748">
              <w:rPr>
                <w:i/>
              </w:rPr>
              <w:t>Source</w:t>
            </w:r>
            <w:r w:rsidRPr="00080748">
              <w:t>: NCVER (unpublished) National VET provider collection; ABS (201</w:t>
            </w:r>
            <w:r w:rsidR="00516044">
              <w:t>4</w:t>
            </w:r>
            <w:r w:rsidRPr="00080748">
              <w:t xml:space="preserve">), </w:t>
            </w:r>
            <w:r w:rsidRPr="00080748">
              <w:rPr>
                <w:i/>
              </w:rPr>
              <w:t>Australian Demographic Statistics, June 201</w:t>
            </w:r>
            <w:r w:rsidR="00F61A98">
              <w:rPr>
                <w:i/>
              </w:rPr>
              <w:t>4</w:t>
            </w:r>
            <w:r w:rsidRPr="00080748">
              <w:t>, Cat. no. 3101.0, Canberra</w:t>
            </w:r>
            <w:r w:rsidR="00287B08">
              <w:t>;</w:t>
            </w:r>
            <w:r w:rsidRPr="00080748">
              <w:t xml:space="preserve"> </w:t>
            </w:r>
            <w:r w:rsidR="00080748" w:rsidRPr="00080748">
              <w:t xml:space="preserve">ABS (2013) </w:t>
            </w:r>
            <w:r w:rsidR="00080748" w:rsidRPr="00080748">
              <w:rPr>
                <w:i/>
              </w:rPr>
              <w:t>Estimates and Projections, Aboriginal and Torres Strait Islander Australians</w:t>
            </w:r>
            <w:r w:rsidR="00080748" w:rsidRPr="00080748">
              <w:t xml:space="preserve">, 2001 to 2026, Cat. no. 3238.0; </w:t>
            </w:r>
            <w:r w:rsidRPr="00080748">
              <w:t>table 5A.1</w:t>
            </w:r>
            <w:r w:rsidR="00EE2DEC">
              <w:t>2</w:t>
            </w:r>
            <w:r w:rsidRPr="00080748">
              <w:t>.</w:t>
            </w:r>
          </w:p>
        </w:tc>
      </w:tr>
      <w:tr w:rsidR="009407E6" w:rsidTr="004A350E">
        <w:tc>
          <w:tcPr>
            <w:tcW w:w="8771" w:type="dxa"/>
            <w:tcBorders>
              <w:top w:val="nil"/>
              <w:left w:val="nil"/>
              <w:bottom w:val="single" w:sz="6" w:space="0" w:color="78A22F"/>
              <w:right w:val="nil"/>
            </w:tcBorders>
            <w:shd w:val="clear" w:color="auto" w:fill="auto"/>
          </w:tcPr>
          <w:p w:rsidR="009407E6" w:rsidRDefault="009407E6" w:rsidP="004B0752">
            <w:pPr>
              <w:pStyle w:val="Figurespace"/>
              <w:keepNext w:val="0"/>
            </w:pPr>
          </w:p>
        </w:tc>
      </w:tr>
    </w:tbl>
    <w:p w:rsidR="00EE2DEC" w:rsidRDefault="008261B0" w:rsidP="00EE2DEC">
      <w:pPr>
        <w:pStyle w:val="BodyText"/>
      </w:pPr>
      <w:r>
        <w:t xml:space="preserve">An alternative approach to measuring participation is to analyse the VET student population by Indigenous status. </w:t>
      </w:r>
      <w:r w:rsidR="00EE2DEC" w:rsidRPr="00EF5A5F">
        <w:t xml:space="preserve">Nationally in </w:t>
      </w:r>
      <w:r w:rsidR="00EE2DEC" w:rsidRPr="00E51808">
        <w:t>201</w:t>
      </w:r>
      <w:r w:rsidR="00EE2DEC">
        <w:t>4</w:t>
      </w:r>
      <w:r w:rsidR="00EE2DEC" w:rsidRPr="00E51808">
        <w:t xml:space="preserve">, </w:t>
      </w:r>
      <w:r w:rsidR="00EE2DEC">
        <w:t>5.</w:t>
      </w:r>
      <w:r w:rsidR="00FE6D23">
        <w:t>6</w:t>
      </w:r>
      <w:r w:rsidR="00EE2DEC">
        <w:t xml:space="preserve"> </w:t>
      </w:r>
      <w:r w:rsidR="00EE2DEC" w:rsidRPr="00E51808">
        <w:t xml:space="preserve">per cent of government funded VET students (of all ages) identified as </w:t>
      </w:r>
      <w:r w:rsidR="00EE2DEC">
        <w:t xml:space="preserve">being of Aboriginal and Torres Strait Islander background </w:t>
      </w:r>
      <w:r w:rsidR="00EE2DEC" w:rsidRPr="00E51808">
        <w:t>(figure </w:t>
      </w:r>
      <w:r w:rsidR="003A68D1">
        <w:t>5.6</w:t>
      </w:r>
      <w:r w:rsidR="00EE2DEC" w:rsidRPr="00E51808">
        <w:t>)</w:t>
      </w:r>
      <w:r w:rsidR="00EE2DEC">
        <w:t xml:space="preserve">, </w:t>
      </w:r>
      <w:r w:rsidR="00EE2DEC" w:rsidRPr="00E51808">
        <w:t xml:space="preserve">higher than the proportion of </w:t>
      </w:r>
      <w:r w:rsidR="00EE2DEC">
        <w:t>Aboriginal and Torres Strait Islander people</w:t>
      </w:r>
      <w:r w:rsidR="00EE2DEC" w:rsidRPr="00E51808">
        <w:t xml:space="preserve"> in the total population (</w:t>
      </w:r>
      <w:r w:rsidR="00EE2DEC">
        <w:t>3.0 </w:t>
      </w:r>
      <w:r w:rsidR="00EE2DEC" w:rsidRPr="00E51808">
        <w:t>per</w:t>
      </w:r>
      <w:r w:rsidR="00EE2DEC">
        <w:t> </w:t>
      </w:r>
      <w:r w:rsidR="00EE2DEC" w:rsidRPr="00E51808">
        <w:t>cent)</w:t>
      </w:r>
      <w:r w:rsidR="00EE2DEC">
        <w:t xml:space="preserve"> (table 5A.1</w:t>
      </w:r>
      <w:r w:rsidR="00FE6D23">
        <w:t>8</w:t>
      </w:r>
      <w:r w:rsidR="00EE2DEC">
        <w:t>).</w:t>
      </w:r>
    </w:p>
    <w:p w:rsidR="00D627B6" w:rsidRDefault="00D627B6" w:rsidP="00D627B6">
      <w:pPr>
        <w:pStyle w:val="BodyText"/>
      </w:pPr>
      <w:r>
        <w:t>Caution should be taken when comparing these results as:</w:t>
      </w:r>
    </w:p>
    <w:p w:rsidR="00D627B6" w:rsidRDefault="00D627B6" w:rsidP="00D627B6">
      <w:pPr>
        <w:pStyle w:val="ListBullet"/>
      </w:pPr>
      <w:r>
        <w:t>t</w:t>
      </w:r>
      <w:r w:rsidRPr="00EF5A5F">
        <w:t xml:space="preserve">hese student participation data are not age standardised, so the younger age profile of </w:t>
      </w:r>
      <w:r>
        <w:t xml:space="preserve">the Aboriginal and Torres Strait Islander </w:t>
      </w:r>
      <w:r w:rsidRPr="00E51808">
        <w:t>population</w:t>
      </w:r>
      <w:r>
        <w:t xml:space="preserve"> </w:t>
      </w:r>
      <w:r w:rsidRPr="00EF5A5F">
        <w:t xml:space="preserve">is likely to </w:t>
      </w:r>
      <w:r>
        <w:t>overstate the difference in</w:t>
      </w:r>
      <w:r w:rsidR="00AD5F7E">
        <w:t xml:space="preserve"> </w:t>
      </w:r>
      <w:r>
        <w:t>participation compared to the non</w:t>
      </w:r>
      <w:r>
        <w:noBreakHyphen/>
        <w:t>Indigenous population</w:t>
      </w:r>
    </w:p>
    <w:p w:rsidR="00D627B6" w:rsidRDefault="00D627B6" w:rsidP="00D627B6">
      <w:pPr>
        <w:pStyle w:val="ListBullet"/>
      </w:pPr>
      <w:r>
        <w:t>the Indigenous status of 3.</w:t>
      </w:r>
      <w:r w:rsidR="00FE6D23">
        <w:t>3</w:t>
      </w:r>
      <w:r>
        <w:t xml:space="preserve"> per cent of government funded VET students nationally was unknown (or not stated) in 2014 (table 5A.18), which could mean that the Aboriginal and Torres Strait Islander participation rate is understated.</w:t>
      </w:r>
    </w:p>
    <w:p w:rsidR="009407E6" w:rsidRPr="007C0ADB" w:rsidRDefault="009407E6" w:rsidP="004A350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407E6" w:rsidTr="004A350E">
        <w:tc>
          <w:tcPr>
            <w:tcW w:w="8771" w:type="dxa"/>
            <w:tcBorders>
              <w:top w:val="single" w:sz="6" w:space="0" w:color="78A22F"/>
              <w:left w:val="nil"/>
              <w:bottom w:val="nil"/>
              <w:right w:val="nil"/>
            </w:tcBorders>
            <w:shd w:val="clear" w:color="auto" w:fill="auto"/>
          </w:tcPr>
          <w:p w:rsidR="009407E6" w:rsidRPr="00176D3F" w:rsidRDefault="009407E6" w:rsidP="00626055">
            <w:pPr>
              <w:pStyle w:val="FigureTitle"/>
            </w:pPr>
            <w:r w:rsidRPr="00784A05">
              <w:rPr>
                <w:b w:val="0"/>
              </w:rPr>
              <w:t xml:space="preserve">Figure </w:t>
            </w:r>
            <w:bookmarkStart w:id="20" w:name="OLE_LINK13"/>
            <w:r w:rsidR="003A68D1">
              <w:rPr>
                <w:b w:val="0"/>
              </w:rPr>
              <w:t>5.</w:t>
            </w:r>
            <w:r w:rsidR="00111918">
              <w:rPr>
                <w:b w:val="0"/>
                <w:noProof/>
              </w:rPr>
              <w:t>6</w:t>
            </w:r>
            <w:bookmarkEnd w:id="20"/>
            <w:r>
              <w:tab/>
            </w:r>
            <w:r w:rsidR="00626055">
              <w:t xml:space="preserve">Representation of </w:t>
            </w:r>
            <w:r w:rsidR="00E5685F">
              <w:t>Aboriginal and Torres Strait Islander students</w:t>
            </w:r>
            <w:r w:rsidR="00626055">
              <w:t xml:space="preserve"> in VET compared</w:t>
            </w:r>
            <w:r w:rsidR="004D79B0">
              <w:t xml:space="preserve"> with</w:t>
            </w:r>
            <w:r w:rsidR="00626055">
              <w:t xml:space="preserve"> representation in the general population</w:t>
            </w:r>
            <w:r w:rsidRPr="00C02C05">
              <w:t>, 201</w:t>
            </w:r>
            <w:r w:rsidR="002A477E">
              <w:t>4</w:t>
            </w:r>
            <w:r w:rsidR="00134A00">
              <w:rPr>
                <w:rStyle w:val="NoteLabel"/>
                <w:b/>
              </w:rPr>
              <w:t>a</w:t>
            </w:r>
          </w:p>
        </w:tc>
      </w:tr>
      <w:tr w:rsidR="009407E6" w:rsidTr="004A350E">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9407E6" w:rsidTr="00DD49BC">
              <w:tc>
                <w:tcPr>
                  <w:tcW w:w="5000" w:type="pct"/>
                  <w:tcBorders>
                    <w:top w:val="nil"/>
                    <w:bottom w:val="nil"/>
                  </w:tcBorders>
                </w:tcPr>
                <w:p w:rsidR="009407E6" w:rsidRDefault="00CE71B8" w:rsidP="000347C1">
                  <w:pPr>
                    <w:pStyle w:val="Figure"/>
                    <w:spacing w:before="60" w:after="60"/>
                  </w:pPr>
                  <w:r>
                    <w:rPr>
                      <w:noProof/>
                    </w:rPr>
                    <w:drawing>
                      <wp:inline distT="0" distB="0" distL="0" distR="0">
                        <wp:extent cx="5389880" cy="2710815"/>
                        <wp:effectExtent l="0" t="0" r="1270" b="0"/>
                        <wp:docPr id="4" name="Picture 4" descr="Figure 5.6 Representation of Aboriginal and Torres Strait Islander students in VET compared with representation in the general population,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9407E6" w:rsidRDefault="009407E6" w:rsidP="004A350E">
            <w:pPr>
              <w:pStyle w:val="Figure"/>
            </w:pPr>
          </w:p>
        </w:tc>
      </w:tr>
      <w:tr w:rsidR="009407E6" w:rsidRPr="00176D3F" w:rsidTr="004A350E">
        <w:tc>
          <w:tcPr>
            <w:tcW w:w="8771" w:type="dxa"/>
            <w:tcBorders>
              <w:top w:val="nil"/>
              <w:left w:val="nil"/>
              <w:bottom w:val="nil"/>
              <w:right w:val="nil"/>
            </w:tcBorders>
            <w:shd w:val="clear" w:color="auto" w:fill="auto"/>
          </w:tcPr>
          <w:p w:rsidR="009407E6" w:rsidRPr="00176D3F" w:rsidRDefault="002E487B" w:rsidP="00DA4D56">
            <w:pPr>
              <w:pStyle w:val="Note"/>
            </w:pPr>
            <w:r>
              <w:rPr>
                <w:rStyle w:val="NoteLabel"/>
              </w:rPr>
              <w:t>a</w:t>
            </w:r>
            <w:r>
              <w:t xml:space="preserve"> </w:t>
            </w:r>
            <w:r w:rsidRPr="006D3797">
              <w:t xml:space="preserve">See box </w:t>
            </w:r>
            <w:r w:rsidR="003A68D1">
              <w:t>5.6</w:t>
            </w:r>
            <w:r>
              <w:t xml:space="preserve"> </w:t>
            </w:r>
            <w:r w:rsidRPr="006D3797">
              <w:t xml:space="preserve">and table </w:t>
            </w:r>
            <w:r>
              <w:t>5</w:t>
            </w:r>
            <w:r w:rsidRPr="006D3797">
              <w:t>A.</w:t>
            </w:r>
            <w:r>
              <w:t>18</w:t>
            </w:r>
            <w:r w:rsidRPr="006D3797">
              <w:t xml:space="preserve"> for detailed definitions, footnotes and caveats</w:t>
            </w:r>
          </w:p>
        </w:tc>
      </w:tr>
      <w:tr w:rsidR="009407E6" w:rsidRPr="00176D3F" w:rsidTr="004A350E">
        <w:tc>
          <w:tcPr>
            <w:tcW w:w="8771" w:type="dxa"/>
            <w:tcBorders>
              <w:top w:val="nil"/>
              <w:left w:val="nil"/>
              <w:bottom w:val="nil"/>
              <w:right w:val="nil"/>
            </w:tcBorders>
            <w:shd w:val="clear" w:color="auto" w:fill="auto"/>
          </w:tcPr>
          <w:p w:rsidR="009407E6" w:rsidRPr="00176D3F" w:rsidRDefault="009407E6" w:rsidP="00AA769A">
            <w:pPr>
              <w:pStyle w:val="Source"/>
            </w:pPr>
            <w:r w:rsidRPr="004B1B81">
              <w:rPr>
                <w:i/>
              </w:rPr>
              <w:t>Source</w:t>
            </w:r>
            <w:r w:rsidRPr="004B1B81">
              <w:t>: NCVER (unpublished) National VET provider collection; table 5A.1</w:t>
            </w:r>
            <w:r w:rsidR="00AA769A">
              <w:t>8</w:t>
            </w:r>
            <w:r w:rsidRPr="004B1B81">
              <w:t>.</w:t>
            </w:r>
            <w:r w:rsidRPr="00176D3F">
              <w:t xml:space="preserve"> </w:t>
            </w:r>
          </w:p>
        </w:tc>
      </w:tr>
      <w:tr w:rsidR="009407E6" w:rsidTr="004A350E">
        <w:tc>
          <w:tcPr>
            <w:tcW w:w="8771" w:type="dxa"/>
            <w:tcBorders>
              <w:top w:val="nil"/>
              <w:left w:val="nil"/>
              <w:bottom w:val="single" w:sz="6" w:space="0" w:color="78A22F"/>
              <w:right w:val="nil"/>
            </w:tcBorders>
            <w:shd w:val="clear" w:color="auto" w:fill="auto"/>
          </w:tcPr>
          <w:p w:rsidR="009407E6" w:rsidRDefault="009407E6" w:rsidP="004A350E">
            <w:pPr>
              <w:pStyle w:val="Figurespace"/>
            </w:pPr>
          </w:p>
        </w:tc>
      </w:tr>
      <w:tr w:rsidR="009407E6" w:rsidRPr="000863A5" w:rsidTr="004A350E">
        <w:tc>
          <w:tcPr>
            <w:tcW w:w="8771" w:type="dxa"/>
            <w:tcBorders>
              <w:top w:val="single" w:sz="6" w:space="0" w:color="78A22F"/>
              <w:left w:val="nil"/>
              <w:bottom w:val="nil"/>
              <w:right w:val="nil"/>
            </w:tcBorders>
          </w:tcPr>
          <w:p w:rsidR="009407E6" w:rsidRPr="007C0ADB" w:rsidRDefault="009407E6" w:rsidP="004A350E">
            <w:pPr>
              <w:pStyle w:val="BoxSpaceBelow"/>
            </w:pPr>
          </w:p>
        </w:tc>
      </w:tr>
    </w:tbl>
    <w:p w:rsidR="00C57336" w:rsidRPr="00EF5A5F" w:rsidRDefault="00C57336" w:rsidP="00BB7604">
      <w:pPr>
        <w:pStyle w:val="Heading5"/>
      </w:pPr>
      <w:r w:rsidRPr="00EF5A5F">
        <w:t xml:space="preserve">VET participation by target group — </w:t>
      </w:r>
      <w:r w:rsidR="00F11929" w:rsidRPr="00EF5A5F">
        <w:t>p</w:t>
      </w:r>
      <w:r w:rsidR="00AA768B" w:rsidRPr="00EF5A5F">
        <w:t xml:space="preserve">eople </w:t>
      </w:r>
      <w:r w:rsidRPr="00EF5A5F">
        <w:t>from remote and very remote areas</w:t>
      </w:r>
    </w:p>
    <w:p w:rsidR="00C57336" w:rsidRDefault="003E672D" w:rsidP="0095094B">
      <w:pPr>
        <w:pStyle w:val="BodyText"/>
      </w:pPr>
      <w:r>
        <w:t xml:space="preserve">Nationally in 2014, </w:t>
      </w:r>
      <w:r w:rsidRPr="000D462B">
        <w:t xml:space="preserve">participation </w:t>
      </w:r>
      <w:r w:rsidR="00C57336" w:rsidRPr="000D462B">
        <w:t>was higher for people from re</w:t>
      </w:r>
      <w:r w:rsidR="00731EDB" w:rsidRPr="000D462B">
        <w:t xml:space="preserve">mote and very remote areas </w:t>
      </w:r>
      <w:r w:rsidR="00731EDB" w:rsidRPr="00986836">
        <w:rPr>
          <w:shd w:val="clear" w:color="auto" w:fill="FFFFFF" w:themeFill="background1"/>
        </w:rPr>
        <w:t>(</w:t>
      </w:r>
      <w:r>
        <w:rPr>
          <w:shd w:val="clear" w:color="auto" w:fill="FFFFFF" w:themeFill="background1"/>
        </w:rPr>
        <w:t>8.5</w:t>
      </w:r>
      <w:r w:rsidR="0086426C">
        <w:rPr>
          <w:shd w:val="clear" w:color="auto" w:fill="FFFFFF" w:themeFill="background1"/>
        </w:rPr>
        <w:t> </w:t>
      </w:r>
      <w:r w:rsidR="006D6F55">
        <w:rPr>
          <w:shd w:val="clear" w:color="auto" w:fill="FFFFFF" w:themeFill="background1"/>
        </w:rPr>
        <w:t>per</w:t>
      </w:r>
      <w:r w:rsidR="00AE5734">
        <w:rPr>
          <w:shd w:val="clear" w:color="auto" w:fill="FFFFFF" w:themeFill="background1"/>
        </w:rPr>
        <w:t xml:space="preserve"> </w:t>
      </w:r>
      <w:r w:rsidR="00C57336" w:rsidRPr="00986836">
        <w:rPr>
          <w:shd w:val="clear" w:color="auto" w:fill="FFFFFF" w:themeFill="background1"/>
        </w:rPr>
        <w:t>cent) than for people fr</w:t>
      </w:r>
      <w:r w:rsidR="00731EDB" w:rsidRPr="00986836">
        <w:rPr>
          <w:shd w:val="clear" w:color="auto" w:fill="FFFFFF" w:themeFill="background1"/>
        </w:rPr>
        <w:t>om other geographic regions (</w:t>
      </w:r>
      <w:r>
        <w:rPr>
          <w:shd w:val="clear" w:color="auto" w:fill="FFFFFF" w:themeFill="background1"/>
        </w:rPr>
        <w:t>7.0</w:t>
      </w:r>
      <w:r w:rsidR="006D6F55">
        <w:rPr>
          <w:shd w:val="clear" w:color="auto" w:fill="FFFFFF" w:themeFill="background1"/>
        </w:rPr>
        <w:t> per </w:t>
      </w:r>
      <w:r w:rsidR="005D06B8" w:rsidRPr="00986836">
        <w:rPr>
          <w:shd w:val="clear" w:color="auto" w:fill="FFFFFF" w:themeFill="background1"/>
        </w:rPr>
        <w:t xml:space="preserve">cent </w:t>
      </w:r>
      <w:r w:rsidR="00731EDB" w:rsidRPr="00986836">
        <w:rPr>
          <w:shd w:val="clear" w:color="auto" w:fill="FFFFFF" w:themeFill="background1"/>
        </w:rPr>
        <w:t>for outer</w:t>
      </w:r>
      <w:r w:rsidR="00731EDB" w:rsidRPr="000D462B">
        <w:t xml:space="preserve"> regional areas, </w:t>
      </w:r>
      <w:r>
        <w:t>7.5</w:t>
      </w:r>
      <w:r w:rsidR="00AE5734">
        <w:t xml:space="preserve"> </w:t>
      </w:r>
      <w:r w:rsidR="005D06B8" w:rsidRPr="000D462B">
        <w:t>per</w:t>
      </w:r>
      <w:r w:rsidR="00AE5734">
        <w:t xml:space="preserve"> </w:t>
      </w:r>
      <w:r w:rsidR="005D06B8" w:rsidRPr="000D462B">
        <w:t xml:space="preserve">cent </w:t>
      </w:r>
      <w:r w:rsidR="00C57336" w:rsidRPr="000D462B">
        <w:t xml:space="preserve">for inner regional areas and </w:t>
      </w:r>
      <w:r w:rsidR="006D6F55">
        <w:t>5.</w:t>
      </w:r>
      <w:r>
        <w:t>3</w:t>
      </w:r>
      <w:r w:rsidR="00AE5734">
        <w:t xml:space="preserve"> </w:t>
      </w:r>
      <w:r w:rsidR="005D06B8" w:rsidRPr="000D462B">
        <w:t>per</w:t>
      </w:r>
      <w:r w:rsidR="00AE5734">
        <w:t xml:space="preserve"> </w:t>
      </w:r>
      <w:r w:rsidR="005D06B8" w:rsidRPr="000D462B">
        <w:t xml:space="preserve">cent </w:t>
      </w:r>
      <w:r w:rsidR="00C57336" w:rsidRPr="000D462B">
        <w:t>f</w:t>
      </w:r>
      <w:r w:rsidR="00731EDB" w:rsidRPr="000D462B">
        <w:t xml:space="preserve">or major cities) </w:t>
      </w:r>
      <w:r w:rsidR="00C57336" w:rsidRPr="000D462B">
        <w:t>(</w:t>
      </w:r>
      <w:r w:rsidR="00C57336" w:rsidRPr="000C682B">
        <w:rPr>
          <w:shd w:val="clear" w:color="auto" w:fill="FFFFFF" w:themeFill="background1"/>
        </w:rPr>
        <w:t>figure</w:t>
      </w:r>
      <w:r w:rsidR="00AE5734">
        <w:rPr>
          <w:shd w:val="clear" w:color="auto" w:fill="FFFFFF" w:themeFill="background1"/>
        </w:rPr>
        <w:t xml:space="preserve"> </w:t>
      </w:r>
      <w:r w:rsidR="003A68D1">
        <w:t>5.7</w:t>
      </w:r>
      <w:r w:rsidR="00C57336" w:rsidRPr="000C682B">
        <w:rPr>
          <w:shd w:val="clear" w:color="auto" w:fill="FFFFFF" w:themeFill="background1"/>
        </w:rPr>
        <w:t xml:space="preserve">). </w:t>
      </w:r>
      <w:r w:rsidR="00B77BFE" w:rsidRPr="00F74889">
        <w:t xml:space="preserve">In most jurisdictions, the </w:t>
      </w:r>
      <w:r w:rsidRPr="00F74889">
        <w:t xml:space="preserve">VET participation rate </w:t>
      </w:r>
      <w:r w:rsidR="00B77BFE" w:rsidRPr="00F74889">
        <w:t xml:space="preserve">is </w:t>
      </w:r>
      <w:r w:rsidRPr="00F74889">
        <w:t xml:space="preserve">generally </w:t>
      </w:r>
      <w:r w:rsidR="00B77BFE" w:rsidRPr="00F74889">
        <w:t>higher as remoteness increases</w:t>
      </w:r>
      <w:r w:rsidRPr="00F74889">
        <w:t xml:space="preserve"> </w:t>
      </w:r>
      <w:r w:rsidR="00DA4D56" w:rsidRPr="00F74889">
        <w:t>(table</w:t>
      </w:r>
      <w:r w:rsidR="00B77BFE" w:rsidRPr="00F74889">
        <w:t> </w:t>
      </w:r>
      <w:r w:rsidR="00DA4D56" w:rsidRPr="00F74889">
        <w:t>5A.14)</w:t>
      </w:r>
      <w:r w:rsidRPr="00F74889">
        <w:t>.</w:t>
      </w:r>
      <w:r w:rsidRPr="000D462B">
        <w:t xml:space="preserve"> </w:t>
      </w:r>
      <w:r w:rsidR="00FD5E77">
        <w:t>F</w:t>
      </w:r>
      <w:r w:rsidR="0039762B" w:rsidRPr="000C682B">
        <w:rPr>
          <w:shd w:val="clear" w:color="auto" w:fill="FFFFFF" w:themeFill="background1"/>
        </w:rPr>
        <w:t>actors such as e</w:t>
      </w:r>
      <w:r w:rsidR="00C57336" w:rsidRPr="000C682B">
        <w:rPr>
          <w:shd w:val="clear" w:color="auto" w:fill="FFFFFF" w:themeFill="background1"/>
        </w:rPr>
        <w:t>mployment</w:t>
      </w:r>
      <w:r w:rsidR="00C57336" w:rsidRPr="000D462B">
        <w:t xml:space="preserve"> opportunities and the availability of alternative education </w:t>
      </w:r>
      <w:r w:rsidR="00C57336" w:rsidRPr="00EF5A5F">
        <w:t>services in regional and remote areas</w:t>
      </w:r>
      <w:r w:rsidR="00D627B6">
        <w:t xml:space="preserve"> </w:t>
      </w:r>
      <w:r w:rsidR="00086D1F" w:rsidRPr="00EF5A5F">
        <w:t>can</w:t>
      </w:r>
      <w:r w:rsidR="00C57336" w:rsidRPr="00EF5A5F">
        <w:t xml:space="preserve"> affect the level of VET participation in these areas.</w:t>
      </w:r>
    </w:p>
    <w:p w:rsidR="009407E6" w:rsidRPr="007C0ADB" w:rsidRDefault="009407E6" w:rsidP="004A350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407E6" w:rsidTr="004A350E">
        <w:tc>
          <w:tcPr>
            <w:tcW w:w="8771" w:type="dxa"/>
            <w:tcBorders>
              <w:top w:val="single" w:sz="6" w:space="0" w:color="78A22F"/>
              <w:left w:val="nil"/>
              <w:bottom w:val="nil"/>
              <w:right w:val="nil"/>
            </w:tcBorders>
            <w:shd w:val="clear" w:color="auto" w:fill="auto"/>
          </w:tcPr>
          <w:p w:rsidR="009407E6" w:rsidRPr="00176D3F" w:rsidRDefault="009407E6" w:rsidP="00FD5E77">
            <w:pPr>
              <w:pStyle w:val="FigureTitle"/>
            </w:pPr>
            <w:r w:rsidRPr="00784A05">
              <w:rPr>
                <w:b w:val="0"/>
              </w:rPr>
              <w:t xml:space="preserve">Figure </w:t>
            </w:r>
            <w:bookmarkStart w:id="21" w:name="OLE_LINK12"/>
            <w:r w:rsidR="003A68D1">
              <w:rPr>
                <w:b w:val="0"/>
              </w:rPr>
              <w:t>5.</w:t>
            </w:r>
            <w:r w:rsidR="00111918">
              <w:rPr>
                <w:b w:val="0"/>
                <w:noProof/>
              </w:rPr>
              <w:t>7</w:t>
            </w:r>
            <w:bookmarkEnd w:id="21"/>
            <w:r>
              <w:tab/>
            </w:r>
            <w:r w:rsidRPr="00C02C05">
              <w:t>VET participation rate, by region, 201</w:t>
            </w:r>
            <w:r w:rsidR="002A477E">
              <w:t>4</w:t>
            </w:r>
            <w:r w:rsidR="00134A00">
              <w:rPr>
                <w:rStyle w:val="NoteLabel"/>
                <w:b/>
              </w:rPr>
              <w:t>a</w:t>
            </w:r>
            <w:r w:rsidR="00B35C98">
              <w:rPr>
                <w:rStyle w:val="NoteLabel"/>
                <w:b/>
              </w:rPr>
              <w:t>, b</w:t>
            </w:r>
          </w:p>
        </w:tc>
      </w:tr>
      <w:tr w:rsidR="009407E6" w:rsidTr="004A350E">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407E6" w:rsidTr="009407E6">
              <w:tc>
                <w:tcPr>
                  <w:tcW w:w="5000" w:type="pct"/>
                  <w:tcBorders>
                    <w:top w:val="nil"/>
                    <w:bottom w:val="nil"/>
                  </w:tcBorders>
                </w:tcPr>
                <w:p w:rsidR="009407E6" w:rsidRDefault="00CE71B8" w:rsidP="00DD49BC">
                  <w:pPr>
                    <w:pStyle w:val="Figure"/>
                    <w:spacing w:before="60" w:after="60"/>
                  </w:pPr>
                  <w:r>
                    <w:rPr>
                      <w:noProof/>
                    </w:rPr>
                    <w:drawing>
                      <wp:inline distT="0" distB="0" distL="0" distR="0">
                        <wp:extent cx="5389880" cy="2710815"/>
                        <wp:effectExtent l="0" t="0" r="1270" b="0"/>
                        <wp:docPr id="6" name="Picture 6" descr="Figure 5.7 VET participation rate, by region,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9407E6" w:rsidRDefault="009407E6" w:rsidP="004A350E">
            <w:pPr>
              <w:pStyle w:val="Figure"/>
            </w:pPr>
          </w:p>
        </w:tc>
      </w:tr>
      <w:tr w:rsidR="009407E6" w:rsidRPr="00176D3F" w:rsidTr="004A350E">
        <w:tc>
          <w:tcPr>
            <w:tcW w:w="8771" w:type="dxa"/>
            <w:tcBorders>
              <w:top w:val="nil"/>
              <w:left w:val="nil"/>
              <w:bottom w:val="nil"/>
              <w:right w:val="nil"/>
            </w:tcBorders>
            <w:shd w:val="clear" w:color="auto" w:fill="auto"/>
          </w:tcPr>
          <w:p w:rsidR="009407E6" w:rsidRPr="00176D3F" w:rsidRDefault="002E487B" w:rsidP="00B35C98">
            <w:pPr>
              <w:pStyle w:val="Note"/>
            </w:pPr>
            <w:r>
              <w:rPr>
                <w:rStyle w:val="NoteLabel"/>
              </w:rPr>
              <w:t>a</w:t>
            </w:r>
            <w:r>
              <w:t xml:space="preserve"> </w:t>
            </w:r>
            <w:r w:rsidRPr="006D3797">
              <w:t xml:space="preserve">See </w:t>
            </w:r>
            <w:r w:rsidR="00DA4D56">
              <w:t xml:space="preserve">box </w:t>
            </w:r>
            <w:r w:rsidR="003A68D1">
              <w:t>5.6</w:t>
            </w:r>
            <w:r>
              <w:t xml:space="preserve"> </w:t>
            </w:r>
            <w:r w:rsidRPr="006D3797">
              <w:t xml:space="preserve">and table </w:t>
            </w:r>
            <w:r>
              <w:t>5</w:t>
            </w:r>
            <w:r w:rsidRPr="006D3797">
              <w:t>A.</w:t>
            </w:r>
            <w:r>
              <w:t>14</w:t>
            </w:r>
            <w:r w:rsidRPr="006D3797">
              <w:t xml:space="preserve"> for detailed definitions, footnotes and caveats</w:t>
            </w:r>
            <w:r w:rsidR="006B4CFF">
              <w:t>.</w:t>
            </w:r>
            <w:r w:rsidR="00B35C98">
              <w:rPr>
                <w:rStyle w:val="NoteLabel"/>
              </w:rPr>
              <w:t xml:space="preserve"> b</w:t>
            </w:r>
            <w:r w:rsidR="00B35C98" w:rsidRPr="006D3797">
              <w:t xml:space="preserve"> </w:t>
            </w:r>
            <w:r w:rsidR="00B35C98">
              <w:t xml:space="preserve">There are no outer regional or remote / very remote areas in the ACT, no major cities in Tasmania or the NT and no inner regional areas in the NT. </w:t>
            </w:r>
          </w:p>
        </w:tc>
      </w:tr>
      <w:tr w:rsidR="009407E6" w:rsidRPr="00176D3F" w:rsidTr="004A350E">
        <w:tc>
          <w:tcPr>
            <w:tcW w:w="8771" w:type="dxa"/>
            <w:tcBorders>
              <w:top w:val="nil"/>
              <w:left w:val="nil"/>
              <w:bottom w:val="nil"/>
              <w:right w:val="nil"/>
            </w:tcBorders>
            <w:shd w:val="clear" w:color="auto" w:fill="auto"/>
          </w:tcPr>
          <w:p w:rsidR="009407E6" w:rsidRPr="00176D3F" w:rsidRDefault="009407E6" w:rsidP="00AA769A">
            <w:pPr>
              <w:pStyle w:val="Source"/>
            </w:pPr>
            <w:r w:rsidRPr="00080748">
              <w:rPr>
                <w:i/>
              </w:rPr>
              <w:t>Source</w:t>
            </w:r>
            <w:r w:rsidRPr="00080748">
              <w:t>: NCVER (unpublished) National VET provider collection; ABS (201</w:t>
            </w:r>
            <w:r w:rsidR="00AA769A">
              <w:t>4</w:t>
            </w:r>
            <w:r w:rsidRPr="00080748">
              <w:t xml:space="preserve">), </w:t>
            </w:r>
            <w:r w:rsidRPr="00080748">
              <w:rPr>
                <w:i/>
              </w:rPr>
              <w:t>Regional Population Growth, Australia, 201</w:t>
            </w:r>
            <w:r w:rsidR="00AA769A">
              <w:rPr>
                <w:i/>
              </w:rPr>
              <w:t>3</w:t>
            </w:r>
            <w:r w:rsidR="00AD5F7E">
              <w:rPr>
                <w:i/>
              </w:rPr>
              <w:noBreakHyphen/>
            </w:r>
            <w:r w:rsidRPr="00080748">
              <w:rPr>
                <w:i/>
              </w:rPr>
              <w:t>1</w:t>
            </w:r>
            <w:r w:rsidR="00AA769A">
              <w:rPr>
                <w:i/>
              </w:rPr>
              <w:t>4</w:t>
            </w:r>
            <w:r w:rsidRPr="00080748">
              <w:t>, Cat. no. 3218.0; table 5A.1</w:t>
            </w:r>
            <w:r w:rsidR="00AA769A">
              <w:t>4</w:t>
            </w:r>
            <w:r w:rsidRPr="00080748">
              <w:t>.</w:t>
            </w:r>
          </w:p>
        </w:tc>
      </w:tr>
      <w:tr w:rsidR="009407E6" w:rsidTr="004A350E">
        <w:tc>
          <w:tcPr>
            <w:tcW w:w="8771" w:type="dxa"/>
            <w:tcBorders>
              <w:top w:val="nil"/>
              <w:left w:val="nil"/>
              <w:bottom w:val="single" w:sz="6" w:space="0" w:color="78A22F"/>
              <w:right w:val="nil"/>
            </w:tcBorders>
            <w:shd w:val="clear" w:color="auto" w:fill="auto"/>
          </w:tcPr>
          <w:p w:rsidR="009407E6" w:rsidRDefault="009407E6" w:rsidP="004A350E">
            <w:pPr>
              <w:pStyle w:val="Figurespace"/>
            </w:pPr>
          </w:p>
        </w:tc>
      </w:tr>
      <w:tr w:rsidR="009407E6" w:rsidRPr="000863A5" w:rsidTr="004A350E">
        <w:tc>
          <w:tcPr>
            <w:tcW w:w="8771" w:type="dxa"/>
            <w:tcBorders>
              <w:top w:val="single" w:sz="6" w:space="0" w:color="78A22F"/>
              <w:left w:val="nil"/>
              <w:bottom w:val="nil"/>
              <w:right w:val="nil"/>
            </w:tcBorders>
          </w:tcPr>
          <w:p w:rsidR="009407E6" w:rsidRPr="007C0ADB" w:rsidRDefault="009407E6" w:rsidP="004A350E">
            <w:pPr>
              <w:pStyle w:val="BoxSpaceBelow"/>
            </w:pPr>
          </w:p>
        </w:tc>
      </w:tr>
    </w:tbl>
    <w:p w:rsidR="00C57336" w:rsidRPr="00EF5A5F" w:rsidRDefault="00C57336" w:rsidP="00BB7604">
      <w:pPr>
        <w:pStyle w:val="Heading5"/>
      </w:pPr>
      <w:r w:rsidRPr="00EF5A5F">
        <w:t xml:space="preserve">VET participation by target group — </w:t>
      </w:r>
      <w:r w:rsidR="00A418AA">
        <w:t>p</w:t>
      </w:r>
      <w:r w:rsidR="00AA768B" w:rsidRPr="00EF5A5F">
        <w:t xml:space="preserve">eople </w:t>
      </w:r>
      <w:r w:rsidRPr="00EF5A5F">
        <w:t>with disability</w:t>
      </w:r>
    </w:p>
    <w:p w:rsidR="00DA4D56" w:rsidRDefault="00C57336" w:rsidP="00DA4D56">
      <w:pPr>
        <w:pStyle w:val="BodyText"/>
      </w:pPr>
      <w:r w:rsidRPr="000D462B">
        <w:t xml:space="preserve">Nationally, </w:t>
      </w:r>
      <w:r w:rsidR="00870D75">
        <w:t xml:space="preserve">8.4 </w:t>
      </w:r>
      <w:r w:rsidRPr="000D462B">
        <w:t>per</w:t>
      </w:r>
      <w:r w:rsidR="00AE5734">
        <w:t xml:space="preserve"> </w:t>
      </w:r>
      <w:r w:rsidRPr="00EF5A5F">
        <w:t xml:space="preserve">cent of government funded VET </w:t>
      </w:r>
      <w:r w:rsidRPr="000C682B">
        <w:rPr>
          <w:shd w:val="clear" w:color="auto" w:fill="FFFFFF" w:themeFill="background1"/>
        </w:rPr>
        <w:t xml:space="preserve">students in </w:t>
      </w:r>
      <w:r w:rsidR="008B475A" w:rsidRPr="000C682B">
        <w:rPr>
          <w:shd w:val="clear" w:color="auto" w:fill="FFFFFF" w:themeFill="background1"/>
        </w:rPr>
        <w:t>201</w:t>
      </w:r>
      <w:r w:rsidR="00870D75">
        <w:rPr>
          <w:shd w:val="clear" w:color="auto" w:fill="FFFFFF" w:themeFill="background1"/>
        </w:rPr>
        <w:t>4</w:t>
      </w:r>
      <w:r w:rsidR="008B475A" w:rsidRPr="000C682B">
        <w:rPr>
          <w:shd w:val="clear" w:color="auto" w:fill="FFFFFF" w:themeFill="background1"/>
        </w:rPr>
        <w:t xml:space="preserve"> </w:t>
      </w:r>
      <w:r w:rsidRPr="000C682B">
        <w:rPr>
          <w:shd w:val="clear" w:color="auto" w:fill="FFFFFF" w:themeFill="background1"/>
        </w:rPr>
        <w:t xml:space="preserve">reported having disability, </w:t>
      </w:r>
      <w:r w:rsidR="00C50020" w:rsidRPr="000C682B">
        <w:rPr>
          <w:shd w:val="clear" w:color="auto" w:fill="FFFFFF" w:themeFill="background1"/>
        </w:rPr>
        <w:t xml:space="preserve">an </w:t>
      </w:r>
      <w:r w:rsidRPr="000C682B">
        <w:rPr>
          <w:shd w:val="clear" w:color="auto" w:fill="FFFFFF" w:themeFill="background1"/>
        </w:rPr>
        <w:t xml:space="preserve">impairment or </w:t>
      </w:r>
      <w:r w:rsidR="00C50020" w:rsidRPr="000C682B">
        <w:rPr>
          <w:shd w:val="clear" w:color="auto" w:fill="FFFFFF" w:themeFill="background1"/>
        </w:rPr>
        <w:t xml:space="preserve">a </w:t>
      </w:r>
      <w:r w:rsidRPr="000C682B">
        <w:rPr>
          <w:shd w:val="clear" w:color="auto" w:fill="FFFFFF" w:themeFill="background1"/>
        </w:rPr>
        <w:t>long</w:t>
      </w:r>
      <w:r w:rsidR="00AD5F7E">
        <w:rPr>
          <w:shd w:val="clear" w:color="auto" w:fill="FFFFFF" w:themeFill="background1"/>
        </w:rPr>
        <w:noBreakHyphen/>
      </w:r>
      <w:r w:rsidRPr="000C682B">
        <w:rPr>
          <w:shd w:val="clear" w:color="auto" w:fill="FFFFFF" w:themeFill="background1"/>
        </w:rPr>
        <w:t xml:space="preserve">term condition (figure </w:t>
      </w:r>
      <w:r w:rsidR="003A68D1">
        <w:t>5.8</w:t>
      </w:r>
      <w:r w:rsidR="003D4406" w:rsidRPr="000C682B">
        <w:rPr>
          <w:shd w:val="clear" w:color="auto" w:fill="FFFFFF" w:themeFill="background1"/>
        </w:rPr>
        <w:t xml:space="preserve">). </w:t>
      </w:r>
      <w:r w:rsidR="00DA4D56" w:rsidRPr="00EF5A5F">
        <w:t>T</w:t>
      </w:r>
      <w:r w:rsidR="00DA4D56">
        <w:t>he disability status of 8.</w:t>
      </w:r>
      <w:r w:rsidR="00FE6D23">
        <w:t>2 </w:t>
      </w:r>
      <w:r w:rsidR="00DA4D56">
        <w:t>per</w:t>
      </w:r>
      <w:r w:rsidR="00FE6D23">
        <w:t> </w:t>
      </w:r>
      <w:r w:rsidR="00DA4D56">
        <w:t>cent of government funded VET students nationally was unknown (or not stated) in 2014 (table 5A.1</w:t>
      </w:r>
      <w:r w:rsidR="00FE6D23">
        <w:t>5</w:t>
      </w:r>
      <w:r w:rsidR="00DA4D56">
        <w:t xml:space="preserve">), which could mean that the number </w:t>
      </w:r>
      <w:r w:rsidR="006B4CFF">
        <w:t xml:space="preserve">of </w:t>
      </w:r>
      <w:r w:rsidR="00DA4D56">
        <w:t>VET students with disability is understated.</w:t>
      </w:r>
    </w:p>
    <w:p w:rsidR="00C57336" w:rsidRDefault="003D4406" w:rsidP="0095094B">
      <w:pPr>
        <w:pStyle w:val="BodyText"/>
      </w:pPr>
      <w:r w:rsidRPr="000C682B">
        <w:rPr>
          <w:shd w:val="clear" w:color="auto" w:fill="FFFFFF" w:themeFill="background1"/>
        </w:rPr>
        <w:t xml:space="preserve">Based on </w:t>
      </w:r>
      <w:r w:rsidR="00FD5E77">
        <w:rPr>
          <w:shd w:val="clear" w:color="auto" w:fill="FFFFFF" w:themeFill="background1"/>
        </w:rPr>
        <w:t>2012</w:t>
      </w:r>
      <w:r w:rsidR="007B05BF" w:rsidRPr="000C682B">
        <w:rPr>
          <w:shd w:val="clear" w:color="auto" w:fill="FFFFFF" w:themeFill="background1"/>
        </w:rPr>
        <w:t xml:space="preserve"> </w:t>
      </w:r>
      <w:r w:rsidR="00FD5E77" w:rsidRPr="00FD5E77">
        <w:rPr>
          <w:shd w:val="clear" w:color="auto" w:fill="FFFFFF" w:themeFill="background1"/>
        </w:rPr>
        <w:t>survey</w:t>
      </w:r>
      <w:r w:rsidR="00FD5E77" w:rsidRPr="000C682B">
        <w:rPr>
          <w:i/>
          <w:shd w:val="clear" w:color="auto" w:fill="FFFFFF" w:themeFill="background1"/>
        </w:rPr>
        <w:t xml:space="preserve"> </w:t>
      </w:r>
      <w:r w:rsidR="00C57336" w:rsidRPr="000C682B">
        <w:rPr>
          <w:shd w:val="clear" w:color="auto" w:fill="FFFFFF" w:themeFill="background1"/>
        </w:rPr>
        <w:t>data, an estimated 1</w:t>
      </w:r>
      <w:r w:rsidR="005D51FA" w:rsidRPr="000C682B">
        <w:rPr>
          <w:shd w:val="clear" w:color="auto" w:fill="FFFFFF" w:themeFill="background1"/>
        </w:rPr>
        <w:t>4</w:t>
      </w:r>
      <w:r w:rsidR="00C57336" w:rsidRPr="000C682B">
        <w:rPr>
          <w:shd w:val="clear" w:color="auto" w:fill="FFFFFF" w:themeFill="background1"/>
        </w:rPr>
        <w:t>.</w:t>
      </w:r>
      <w:r w:rsidR="007C77A9" w:rsidRPr="000C682B">
        <w:rPr>
          <w:shd w:val="clear" w:color="auto" w:fill="FFFFFF" w:themeFill="background1"/>
        </w:rPr>
        <w:t>4</w:t>
      </w:r>
      <w:r w:rsidR="00DA4D56">
        <w:rPr>
          <w:shd w:val="clear" w:color="auto" w:fill="FFFFFF" w:themeFill="background1"/>
        </w:rPr>
        <w:t> </w:t>
      </w:r>
      <w:r w:rsidR="00C57336" w:rsidRPr="000C682B">
        <w:rPr>
          <w:shd w:val="clear" w:color="auto" w:fill="FFFFFF" w:themeFill="background1"/>
        </w:rPr>
        <w:t>per</w:t>
      </w:r>
      <w:r w:rsidR="00AE5734">
        <w:rPr>
          <w:shd w:val="clear" w:color="auto" w:fill="FFFFFF" w:themeFill="background1"/>
        </w:rPr>
        <w:t xml:space="preserve"> </w:t>
      </w:r>
      <w:r w:rsidR="00C57336" w:rsidRPr="000C682B">
        <w:rPr>
          <w:shd w:val="clear" w:color="auto" w:fill="FFFFFF" w:themeFill="background1"/>
        </w:rPr>
        <w:t>cent of all 15</w:t>
      </w:r>
      <w:r w:rsidR="0063132C">
        <w:rPr>
          <w:shd w:val="clear" w:color="auto" w:fill="FFFFFF" w:themeFill="background1"/>
        </w:rPr>
        <w:t>–</w:t>
      </w:r>
      <w:r w:rsidR="00C57336" w:rsidRPr="000C682B">
        <w:rPr>
          <w:shd w:val="clear" w:color="auto" w:fill="FFFFFF" w:themeFill="background1"/>
        </w:rPr>
        <w:t>64 y</w:t>
      </w:r>
      <w:r w:rsidR="0026030A" w:rsidRPr="000C682B">
        <w:rPr>
          <w:shd w:val="clear" w:color="auto" w:fill="FFFFFF" w:themeFill="background1"/>
        </w:rPr>
        <w:t>ear olds in the population</w:t>
      </w:r>
      <w:r w:rsidR="007C77A9" w:rsidRPr="000C682B">
        <w:rPr>
          <w:shd w:val="clear" w:color="auto" w:fill="FFFFFF" w:themeFill="background1"/>
        </w:rPr>
        <w:t xml:space="preserve"> living in households</w:t>
      </w:r>
      <w:r w:rsidR="0026030A" w:rsidRPr="000C682B">
        <w:rPr>
          <w:shd w:val="clear" w:color="auto" w:fill="FFFFFF" w:themeFill="background1"/>
        </w:rPr>
        <w:t xml:space="preserve"> and </w:t>
      </w:r>
      <w:r w:rsidR="005D51FA" w:rsidRPr="000C682B">
        <w:rPr>
          <w:shd w:val="clear" w:color="auto" w:fill="FFFFFF" w:themeFill="background1"/>
        </w:rPr>
        <w:t>18.5</w:t>
      </w:r>
      <w:r w:rsidR="00AE5734">
        <w:rPr>
          <w:shd w:val="clear" w:color="auto" w:fill="FFFFFF" w:themeFill="background1"/>
        </w:rPr>
        <w:t xml:space="preserve"> </w:t>
      </w:r>
      <w:r w:rsidR="00C57336" w:rsidRPr="000C682B">
        <w:rPr>
          <w:shd w:val="clear" w:color="auto" w:fill="FFFFFF" w:themeFill="background1"/>
        </w:rPr>
        <w:t>per</w:t>
      </w:r>
      <w:r w:rsidR="00AE5734">
        <w:rPr>
          <w:shd w:val="clear" w:color="auto" w:fill="FFFFFF" w:themeFill="background1"/>
        </w:rPr>
        <w:t xml:space="preserve"> </w:t>
      </w:r>
      <w:r w:rsidR="00C57336" w:rsidRPr="000C682B">
        <w:rPr>
          <w:shd w:val="clear" w:color="auto" w:fill="FFFFFF" w:themeFill="background1"/>
        </w:rPr>
        <w:t xml:space="preserve">cent of the total population reported having </w:t>
      </w:r>
      <w:r w:rsidR="00D05C85" w:rsidRPr="000C682B">
        <w:rPr>
          <w:shd w:val="clear" w:color="auto" w:fill="FFFFFF" w:themeFill="background1"/>
        </w:rPr>
        <w:t>disability (derived from ABS </w:t>
      </w:r>
      <w:r w:rsidR="0092034B" w:rsidRPr="000C682B">
        <w:rPr>
          <w:shd w:val="clear" w:color="auto" w:fill="FFFFFF" w:themeFill="background1"/>
        </w:rPr>
        <w:t>20</w:t>
      </w:r>
      <w:r w:rsidR="005D51FA" w:rsidRPr="000C682B">
        <w:rPr>
          <w:shd w:val="clear" w:color="auto" w:fill="FFFFFF" w:themeFill="background1"/>
        </w:rPr>
        <w:t>1</w:t>
      </w:r>
      <w:r w:rsidR="007C77A9" w:rsidRPr="000C682B">
        <w:rPr>
          <w:shd w:val="clear" w:color="auto" w:fill="FFFFFF" w:themeFill="background1"/>
        </w:rPr>
        <w:t>3</w:t>
      </w:r>
      <w:r w:rsidR="00C57336" w:rsidRPr="000C682B">
        <w:rPr>
          <w:shd w:val="clear" w:color="auto" w:fill="FFFFFF" w:themeFill="background1"/>
        </w:rPr>
        <w:t>). The proportion of VET students reporting disability is not directly comparable with the proportion of the population reporting disability</w:t>
      </w:r>
      <w:r w:rsidR="00C57336" w:rsidRPr="00EF5A5F">
        <w:t>, as the classifications of d</w:t>
      </w:r>
      <w:r w:rsidR="00FF5A84" w:rsidRPr="00EF5A5F">
        <w:t xml:space="preserve">isabilities </w:t>
      </w:r>
      <w:r w:rsidR="00AA0765" w:rsidRPr="00EF5A5F">
        <w:t>differ</w:t>
      </w:r>
      <w:r w:rsidR="00276FDB" w:rsidRPr="00EF5A5F">
        <w:t xml:space="preserve"> across </w:t>
      </w:r>
      <w:r w:rsidR="00276FDB" w:rsidRPr="000C682B">
        <w:rPr>
          <w:shd w:val="clear" w:color="auto" w:fill="FFFFFF" w:themeFill="background1"/>
        </w:rPr>
        <w:t>the two collections</w:t>
      </w:r>
      <w:r w:rsidR="00FF5A84" w:rsidRPr="000C682B">
        <w:rPr>
          <w:shd w:val="clear" w:color="auto" w:fill="FFFFFF" w:themeFill="background1"/>
        </w:rPr>
        <w:t>.</w:t>
      </w:r>
      <w:r w:rsidR="00AA0765" w:rsidRPr="000C682B">
        <w:rPr>
          <w:shd w:val="clear" w:color="auto" w:fill="FFFFFF" w:themeFill="background1"/>
        </w:rPr>
        <w:t xml:space="preserve"> Within the VET system, the focus is on identifying students </w:t>
      </w:r>
      <w:r w:rsidR="007E7322" w:rsidRPr="000C682B">
        <w:rPr>
          <w:shd w:val="clear" w:color="auto" w:fill="FFFFFF" w:themeFill="background1"/>
        </w:rPr>
        <w:t>who</w:t>
      </w:r>
      <w:r w:rsidR="007E7322">
        <w:t xml:space="preserve"> </w:t>
      </w:r>
      <w:r w:rsidR="00AA0765" w:rsidRPr="00EF5A5F">
        <w:t>require additional teaching and learning support</w:t>
      </w:r>
      <w:r w:rsidR="00FD5E77">
        <w:t>, whereas for the population survey data the focus is on general functioning and need for assistance</w:t>
      </w:r>
      <w:r w:rsidR="00FD5E77" w:rsidRPr="00EF5A5F">
        <w:t>.</w:t>
      </w:r>
    </w:p>
    <w:p w:rsidR="00307A8A" w:rsidRPr="007C0ADB" w:rsidRDefault="00307A8A" w:rsidP="004A350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7A8A" w:rsidTr="004A350E">
        <w:tc>
          <w:tcPr>
            <w:tcW w:w="8771" w:type="dxa"/>
            <w:tcBorders>
              <w:top w:val="single" w:sz="6" w:space="0" w:color="78A22F"/>
              <w:left w:val="nil"/>
              <w:bottom w:val="nil"/>
              <w:right w:val="nil"/>
            </w:tcBorders>
            <w:shd w:val="clear" w:color="auto" w:fill="auto"/>
          </w:tcPr>
          <w:p w:rsidR="00307A8A" w:rsidRPr="00176D3F" w:rsidRDefault="00307A8A" w:rsidP="001C4160">
            <w:pPr>
              <w:pStyle w:val="FigureTitle"/>
            </w:pPr>
            <w:r w:rsidRPr="00784A05">
              <w:rPr>
                <w:b w:val="0"/>
              </w:rPr>
              <w:t xml:space="preserve">Figure </w:t>
            </w:r>
            <w:bookmarkStart w:id="22" w:name="OLE_LINK57"/>
            <w:r w:rsidR="003A68D1">
              <w:rPr>
                <w:b w:val="0"/>
              </w:rPr>
              <w:t>5.</w:t>
            </w:r>
            <w:r w:rsidR="00111918">
              <w:rPr>
                <w:b w:val="0"/>
                <w:noProof/>
              </w:rPr>
              <w:t>8</w:t>
            </w:r>
            <w:bookmarkEnd w:id="22"/>
            <w:r>
              <w:tab/>
            </w:r>
            <w:r w:rsidR="00E5685F">
              <w:t xml:space="preserve">Proportion of </w:t>
            </w:r>
            <w:r w:rsidR="00E5685F" w:rsidRPr="00C02C05">
              <w:t>VET students</w:t>
            </w:r>
            <w:r w:rsidR="00E5685F">
              <w:t xml:space="preserve"> </w:t>
            </w:r>
            <w:r w:rsidR="004D79B0">
              <w:t xml:space="preserve">that are students </w:t>
            </w:r>
            <w:r w:rsidR="00E5685F">
              <w:t>with disability</w:t>
            </w:r>
            <w:r w:rsidRPr="00C02C05">
              <w:t>, 201</w:t>
            </w:r>
            <w:r w:rsidR="00672437">
              <w:t>4</w:t>
            </w:r>
            <w:r w:rsidRPr="00C02C05">
              <w:rPr>
                <w:rStyle w:val="NoteLabel"/>
                <w:b/>
              </w:rPr>
              <w:t>a</w:t>
            </w:r>
          </w:p>
        </w:tc>
      </w:tr>
      <w:tr w:rsidR="00307A8A" w:rsidTr="00A26D57">
        <w:tc>
          <w:tcPr>
            <w:tcW w:w="8771" w:type="dxa"/>
            <w:tcBorders>
              <w:top w:val="nil"/>
              <w:left w:val="nil"/>
              <w:bottom w:val="nil"/>
              <w:right w:val="nil"/>
            </w:tcBorders>
            <w:shd w:val="clear" w:color="auto" w:fill="auto"/>
            <w:tcMar>
              <w:top w:w="28" w:type="dxa"/>
              <w:bottom w:w="28" w:type="dxa"/>
            </w:tcMar>
          </w:tcPr>
          <w:p w:rsidR="00307A8A" w:rsidRDefault="00CE71B8" w:rsidP="004A350E">
            <w:pPr>
              <w:pStyle w:val="Figure"/>
            </w:pPr>
            <w:r>
              <w:rPr>
                <w:noProof/>
              </w:rPr>
              <w:drawing>
                <wp:inline distT="0" distB="0" distL="0" distR="0">
                  <wp:extent cx="5368290" cy="2527935"/>
                  <wp:effectExtent l="0" t="0" r="3810" b="5715"/>
                  <wp:docPr id="7" name="Picture 7" descr="Figure 5.8 Proportion of VET students that are students with disability,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68290" cy="2527935"/>
                          </a:xfrm>
                          <a:prstGeom prst="rect">
                            <a:avLst/>
                          </a:prstGeom>
                          <a:noFill/>
                          <a:ln>
                            <a:noFill/>
                          </a:ln>
                        </pic:spPr>
                      </pic:pic>
                    </a:graphicData>
                  </a:graphic>
                </wp:inline>
              </w:drawing>
            </w:r>
          </w:p>
        </w:tc>
      </w:tr>
      <w:tr w:rsidR="00307A8A" w:rsidRPr="00176D3F" w:rsidTr="00A26D57">
        <w:tc>
          <w:tcPr>
            <w:tcW w:w="8771" w:type="dxa"/>
            <w:tcBorders>
              <w:top w:val="nil"/>
              <w:left w:val="nil"/>
              <w:bottom w:val="nil"/>
              <w:right w:val="nil"/>
            </w:tcBorders>
            <w:shd w:val="clear" w:color="auto" w:fill="auto"/>
          </w:tcPr>
          <w:p w:rsidR="00307A8A" w:rsidRPr="00176D3F" w:rsidRDefault="002E487B" w:rsidP="00DA4D56">
            <w:pPr>
              <w:pStyle w:val="Note"/>
            </w:pPr>
            <w:r>
              <w:rPr>
                <w:rStyle w:val="NoteLabel"/>
              </w:rPr>
              <w:t>a</w:t>
            </w:r>
            <w:r>
              <w:t xml:space="preserve"> </w:t>
            </w:r>
            <w:r w:rsidRPr="006D3797">
              <w:t xml:space="preserve">See </w:t>
            </w:r>
            <w:r w:rsidR="00DA4D56">
              <w:t xml:space="preserve">box </w:t>
            </w:r>
            <w:r w:rsidR="003A68D1">
              <w:t>5.6</w:t>
            </w:r>
            <w:r>
              <w:t xml:space="preserve"> </w:t>
            </w:r>
            <w:r w:rsidRPr="006D3797">
              <w:t xml:space="preserve">and table </w:t>
            </w:r>
            <w:r>
              <w:t>5</w:t>
            </w:r>
            <w:r w:rsidRPr="006D3797">
              <w:t>A.</w:t>
            </w:r>
            <w:r>
              <w:t>15</w:t>
            </w:r>
            <w:r w:rsidRPr="006D3797">
              <w:t xml:space="preserve"> for detailed definitions, footnotes and caveats</w:t>
            </w:r>
            <w:r w:rsidR="006B4CFF">
              <w:t>.</w:t>
            </w:r>
          </w:p>
        </w:tc>
      </w:tr>
      <w:tr w:rsidR="00307A8A" w:rsidRPr="00176D3F" w:rsidTr="004A350E">
        <w:tc>
          <w:tcPr>
            <w:tcW w:w="8771" w:type="dxa"/>
            <w:tcBorders>
              <w:top w:val="nil"/>
              <w:left w:val="nil"/>
              <w:bottom w:val="nil"/>
              <w:right w:val="nil"/>
            </w:tcBorders>
            <w:shd w:val="clear" w:color="auto" w:fill="auto"/>
          </w:tcPr>
          <w:p w:rsidR="00307A8A" w:rsidRPr="00176D3F" w:rsidRDefault="00307A8A" w:rsidP="00672437">
            <w:pPr>
              <w:pStyle w:val="Source"/>
            </w:pPr>
            <w:r w:rsidRPr="004B1B81">
              <w:rPr>
                <w:i/>
              </w:rPr>
              <w:t>Source</w:t>
            </w:r>
            <w:r w:rsidRPr="004B1B81">
              <w:t>: NCVER (unpublished) National VET provider collection; table 5A.1</w:t>
            </w:r>
            <w:r w:rsidR="00672437">
              <w:t>5</w:t>
            </w:r>
            <w:r w:rsidRPr="004B1B81">
              <w:t>.</w:t>
            </w:r>
          </w:p>
        </w:tc>
      </w:tr>
      <w:tr w:rsidR="00307A8A" w:rsidTr="004A350E">
        <w:tc>
          <w:tcPr>
            <w:tcW w:w="8771" w:type="dxa"/>
            <w:tcBorders>
              <w:top w:val="nil"/>
              <w:left w:val="nil"/>
              <w:bottom w:val="single" w:sz="6" w:space="0" w:color="78A22F"/>
              <w:right w:val="nil"/>
            </w:tcBorders>
            <w:shd w:val="clear" w:color="auto" w:fill="auto"/>
          </w:tcPr>
          <w:p w:rsidR="00307A8A" w:rsidRDefault="00307A8A" w:rsidP="004A350E">
            <w:pPr>
              <w:pStyle w:val="Figurespace"/>
            </w:pPr>
          </w:p>
        </w:tc>
      </w:tr>
      <w:tr w:rsidR="00307A8A" w:rsidRPr="000863A5" w:rsidTr="004A350E">
        <w:tc>
          <w:tcPr>
            <w:tcW w:w="8771" w:type="dxa"/>
            <w:tcBorders>
              <w:top w:val="single" w:sz="6" w:space="0" w:color="78A22F"/>
              <w:left w:val="nil"/>
              <w:bottom w:val="nil"/>
              <w:right w:val="nil"/>
            </w:tcBorders>
          </w:tcPr>
          <w:p w:rsidR="00307A8A" w:rsidRPr="007C0ADB" w:rsidRDefault="00307A8A" w:rsidP="004A350E">
            <w:pPr>
              <w:pStyle w:val="BoxSpaceBelow"/>
            </w:pPr>
          </w:p>
        </w:tc>
      </w:tr>
    </w:tbl>
    <w:p w:rsidR="00C57336" w:rsidRPr="00EF5A5F" w:rsidRDefault="00C57336" w:rsidP="00BB7604">
      <w:pPr>
        <w:pStyle w:val="Heading5"/>
      </w:pPr>
      <w:r w:rsidRPr="00EF5A5F">
        <w:t xml:space="preserve">VET participation by target group — </w:t>
      </w:r>
      <w:r w:rsidR="00276FDB" w:rsidRPr="00EF5A5F">
        <w:t>p</w:t>
      </w:r>
      <w:r w:rsidR="006A3635" w:rsidRPr="00EF5A5F">
        <w:t xml:space="preserve">eople </w:t>
      </w:r>
      <w:r w:rsidRPr="00EF5A5F">
        <w:t xml:space="preserve">speaking a </w:t>
      </w:r>
      <w:r w:rsidR="006B4CFF">
        <w:t>LOTE</w:t>
      </w:r>
      <w:r w:rsidRPr="00EF5A5F">
        <w:t xml:space="preserve"> at home </w:t>
      </w:r>
    </w:p>
    <w:p w:rsidR="001C4160" w:rsidRDefault="006B4CFF" w:rsidP="001C4160">
      <w:pPr>
        <w:pStyle w:val="BodyText"/>
      </w:pPr>
      <w:r>
        <w:t xml:space="preserve">As measured at the last population census, </w:t>
      </w:r>
      <w:r w:rsidRPr="00FF3898">
        <w:t xml:space="preserve">participation </w:t>
      </w:r>
      <w:r w:rsidR="001C4160" w:rsidRPr="00FF3898">
        <w:t xml:space="preserve">in VET for people speaking a LOTE at home </w:t>
      </w:r>
      <w:r w:rsidR="001C4160">
        <w:t>was</w:t>
      </w:r>
      <w:r w:rsidR="001C4160" w:rsidRPr="00FF3898">
        <w:t xml:space="preserve"> estimated to be 5.6 per</w:t>
      </w:r>
      <w:r w:rsidR="001C4160">
        <w:t xml:space="preserve"> </w:t>
      </w:r>
      <w:r w:rsidR="001C4160" w:rsidRPr="00FF3898">
        <w:t>cent nationally in 2011, compared with 7.1</w:t>
      </w:r>
      <w:r w:rsidR="008F2D5F">
        <w:t> </w:t>
      </w:r>
      <w:r w:rsidR="001C4160" w:rsidRPr="00FF3898">
        <w:t>per</w:t>
      </w:r>
      <w:r w:rsidR="008F2D5F">
        <w:t> </w:t>
      </w:r>
      <w:r w:rsidR="001C4160" w:rsidRPr="00FF3898">
        <w:t>cent for people who spoke only English at home</w:t>
      </w:r>
      <w:r w:rsidR="001C4160">
        <w:t xml:space="preserve"> </w:t>
      </w:r>
      <w:r w:rsidR="001C4160" w:rsidRPr="00FF3898">
        <w:t>(table 5A.1</w:t>
      </w:r>
      <w:r w:rsidR="001C4160">
        <w:t>7</w:t>
      </w:r>
      <w:r w:rsidR="001C4160" w:rsidRPr="00FF3898">
        <w:t>).</w:t>
      </w:r>
    </w:p>
    <w:p w:rsidR="00B006D2" w:rsidRPr="00165F0A" w:rsidRDefault="00C57336" w:rsidP="0095094B">
      <w:pPr>
        <w:pStyle w:val="BodyText"/>
      </w:pPr>
      <w:r w:rsidRPr="00EF5A5F">
        <w:t xml:space="preserve">In </w:t>
      </w:r>
      <w:r w:rsidR="008B475A" w:rsidRPr="00086708">
        <w:t>201</w:t>
      </w:r>
      <w:r w:rsidR="00F83018">
        <w:t>4</w:t>
      </w:r>
      <w:r w:rsidRPr="00086708">
        <w:t xml:space="preserve">, </w:t>
      </w:r>
      <w:r w:rsidR="00726060">
        <w:t>1</w:t>
      </w:r>
      <w:r w:rsidR="00F83018">
        <w:t>8.9</w:t>
      </w:r>
      <w:r w:rsidR="00AE5734">
        <w:t xml:space="preserve"> </w:t>
      </w:r>
      <w:r w:rsidRPr="00086708">
        <w:t>per</w:t>
      </w:r>
      <w:r w:rsidR="00AE5734">
        <w:t xml:space="preserve"> </w:t>
      </w:r>
      <w:r w:rsidRPr="00EF5A5F">
        <w:t xml:space="preserve">cent of VET students reported speaking a </w:t>
      </w:r>
      <w:r w:rsidR="00276FDB" w:rsidRPr="00EF5A5F">
        <w:t>LOTE</w:t>
      </w:r>
      <w:r w:rsidRPr="00EF5A5F">
        <w:t xml:space="preserve"> at home</w:t>
      </w:r>
      <w:r w:rsidR="00EA0FD0" w:rsidRPr="00EF5A5F">
        <w:t xml:space="preserve">. By </w:t>
      </w:r>
      <w:r w:rsidR="00EA0FD0" w:rsidRPr="00E0193D">
        <w:t xml:space="preserve">comparison, </w:t>
      </w:r>
      <w:r w:rsidR="008B475A" w:rsidRPr="00E0193D">
        <w:t>18.2</w:t>
      </w:r>
      <w:r w:rsidR="00E0193D" w:rsidRPr="00E0193D">
        <w:t xml:space="preserve"> </w:t>
      </w:r>
      <w:r w:rsidRPr="00E0193D">
        <w:t>per</w:t>
      </w:r>
      <w:r w:rsidR="00E0193D" w:rsidRPr="00E0193D">
        <w:t xml:space="preserve"> </w:t>
      </w:r>
      <w:r w:rsidRPr="00E0193D">
        <w:t xml:space="preserve">cent </w:t>
      </w:r>
      <w:r w:rsidRPr="00165F0A">
        <w:t>of the Australia</w:t>
      </w:r>
      <w:r w:rsidR="001C4160">
        <w:t>n population</w:t>
      </w:r>
      <w:r w:rsidRPr="00165F0A">
        <w:t xml:space="preserve"> </w:t>
      </w:r>
      <w:r w:rsidR="002D7E23" w:rsidRPr="00165F0A">
        <w:t xml:space="preserve">in </w:t>
      </w:r>
      <w:r w:rsidR="00BA680F" w:rsidRPr="00165F0A">
        <w:t xml:space="preserve">2011 </w:t>
      </w:r>
      <w:r w:rsidRPr="00165F0A">
        <w:t xml:space="preserve">spoke a </w:t>
      </w:r>
      <w:r w:rsidR="00276FDB" w:rsidRPr="00165F0A">
        <w:t xml:space="preserve">LOTE </w:t>
      </w:r>
      <w:r w:rsidRPr="00165F0A">
        <w:t>at home</w:t>
      </w:r>
      <w:r w:rsidR="00BA680F" w:rsidRPr="00165F0A">
        <w:t xml:space="preserve"> </w:t>
      </w:r>
      <w:r w:rsidR="0086426C" w:rsidRPr="00EF5A5F">
        <w:t xml:space="preserve">(figure </w:t>
      </w:r>
      <w:r w:rsidR="003A68D1">
        <w:t>5.9</w:t>
      </w:r>
      <w:r w:rsidR="0086426C" w:rsidRPr="00EF5A5F">
        <w:t>)</w:t>
      </w:r>
      <w:r w:rsidR="00165F0A" w:rsidRPr="00165F0A">
        <w:t>.</w:t>
      </w:r>
    </w:p>
    <w:p w:rsidR="007C3DE7" w:rsidRDefault="007C3DE7" w:rsidP="0086426C">
      <w:pPr>
        <w:pStyle w:val="BodyText"/>
      </w:pPr>
      <w:r>
        <w:t>The language spoken at home was unknown (or not stated) for 5.8 per cent of government funded VET students nationally in 2014 (table 5A.16), which could mean that the participation rate for people th</w:t>
      </w:r>
      <w:r w:rsidR="004D79B0">
        <w:t>at</w:t>
      </w:r>
      <w:r>
        <w:t xml:space="preserve"> speak a LOTE at home is understated.</w:t>
      </w:r>
    </w:p>
    <w:p w:rsidR="004A350E" w:rsidRPr="007C0ADB" w:rsidRDefault="004A350E" w:rsidP="004A350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A350E" w:rsidTr="004A350E">
        <w:tc>
          <w:tcPr>
            <w:tcW w:w="8771" w:type="dxa"/>
            <w:tcBorders>
              <w:top w:val="single" w:sz="6" w:space="0" w:color="78A22F"/>
              <w:left w:val="nil"/>
              <w:bottom w:val="nil"/>
              <w:right w:val="nil"/>
            </w:tcBorders>
            <w:shd w:val="clear" w:color="auto" w:fill="auto"/>
          </w:tcPr>
          <w:p w:rsidR="004A350E" w:rsidRPr="00176D3F" w:rsidRDefault="004A350E" w:rsidP="00DA4D56">
            <w:pPr>
              <w:pStyle w:val="FigureTitle"/>
            </w:pPr>
            <w:r w:rsidRPr="00784A05">
              <w:rPr>
                <w:b w:val="0"/>
              </w:rPr>
              <w:t xml:space="preserve">Figure </w:t>
            </w:r>
            <w:bookmarkStart w:id="23" w:name="OLE_LINK58"/>
            <w:r w:rsidR="003A68D1">
              <w:rPr>
                <w:b w:val="0"/>
              </w:rPr>
              <w:t>5.</w:t>
            </w:r>
            <w:r w:rsidR="00111918">
              <w:rPr>
                <w:b w:val="0"/>
                <w:noProof/>
              </w:rPr>
              <w:t>9</w:t>
            </w:r>
            <w:bookmarkEnd w:id="23"/>
            <w:r>
              <w:tab/>
            </w:r>
            <w:r w:rsidR="000E6EC9">
              <w:t xml:space="preserve">Representation of </w:t>
            </w:r>
            <w:r w:rsidR="000E6EC9" w:rsidRPr="00C02C05">
              <w:t>VET students</w:t>
            </w:r>
            <w:r w:rsidR="000E6EC9">
              <w:t xml:space="preserve"> speaking a LOTE</w:t>
            </w:r>
            <w:r w:rsidR="000E6EC9" w:rsidRPr="00C02C05">
              <w:t xml:space="preserve"> at home</w:t>
            </w:r>
            <w:r w:rsidR="000E6EC9">
              <w:t xml:space="preserve"> compared to representation in the population</w:t>
            </w:r>
            <w:r w:rsidRPr="00C02C05">
              <w:t>, 201</w:t>
            </w:r>
            <w:r w:rsidR="0086426C">
              <w:t>4</w:t>
            </w:r>
            <w:r w:rsidRPr="00C02C05">
              <w:rPr>
                <w:rStyle w:val="NoteLabel"/>
                <w:b/>
              </w:rPr>
              <w:t>a</w:t>
            </w:r>
          </w:p>
        </w:tc>
      </w:tr>
      <w:tr w:rsidR="004A350E" w:rsidTr="004A350E">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4A350E" w:rsidTr="00DD49BC">
              <w:tc>
                <w:tcPr>
                  <w:tcW w:w="5000" w:type="pct"/>
                  <w:tcBorders>
                    <w:top w:val="nil"/>
                    <w:bottom w:val="nil"/>
                  </w:tcBorders>
                </w:tcPr>
                <w:p w:rsidR="004A350E" w:rsidRDefault="00CE71B8" w:rsidP="004A350E">
                  <w:pPr>
                    <w:pStyle w:val="Figure"/>
                    <w:spacing w:before="60" w:after="60"/>
                  </w:pPr>
                  <w:r>
                    <w:rPr>
                      <w:noProof/>
                    </w:rPr>
                    <w:drawing>
                      <wp:inline distT="0" distB="0" distL="0" distR="0">
                        <wp:extent cx="5389880" cy="2689225"/>
                        <wp:effectExtent l="0" t="0" r="1270" b="0"/>
                        <wp:docPr id="8" name="Picture 8" descr="Figure 5.9 Representation of VET students speaking a LOTE at home compared to representation in the population,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9880" cy="2689225"/>
                                </a:xfrm>
                                <a:prstGeom prst="rect">
                                  <a:avLst/>
                                </a:prstGeom>
                                <a:noFill/>
                                <a:ln>
                                  <a:noFill/>
                                </a:ln>
                              </pic:spPr>
                            </pic:pic>
                          </a:graphicData>
                        </a:graphic>
                      </wp:inline>
                    </w:drawing>
                  </w:r>
                </w:p>
              </w:tc>
            </w:tr>
          </w:tbl>
          <w:p w:rsidR="004A350E" w:rsidRDefault="004A350E" w:rsidP="004A350E">
            <w:pPr>
              <w:pStyle w:val="Figure"/>
            </w:pPr>
          </w:p>
        </w:tc>
      </w:tr>
      <w:tr w:rsidR="004A350E" w:rsidRPr="00176D3F" w:rsidTr="004A350E">
        <w:tc>
          <w:tcPr>
            <w:tcW w:w="8771" w:type="dxa"/>
            <w:tcBorders>
              <w:top w:val="nil"/>
              <w:left w:val="nil"/>
              <w:bottom w:val="nil"/>
              <w:right w:val="nil"/>
            </w:tcBorders>
            <w:shd w:val="clear" w:color="auto" w:fill="auto"/>
          </w:tcPr>
          <w:p w:rsidR="004A350E" w:rsidRPr="00176D3F" w:rsidRDefault="002E487B" w:rsidP="00DA4D56">
            <w:pPr>
              <w:pStyle w:val="Note"/>
            </w:pPr>
            <w:r>
              <w:rPr>
                <w:rStyle w:val="NoteLabel"/>
              </w:rPr>
              <w:t>a</w:t>
            </w:r>
            <w:r>
              <w:t xml:space="preserve"> </w:t>
            </w:r>
            <w:r w:rsidRPr="006D3797">
              <w:t xml:space="preserve">See </w:t>
            </w:r>
            <w:r w:rsidR="00DA4D56">
              <w:t xml:space="preserve">box </w:t>
            </w:r>
            <w:r w:rsidR="003A68D1">
              <w:t>5.6</w:t>
            </w:r>
            <w:r>
              <w:t xml:space="preserve"> </w:t>
            </w:r>
            <w:r w:rsidRPr="006D3797">
              <w:t xml:space="preserve">and table </w:t>
            </w:r>
            <w:r>
              <w:t>5</w:t>
            </w:r>
            <w:r w:rsidRPr="006D3797">
              <w:t>A.</w:t>
            </w:r>
            <w:r>
              <w:t>16</w:t>
            </w:r>
            <w:r w:rsidRPr="006D3797">
              <w:t xml:space="preserve"> for detailed definitions, footnotes and caveats</w:t>
            </w:r>
          </w:p>
        </w:tc>
      </w:tr>
      <w:tr w:rsidR="004A350E" w:rsidRPr="00176D3F" w:rsidTr="004A350E">
        <w:tc>
          <w:tcPr>
            <w:tcW w:w="8771" w:type="dxa"/>
            <w:tcBorders>
              <w:top w:val="nil"/>
              <w:left w:val="nil"/>
              <w:bottom w:val="nil"/>
              <w:right w:val="nil"/>
            </w:tcBorders>
            <w:shd w:val="clear" w:color="auto" w:fill="auto"/>
          </w:tcPr>
          <w:p w:rsidR="004A350E" w:rsidRPr="00176D3F" w:rsidRDefault="004A350E" w:rsidP="007C3DE7">
            <w:pPr>
              <w:pStyle w:val="Source"/>
            </w:pPr>
            <w:r w:rsidRPr="004B1B81">
              <w:rPr>
                <w:i/>
              </w:rPr>
              <w:t>Source</w:t>
            </w:r>
            <w:r w:rsidRPr="004B1B81">
              <w:t xml:space="preserve">: NCVER (unpublished) National VET provider collection; </w:t>
            </w:r>
            <w:r w:rsidR="0086426C" w:rsidRPr="00165F0A">
              <w:t xml:space="preserve">ABS </w:t>
            </w:r>
            <w:r w:rsidR="0086426C">
              <w:t>(</w:t>
            </w:r>
            <w:r w:rsidR="0086426C" w:rsidRPr="00165F0A">
              <w:t>201</w:t>
            </w:r>
            <w:r w:rsidR="0086426C">
              <w:t>2)</w:t>
            </w:r>
            <w:r w:rsidR="0086426C" w:rsidRPr="00165F0A">
              <w:t xml:space="preserve"> </w:t>
            </w:r>
            <w:r w:rsidR="0086426C">
              <w:rPr>
                <w:i/>
              </w:rPr>
              <w:t>2011 C</w:t>
            </w:r>
            <w:r w:rsidR="0086426C" w:rsidRPr="00165F0A">
              <w:rPr>
                <w:i/>
              </w:rPr>
              <w:t>ensus of Population and Housing</w:t>
            </w:r>
            <w:r w:rsidR="0086426C" w:rsidRPr="00165F0A">
              <w:t xml:space="preserve">, table </w:t>
            </w:r>
            <w:r w:rsidR="0086426C">
              <w:t>2</w:t>
            </w:r>
            <w:r w:rsidR="0086426C" w:rsidRPr="00165F0A">
              <w:t>A.11</w:t>
            </w:r>
            <w:r w:rsidR="0086426C">
              <w:t xml:space="preserve">; </w:t>
            </w:r>
            <w:r w:rsidRPr="004B1B81">
              <w:t>table 5A.1</w:t>
            </w:r>
            <w:r w:rsidR="007C3DE7">
              <w:t>6</w:t>
            </w:r>
            <w:r w:rsidRPr="004B1B81">
              <w:t>.</w:t>
            </w:r>
          </w:p>
        </w:tc>
      </w:tr>
      <w:tr w:rsidR="004A350E" w:rsidTr="004A350E">
        <w:tc>
          <w:tcPr>
            <w:tcW w:w="8771" w:type="dxa"/>
            <w:tcBorders>
              <w:top w:val="nil"/>
              <w:left w:val="nil"/>
              <w:bottom w:val="single" w:sz="6" w:space="0" w:color="78A22F"/>
              <w:right w:val="nil"/>
            </w:tcBorders>
            <w:shd w:val="clear" w:color="auto" w:fill="auto"/>
          </w:tcPr>
          <w:p w:rsidR="004A350E" w:rsidRDefault="004A350E" w:rsidP="004A350E">
            <w:pPr>
              <w:pStyle w:val="Figurespace"/>
            </w:pPr>
          </w:p>
        </w:tc>
      </w:tr>
      <w:tr w:rsidR="004A350E" w:rsidRPr="000863A5" w:rsidTr="004A350E">
        <w:tc>
          <w:tcPr>
            <w:tcW w:w="8771" w:type="dxa"/>
            <w:tcBorders>
              <w:top w:val="single" w:sz="6" w:space="0" w:color="78A22F"/>
              <w:left w:val="nil"/>
              <w:bottom w:val="nil"/>
              <w:right w:val="nil"/>
            </w:tcBorders>
          </w:tcPr>
          <w:p w:rsidR="004A350E" w:rsidRPr="007C0ADB" w:rsidRDefault="004A350E" w:rsidP="004A350E">
            <w:pPr>
              <w:pStyle w:val="BoxSpaceBelow"/>
            </w:pPr>
          </w:p>
        </w:tc>
      </w:tr>
    </w:tbl>
    <w:p w:rsidR="00C57336" w:rsidRPr="00BB7604" w:rsidRDefault="00C57336" w:rsidP="00BB7604">
      <w:pPr>
        <w:pStyle w:val="Heading3"/>
      </w:pPr>
      <w:r w:rsidRPr="00EF5A5F">
        <w:t>Effectiveness</w:t>
      </w:r>
      <w:r w:rsidR="00782E96">
        <w:t xml:space="preserve"> </w:t>
      </w:r>
    </w:p>
    <w:p w:rsidR="00C57336" w:rsidRPr="00EF5A5F" w:rsidRDefault="00BB7604" w:rsidP="00BB7604">
      <w:pPr>
        <w:pStyle w:val="Heading4"/>
      </w:pPr>
      <w:r>
        <w:t xml:space="preserve">Access — </w:t>
      </w:r>
      <w:r w:rsidR="00C57336" w:rsidRPr="00EF5A5F">
        <w:t>Student participation in VET</w:t>
      </w:r>
    </w:p>
    <w:p w:rsidR="0042744F" w:rsidRPr="0086426C" w:rsidRDefault="00590667" w:rsidP="0086426C">
      <w:pPr>
        <w:pStyle w:val="BodyText"/>
      </w:pPr>
      <w:r w:rsidRPr="0086426C">
        <w:t xml:space="preserve">‘Student participation in VET’ is an indicator of governments’ objective to </w:t>
      </w:r>
      <w:r w:rsidR="00A30054" w:rsidRPr="0086426C">
        <w:t xml:space="preserve">provide a productive and highly skilled workforce, by providing </w:t>
      </w:r>
      <w:r w:rsidRPr="0086426C">
        <w:t>people aged 15–64 years with the level of access to the VET system that is necessary for a highly skilled workforce</w:t>
      </w:r>
      <w:r w:rsidR="003A1F28" w:rsidRPr="0086426C">
        <w:t xml:space="preserve"> </w:t>
      </w:r>
      <w:r w:rsidR="00C57336" w:rsidRPr="0086426C">
        <w:t>(box</w:t>
      </w:r>
      <w:r w:rsidR="00A30054" w:rsidRPr="0086426C">
        <w:t> </w:t>
      </w:r>
      <w:r w:rsidR="003A68D1">
        <w:t>5.7</w:t>
      </w:r>
      <w:r w:rsidR="00974313" w:rsidRPr="0086426C">
        <w:t>).</w:t>
      </w:r>
    </w:p>
    <w:p w:rsidR="004A350E" w:rsidRPr="007C0ADB" w:rsidRDefault="004A350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A350E" w:rsidTr="004A350E">
        <w:tc>
          <w:tcPr>
            <w:tcW w:w="8771" w:type="dxa"/>
            <w:tcBorders>
              <w:top w:val="single" w:sz="6" w:space="0" w:color="78A22F"/>
              <w:left w:val="nil"/>
              <w:bottom w:val="nil"/>
              <w:right w:val="nil"/>
            </w:tcBorders>
            <w:shd w:val="clear" w:color="auto" w:fill="F2F2F2" w:themeFill="background1" w:themeFillShade="F2"/>
          </w:tcPr>
          <w:p w:rsidR="004A350E" w:rsidRDefault="004A350E" w:rsidP="004A350E">
            <w:pPr>
              <w:pStyle w:val="BoxTitle"/>
            </w:pPr>
            <w:r>
              <w:rPr>
                <w:b w:val="0"/>
              </w:rPr>
              <w:t xml:space="preserve">Box </w:t>
            </w:r>
            <w:bookmarkStart w:id="24" w:name="OLE_LINK54"/>
            <w:r w:rsidR="003A68D1">
              <w:rPr>
                <w:b w:val="0"/>
              </w:rPr>
              <w:t>5.</w:t>
            </w:r>
            <w:r w:rsidR="00111918">
              <w:rPr>
                <w:b w:val="0"/>
                <w:noProof/>
              </w:rPr>
              <w:t>7</w:t>
            </w:r>
            <w:bookmarkEnd w:id="24"/>
            <w:r>
              <w:tab/>
            </w:r>
            <w:r w:rsidRPr="00EF5A5F">
              <w:t>Student participation in VET</w:t>
            </w:r>
          </w:p>
        </w:tc>
      </w:tr>
      <w:tr w:rsidR="004A350E" w:rsidTr="004A350E">
        <w:trPr>
          <w:cantSplit/>
        </w:trPr>
        <w:tc>
          <w:tcPr>
            <w:tcW w:w="8771" w:type="dxa"/>
            <w:tcBorders>
              <w:top w:val="nil"/>
              <w:left w:val="nil"/>
              <w:bottom w:val="nil"/>
              <w:right w:val="nil"/>
            </w:tcBorders>
            <w:shd w:val="clear" w:color="auto" w:fill="F2F2F2" w:themeFill="background1" w:themeFillShade="F2"/>
          </w:tcPr>
          <w:p w:rsidR="004A350E" w:rsidRPr="00EF5A5F" w:rsidRDefault="004A350E" w:rsidP="004A350E">
            <w:pPr>
              <w:pStyle w:val="Box"/>
            </w:pPr>
            <w:r w:rsidRPr="00EF5A5F">
              <w:t>‘Student participation in VET’ is defined by three measures:</w:t>
            </w:r>
          </w:p>
          <w:p w:rsidR="004A350E" w:rsidRPr="00EF5A5F" w:rsidRDefault="004A350E" w:rsidP="004A350E">
            <w:pPr>
              <w:pStyle w:val="BoxListBullet"/>
            </w:pPr>
            <w:r w:rsidRPr="00EF5A5F">
              <w:t>the number of people aged 15–64 years participating in VET as a proportion of the population aged 15–64 years</w:t>
            </w:r>
          </w:p>
          <w:p w:rsidR="004A350E" w:rsidRPr="00EF5A5F" w:rsidRDefault="004A350E" w:rsidP="004A350E">
            <w:pPr>
              <w:pStyle w:val="BoxListBullet"/>
            </w:pPr>
            <w:r w:rsidRPr="00EF5A5F">
              <w:t xml:space="preserve">the number of people aged 15–64 years participating in </w:t>
            </w:r>
            <w:r w:rsidRPr="00A405CB">
              <w:t>VET at certificate level III and</w:t>
            </w:r>
            <w:r w:rsidRPr="00EF5A5F">
              <w:t xml:space="preserve"> above as a proportion of the population aged 15–64 years</w:t>
            </w:r>
          </w:p>
          <w:p w:rsidR="004A350E" w:rsidRPr="00EF5A5F" w:rsidRDefault="004A350E" w:rsidP="004A350E">
            <w:pPr>
              <w:pStyle w:val="BoxListBullet"/>
            </w:pPr>
            <w:r w:rsidRPr="00EF5A5F">
              <w:t xml:space="preserve">the number of people aged 15–64 years participating in </w:t>
            </w:r>
            <w:r w:rsidRPr="00A405CB">
              <w:t>VET at diploma</w:t>
            </w:r>
            <w:r w:rsidRPr="00EF5A5F">
              <w:t xml:space="preserve"> level and above as a proportion of the population aged 15–64 years.</w:t>
            </w:r>
          </w:p>
          <w:p w:rsidR="004A350E" w:rsidRPr="00EF5A5F" w:rsidRDefault="004A350E" w:rsidP="004A350E">
            <w:pPr>
              <w:pStyle w:val="Box"/>
            </w:pPr>
            <w:r w:rsidRPr="00EF5A5F">
              <w:t>High or increasing VET participation rates indicate high or increasing levels of access to the VET system by the general population. High or increasing participation in VET certificate level</w:t>
            </w:r>
            <w:r w:rsidR="0002794C">
              <w:t> </w:t>
            </w:r>
            <w:r w:rsidRPr="00EF5A5F">
              <w:t>III and above, and in VET diploma level and above, indicate greater or increasing participation in higher skill level courses, which is desirable.</w:t>
            </w:r>
          </w:p>
          <w:p w:rsidR="004A350E" w:rsidRPr="00EF5A5F" w:rsidRDefault="004A350E" w:rsidP="004A350E">
            <w:pPr>
              <w:pStyle w:val="Box"/>
            </w:pPr>
            <w:r w:rsidRPr="00EF5A5F">
              <w:t xml:space="preserve">Data are </w:t>
            </w:r>
            <w:r w:rsidR="00516044">
              <w:t xml:space="preserve">reported by Indigenous status and are </w:t>
            </w:r>
            <w:r w:rsidRPr="00EF5A5F">
              <w:t>for government funded VET students.</w:t>
            </w:r>
          </w:p>
          <w:p w:rsidR="004A350E" w:rsidRDefault="004A350E" w:rsidP="004A350E">
            <w:pPr>
              <w:pStyle w:val="BoxListBullet"/>
              <w:numPr>
                <w:ilvl w:val="0"/>
                <w:numId w:val="0"/>
              </w:numPr>
              <w:ind w:left="284" w:hanging="284"/>
            </w:pPr>
            <w:r w:rsidRPr="00EF5A5F">
              <w:t>Data reported for this indicator are</w:t>
            </w:r>
          </w:p>
          <w:p w:rsidR="004A350E" w:rsidRDefault="004A350E" w:rsidP="0005301F">
            <w:pPr>
              <w:pStyle w:val="BoxListBullet"/>
            </w:pPr>
            <w:r w:rsidRPr="0005301F">
              <w:t>comparable</w:t>
            </w:r>
            <w:r w:rsidRPr="001D1E8C">
              <w:t xml:space="preserve"> (subject to caveats) acr</w:t>
            </w:r>
            <w:r>
              <w:t>oss jurisdictions and over time</w:t>
            </w:r>
          </w:p>
          <w:p w:rsidR="004A350E" w:rsidRPr="00EF5A5F" w:rsidRDefault="004A350E" w:rsidP="0005301F">
            <w:pPr>
              <w:pStyle w:val="BoxListBullet"/>
            </w:pPr>
            <w:r w:rsidRPr="0005301F">
              <w:t>complete</w:t>
            </w:r>
            <w:r w:rsidRPr="001D1E8C">
              <w:t xml:space="preserve"> for the current reporting period (subject to caveats). All required </w:t>
            </w:r>
            <w:r>
              <w:t>201</w:t>
            </w:r>
            <w:r w:rsidR="00DA229C">
              <w:t>4</w:t>
            </w:r>
            <w:r w:rsidRPr="001D1E8C">
              <w:t xml:space="preserve"> data are available for all jurisdictions providing the service.</w:t>
            </w:r>
          </w:p>
          <w:p w:rsidR="004A350E" w:rsidRDefault="004A350E" w:rsidP="00F3610C">
            <w:pPr>
              <w:pStyle w:val="Box"/>
            </w:pPr>
            <w:r w:rsidRPr="00EF5A5F">
              <w:t>Data quality information for this indicator</w:t>
            </w:r>
            <w:r w:rsidR="006E0D24">
              <w:t xml:space="preserve"> is at www.pc.gov.au</w:t>
            </w:r>
            <w:r w:rsidR="00BA3094">
              <w:t>/rogs/2016</w:t>
            </w:r>
            <w:r w:rsidRPr="00EF5A5F">
              <w:t>.</w:t>
            </w:r>
          </w:p>
        </w:tc>
      </w:tr>
      <w:tr w:rsidR="004A350E" w:rsidTr="004A350E">
        <w:trPr>
          <w:cantSplit/>
        </w:trPr>
        <w:tc>
          <w:tcPr>
            <w:tcW w:w="8771" w:type="dxa"/>
            <w:tcBorders>
              <w:top w:val="nil"/>
              <w:left w:val="nil"/>
              <w:bottom w:val="single" w:sz="6" w:space="0" w:color="78A22F"/>
              <w:right w:val="nil"/>
            </w:tcBorders>
            <w:shd w:val="clear" w:color="auto" w:fill="F2F2F2" w:themeFill="background1" w:themeFillShade="F2"/>
          </w:tcPr>
          <w:p w:rsidR="004A350E" w:rsidRDefault="004A350E">
            <w:pPr>
              <w:pStyle w:val="Box"/>
              <w:spacing w:before="0" w:line="120" w:lineRule="exact"/>
            </w:pPr>
          </w:p>
        </w:tc>
      </w:tr>
      <w:tr w:rsidR="004A350E" w:rsidRPr="000863A5" w:rsidTr="004A350E">
        <w:tc>
          <w:tcPr>
            <w:tcW w:w="8771" w:type="dxa"/>
            <w:tcBorders>
              <w:top w:val="single" w:sz="6" w:space="0" w:color="78A22F"/>
              <w:left w:val="nil"/>
              <w:bottom w:val="nil"/>
              <w:right w:val="nil"/>
            </w:tcBorders>
          </w:tcPr>
          <w:p w:rsidR="004A350E" w:rsidRPr="007C0ADB" w:rsidRDefault="004A350E" w:rsidP="004A350E">
            <w:pPr>
              <w:pStyle w:val="BoxSpaceBelow"/>
            </w:pPr>
          </w:p>
        </w:tc>
      </w:tr>
    </w:tbl>
    <w:p w:rsidR="00031297" w:rsidRDefault="00031297" w:rsidP="00031297">
      <w:pPr>
        <w:pStyle w:val="Heading5"/>
      </w:pPr>
      <w:r>
        <w:t>Student participation in VET — All government funded VET programs</w:t>
      </w:r>
    </w:p>
    <w:p w:rsidR="00BB7604" w:rsidRDefault="00C57336" w:rsidP="00332A46">
      <w:pPr>
        <w:pStyle w:val="BodyText"/>
      </w:pPr>
      <w:r w:rsidRPr="00C20022">
        <w:t xml:space="preserve">In </w:t>
      </w:r>
      <w:r w:rsidR="00127AB8" w:rsidRPr="00C20022">
        <w:t>201</w:t>
      </w:r>
      <w:r w:rsidR="007B6848">
        <w:t>4</w:t>
      </w:r>
      <w:r w:rsidRPr="00C20022">
        <w:t xml:space="preserve">, </w:t>
      </w:r>
      <w:r w:rsidR="001A70A8">
        <w:t>1.</w:t>
      </w:r>
      <w:r w:rsidR="007B6848">
        <w:t>4</w:t>
      </w:r>
      <w:r w:rsidR="00AE5734">
        <w:t xml:space="preserve"> </w:t>
      </w:r>
      <w:r w:rsidRPr="00C20022">
        <w:t xml:space="preserve">million people aged 15–64 years participated in VET. This is equivalent to </w:t>
      </w:r>
      <w:r w:rsidR="007B6848">
        <w:t>8.7</w:t>
      </w:r>
      <w:r w:rsidR="00495A7F">
        <w:t> </w:t>
      </w:r>
      <w:r w:rsidRPr="00C20022">
        <w:t>per</w:t>
      </w:r>
      <w:r w:rsidR="00AE5734">
        <w:t xml:space="preserve"> </w:t>
      </w:r>
      <w:r w:rsidRPr="00C20022">
        <w:t>cent of people aged 15–64</w:t>
      </w:r>
      <w:r w:rsidR="00AE5734">
        <w:t xml:space="preserve"> </w:t>
      </w:r>
      <w:r w:rsidR="007B6848">
        <w:t>years nationally (table</w:t>
      </w:r>
      <w:r w:rsidR="000D7078">
        <w:t> </w:t>
      </w:r>
      <w:r w:rsidR="007B6848">
        <w:t>5A.11</w:t>
      </w:r>
      <w:r w:rsidR="004027FC" w:rsidRPr="00C20022">
        <w:t>).</w:t>
      </w:r>
      <w:r w:rsidR="000D7078">
        <w:t xml:space="preserve"> </w:t>
      </w:r>
      <w:r w:rsidR="004F6132" w:rsidRPr="00086708">
        <w:t xml:space="preserve">The </w:t>
      </w:r>
      <w:r w:rsidR="004B2DD6" w:rsidRPr="00086708">
        <w:t xml:space="preserve">national </w:t>
      </w:r>
      <w:r w:rsidR="004F6132" w:rsidRPr="00086708">
        <w:t xml:space="preserve">participation rate for the general population aged 15–64 years </w:t>
      </w:r>
      <w:r w:rsidR="000D7078">
        <w:t xml:space="preserve">decreased 0.7 percentage points from </w:t>
      </w:r>
      <w:r w:rsidR="001A70A8">
        <w:t>9.4</w:t>
      </w:r>
      <w:r w:rsidR="00495A7F">
        <w:t> </w:t>
      </w:r>
      <w:r w:rsidR="004F6132" w:rsidRPr="00086708">
        <w:t>per</w:t>
      </w:r>
      <w:r w:rsidR="001803EF">
        <w:t xml:space="preserve"> </w:t>
      </w:r>
      <w:r w:rsidR="004F6132" w:rsidRPr="00086708">
        <w:t xml:space="preserve">cent in </w:t>
      </w:r>
      <w:r w:rsidR="00E60D20" w:rsidRPr="00086708">
        <w:t>201</w:t>
      </w:r>
      <w:r w:rsidR="00910D9C">
        <w:t>3</w:t>
      </w:r>
      <w:r w:rsidR="000D7078">
        <w:t xml:space="preserve"> </w:t>
      </w:r>
      <w:r w:rsidR="003D0842" w:rsidRPr="00086708">
        <w:t>(figure</w:t>
      </w:r>
      <w:r w:rsidR="00E44FE9">
        <w:t> </w:t>
      </w:r>
      <w:r w:rsidR="003A68D1">
        <w:t>5.10</w:t>
      </w:r>
      <w:r w:rsidR="003D0842" w:rsidRPr="00086708">
        <w:t>).</w:t>
      </w:r>
    </w:p>
    <w:p w:rsidR="007C4C31" w:rsidRPr="007C0ADB" w:rsidRDefault="007C4C31" w:rsidP="00C368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C4C31" w:rsidTr="00C368C9">
        <w:tc>
          <w:tcPr>
            <w:tcW w:w="8771" w:type="dxa"/>
            <w:tcBorders>
              <w:top w:val="single" w:sz="6" w:space="0" w:color="78A22F"/>
              <w:left w:val="nil"/>
              <w:bottom w:val="nil"/>
              <w:right w:val="nil"/>
            </w:tcBorders>
            <w:shd w:val="clear" w:color="auto" w:fill="auto"/>
          </w:tcPr>
          <w:p w:rsidR="007C4C31" w:rsidRPr="00176D3F" w:rsidRDefault="007C4C31" w:rsidP="00495A7F">
            <w:pPr>
              <w:pStyle w:val="FigureTitle"/>
            </w:pPr>
            <w:r w:rsidRPr="00784A05">
              <w:rPr>
                <w:b w:val="0"/>
              </w:rPr>
              <w:t xml:space="preserve">Figure </w:t>
            </w:r>
            <w:bookmarkStart w:id="25" w:name="OLE_LINK63"/>
            <w:r w:rsidR="003A68D1">
              <w:rPr>
                <w:b w:val="0"/>
              </w:rPr>
              <w:t>5.</w:t>
            </w:r>
            <w:r w:rsidR="00111918">
              <w:rPr>
                <w:b w:val="0"/>
                <w:noProof/>
              </w:rPr>
              <w:t>10</w:t>
            </w:r>
            <w:bookmarkEnd w:id="25"/>
            <w:r>
              <w:tab/>
            </w:r>
            <w:r w:rsidRPr="0037023C">
              <w:t xml:space="preserve">VET participation rate, </w:t>
            </w:r>
            <w:r w:rsidR="00DC28BB">
              <w:t>students aged 15–64 years</w:t>
            </w:r>
            <w:r w:rsidR="00495A7F">
              <w:rPr>
                <w:rStyle w:val="NoteLabel"/>
                <w:b/>
              </w:rPr>
              <w:t>a</w:t>
            </w:r>
          </w:p>
        </w:tc>
      </w:tr>
      <w:tr w:rsidR="007C4C31" w:rsidTr="00C368C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C4C31" w:rsidTr="007C4C31">
              <w:tc>
                <w:tcPr>
                  <w:tcW w:w="5000" w:type="pct"/>
                  <w:tcBorders>
                    <w:top w:val="nil"/>
                    <w:bottom w:val="nil"/>
                  </w:tcBorders>
                </w:tcPr>
                <w:p w:rsidR="007C4C31" w:rsidRDefault="00CE71B8" w:rsidP="00F10CA7">
                  <w:pPr>
                    <w:pStyle w:val="Figure"/>
                    <w:spacing w:before="0" w:after="0"/>
                  </w:pPr>
                  <w:r>
                    <w:rPr>
                      <w:noProof/>
                    </w:rPr>
                    <w:drawing>
                      <wp:inline distT="0" distB="0" distL="0" distR="0">
                        <wp:extent cx="5389880" cy="2689225"/>
                        <wp:effectExtent l="0" t="0" r="1270" b="0"/>
                        <wp:docPr id="9" name="Picture 9" descr="Figure 5.10 VET participation rate, students aged 15–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89880" cy="2689225"/>
                                </a:xfrm>
                                <a:prstGeom prst="rect">
                                  <a:avLst/>
                                </a:prstGeom>
                                <a:noFill/>
                                <a:ln>
                                  <a:noFill/>
                                </a:ln>
                              </pic:spPr>
                            </pic:pic>
                          </a:graphicData>
                        </a:graphic>
                      </wp:inline>
                    </w:drawing>
                  </w:r>
                  <w:r w:rsidR="007C4C31" w:rsidRPr="00036D60">
                    <w:t xml:space="preserve"> </w:t>
                  </w:r>
                </w:p>
              </w:tc>
            </w:tr>
          </w:tbl>
          <w:p w:rsidR="007C4C31" w:rsidRDefault="007C4C31" w:rsidP="00C368C9">
            <w:pPr>
              <w:pStyle w:val="Figure"/>
            </w:pPr>
          </w:p>
        </w:tc>
      </w:tr>
      <w:tr w:rsidR="007C4C31" w:rsidRPr="00176D3F" w:rsidTr="00C368C9">
        <w:tc>
          <w:tcPr>
            <w:tcW w:w="8771" w:type="dxa"/>
            <w:tcBorders>
              <w:top w:val="nil"/>
              <w:left w:val="nil"/>
              <w:bottom w:val="nil"/>
              <w:right w:val="nil"/>
            </w:tcBorders>
            <w:shd w:val="clear" w:color="auto" w:fill="auto"/>
          </w:tcPr>
          <w:p w:rsidR="007C4C31" w:rsidRPr="00176D3F" w:rsidRDefault="002E487B" w:rsidP="00FE6D23">
            <w:pPr>
              <w:pStyle w:val="Note"/>
            </w:pPr>
            <w:r>
              <w:rPr>
                <w:rStyle w:val="NoteLabel"/>
              </w:rPr>
              <w:t>a</w:t>
            </w:r>
            <w:r>
              <w:t xml:space="preserve"> </w:t>
            </w:r>
            <w:r w:rsidRPr="006D3797">
              <w:t xml:space="preserve">See box </w:t>
            </w:r>
            <w:r w:rsidR="003A68D1">
              <w:t>5.7</w:t>
            </w:r>
            <w:r>
              <w:t xml:space="preserve"> </w:t>
            </w:r>
            <w:r w:rsidRPr="006D3797">
              <w:t xml:space="preserve">and table </w:t>
            </w:r>
            <w:r>
              <w:t>5</w:t>
            </w:r>
            <w:r w:rsidRPr="006D3797">
              <w:t>A.</w:t>
            </w:r>
            <w:r>
              <w:t>1</w:t>
            </w:r>
            <w:r w:rsidR="00FE6D23">
              <w:t>1</w:t>
            </w:r>
            <w:r w:rsidRPr="006D3797">
              <w:t xml:space="preserve"> for detailed definitions, footnotes and caveats</w:t>
            </w:r>
          </w:p>
        </w:tc>
      </w:tr>
      <w:tr w:rsidR="007C4C31" w:rsidRPr="00176D3F" w:rsidTr="00C368C9">
        <w:tc>
          <w:tcPr>
            <w:tcW w:w="8771" w:type="dxa"/>
            <w:tcBorders>
              <w:top w:val="nil"/>
              <w:left w:val="nil"/>
              <w:bottom w:val="nil"/>
              <w:right w:val="nil"/>
            </w:tcBorders>
            <w:shd w:val="clear" w:color="auto" w:fill="auto"/>
          </w:tcPr>
          <w:p w:rsidR="007C4C31" w:rsidRPr="00176D3F" w:rsidRDefault="007C4C31" w:rsidP="00FE6D23">
            <w:pPr>
              <w:pStyle w:val="Source"/>
            </w:pPr>
            <w:r w:rsidRPr="00080748">
              <w:rPr>
                <w:i/>
              </w:rPr>
              <w:t>Source</w:t>
            </w:r>
            <w:r w:rsidRPr="00080748">
              <w:t xml:space="preserve">: NCVER (unpublished) National VET provider </w:t>
            </w:r>
            <w:r w:rsidRPr="00080748">
              <w:rPr>
                <w:shd w:val="clear" w:color="auto" w:fill="FFFFFF" w:themeFill="background1"/>
              </w:rPr>
              <w:t>collection; ABS (201</w:t>
            </w:r>
            <w:r w:rsidR="00516044">
              <w:rPr>
                <w:shd w:val="clear" w:color="auto" w:fill="FFFFFF" w:themeFill="background1"/>
              </w:rPr>
              <w:t>4</w:t>
            </w:r>
            <w:r w:rsidRPr="00080748">
              <w:rPr>
                <w:shd w:val="clear" w:color="auto" w:fill="FFFFFF" w:themeFill="background1"/>
              </w:rPr>
              <w:t xml:space="preserve">), </w:t>
            </w:r>
            <w:r w:rsidRPr="00080748">
              <w:rPr>
                <w:i/>
                <w:shd w:val="clear" w:color="auto" w:fill="FFFFFF" w:themeFill="background1"/>
              </w:rPr>
              <w:t>Australian</w:t>
            </w:r>
            <w:r w:rsidRPr="00080748">
              <w:rPr>
                <w:i/>
              </w:rPr>
              <w:t xml:space="preserve"> Demographic Statistics, June 201</w:t>
            </w:r>
            <w:r w:rsidR="00516044">
              <w:rPr>
                <w:i/>
              </w:rPr>
              <w:t>4</w:t>
            </w:r>
            <w:r w:rsidRPr="00080748">
              <w:t>, Cat. no. 3101.0, Canberra</w:t>
            </w:r>
            <w:r w:rsidR="000914BB">
              <w:t>;</w:t>
            </w:r>
            <w:r w:rsidR="00080748" w:rsidRPr="00080748">
              <w:t xml:space="preserve"> </w:t>
            </w:r>
            <w:r w:rsidRPr="00080748">
              <w:t>table 5A.1</w:t>
            </w:r>
            <w:r w:rsidR="00FE6D23">
              <w:t>1</w:t>
            </w:r>
            <w:r w:rsidRPr="00080748">
              <w:t>.</w:t>
            </w:r>
          </w:p>
        </w:tc>
      </w:tr>
      <w:tr w:rsidR="007C4C31" w:rsidTr="00C368C9">
        <w:tc>
          <w:tcPr>
            <w:tcW w:w="8771" w:type="dxa"/>
            <w:tcBorders>
              <w:top w:val="nil"/>
              <w:left w:val="nil"/>
              <w:bottom w:val="single" w:sz="6" w:space="0" w:color="78A22F"/>
              <w:right w:val="nil"/>
            </w:tcBorders>
            <w:shd w:val="clear" w:color="auto" w:fill="auto"/>
          </w:tcPr>
          <w:p w:rsidR="007C4C31" w:rsidRDefault="007C4C31" w:rsidP="00C368C9">
            <w:pPr>
              <w:pStyle w:val="Figurespace"/>
            </w:pPr>
          </w:p>
        </w:tc>
      </w:tr>
      <w:tr w:rsidR="007C4C31" w:rsidRPr="000863A5" w:rsidTr="00C368C9">
        <w:tc>
          <w:tcPr>
            <w:tcW w:w="8771" w:type="dxa"/>
            <w:tcBorders>
              <w:top w:val="single" w:sz="6" w:space="0" w:color="78A22F"/>
              <w:left w:val="nil"/>
              <w:bottom w:val="nil"/>
              <w:right w:val="nil"/>
            </w:tcBorders>
          </w:tcPr>
          <w:p w:rsidR="007C4C31" w:rsidRPr="007C0ADB" w:rsidRDefault="007C4C31" w:rsidP="00C368C9">
            <w:pPr>
              <w:pStyle w:val="BoxSpaceBelow"/>
            </w:pPr>
          </w:p>
        </w:tc>
      </w:tr>
    </w:tbl>
    <w:p w:rsidR="00332A46" w:rsidRDefault="00332A46" w:rsidP="009F4160">
      <w:pPr>
        <w:pStyle w:val="BodyText"/>
      </w:pPr>
      <w:r w:rsidRPr="00332A46">
        <w:t xml:space="preserve">Helping young people make a smooth transition from school to the workplace or further study </w:t>
      </w:r>
      <w:r w:rsidR="004640D9">
        <w:t>is</w:t>
      </w:r>
      <w:r w:rsidRPr="00332A46">
        <w:t xml:space="preserve"> an important role for the VET sector</w:t>
      </w:r>
      <w:r w:rsidR="00DC28BB">
        <w:t xml:space="preserve"> (</w:t>
      </w:r>
      <w:r w:rsidR="00DC28BB" w:rsidRPr="00DC28BB">
        <w:t>ESA 2014</w:t>
      </w:r>
      <w:r w:rsidR="00DC28BB">
        <w:t>)</w:t>
      </w:r>
      <w:r w:rsidRPr="00332A46">
        <w:t xml:space="preserve">. </w:t>
      </w:r>
      <w:r>
        <w:t xml:space="preserve">For people aged 18–24 years, the participation rate is higher than that of all people aged 15–64 years. </w:t>
      </w:r>
      <w:r w:rsidRPr="00EF5A5F">
        <w:t xml:space="preserve">Nationally </w:t>
      </w:r>
      <w:r w:rsidRPr="00086708">
        <w:t>in 201</w:t>
      </w:r>
      <w:r w:rsidR="000D7078">
        <w:t>4</w:t>
      </w:r>
      <w:r w:rsidRPr="00086708">
        <w:t xml:space="preserve">, </w:t>
      </w:r>
      <w:r w:rsidR="000D7078">
        <w:t>19.3</w:t>
      </w:r>
      <w:r>
        <w:t xml:space="preserve"> </w:t>
      </w:r>
      <w:r w:rsidRPr="00086708">
        <w:t>per</w:t>
      </w:r>
      <w:r>
        <w:t xml:space="preserve"> </w:t>
      </w:r>
      <w:r w:rsidRPr="00086708">
        <w:t xml:space="preserve">cent of all people aged </w:t>
      </w:r>
      <w:r w:rsidRPr="00BB7604">
        <w:rPr>
          <w:szCs w:val="26"/>
        </w:rPr>
        <w:t>18</w:t>
      </w:r>
      <w:r w:rsidRPr="00086708">
        <w:t xml:space="preserve">–24 years participated in </w:t>
      </w:r>
      <w:r w:rsidR="009F4160">
        <w:t>VET, a decrease of 1.1</w:t>
      </w:r>
      <w:r w:rsidR="00495A7F">
        <w:t> </w:t>
      </w:r>
      <w:r w:rsidR="009F4160">
        <w:t>percentage points since 2013 (table 5A.12). For the Aboriginal and Torres Strait Islander population</w:t>
      </w:r>
      <w:r w:rsidR="00516044">
        <w:t>,</w:t>
      </w:r>
      <w:r w:rsidR="009F4160">
        <w:t xml:space="preserve"> 25.4 per cent of people aged 15</w:t>
      </w:r>
      <w:r w:rsidR="00495A7F">
        <w:t>–</w:t>
      </w:r>
      <w:r w:rsidR="009F4160">
        <w:t>24 years participated in VET</w:t>
      </w:r>
      <w:r w:rsidRPr="00086708">
        <w:t xml:space="preserve"> </w:t>
      </w:r>
      <w:r w:rsidRPr="00BB7604">
        <w:rPr>
          <w:shd w:val="clear" w:color="auto" w:fill="FFFFFF" w:themeFill="background1"/>
        </w:rPr>
        <w:t xml:space="preserve">compared </w:t>
      </w:r>
      <w:r w:rsidR="009F4160">
        <w:rPr>
          <w:shd w:val="clear" w:color="auto" w:fill="FFFFFF" w:themeFill="background1"/>
        </w:rPr>
        <w:t xml:space="preserve">to </w:t>
      </w:r>
      <w:r w:rsidR="006D41C8">
        <w:t>18.5</w:t>
      </w:r>
      <w:r>
        <w:t xml:space="preserve"> </w:t>
      </w:r>
      <w:r w:rsidRPr="00086708">
        <w:t>per</w:t>
      </w:r>
      <w:r>
        <w:t xml:space="preserve"> </w:t>
      </w:r>
      <w:r w:rsidRPr="00086708">
        <w:t xml:space="preserve">cent of </w:t>
      </w:r>
      <w:r w:rsidRPr="00EF5A5F">
        <w:t>the non</w:t>
      </w:r>
      <w:r w:rsidR="00AD5F7E">
        <w:noBreakHyphen/>
      </w:r>
      <w:r w:rsidRPr="00EF5A5F">
        <w:t>Indigenous population in the same age group</w:t>
      </w:r>
      <w:r w:rsidR="009F4160">
        <w:t xml:space="preserve"> (table</w:t>
      </w:r>
      <w:r w:rsidR="00516044">
        <w:t> </w:t>
      </w:r>
      <w:r w:rsidR="009F4160">
        <w:t>5A.12</w:t>
      </w:r>
      <w:r>
        <w:t>)</w:t>
      </w:r>
      <w:r w:rsidRPr="00EF5A5F">
        <w:t xml:space="preserve">. </w:t>
      </w:r>
    </w:p>
    <w:p w:rsidR="00E03077" w:rsidRDefault="00031297" w:rsidP="00E03077">
      <w:pPr>
        <w:pStyle w:val="Heading5"/>
      </w:pPr>
      <w:r>
        <w:t xml:space="preserve">Student participation in VET — </w:t>
      </w:r>
      <w:r w:rsidR="00E03077">
        <w:t>Participation in Certificate III or above</w:t>
      </w:r>
    </w:p>
    <w:p w:rsidR="00C76AA0" w:rsidRPr="001836FE" w:rsidRDefault="00495A7F" w:rsidP="003C3E40">
      <w:pPr>
        <w:pStyle w:val="BodyText"/>
      </w:pPr>
      <w:r>
        <w:t>Nationally i</w:t>
      </w:r>
      <w:r w:rsidR="003C3E40" w:rsidRPr="001836FE">
        <w:t xml:space="preserve">n </w:t>
      </w:r>
      <w:r w:rsidR="00A20A1E" w:rsidRPr="001836FE">
        <w:t>201</w:t>
      </w:r>
      <w:r w:rsidR="00AD308B">
        <w:t>4</w:t>
      </w:r>
      <w:r w:rsidR="003C3E40" w:rsidRPr="001836FE">
        <w:t xml:space="preserve">, </w:t>
      </w:r>
      <w:r w:rsidR="00BC3707" w:rsidRPr="001836FE">
        <w:t xml:space="preserve">approximately </w:t>
      </w:r>
      <w:r w:rsidR="002060E6">
        <w:t xml:space="preserve">1.0 </w:t>
      </w:r>
      <w:r w:rsidR="001836FE" w:rsidRPr="001836FE">
        <w:t>million</w:t>
      </w:r>
      <w:r w:rsidR="003C3E40" w:rsidRPr="001836FE">
        <w:t xml:space="preserve"> people aged 15</w:t>
      </w:r>
      <w:r w:rsidR="00CD2ACA" w:rsidRPr="001836FE">
        <w:t>–</w:t>
      </w:r>
      <w:r w:rsidR="003C3E40" w:rsidRPr="001836FE">
        <w:t xml:space="preserve">64 years participated in VET at </w:t>
      </w:r>
      <w:r w:rsidR="000C7C2D">
        <w:t>C</w:t>
      </w:r>
      <w:r w:rsidR="003C3E40" w:rsidRPr="001836FE">
        <w:t xml:space="preserve">ertificate III level or </w:t>
      </w:r>
      <w:r w:rsidR="00D87C93" w:rsidRPr="001836FE">
        <w:t>above</w:t>
      </w:r>
      <w:r w:rsidR="003C3E40" w:rsidRPr="001836FE">
        <w:t xml:space="preserve">, representing </w:t>
      </w:r>
      <w:r w:rsidR="002060E6">
        <w:t>6.</w:t>
      </w:r>
      <w:r w:rsidR="00AD308B">
        <w:t>4</w:t>
      </w:r>
      <w:r w:rsidR="001803EF">
        <w:t xml:space="preserve"> </w:t>
      </w:r>
      <w:r w:rsidR="003C3E40" w:rsidRPr="001836FE">
        <w:t>per</w:t>
      </w:r>
      <w:r w:rsidR="001803EF">
        <w:t xml:space="preserve"> </w:t>
      </w:r>
      <w:r w:rsidR="003C3E40" w:rsidRPr="001836FE">
        <w:t xml:space="preserve">cent of the population aged </w:t>
      </w:r>
      <w:r w:rsidR="000C7C2D">
        <w:br/>
      </w:r>
      <w:r w:rsidR="003C3E40" w:rsidRPr="001836FE">
        <w:t>15</w:t>
      </w:r>
      <w:r w:rsidR="00CD2ACA" w:rsidRPr="001836FE">
        <w:t>–</w:t>
      </w:r>
      <w:r w:rsidR="003C3E40" w:rsidRPr="001836FE">
        <w:t>64 years</w:t>
      </w:r>
      <w:r w:rsidR="00C06576">
        <w:t xml:space="preserve"> </w:t>
      </w:r>
      <w:r w:rsidR="003C3E40" w:rsidRPr="001836FE">
        <w:t>(</w:t>
      </w:r>
      <w:r w:rsidR="00972AE1" w:rsidRPr="001836FE">
        <w:t xml:space="preserve">figure </w:t>
      </w:r>
      <w:r w:rsidR="003A68D1">
        <w:t>5.11</w:t>
      </w:r>
      <w:r w:rsidR="00972AE1" w:rsidRPr="001836FE">
        <w:t xml:space="preserve"> and </w:t>
      </w:r>
      <w:r w:rsidR="003C3E40" w:rsidRPr="001836FE">
        <w:t>table</w:t>
      </w:r>
      <w:r w:rsidR="001803EF">
        <w:t xml:space="preserve"> </w:t>
      </w:r>
      <w:r w:rsidR="003C3E40" w:rsidRPr="001836FE">
        <w:t>5A.</w:t>
      </w:r>
      <w:r w:rsidR="003E14C9" w:rsidRPr="001836FE">
        <w:t>1</w:t>
      </w:r>
      <w:r w:rsidR="00AD308B">
        <w:t>9</w:t>
      </w:r>
      <w:r w:rsidR="003C3E40" w:rsidRPr="001836FE">
        <w:t>).</w:t>
      </w:r>
      <w:r w:rsidR="00030C08" w:rsidRPr="001836FE">
        <w:t xml:space="preserve"> </w:t>
      </w:r>
      <w:r w:rsidR="00AD308B">
        <w:t xml:space="preserve">This represents a 0.2 percentage point decrease from 2013. For the Aboriginal and Torres Strait Islander population, </w:t>
      </w:r>
      <w:r w:rsidR="002060E6">
        <w:t>8.</w:t>
      </w:r>
      <w:r w:rsidR="00AD308B">
        <w:t>7</w:t>
      </w:r>
      <w:r w:rsidR="001803EF">
        <w:t xml:space="preserve"> </w:t>
      </w:r>
      <w:r w:rsidR="00030C08" w:rsidRPr="001836FE">
        <w:t>per</w:t>
      </w:r>
      <w:r w:rsidR="001803EF">
        <w:t xml:space="preserve"> </w:t>
      </w:r>
      <w:r w:rsidR="00030C08" w:rsidRPr="001836FE">
        <w:t xml:space="preserve">cent of </w:t>
      </w:r>
      <w:r w:rsidR="00AD308B">
        <w:t xml:space="preserve">people age 15–64 years participated in VET at Certificate </w:t>
      </w:r>
      <w:r w:rsidR="00A5410A">
        <w:t xml:space="preserve">III </w:t>
      </w:r>
      <w:r w:rsidR="00AD308B">
        <w:t>level o</w:t>
      </w:r>
      <w:r w:rsidR="00A5410A">
        <w:t>r</w:t>
      </w:r>
      <w:r w:rsidR="00AD308B">
        <w:t xml:space="preserve"> above, compared to </w:t>
      </w:r>
      <w:r w:rsidR="002060E6">
        <w:t>6.</w:t>
      </w:r>
      <w:r w:rsidR="00AD308B">
        <w:t>1</w:t>
      </w:r>
      <w:r w:rsidR="008F2D5F">
        <w:t> </w:t>
      </w:r>
      <w:r w:rsidR="00945DD5" w:rsidRPr="001836FE">
        <w:t>per</w:t>
      </w:r>
      <w:r w:rsidR="008F2D5F">
        <w:t> </w:t>
      </w:r>
      <w:r w:rsidR="00945DD5" w:rsidRPr="001836FE">
        <w:t>cent of the non</w:t>
      </w:r>
      <w:r w:rsidR="00AD5F7E">
        <w:noBreakHyphen/>
      </w:r>
      <w:r w:rsidR="00945DD5" w:rsidRPr="001836FE">
        <w:t>Indigenous population</w:t>
      </w:r>
      <w:r w:rsidR="00C76AA0" w:rsidRPr="001836FE">
        <w:t>.</w:t>
      </w:r>
    </w:p>
    <w:p w:rsidR="00A13064" w:rsidRPr="00A13064" w:rsidRDefault="00AD308B" w:rsidP="00A13064">
      <w:pPr>
        <w:pStyle w:val="BodyText"/>
      </w:pPr>
      <w:r>
        <w:t xml:space="preserve">The NASWD includes a </w:t>
      </w:r>
      <w:r w:rsidR="00A5410A">
        <w:t xml:space="preserve">national </w:t>
      </w:r>
      <w:r>
        <w:t xml:space="preserve">target to </w:t>
      </w:r>
      <w:r w:rsidRPr="004640D9">
        <w:t xml:space="preserve">halve the proportion of Australians </w:t>
      </w:r>
      <w:r w:rsidR="006D41C8">
        <w:br/>
      </w:r>
      <w:r w:rsidRPr="004640D9">
        <w:t>aged</w:t>
      </w:r>
      <w:r w:rsidR="006D41C8">
        <w:t> </w:t>
      </w:r>
      <w:r w:rsidRPr="004640D9">
        <w:t>20</w:t>
      </w:r>
      <w:r>
        <w:t>–</w:t>
      </w:r>
      <w:r w:rsidRPr="004640D9">
        <w:t xml:space="preserve">64 </w:t>
      </w:r>
      <w:r w:rsidR="00FA5292">
        <w:t xml:space="preserve">years </w:t>
      </w:r>
      <w:r w:rsidRPr="004640D9">
        <w:t xml:space="preserve">without qualifications at Certificate III level </w:t>
      </w:r>
      <w:r w:rsidR="00A5410A">
        <w:t xml:space="preserve">or </w:t>
      </w:r>
      <w:r w:rsidRPr="004640D9">
        <w:t>above between 2009 and 2020</w:t>
      </w:r>
      <w:r>
        <w:t xml:space="preserve"> (COAG 2012a)</w:t>
      </w:r>
      <w:r w:rsidR="00A5410A">
        <w:t>, which includes qualifications outside the VET system</w:t>
      </w:r>
      <w:r>
        <w:t xml:space="preserve">. </w:t>
      </w:r>
      <w:r w:rsidRPr="00086708">
        <w:t>Nationally</w:t>
      </w:r>
      <w:r>
        <w:t xml:space="preserve"> in 2014</w:t>
      </w:r>
      <w:r w:rsidRPr="00086708">
        <w:t xml:space="preserve">, </w:t>
      </w:r>
      <w:r>
        <w:t xml:space="preserve">5.5 </w:t>
      </w:r>
      <w:r w:rsidRPr="00086708">
        <w:t>per</w:t>
      </w:r>
      <w:r>
        <w:t xml:space="preserve"> </w:t>
      </w:r>
      <w:r w:rsidRPr="00086708">
        <w:t xml:space="preserve">cent of all people aged </w:t>
      </w:r>
      <w:r w:rsidRPr="00BB7604">
        <w:rPr>
          <w:szCs w:val="26"/>
        </w:rPr>
        <w:t>20</w:t>
      </w:r>
      <w:r w:rsidRPr="00086708">
        <w:t>–64 years participated</w:t>
      </w:r>
      <w:r>
        <w:t xml:space="preserve"> in a Certificate level III or above VET course</w:t>
      </w:r>
      <w:r w:rsidRPr="00A13064">
        <w:t xml:space="preserve"> (</w:t>
      </w:r>
      <w:r>
        <w:t>table 5A.19</w:t>
      </w:r>
      <w:r w:rsidRPr="00A13064">
        <w:t>).</w:t>
      </w:r>
    </w:p>
    <w:p w:rsidR="00A13064" w:rsidRPr="007C0ADB" w:rsidRDefault="00A13064" w:rsidP="00C368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13064" w:rsidTr="00A13064">
        <w:tc>
          <w:tcPr>
            <w:tcW w:w="8771" w:type="dxa"/>
            <w:tcBorders>
              <w:top w:val="single" w:sz="6" w:space="0" w:color="78A22F"/>
              <w:left w:val="nil"/>
              <w:bottom w:val="nil"/>
              <w:right w:val="nil"/>
            </w:tcBorders>
            <w:shd w:val="clear" w:color="auto" w:fill="auto"/>
          </w:tcPr>
          <w:p w:rsidR="00A13064" w:rsidRPr="00176D3F" w:rsidRDefault="00A13064" w:rsidP="00FA5292">
            <w:pPr>
              <w:pStyle w:val="FigureTitle"/>
            </w:pPr>
            <w:r w:rsidRPr="00784A05">
              <w:rPr>
                <w:b w:val="0"/>
              </w:rPr>
              <w:t xml:space="preserve">Figure </w:t>
            </w:r>
            <w:bookmarkStart w:id="26" w:name="OLE_LINK59"/>
            <w:r w:rsidR="003A68D1">
              <w:rPr>
                <w:b w:val="0"/>
              </w:rPr>
              <w:t>5.</w:t>
            </w:r>
            <w:r w:rsidR="00111918">
              <w:rPr>
                <w:b w:val="0"/>
                <w:noProof/>
              </w:rPr>
              <w:t>11</w:t>
            </w:r>
            <w:bookmarkEnd w:id="26"/>
            <w:r>
              <w:tab/>
            </w:r>
            <w:r w:rsidRPr="00A13064">
              <w:t xml:space="preserve">VET participation rate in certificate III </w:t>
            </w:r>
            <w:r w:rsidR="00FA5292">
              <w:t>or</w:t>
            </w:r>
            <w:r w:rsidRPr="00A13064">
              <w:t xml:space="preserve"> above</w:t>
            </w:r>
            <w:r w:rsidR="00DC28BB" w:rsidRPr="0037023C">
              <w:t xml:space="preserve">, </w:t>
            </w:r>
            <w:r w:rsidR="009E1AFA">
              <w:t>students aged 15–64 years</w:t>
            </w:r>
            <w:r w:rsidRPr="00A13064">
              <w:rPr>
                <w:vertAlign w:val="superscript"/>
              </w:rPr>
              <w:t>a</w:t>
            </w:r>
          </w:p>
        </w:tc>
      </w:tr>
      <w:tr w:rsidR="00A13064" w:rsidTr="00A13064">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A13064" w:rsidTr="00A13064">
              <w:tc>
                <w:tcPr>
                  <w:tcW w:w="5000" w:type="pct"/>
                  <w:tcBorders>
                    <w:top w:val="nil"/>
                    <w:bottom w:val="nil"/>
                  </w:tcBorders>
                </w:tcPr>
                <w:p w:rsidR="0030196B" w:rsidRDefault="00CE71B8" w:rsidP="00A13064">
                  <w:pPr>
                    <w:pStyle w:val="Figure"/>
                    <w:shd w:val="clear" w:color="auto" w:fill="FFFFFF" w:themeFill="background1"/>
                    <w:spacing w:before="0" w:after="0"/>
                  </w:pPr>
                  <w:r>
                    <w:rPr>
                      <w:noProof/>
                    </w:rPr>
                    <w:drawing>
                      <wp:inline distT="0" distB="0" distL="0" distR="0">
                        <wp:extent cx="5389880" cy="2689225"/>
                        <wp:effectExtent l="0" t="0" r="1270" b="0"/>
                        <wp:docPr id="10" name="Picture 10" descr="Figure 5.11 VET participation rate in certificate III or above, students aged 15–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89880" cy="2689225"/>
                                </a:xfrm>
                                <a:prstGeom prst="rect">
                                  <a:avLst/>
                                </a:prstGeom>
                                <a:noFill/>
                                <a:ln>
                                  <a:noFill/>
                                </a:ln>
                              </pic:spPr>
                            </pic:pic>
                          </a:graphicData>
                        </a:graphic>
                      </wp:inline>
                    </w:drawing>
                  </w:r>
                </w:p>
              </w:tc>
            </w:tr>
          </w:tbl>
          <w:p w:rsidR="00A13064" w:rsidRDefault="00A13064" w:rsidP="00C368C9">
            <w:pPr>
              <w:pStyle w:val="Figure"/>
            </w:pPr>
          </w:p>
        </w:tc>
      </w:tr>
      <w:tr w:rsidR="00A13064" w:rsidRPr="00176D3F" w:rsidTr="00A13064">
        <w:tc>
          <w:tcPr>
            <w:tcW w:w="8771" w:type="dxa"/>
            <w:tcBorders>
              <w:top w:val="nil"/>
              <w:left w:val="nil"/>
              <w:bottom w:val="nil"/>
              <w:right w:val="nil"/>
            </w:tcBorders>
            <w:shd w:val="clear" w:color="auto" w:fill="auto"/>
          </w:tcPr>
          <w:p w:rsidR="00A13064" w:rsidRPr="00176D3F" w:rsidRDefault="002E487B" w:rsidP="006D41C8">
            <w:pPr>
              <w:pStyle w:val="Note"/>
            </w:pPr>
            <w:r>
              <w:rPr>
                <w:rStyle w:val="NoteLabel"/>
              </w:rPr>
              <w:t>a</w:t>
            </w:r>
            <w:r>
              <w:t xml:space="preserve"> </w:t>
            </w:r>
            <w:r w:rsidRPr="006D3797">
              <w:t xml:space="preserve">See box </w:t>
            </w:r>
            <w:r w:rsidR="003A68D1">
              <w:t>5.7</w:t>
            </w:r>
            <w:r>
              <w:t xml:space="preserve"> </w:t>
            </w:r>
            <w:r w:rsidRPr="006D3797">
              <w:t xml:space="preserve">and table </w:t>
            </w:r>
            <w:r>
              <w:t>5</w:t>
            </w:r>
            <w:r w:rsidRPr="006D3797">
              <w:t>A.</w:t>
            </w:r>
            <w:r>
              <w:t>1</w:t>
            </w:r>
            <w:r w:rsidR="006D41C8">
              <w:t>9</w:t>
            </w:r>
            <w:r w:rsidRPr="006D3797">
              <w:t xml:space="preserve"> for detailed definitions, footnotes and caveats</w:t>
            </w:r>
          </w:p>
        </w:tc>
      </w:tr>
      <w:tr w:rsidR="00A13064" w:rsidRPr="00176D3F" w:rsidTr="00A13064">
        <w:tc>
          <w:tcPr>
            <w:tcW w:w="8771" w:type="dxa"/>
            <w:tcBorders>
              <w:top w:val="nil"/>
              <w:left w:val="nil"/>
              <w:bottom w:val="nil"/>
              <w:right w:val="nil"/>
            </w:tcBorders>
            <w:shd w:val="clear" w:color="auto" w:fill="auto"/>
          </w:tcPr>
          <w:p w:rsidR="00A13064" w:rsidRPr="00176D3F" w:rsidRDefault="00A13064" w:rsidP="006D41C8">
            <w:pPr>
              <w:pStyle w:val="Source"/>
            </w:pPr>
            <w:r w:rsidRPr="00080748">
              <w:rPr>
                <w:i/>
              </w:rPr>
              <w:t>Source</w:t>
            </w:r>
            <w:r w:rsidRPr="00080748">
              <w:t>: NCVER (unpublished) National VET provider collection; ABS (201</w:t>
            </w:r>
            <w:r w:rsidR="00516044">
              <w:t>4</w:t>
            </w:r>
            <w:r w:rsidRPr="00080748">
              <w:t xml:space="preserve">), </w:t>
            </w:r>
            <w:r w:rsidRPr="00080748">
              <w:rPr>
                <w:i/>
              </w:rPr>
              <w:t>Australian Demographic Statistics, June 201</w:t>
            </w:r>
            <w:r w:rsidR="00516044">
              <w:rPr>
                <w:i/>
              </w:rPr>
              <w:t>4</w:t>
            </w:r>
            <w:r w:rsidRPr="00080748">
              <w:t xml:space="preserve">, Cat. no. 3101.0, Canberra; </w:t>
            </w:r>
            <w:r w:rsidR="00080748" w:rsidRPr="00080748">
              <w:t xml:space="preserve">ABS (2013) </w:t>
            </w:r>
            <w:r w:rsidR="00080748" w:rsidRPr="00080748">
              <w:rPr>
                <w:i/>
              </w:rPr>
              <w:t>Estimates and Projections, Aboriginal and Torres Strait Islander Australians</w:t>
            </w:r>
            <w:r w:rsidR="00080748" w:rsidRPr="00080748">
              <w:t>, 2001 to 2026, Cat. no. 3238.0</w:t>
            </w:r>
            <w:r w:rsidRPr="00080748">
              <w:t>; table 5A.1</w:t>
            </w:r>
            <w:r w:rsidR="006D41C8">
              <w:t>9</w:t>
            </w:r>
            <w:r w:rsidRPr="00080748">
              <w:t>.</w:t>
            </w:r>
          </w:p>
        </w:tc>
      </w:tr>
      <w:tr w:rsidR="00A13064" w:rsidTr="00A13064">
        <w:tc>
          <w:tcPr>
            <w:tcW w:w="8771" w:type="dxa"/>
            <w:tcBorders>
              <w:top w:val="nil"/>
              <w:left w:val="nil"/>
              <w:bottom w:val="single" w:sz="6" w:space="0" w:color="78A22F"/>
              <w:right w:val="nil"/>
            </w:tcBorders>
            <w:shd w:val="clear" w:color="auto" w:fill="auto"/>
          </w:tcPr>
          <w:p w:rsidR="00A13064" w:rsidRDefault="00A13064" w:rsidP="00C368C9">
            <w:pPr>
              <w:pStyle w:val="Figurespace"/>
            </w:pPr>
          </w:p>
        </w:tc>
      </w:tr>
      <w:tr w:rsidR="00A13064" w:rsidRPr="000863A5" w:rsidTr="00A13064">
        <w:tc>
          <w:tcPr>
            <w:tcW w:w="8771" w:type="dxa"/>
            <w:tcBorders>
              <w:top w:val="single" w:sz="6" w:space="0" w:color="78A22F"/>
              <w:left w:val="nil"/>
              <w:bottom w:val="nil"/>
              <w:right w:val="nil"/>
            </w:tcBorders>
          </w:tcPr>
          <w:p w:rsidR="00A13064" w:rsidRPr="007C0ADB" w:rsidRDefault="00A13064" w:rsidP="00C368C9">
            <w:pPr>
              <w:pStyle w:val="BoxSpaceBelow"/>
            </w:pPr>
          </w:p>
        </w:tc>
      </w:tr>
    </w:tbl>
    <w:p w:rsidR="00E03077" w:rsidRDefault="00031297" w:rsidP="00E03077">
      <w:pPr>
        <w:pStyle w:val="Heading5"/>
      </w:pPr>
      <w:r>
        <w:t xml:space="preserve">Student participation in VET — </w:t>
      </w:r>
      <w:r w:rsidR="00E03077">
        <w:t>Participation in diploma and above</w:t>
      </w:r>
    </w:p>
    <w:p w:rsidR="002C076C" w:rsidRDefault="00072703" w:rsidP="00376A75">
      <w:pPr>
        <w:pStyle w:val="BodyText"/>
      </w:pPr>
      <w:r>
        <w:t xml:space="preserve">The NASWD includes a </w:t>
      </w:r>
      <w:r w:rsidR="00FA5292">
        <w:t xml:space="preserve">national </w:t>
      </w:r>
      <w:r>
        <w:t xml:space="preserve">target to </w:t>
      </w:r>
      <w:r w:rsidRPr="00072703">
        <w:t>double the number of higher level qualification completions (diploma and advanced diploma) between 2009 and 2020</w:t>
      </w:r>
      <w:r>
        <w:t xml:space="preserve"> (COAG 2012a)</w:t>
      </w:r>
      <w:r w:rsidRPr="00072703">
        <w:t>.</w:t>
      </w:r>
      <w:r>
        <w:t xml:space="preserve"> </w:t>
      </w:r>
      <w:r w:rsidR="00C76AA0" w:rsidRPr="001836FE">
        <w:t xml:space="preserve">In </w:t>
      </w:r>
      <w:r w:rsidR="00A20A1E" w:rsidRPr="001836FE">
        <w:t>201</w:t>
      </w:r>
      <w:r w:rsidR="002C076C">
        <w:t>4</w:t>
      </w:r>
      <w:r w:rsidR="00C76AA0" w:rsidRPr="001836FE">
        <w:t xml:space="preserve">, approximately </w:t>
      </w:r>
      <w:r w:rsidR="00290FF3">
        <w:t>1</w:t>
      </w:r>
      <w:r w:rsidR="002C076C">
        <w:t>64</w:t>
      </w:r>
      <w:r w:rsidR="00290FF3">
        <w:t> </w:t>
      </w:r>
      <w:r w:rsidR="002C076C">
        <w:t>9</w:t>
      </w:r>
      <w:r w:rsidR="00290FF3">
        <w:t>00</w:t>
      </w:r>
      <w:r w:rsidR="00085222" w:rsidRPr="00DB153E">
        <w:rPr>
          <w:color w:val="FF0000"/>
        </w:rPr>
        <w:t xml:space="preserve"> </w:t>
      </w:r>
      <w:r w:rsidR="00C76AA0" w:rsidRPr="001836FE">
        <w:t xml:space="preserve">people aged 15–64 years participated in a diploma level or </w:t>
      </w:r>
      <w:r w:rsidR="00D87C93" w:rsidRPr="001836FE">
        <w:t>above</w:t>
      </w:r>
      <w:r w:rsidR="00FA5292">
        <w:t xml:space="preserve"> VET course</w:t>
      </w:r>
      <w:r w:rsidR="00C76AA0" w:rsidRPr="001836FE">
        <w:t xml:space="preserve">, representing </w:t>
      </w:r>
      <w:r w:rsidR="002C076C">
        <w:t>1.1</w:t>
      </w:r>
      <w:r w:rsidR="001803EF">
        <w:t xml:space="preserve"> </w:t>
      </w:r>
      <w:r w:rsidR="00C76AA0" w:rsidRPr="001836FE">
        <w:t>per</w:t>
      </w:r>
      <w:r w:rsidR="001803EF">
        <w:t xml:space="preserve"> </w:t>
      </w:r>
      <w:r w:rsidR="00C76AA0" w:rsidRPr="00442BBD">
        <w:t xml:space="preserve">cent of the </w:t>
      </w:r>
      <w:r w:rsidR="00C76AA0" w:rsidRPr="001836FE">
        <w:t xml:space="preserve">population aged 15–64 years </w:t>
      </w:r>
      <w:r w:rsidR="00C06576">
        <w:t>nationally</w:t>
      </w:r>
      <w:r w:rsidR="002C076C">
        <w:t xml:space="preserve"> — a decrease of 0.2 percentage points since 2010</w:t>
      </w:r>
      <w:r w:rsidR="00C06576">
        <w:t xml:space="preserve"> </w:t>
      </w:r>
      <w:r w:rsidR="00C76AA0" w:rsidRPr="001836FE">
        <w:t>(</w:t>
      </w:r>
      <w:r w:rsidR="00172143" w:rsidRPr="001836FE">
        <w:t xml:space="preserve">figure </w:t>
      </w:r>
      <w:r w:rsidR="003A68D1">
        <w:t>5.12</w:t>
      </w:r>
      <w:r w:rsidR="00172143" w:rsidRPr="001836FE">
        <w:t xml:space="preserve"> and </w:t>
      </w:r>
      <w:r w:rsidR="00C238D8" w:rsidRPr="001836FE">
        <w:t>table</w:t>
      </w:r>
      <w:r w:rsidR="001803EF">
        <w:t xml:space="preserve"> </w:t>
      </w:r>
      <w:r w:rsidR="00C76AA0" w:rsidRPr="001836FE">
        <w:t>5A.</w:t>
      </w:r>
      <w:r w:rsidR="002C076C">
        <w:t>20</w:t>
      </w:r>
      <w:r w:rsidR="00C76AA0" w:rsidRPr="001836FE">
        <w:t xml:space="preserve">). </w:t>
      </w:r>
    </w:p>
    <w:p w:rsidR="003976C6" w:rsidRDefault="003976C6" w:rsidP="00F67581">
      <w:pPr>
        <w:pStyle w:val="BodyText"/>
      </w:pPr>
      <w:r>
        <w:t>Nationally in 2014</w:t>
      </w:r>
      <w:r w:rsidR="00F67581">
        <w:t xml:space="preserve">, </w:t>
      </w:r>
      <w:r w:rsidR="004C5D86">
        <w:t>1.</w:t>
      </w:r>
      <w:r w:rsidR="00F67581">
        <w:t>1</w:t>
      </w:r>
      <w:r w:rsidR="001803EF">
        <w:t xml:space="preserve"> </w:t>
      </w:r>
      <w:r w:rsidR="002D582D" w:rsidRPr="001836FE">
        <w:t>per</w:t>
      </w:r>
      <w:r w:rsidR="001803EF">
        <w:t xml:space="preserve"> </w:t>
      </w:r>
      <w:r w:rsidR="002D582D" w:rsidRPr="001836FE">
        <w:t>cent of the</w:t>
      </w:r>
      <w:r w:rsidR="00804C04">
        <w:t xml:space="preserve"> Aboriginal and Torres Strait Islander </w:t>
      </w:r>
      <w:r w:rsidR="002D582D" w:rsidRPr="001836FE">
        <w:t xml:space="preserve">population and </w:t>
      </w:r>
      <w:r w:rsidR="004C5D86">
        <w:t>1.</w:t>
      </w:r>
      <w:r w:rsidR="00F67581">
        <w:t>0</w:t>
      </w:r>
      <w:r w:rsidR="001803EF">
        <w:t xml:space="preserve"> </w:t>
      </w:r>
      <w:r w:rsidR="002D582D" w:rsidRPr="001836FE">
        <w:t>per</w:t>
      </w:r>
      <w:r w:rsidR="001803EF">
        <w:t xml:space="preserve"> </w:t>
      </w:r>
      <w:r w:rsidR="002D582D" w:rsidRPr="001836FE">
        <w:t>cent of the non</w:t>
      </w:r>
      <w:r w:rsidR="00AD5F7E">
        <w:noBreakHyphen/>
      </w:r>
      <w:r w:rsidR="002D582D" w:rsidRPr="001836FE">
        <w:t xml:space="preserve">Indigenous population </w:t>
      </w:r>
      <w:r w:rsidR="002D582D" w:rsidRPr="00442BBD">
        <w:t>aged 15–64 years</w:t>
      </w:r>
      <w:r w:rsidR="00C238D8" w:rsidRPr="00442BBD">
        <w:t xml:space="preserve"> </w:t>
      </w:r>
      <w:r w:rsidR="002C076C">
        <w:t xml:space="preserve">participated in VET at </w:t>
      </w:r>
      <w:r w:rsidR="006D41C8">
        <w:t xml:space="preserve">diploma level and </w:t>
      </w:r>
      <w:r w:rsidR="002C076C">
        <w:t xml:space="preserve">above </w:t>
      </w:r>
      <w:r w:rsidR="00C238D8" w:rsidRPr="00442BBD">
        <w:t>(</w:t>
      </w:r>
      <w:r w:rsidR="002C076C">
        <w:t>table 5A.20</w:t>
      </w:r>
      <w:r w:rsidR="00C238D8" w:rsidRPr="00442BBD">
        <w:t>)</w:t>
      </w:r>
      <w:r w:rsidR="00357F9D" w:rsidRPr="00442BBD">
        <w:t>.</w:t>
      </w:r>
    </w:p>
    <w:p w:rsidR="00072703" w:rsidRDefault="00C50604" w:rsidP="00F67581">
      <w:pPr>
        <w:pStyle w:val="BodyText"/>
      </w:pPr>
      <w:r w:rsidRPr="00F74889">
        <w:t>T</w:t>
      </w:r>
      <w:r w:rsidR="00F67581" w:rsidRPr="00F74889">
        <w:t>he population</w:t>
      </w:r>
      <w:r w:rsidR="00F67581">
        <w:t xml:space="preserve"> aged </w:t>
      </w:r>
      <w:r w:rsidR="00F67581" w:rsidRPr="003976C6">
        <w:rPr>
          <w:szCs w:val="26"/>
        </w:rPr>
        <w:t>18</w:t>
      </w:r>
      <w:r w:rsidR="00F67581" w:rsidRPr="001836FE">
        <w:t>–24 years</w:t>
      </w:r>
      <w:r w:rsidR="00F67581">
        <w:t xml:space="preserve"> ha</w:t>
      </w:r>
      <w:r w:rsidR="00FA5292">
        <w:t>d</w:t>
      </w:r>
      <w:r w:rsidR="00F67581">
        <w:t xml:space="preserve"> a higher rate of government funded participation </w:t>
      </w:r>
      <w:r w:rsidR="004D79B0">
        <w:t>in</w:t>
      </w:r>
      <w:r w:rsidR="00F67581">
        <w:t xml:space="preserve"> VET at higher qualification levels (</w:t>
      </w:r>
      <w:r w:rsidR="004C5D86">
        <w:t>2.5</w:t>
      </w:r>
      <w:r w:rsidR="001803EF">
        <w:t xml:space="preserve"> </w:t>
      </w:r>
      <w:r w:rsidR="005B5B8C" w:rsidRPr="001836FE">
        <w:t>per</w:t>
      </w:r>
      <w:r w:rsidR="001803EF">
        <w:t xml:space="preserve"> </w:t>
      </w:r>
      <w:r w:rsidR="005B5B8C" w:rsidRPr="001836FE">
        <w:t>cent</w:t>
      </w:r>
      <w:r w:rsidR="00F67581">
        <w:t>), than the population aged 20–64 years (1.0 per cent)</w:t>
      </w:r>
      <w:r w:rsidR="00FA5292">
        <w:t xml:space="preserve"> in 2014</w:t>
      </w:r>
      <w:r w:rsidR="00F67581">
        <w:t xml:space="preserve"> (table 5A.20).</w:t>
      </w:r>
    </w:p>
    <w:p w:rsidR="00D41C82" w:rsidRPr="007C0ADB" w:rsidRDefault="00D41C82" w:rsidP="007C0AD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41C82" w:rsidRPr="007C0ADB" w:rsidTr="00C368C9">
        <w:tc>
          <w:tcPr>
            <w:tcW w:w="8771" w:type="dxa"/>
            <w:tcBorders>
              <w:top w:val="single" w:sz="6" w:space="0" w:color="78A22F"/>
              <w:left w:val="nil"/>
              <w:bottom w:val="nil"/>
              <w:right w:val="nil"/>
            </w:tcBorders>
            <w:shd w:val="clear" w:color="auto" w:fill="auto"/>
          </w:tcPr>
          <w:p w:rsidR="00D41C82" w:rsidRPr="007C0ADB" w:rsidRDefault="00D41C82" w:rsidP="00EC562F">
            <w:pPr>
              <w:pStyle w:val="FigureTitle"/>
            </w:pPr>
            <w:r w:rsidRPr="007C0ADB">
              <w:rPr>
                <w:b w:val="0"/>
              </w:rPr>
              <w:t xml:space="preserve">Figure </w:t>
            </w:r>
            <w:bookmarkStart w:id="27" w:name="OLE_LINK64"/>
            <w:r w:rsidR="003A68D1" w:rsidRPr="007C0ADB">
              <w:rPr>
                <w:b w:val="0"/>
              </w:rPr>
              <w:t>5.</w:t>
            </w:r>
            <w:r w:rsidR="00111918">
              <w:rPr>
                <w:b w:val="0"/>
                <w:noProof/>
              </w:rPr>
              <w:t>12</w:t>
            </w:r>
            <w:bookmarkEnd w:id="27"/>
            <w:r w:rsidRPr="007C0ADB">
              <w:tab/>
            </w:r>
            <w:r w:rsidRPr="007C0ADB">
              <w:rPr>
                <w:rStyle w:val="FigureTitleChar"/>
                <w:b/>
              </w:rPr>
              <w:t>VET participation rate in diploma and above</w:t>
            </w:r>
            <w:r w:rsidR="00DC28BB" w:rsidRPr="007C0ADB">
              <w:t>, students aged 15–64 years,</w:t>
            </w:r>
            <w:r w:rsidRPr="007C0ADB">
              <w:rPr>
                <w:rStyle w:val="FigureTitleChar"/>
                <w:b/>
              </w:rPr>
              <w:t xml:space="preserve"> 201</w:t>
            </w:r>
            <w:r w:rsidR="00EC562F" w:rsidRPr="007C0ADB">
              <w:rPr>
                <w:rStyle w:val="FigureTitleChar"/>
                <w:b/>
              </w:rPr>
              <w:t>4</w:t>
            </w:r>
            <w:r w:rsidRPr="007C0ADB">
              <w:rPr>
                <w:rStyle w:val="NoteLabel"/>
                <w:b/>
              </w:rPr>
              <w:t>a</w:t>
            </w:r>
          </w:p>
        </w:tc>
      </w:tr>
      <w:tr w:rsidR="00D41C82" w:rsidTr="00C368C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41C82" w:rsidTr="00D41C82">
              <w:tc>
                <w:tcPr>
                  <w:tcW w:w="5000" w:type="pct"/>
                  <w:tcBorders>
                    <w:top w:val="nil"/>
                    <w:bottom w:val="nil"/>
                  </w:tcBorders>
                </w:tcPr>
                <w:p w:rsidR="00D41C82" w:rsidRDefault="00CE71B8" w:rsidP="00072703">
                  <w:pPr>
                    <w:pStyle w:val="Figure"/>
                    <w:spacing w:before="0" w:after="0"/>
                  </w:pPr>
                  <w:r>
                    <w:rPr>
                      <w:noProof/>
                    </w:rPr>
                    <w:drawing>
                      <wp:inline distT="0" distB="0" distL="0" distR="0">
                        <wp:extent cx="5389880" cy="2689225"/>
                        <wp:effectExtent l="0" t="0" r="1270" b="0"/>
                        <wp:docPr id="11" name="Picture 11" descr="Figure 5.12 VET participation rate in diploma and above, students aged 15–64 years,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89880" cy="2689225"/>
                                </a:xfrm>
                                <a:prstGeom prst="rect">
                                  <a:avLst/>
                                </a:prstGeom>
                                <a:noFill/>
                                <a:ln>
                                  <a:noFill/>
                                </a:ln>
                              </pic:spPr>
                            </pic:pic>
                          </a:graphicData>
                        </a:graphic>
                      </wp:inline>
                    </w:drawing>
                  </w:r>
                </w:p>
              </w:tc>
            </w:tr>
          </w:tbl>
          <w:p w:rsidR="00D41C82" w:rsidRDefault="00D41C82" w:rsidP="00C368C9">
            <w:pPr>
              <w:pStyle w:val="Figure"/>
            </w:pPr>
          </w:p>
        </w:tc>
      </w:tr>
      <w:tr w:rsidR="00D41C82" w:rsidRPr="00176D3F" w:rsidTr="00C368C9">
        <w:tc>
          <w:tcPr>
            <w:tcW w:w="8771" w:type="dxa"/>
            <w:tcBorders>
              <w:top w:val="nil"/>
              <w:left w:val="nil"/>
              <w:bottom w:val="nil"/>
              <w:right w:val="nil"/>
            </w:tcBorders>
            <w:shd w:val="clear" w:color="auto" w:fill="auto"/>
          </w:tcPr>
          <w:p w:rsidR="00D41C82" w:rsidRPr="00176D3F" w:rsidRDefault="002E487B" w:rsidP="00D01D61">
            <w:pPr>
              <w:pStyle w:val="Note"/>
            </w:pPr>
            <w:r>
              <w:rPr>
                <w:rStyle w:val="NoteLabel"/>
              </w:rPr>
              <w:t>a</w:t>
            </w:r>
            <w:r>
              <w:t xml:space="preserve"> </w:t>
            </w:r>
            <w:r w:rsidRPr="006D3797">
              <w:t xml:space="preserve">See box </w:t>
            </w:r>
            <w:r w:rsidR="003A68D1">
              <w:t>5.7</w:t>
            </w:r>
            <w:r>
              <w:t xml:space="preserve"> </w:t>
            </w:r>
            <w:r w:rsidRPr="006D3797">
              <w:t xml:space="preserve">and table </w:t>
            </w:r>
            <w:r>
              <w:t>5</w:t>
            </w:r>
            <w:r w:rsidRPr="006D3797">
              <w:t>A.</w:t>
            </w:r>
            <w:r w:rsidR="00D01D61">
              <w:t>20</w:t>
            </w:r>
            <w:r w:rsidRPr="006D3797">
              <w:t xml:space="preserve"> for detailed definitions, footnotes and caveats</w:t>
            </w:r>
          </w:p>
        </w:tc>
      </w:tr>
      <w:tr w:rsidR="00D41C82" w:rsidRPr="00176D3F" w:rsidTr="00C368C9">
        <w:tc>
          <w:tcPr>
            <w:tcW w:w="8771" w:type="dxa"/>
            <w:tcBorders>
              <w:top w:val="nil"/>
              <w:left w:val="nil"/>
              <w:bottom w:val="nil"/>
              <w:right w:val="nil"/>
            </w:tcBorders>
            <w:shd w:val="clear" w:color="auto" w:fill="auto"/>
          </w:tcPr>
          <w:p w:rsidR="00D41C82" w:rsidRPr="00176D3F" w:rsidRDefault="00D41C82" w:rsidP="00D01D61">
            <w:pPr>
              <w:pStyle w:val="Source"/>
            </w:pPr>
            <w:r w:rsidRPr="00171E10">
              <w:rPr>
                <w:i/>
              </w:rPr>
              <w:t>Source</w:t>
            </w:r>
            <w:r w:rsidRPr="00AD5F7E">
              <w:t>:</w:t>
            </w:r>
            <w:r w:rsidRPr="00171E10">
              <w:rPr>
                <w:i/>
              </w:rPr>
              <w:t xml:space="preserve"> NCVER (unpublished) National </w:t>
            </w:r>
            <w:r w:rsidRPr="00080748">
              <w:rPr>
                <w:i/>
              </w:rPr>
              <w:t xml:space="preserve">VET </w:t>
            </w:r>
            <w:r w:rsidRPr="00080748">
              <w:rPr>
                <w:i/>
                <w:shd w:val="clear" w:color="auto" w:fill="FFFFFF" w:themeFill="background1"/>
              </w:rPr>
              <w:t>provider collection; ABS</w:t>
            </w:r>
            <w:r w:rsidRPr="00080748">
              <w:rPr>
                <w:shd w:val="clear" w:color="auto" w:fill="FFFFFF" w:themeFill="background1"/>
              </w:rPr>
              <w:t xml:space="preserve"> (201</w:t>
            </w:r>
            <w:r w:rsidR="00516044">
              <w:rPr>
                <w:shd w:val="clear" w:color="auto" w:fill="FFFFFF" w:themeFill="background1"/>
              </w:rPr>
              <w:t>4</w:t>
            </w:r>
            <w:r w:rsidRPr="00080748">
              <w:rPr>
                <w:shd w:val="clear" w:color="auto" w:fill="FFFFFF" w:themeFill="background1"/>
              </w:rPr>
              <w:t xml:space="preserve">), </w:t>
            </w:r>
            <w:r w:rsidRPr="00080748">
              <w:rPr>
                <w:i/>
                <w:shd w:val="clear" w:color="auto" w:fill="FFFFFF" w:themeFill="background1"/>
              </w:rPr>
              <w:t>Australian Demographic Statistics, June 201</w:t>
            </w:r>
            <w:r w:rsidR="00516044">
              <w:rPr>
                <w:i/>
                <w:shd w:val="clear" w:color="auto" w:fill="FFFFFF" w:themeFill="background1"/>
              </w:rPr>
              <w:t>4</w:t>
            </w:r>
            <w:r w:rsidRPr="00080748">
              <w:rPr>
                <w:shd w:val="clear" w:color="auto" w:fill="FFFFFF" w:themeFill="background1"/>
              </w:rPr>
              <w:t xml:space="preserve">, Cat. no. 3101.0, Canberra; </w:t>
            </w:r>
            <w:r w:rsidR="00080748" w:rsidRPr="00080748">
              <w:rPr>
                <w:shd w:val="clear" w:color="auto" w:fill="FFFFFF" w:themeFill="background1"/>
              </w:rPr>
              <w:t xml:space="preserve">ABS (2013) </w:t>
            </w:r>
            <w:r w:rsidR="00080748" w:rsidRPr="00080748">
              <w:rPr>
                <w:i/>
                <w:shd w:val="clear" w:color="auto" w:fill="FFFFFF" w:themeFill="background1"/>
              </w:rPr>
              <w:t>Estimates and Projections, Aboriginal and Torres Strait Islander Australians</w:t>
            </w:r>
            <w:r w:rsidR="00080748" w:rsidRPr="00080748">
              <w:rPr>
                <w:shd w:val="clear" w:color="auto" w:fill="FFFFFF" w:themeFill="background1"/>
              </w:rPr>
              <w:t>, 2001 to 2026, Cat. no. 3238.</w:t>
            </w:r>
            <w:r w:rsidRPr="00080748">
              <w:rPr>
                <w:shd w:val="clear" w:color="auto" w:fill="FFFFFF" w:themeFill="background1"/>
              </w:rPr>
              <w:t>; table 5A.</w:t>
            </w:r>
            <w:r w:rsidR="00D01D61">
              <w:rPr>
                <w:shd w:val="clear" w:color="auto" w:fill="FFFFFF" w:themeFill="background1"/>
              </w:rPr>
              <w:t>20</w:t>
            </w:r>
            <w:r w:rsidRPr="00080748">
              <w:rPr>
                <w:shd w:val="clear" w:color="auto" w:fill="FFFFFF" w:themeFill="background1"/>
              </w:rPr>
              <w:t>.</w:t>
            </w:r>
          </w:p>
        </w:tc>
      </w:tr>
      <w:tr w:rsidR="00D41C82" w:rsidTr="00C368C9">
        <w:tc>
          <w:tcPr>
            <w:tcW w:w="8771" w:type="dxa"/>
            <w:tcBorders>
              <w:top w:val="nil"/>
              <w:left w:val="nil"/>
              <w:bottom w:val="single" w:sz="6" w:space="0" w:color="78A22F"/>
              <w:right w:val="nil"/>
            </w:tcBorders>
            <w:shd w:val="clear" w:color="auto" w:fill="auto"/>
          </w:tcPr>
          <w:p w:rsidR="00D41C82" w:rsidRDefault="00D41C82" w:rsidP="00C368C9">
            <w:pPr>
              <w:pStyle w:val="Figurespace"/>
            </w:pPr>
          </w:p>
        </w:tc>
      </w:tr>
      <w:tr w:rsidR="00D41C82" w:rsidRPr="000863A5" w:rsidTr="00C368C9">
        <w:tc>
          <w:tcPr>
            <w:tcW w:w="8771" w:type="dxa"/>
            <w:tcBorders>
              <w:top w:val="single" w:sz="6" w:space="0" w:color="78A22F"/>
              <w:left w:val="nil"/>
              <w:bottom w:val="nil"/>
              <w:right w:val="nil"/>
            </w:tcBorders>
          </w:tcPr>
          <w:p w:rsidR="00D41C82" w:rsidRPr="007C0ADB" w:rsidRDefault="00D41C82" w:rsidP="00C368C9">
            <w:pPr>
              <w:pStyle w:val="BoxSpaceBelow"/>
            </w:pPr>
          </w:p>
        </w:tc>
      </w:tr>
    </w:tbl>
    <w:p w:rsidR="00232E00" w:rsidRDefault="00232E00" w:rsidP="00C87EAE">
      <w:pPr>
        <w:pStyle w:val="Heading4"/>
      </w:pPr>
      <w:r w:rsidRPr="00C87EAE">
        <w:t>Appropriateness</w:t>
      </w:r>
      <w:r w:rsidR="00C87EAE" w:rsidRPr="00C87EAE">
        <w:t xml:space="preserve"> —</w:t>
      </w:r>
      <w:r w:rsidR="00E4296A">
        <w:t xml:space="preserve"> S</w:t>
      </w:r>
      <w:r w:rsidR="00C87EAE" w:rsidRPr="00C87EAE">
        <w:t>tudent completions and qualifications</w:t>
      </w:r>
    </w:p>
    <w:p w:rsidR="00232E00" w:rsidRDefault="00232E00" w:rsidP="0081208F">
      <w:pPr>
        <w:pStyle w:val="BodyText"/>
      </w:pPr>
      <w:r w:rsidRPr="00EF5A5F">
        <w:t>‘</w:t>
      </w:r>
      <w:r w:rsidR="00E4296A">
        <w:t>S</w:t>
      </w:r>
      <w:r w:rsidRPr="00EF5A5F">
        <w:t xml:space="preserve">tudent </w:t>
      </w:r>
      <w:r>
        <w:t>completions and qualifications</w:t>
      </w:r>
      <w:r w:rsidRPr="00EF5A5F">
        <w:t xml:space="preserve">’ is an indicator of governments’ objective </w:t>
      </w:r>
      <w:r w:rsidR="00E4296A" w:rsidRPr="00E4296A">
        <w:t>that the skill levels of the working age population are increased to meet the changing needs of the economy</w:t>
      </w:r>
      <w:r w:rsidR="00E4296A">
        <w:t xml:space="preserve"> </w:t>
      </w:r>
      <w:r w:rsidR="00E4296A" w:rsidRPr="00EF5A5F">
        <w:t>(box</w:t>
      </w:r>
      <w:r w:rsidR="00E4296A">
        <w:t> </w:t>
      </w:r>
      <w:r w:rsidR="003A68D1">
        <w:t>5.8</w:t>
      </w:r>
      <w:r w:rsidR="00E4296A" w:rsidRPr="00EF5A5F">
        <w:t>)</w:t>
      </w:r>
      <w:r w:rsidR="00E4296A" w:rsidRPr="00E4296A">
        <w:t xml:space="preserve">. </w:t>
      </w:r>
    </w:p>
    <w:p w:rsidR="00952247" w:rsidRPr="007C0ADB" w:rsidRDefault="00952247" w:rsidP="007C0AD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52247" w:rsidRPr="00952247" w:rsidTr="00952247">
        <w:tc>
          <w:tcPr>
            <w:tcW w:w="8771" w:type="dxa"/>
            <w:tcBorders>
              <w:top w:val="single" w:sz="6" w:space="0" w:color="78A22F"/>
              <w:left w:val="nil"/>
              <w:bottom w:val="nil"/>
              <w:right w:val="nil"/>
            </w:tcBorders>
            <w:shd w:val="clear" w:color="auto" w:fill="F2F2F2" w:themeFill="background1" w:themeFillShade="F2"/>
          </w:tcPr>
          <w:p w:rsidR="00952247" w:rsidRPr="00983184" w:rsidRDefault="00C974B0" w:rsidP="00C974B0">
            <w:pPr>
              <w:pStyle w:val="BoxTitle"/>
            </w:pPr>
            <w:r>
              <w:rPr>
                <w:b w:val="0"/>
              </w:rPr>
              <w:t xml:space="preserve">Box </w:t>
            </w:r>
            <w:bookmarkStart w:id="28" w:name="OLE_LINK10"/>
            <w:r w:rsidR="003A68D1">
              <w:rPr>
                <w:b w:val="0"/>
              </w:rPr>
              <w:t>5.</w:t>
            </w:r>
            <w:r w:rsidR="00111918">
              <w:rPr>
                <w:b w:val="0"/>
                <w:noProof/>
              </w:rPr>
              <w:t>8</w:t>
            </w:r>
            <w:bookmarkEnd w:id="28"/>
            <w:r w:rsidR="00952247" w:rsidRPr="00983184">
              <w:tab/>
              <w:t xml:space="preserve">VET </w:t>
            </w:r>
            <w:r w:rsidR="0081208F">
              <w:t>s</w:t>
            </w:r>
            <w:r w:rsidR="0081208F" w:rsidRPr="00EF5A5F">
              <w:t xml:space="preserve">tudent </w:t>
            </w:r>
            <w:r w:rsidR="00952247" w:rsidRPr="00983184">
              <w:t>completions and qualifications</w:t>
            </w:r>
          </w:p>
        </w:tc>
      </w:tr>
      <w:tr w:rsidR="00952247" w:rsidRPr="00952247" w:rsidTr="00952247">
        <w:trPr>
          <w:cantSplit/>
        </w:trPr>
        <w:tc>
          <w:tcPr>
            <w:tcW w:w="8771" w:type="dxa"/>
            <w:tcBorders>
              <w:top w:val="nil"/>
              <w:left w:val="nil"/>
              <w:bottom w:val="nil"/>
              <w:right w:val="nil"/>
            </w:tcBorders>
            <w:shd w:val="clear" w:color="auto" w:fill="F2F2F2" w:themeFill="background1" w:themeFillShade="F2"/>
          </w:tcPr>
          <w:p w:rsidR="00952247" w:rsidRPr="00983184" w:rsidRDefault="00952247" w:rsidP="00952247">
            <w:pPr>
              <w:pStyle w:val="Box"/>
            </w:pPr>
            <w:r w:rsidRPr="00983184">
              <w:t>‘VET completions and qualifications’ is defined by three measures:</w:t>
            </w:r>
          </w:p>
          <w:p w:rsidR="00197F89" w:rsidRPr="00197F89" w:rsidRDefault="00952247" w:rsidP="00B347E4">
            <w:pPr>
              <w:pStyle w:val="BoxListBullet"/>
            </w:pPr>
            <w:r w:rsidRPr="00983184">
              <w:t xml:space="preserve">‘Qualifications </w:t>
            </w:r>
            <w:r w:rsidRPr="006B1F1F">
              <w:t>completed</w:t>
            </w:r>
            <w:r w:rsidR="0081208F" w:rsidRPr="006B1F1F">
              <w:t xml:space="preserve"> by working aged VET students, by course level</w:t>
            </w:r>
            <w:r w:rsidRPr="006B1F1F">
              <w:t>’ is defined as the number of qualifications achieved/passed each year by</w:t>
            </w:r>
            <w:r w:rsidR="00E4296A" w:rsidRPr="006B1F1F">
              <w:t xml:space="preserve"> </w:t>
            </w:r>
            <w:r w:rsidR="00C079B8" w:rsidRPr="006B1F1F">
              <w:t>students of working age (currently collected by NCVER, where a qualification is a certification to a person on successful completion of a course in recognition of having achieved particular knowledge, skills or competencies).</w:t>
            </w:r>
            <w:r w:rsidR="00C079B8">
              <w:t xml:space="preserve"> </w:t>
            </w:r>
            <w:r w:rsidR="00B347E4" w:rsidRPr="00F74889">
              <w:tab/>
            </w:r>
          </w:p>
          <w:p w:rsidR="00197F89" w:rsidRDefault="00197F89" w:rsidP="00197F89">
            <w:pPr>
              <w:pStyle w:val="BoxListBullet"/>
              <w:numPr>
                <w:ilvl w:val="0"/>
                <w:numId w:val="0"/>
              </w:numPr>
              <w:ind w:left="284"/>
            </w:pPr>
            <w:r w:rsidRPr="00F74889">
              <w:t xml:space="preserve">Data for qualifications completed relate to Government funded VET, plus the fee for service activity of Government VET providers (box </w:t>
            </w:r>
            <w:r w:rsidR="003A68D1">
              <w:t>5.3</w:t>
            </w:r>
            <w:r w:rsidRPr="00F74889">
              <w:t>).</w:t>
            </w:r>
          </w:p>
          <w:p w:rsidR="00FA5292" w:rsidRPr="00983184" w:rsidRDefault="00FA5292" w:rsidP="00FA5292">
            <w:pPr>
              <w:pStyle w:val="BoxListBullet"/>
              <w:numPr>
                <w:ilvl w:val="0"/>
                <w:numId w:val="0"/>
              </w:numPr>
              <w:ind w:left="284"/>
            </w:pPr>
            <w:r w:rsidRPr="00983184">
              <w:t>High or increasing qualifications completed per person in the population increases the national pool of skilled Australians</w:t>
            </w:r>
            <w:r>
              <w:t>.</w:t>
            </w:r>
          </w:p>
        </w:tc>
      </w:tr>
      <w:tr w:rsidR="00952247" w:rsidRPr="006B1F1F" w:rsidTr="00952247">
        <w:trPr>
          <w:cantSplit/>
        </w:trPr>
        <w:tc>
          <w:tcPr>
            <w:tcW w:w="8771" w:type="dxa"/>
            <w:tcBorders>
              <w:top w:val="nil"/>
              <w:left w:val="nil"/>
              <w:bottom w:val="nil"/>
              <w:right w:val="nil"/>
            </w:tcBorders>
            <w:shd w:val="clear" w:color="auto" w:fill="F2F2F2" w:themeFill="background1" w:themeFillShade="F2"/>
          </w:tcPr>
          <w:p w:rsidR="00952247" w:rsidRPr="006B1F1F" w:rsidRDefault="00952247" w:rsidP="006B1F1F">
            <w:pPr>
              <w:pStyle w:val="Continued"/>
            </w:pPr>
            <w:r w:rsidRPr="006B1F1F">
              <w:t>(continued next page)</w:t>
            </w:r>
          </w:p>
        </w:tc>
      </w:tr>
      <w:tr w:rsidR="00952247" w:rsidRPr="00952247" w:rsidTr="00952247">
        <w:trPr>
          <w:cantSplit/>
        </w:trPr>
        <w:tc>
          <w:tcPr>
            <w:tcW w:w="8771" w:type="dxa"/>
            <w:tcBorders>
              <w:top w:val="nil"/>
              <w:left w:val="nil"/>
              <w:bottom w:val="single" w:sz="6" w:space="0" w:color="78A22F"/>
              <w:right w:val="nil"/>
            </w:tcBorders>
            <w:shd w:val="clear" w:color="auto" w:fill="F2F2F2" w:themeFill="background1" w:themeFillShade="F2"/>
          </w:tcPr>
          <w:p w:rsidR="00952247" w:rsidRPr="00952247" w:rsidRDefault="00952247" w:rsidP="00952247">
            <w:pPr>
              <w:pStyle w:val="Box"/>
              <w:spacing w:before="0" w:line="120" w:lineRule="exact"/>
              <w:rPr>
                <w:color w:val="FF0000"/>
              </w:rPr>
            </w:pPr>
          </w:p>
        </w:tc>
      </w:tr>
      <w:tr w:rsidR="00952247" w:rsidRPr="00952247" w:rsidTr="00952247">
        <w:tc>
          <w:tcPr>
            <w:tcW w:w="8771" w:type="dxa"/>
            <w:tcBorders>
              <w:top w:val="single" w:sz="6" w:space="0" w:color="78A22F"/>
              <w:left w:val="nil"/>
              <w:bottom w:val="nil"/>
              <w:right w:val="nil"/>
            </w:tcBorders>
          </w:tcPr>
          <w:p w:rsidR="00952247" w:rsidRPr="007C0ADB" w:rsidRDefault="00952247" w:rsidP="007C0ADB">
            <w:pPr>
              <w:pStyle w:val="BoxSpaceBelow"/>
            </w:pPr>
          </w:p>
        </w:tc>
      </w:tr>
    </w:tbl>
    <w:p w:rsidR="00952247" w:rsidRPr="00952247" w:rsidRDefault="00952247" w:rsidP="00952247">
      <w:pPr>
        <w:pStyle w:val="BoxSpaceAbove"/>
        <w:rPr>
          <w:color w:val="FF000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52247" w:rsidRPr="006B1F1F" w:rsidTr="00952247">
        <w:tc>
          <w:tcPr>
            <w:tcW w:w="8771" w:type="dxa"/>
            <w:tcBorders>
              <w:top w:val="single" w:sz="6" w:space="0" w:color="78A22F"/>
              <w:left w:val="nil"/>
              <w:bottom w:val="nil"/>
              <w:right w:val="nil"/>
            </w:tcBorders>
            <w:shd w:val="clear" w:color="auto" w:fill="F2F2F2" w:themeFill="background1" w:themeFillShade="F2"/>
          </w:tcPr>
          <w:p w:rsidR="00952247" w:rsidRPr="006B1F1F" w:rsidRDefault="00952247" w:rsidP="00B67641">
            <w:pPr>
              <w:pStyle w:val="BoxTitle"/>
              <w:rPr>
                <w:b w:val="0"/>
              </w:rPr>
            </w:pPr>
            <w:r w:rsidRPr="006B1F1F">
              <w:rPr>
                <w:b w:val="0"/>
              </w:rPr>
              <w:t>Box</w:t>
            </w:r>
            <w:r w:rsidR="00C974B0" w:rsidRPr="006B1F1F">
              <w:rPr>
                <w:b w:val="0"/>
              </w:rPr>
              <w:t xml:space="preserve"> </w:t>
            </w:r>
            <w:r w:rsidR="003A68D1" w:rsidRPr="003A68D1">
              <w:rPr>
                <w:b w:val="0"/>
              </w:rPr>
              <w:t>5.8</w:t>
            </w:r>
            <w:r w:rsidRPr="006B1F1F">
              <w:rPr>
                <w:b w:val="0"/>
              </w:rPr>
              <w:tab/>
            </w:r>
            <w:r w:rsidRPr="006B1F1F">
              <w:rPr>
                <w:b w:val="0"/>
                <w:sz w:val="18"/>
              </w:rPr>
              <w:t>(</w:t>
            </w:r>
            <w:r w:rsidR="006B1F1F" w:rsidRPr="006B1F1F">
              <w:rPr>
                <w:b w:val="0"/>
                <w:sz w:val="18"/>
              </w:rPr>
              <w:t>c</w:t>
            </w:r>
            <w:r w:rsidRPr="006B1F1F">
              <w:rPr>
                <w:b w:val="0"/>
                <w:sz w:val="18"/>
              </w:rPr>
              <w:t>ontinued)</w:t>
            </w:r>
          </w:p>
        </w:tc>
      </w:tr>
      <w:tr w:rsidR="00952247" w:rsidRPr="00952247" w:rsidTr="00952247">
        <w:trPr>
          <w:cantSplit/>
        </w:trPr>
        <w:tc>
          <w:tcPr>
            <w:tcW w:w="8771" w:type="dxa"/>
            <w:tcBorders>
              <w:top w:val="nil"/>
              <w:left w:val="nil"/>
              <w:bottom w:val="nil"/>
              <w:right w:val="nil"/>
            </w:tcBorders>
            <w:shd w:val="clear" w:color="auto" w:fill="F2F2F2" w:themeFill="background1" w:themeFillShade="F2"/>
          </w:tcPr>
          <w:p w:rsidR="00B94E3B" w:rsidRPr="00983184" w:rsidRDefault="00B94E3B" w:rsidP="00B94E3B">
            <w:pPr>
              <w:pStyle w:val="BoxListBullet"/>
              <w:numPr>
                <w:ilvl w:val="0"/>
                <w:numId w:val="0"/>
              </w:numPr>
              <w:ind w:left="284"/>
            </w:pPr>
            <w:r w:rsidRPr="00983184">
              <w:t>Data reported for this measure are:</w:t>
            </w:r>
          </w:p>
          <w:p w:rsidR="00B94E3B" w:rsidRPr="00983184" w:rsidRDefault="00B94E3B" w:rsidP="00C50604">
            <w:pPr>
              <w:pStyle w:val="BoxListBullet2"/>
            </w:pPr>
            <w:r w:rsidRPr="00983184">
              <w:t>comparable (subject to caveats) across jurisdictions and over time</w:t>
            </w:r>
            <w:r w:rsidR="00C50604">
              <w:t xml:space="preserve">. </w:t>
            </w:r>
            <w:r w:rsidR="00C50604" w:rsidRPr="00F74889">
              <w:t>Qualifications completed data are ‘preliminary’ for 2014 and ‘</w:t>
            </w:r>
            <w:r w:rsidR="002E7E48" w:rsidRPr="00F74889">
              <w:t>final’ for years 2013 and prior</w:t>
            </w:r>
          </w:p>
          <w:p w:rsidR="00B94E3B" w:rsidRDefault="00B94E3B" w:rsidP="00B94E3B">
            <w:pPr>
              <w:pStyle w:val="BoxListBullet2"/>
            </w:pPr>
            <w:r w:rsidRPr="00983184">
              <w:t>complete for the current reporting period (subject to caveats). All required 201</w:t>
            </w:r>
            <w:r w:rsidR="009D4117">
              <w:t>4</w:t>
            </w:r>
            <w:r w:rsidRPr="00983184">
              <w:t xml:space="preserve"> data are available for all jurisdictions providing the service.</w:t>
            </w:r>
          </w:p>
          <w:p w:rsidR="00B94E3B" w:rsidRDefault="00B94E3B" w:rsidP="00B94E3B">
            <w:pPr>
              <w:pStyle w:val="BoxListBullet"/>
            </w:pPr>
            <w:r w:rsidRPr="006B1F1F">
              <w:t xml:space="preserve">‘Units of competency and modules completed’ is defined as the sum of the number of units of competency achieved/passed each year by VET students and the number of modules (outside training packages) achieved/passed each year by VET students </w:t>
            </w:r>
            <w:r>
              <w:t>(</w:t>
            </w:r>
            <w:r w:rsidR="00FA5292">
              <w:t xml:space="preserve">see </w:t>
            </w:r>
            <w:r>
              <w:t xml:space="preserve">box </w:t>
            </w:r>
            <w:r w:rsidR="003A68D1">
              <w:t>5.1</w:t>
            </w:r>
            <w:r w:rsidR="00FA5292">
              <w:t xml:space="preserve"> for details</w:t>
            </w:r>
            <w:r>
              <w:t xml:space="preserve">). </w:t>
            </w:r>
          </w:p>
          <w:p w:rsidR="00B94E3B" w:rsidRDefault="00B94E3B" w:rsidP="00B94E3B">
            <w:pPr>
              <w:pStyle w:val="BoxListBullet"/>
              <w:numPr>
                <w:ilvl w:val="0"/>
                <w:numId w:val="0"/>
              </w:numPr>
              <w:ind w:left="284"/>
            </w:pPr>
            <w:r w:rsidRPr="00983184">
              <w:t xml:space="preserve">High or increasing </w:t>
            </w:r>
            <w:r>
              <w:t>u</w:t>
            </w:r>
            <w:r w:rsidRPr="00983184">
              <w:t>nits of competency and modules completed per person in the population increases the natio</w:t>
            </w:r>
            <w:r>
              <w:t xml:space="preserve">nal pool of skilled Australians. </w:t>
            </w:r>
          </w:p>
          <w:p w:rsidR="00B94E3B" w:rsidRPr="00983184" w:rsidRDefault="00B94E3B" w:rsidP="00B94E3B">
            <w:pPr>
              <w:pStyle w:val="BoxListBullet"/>
              <w:numPr>
                <w:ilvl w:val="0"/>
                <w:numId w:val="0"/>
              </w:numPr>
              <w:ind w:left="284"/>
            </w:pPr>
            <w:r w:rsidRPr="00983184">
              <w:t xml:space="preserve">Data reported for this measure are: </w:t>
            </w:r>
          </w:p>
          <w:p w:rsidR="00B94E3B" w:rsidRPr="00983184" w:rsidRDefault="00B94E3B" w:rsidP="00B94E3B">
            <w:pPr>
              <w:pStyle w:val="BoxListBullet2"/>
            </w:pPr>
            <w:r w:rsidRPr="00983184">
              <w:t>comparable (subject to caveats) within jurisdictions over time but are not comparable across jurisdictions</w:t>
            </w:r>
          </w:p>
          <w:p w:rsidR="00B94E3B" w:rsidRDefault="00B94E3B" w:rsidP="00B94E3B">
            <w:pPr>
              <w:pStyle w:val="BoxListBullet2"/>
            </w:pPr>
            <w:r w:rsidRPr="00983184">
              <w:t>complete for the current reporting period (subject to caveats). All required 201</w:t>
            </w:r>
            <w:r w:rsidR="00516044">
              <w:t>4</w:t>
            </w:r>
            <w:r w:rsidRPr="00983184">
              <w:t xml:space="preserve"> data are available for all jurisd</w:t>
            </w:r>
            <w:r>
              <w:t>ictions providing the service.</w:t>
            </w:r>
          </w:p>
          <w:p w:rsidR="00B94E3B" w:rsidRDefault="00B94E3B" w:rsidP="00B94E3B">
            <w:pPr>
              <w:pStyle w:val="BoxListBullet"/>
            </w:pPr>
            <w:r w:rsidRPr="00983184">
              <w:t xml:space="preserve">‘Qualification </w:t>
            </w:r>
            <w:r w:rsidRPr="006B1F1F">
              <w:t>Equivalents’ is defined as the number of annual hours of training activity associated with successful completions of modules and units of</w:t>
            </w:r>
            <w:r w:rsidRPr="00983184">
              <w:t xml:space="preserve"> competency by government funded VET students, divided by an agreed value of annual hours of training activity representing a qualification</w:t>
            </w:r>
            <w:r w:rsidR="00FA5292">
              <w:t xml:space="preserve"> (see section 5.5 for more detail)</w:t>
            </w:r>
            <w:r w:rsidRPr="00983184">
              <w:t>.</w:t>
            </w:r>
          </w:p>
          <w:p w:rsidR="00B94E3B" w:rsidRDefault="00B94E3B" w:rsidP="00B94E3B">
            <w:pPr>
              <w:pStyle w:val="BoxListBullet"/>
              <w:numPr>
                <w:ilvl w:val="0"/>
                <w:numId w:val="0"/>
              </w:numPr>
              <w:ind w:left="284"/>
            </w:pPr>
            <w:r w:rsidRPr="00983184">
              <w:t>High or increasing numbers of qualification equivalents per person in the population increases the natio</w:t>
            </w:r>
            <w:r>
              <w:t>nal pool of skilled Australians.</w:t>
            </w:r>
          </w:p>
          <w:p w:rsidR="00B94E3B" w:rsidRPr="00983184" w:rsidRDefault="00B94E3B" w:rsidP="00B94E3B">
            <w:pPr>
              <w:pStyle w:val="BoxListBullet"/>
              <w:numPr>
                <w:ilvl w:val="0"/>
                <w:numId w:val="0"/>
              </w:numPr>
              <w:ind w:left="284"/>
            </w:pPr>
            <w:r w:rsidRPr="00983184">
              <w:t xml:space="preserve">Data reported for this measure are </w:t>
            </w:r>
          </w:p>
          <w:p w:rsidR="00B94E3B" w:rsidRDefault="00B94E3B" w:rsidP="00B94E3B">
            <w:pPr>
              <w:pStyle w:val="BoxListBullet2"/>
            </w:pPr>
            <w:r w:rsidRPr="00983184">
              <w:t>comparable (subject to caveats) across jurisdictions and over time</w:t>
            </w:r>
          </w:p>
          <w:p w:rsidR="00B94E3B" w:rsidRDefault="00B94E3B" w:rsidP="00B94E3B">
            <w:pPr>
              <w:pStyle w:val="BoxListBullet2"/>
            </w:pPr>
            <w:r w:rsidRPr="00983184">
              <w:t>complete for the current reporting period (subject to caveats). All required 201</w:t>
            </w:r>
            <w:r w:rsidR="00516044">
              <w:t xml:space="preserve">4 </w:t>
            </w:r>
            <w:r w:rsidRPr="00983184">
              <w:t>data are available for all jurisdictions providing the service.</w:t>
            </w:r>
          </w:p>
          <w:p w:rsidR="008E3C13" w:rsidRPr="00177BBD" w:rsidRDefault="008E3C13" w:rsidP="00B94E3B">
            <w:pPr>
              <w:pStyle w:val="Box"/>
            </w:pPr>
            <w:r>
              <w:t xml:space="preserve">For each measure data are </w:t>
            </w:r>
            <w:r w:rsidRPr="00177BBD">
              <w:t xml:space="preserve">presented: </w:t>
            </w:r>
          </w:p>
          <w:p w:rsidR="008E3C13" w:rsidRPr="00177BBD" w:rsidRDefault="008E3C13" w:rsidP="008E3C13">
            <w:pPr>
              <w:pStyle w:val="BoxListBullet"/>
            </w:pPr>
            <w:r w:rsidRPr="00177BBD">
              <w:t>per person in the population (measured by estimated resident population in each jurisdiction)</w:t>
            </w:r>
          </w:p>
          <w:p w:rsidR="008E3C13" w:rsidRPr="00983184" w:rsidRDefault="008E3C13" w:rsidP="008E3C13">
            <w:pPr>
              <w:pStyle w:val="BoxListBullet"/>
            </w:pPr>
            <w:r w:rsidRPr="00177BBD">
              <w:t>as an annual change — defined as the percentage change of qualifications from year to year.</w:t>
            </w:r>
          </w:p>
          <w:p w:rsidR="00952247" w:rsidRPr="00952247" w:rsidRDefault="00952247" w:rsidP="006B1F1F">
            <w:pPr>
              <w:pStyle w:val="Box"/>
            </w:pPr>
            <w:r w:rsidRPr="00952247">
              <w:t xml:space="preserve">Data are </w:t>
            </w:r>
            <w:r w:rsidR="009D4117">
              <w:t>reported</w:t>
            </w:r>
            <w:r w:rsidRPr="00952247">
              <w:t xml:space="preserve"> for VET target groups (residents of remote and very remote areas, people with disability, people speaking a </w:t>
            </w:r>
            <w:r w:rsidR="00AE1BEE">
              <w:t>LOTE</w:t>
            </w:r>
            <w:r w:rsidRPr="00952247">
              <w:t xml:space="preserve"> at home and Aboriginal and Torres Strait Islander people). </w:t>
            </w:r>
          </w:p>
          <w:p w:rsidR="00952247" w:rsidRPr="00952247" w:rsidRDefault="00952247" w:rsidP="006B1F1F">
            <w:pPr>
              <w:pStyle w:val="Box"/>
            </w:pPr>
            <w:r w:rsidRPr="00952247">
              <w:t xml:space="preserve">Data quality information for this </w:t>
            </w:r>
            <w:r w:rsidRPr="006B1F1F">
              <w:t>indicator</w:t>
            </w:r>
            <w:r w:rsidRPr="00952247">
              <w:t xml:space="preserve"> is at www.pc.gov.au/rogs/201</w:t>
            </w:r>
            <w:r w:rsidR="006B1F1F">
              <w:t>6</w:t>
            </w:r>
            <w:r w:rsidRPr="00952247">
              <w:t>.</w:t>
            </w:r>
          </w:p>
        </w:tc>
      </w:tr>
      <w:tr w:rsidR="00952247" w:rsidRPr="00952247" w:rsidTr="00952247">
        <w:trPr>
          <w:cantSplit/>
        </w:trPr>
        <w:tc>
          <w:tcPr>
            <w:tcW w:w="8771" w:type="dxa"/>
            <w:tcBorders>
              <w:top w:val="nil"/>
              <w:left w:val="nil"/>
              <w:bottom w:val="single" w:sz="6" w:space="0" w:color="78A22F"/>
              <w:right w:val="nil"/>
            </w:tcBorders>
            <w:shd w:val="clear" w:color="auto" w:fill="F2F2F2" w:themeFill="background1" w:themeFillShade="F2"/>
          </w:tcPr>
          <w:p w:rsidR="00952247" w:rsidRPr="00952247" w:rsidRDefault="00952247" w:rsidP="00952247">
            <w:pPr>
              <w:pStyle w:val="Box"/>
              <w:spacing w:before="0" w:line="120" w:lineRule="exact"/>
              <w:rPr>
                <w:color w:val="FF0000"/>
              </w:rPr>
            </w:pPr>
          </w:p>
        </w:tc>
      </w:tr>
      <w:tr w:rsidR="00952247" w:rsidRPr="00952247" w:rsidTr="00952247">
        <w:tc>
          <w:tcPr>
            <w:tcW w:w="8771" w:type="dxa"/>
            <w:tcBorders>
              <w:top w:val="single" w:sz="6" w:space="0" w:color="78A22F"/>
              <w:left w:val="nil"/>
              <w:bottom w:val="nil"/>
              <w:right w:val="nil"/>
            </w:tcBorders>
          </w:tcPr>
          <w:p w:rsidR="00952247" w:rsidRPr="00952247" w:rsidRDefault="00952247" w:rsidP="00952247">
            <w:pPr>
              <w:pStyle w:val="BoxSpaceBelow"/>
              <w:rPr>
                <w:color w:val="FF0000"/>
              </w:rPr>
            </w:pPr>
          </w:p>
        </w:tc>
      </w:tr>
    </w:tbl>
    <w:p w:rsidR="00DF6A13" w:rsidRDefault="00DF6A13" w:rsidP="00DF6A13">
      <w:pPr>
        <w:pStyle w:val="Heading5"/>
      </w:pPr>
      <w:r w:rsidRPr="00F86A90">
        <w:t>VET completions and qualifications — qualifications completed</w:t>
      </w:r>
    </w:p>
    <w:p w:rsidR="009D4117" w:rsidRDefault="00DF6A13" w:rsidP="00DF6A13">
      <w:pPr>
        <w:pStyle w:val="BodyText"/>
      </w:pPr>
      <w:r w:rsidRPr="00F86A90">
        <w:t>Nationally</w:t>
      </w:r>
      <w:r w:rsidR="005F0183">
        <w:t xml:space="preserve"> in 2014</w:t>
      </w:r>
      <w:r w:rsidRPr="00F86A90">
        <w:t xml:space="preserve">, </w:t>
      </w:r>
      <w:r w:rsidR="005F0183">
        <w:t xml:space="preserve">there were </w:t>
      </w:r>
      <w:r w:rsidR="005F0183" w:rsidRPr="00F86A90">
        <w:t>5</w:t>
      </w:r>
      <w:r w:rsidR="005F0183">
        <w:t>60</w:t>
      </w:r>
      <w:r w:rsidR="00B77BFE">
        <w:t> </w:t>
      </w:r>
      <w:r w:rsidR="005F0183">
        <w:t>7</w:t>
      </w:r>
      <w:r w:rsidR="00B77BFE">
        <w:t>0</w:t>
      </w:r>
      <w:r w:rsidR="00EC524C">
        <w:t>1</w:t>
      </w:r>
      <w:r w:rsidR="00B77BFE">
        <w:t xml:space="preserve"> </w:t>
      </w:r>
      <w:r w:rsidR="005F0183">
        <w:t xml:space="preserve">qualifications completed by VET students, of which, </w:t>
      </w:r>
      <w:r w:rsidR="009D4117">
        <w:t xml:space="preserve">students aged 15–64 years completed </w:t>
      </w:r>
      <w:r w:rsidR="00EC524C" w:rsidRPr="00F74889">
        <w:t xml:space="preserve">approximately </w:t>
      </w:r>
      <w:r w:rsidR="009D4117" w:rsidRPr="00F74889">
        <w:t>555 </w:t>
      </w:r>
      <w:r w:rsidR="00B77BFE" w:rsidRPr="00F74889">
        <w:t>100</w:t>
      </w:r>
      <w:r w:rsidR="009D4117">
        <w:t xml:space="preserve"> qualifications</w:t>
      </w:r>
      <w:r w:rsidR="005F0183">
        <w:t xml:space="preserve"> — </w:t>
      </w:r>
      <w:r w:rsidR="009D4117">
        <w:t xml:space="preserve">equivalent to 35.6 qualifications per 1000 people aged 15–64 years in the population </w:t>
      </w:r>
      <w:r w:rsidR="009D4117">
        <w:lastRenderedPageBreak/>
        <w:t>(</w:t>
      </w:r>
      <w:r w:rsidR="009D4117" w:rsidRPr="00F86A90">
        <w:t>figure</w:t>
      </w:r>
      <w:r w:rsidR="009D4117">
        <w:t> </w:t>
      </w:r>
      <w:r w:rsidR="003A68D1">
        <w:t>5.13</w:t>
      </w:r>
      <w:r w:rsidR="005F0183">
        <w:t xml:space="preserve"> and </w:t>
      </w:r>
      <w:r w:rsidR="005F0183">
        <w:rPr>
          <w:shd w:val="clear" w:color="auto" w:fill="FFFFFF" w:themeFill="background1"/>
        </w:rPr>
        <w:t>tables 5A.24 and 5A.28</w:t>
      </w:r>
      <w:r w:rsidR="009D4117" w:rsidRPr="00F86A90">
        <w:t>).</w:t>
      </w:r>
      <w:r w:rsidR="009D4117">
        <w:t xml:space="preserve"> </w:t>
      </w:r>
      <w:r w:rsidR="005F0183">
        <w:t xml:space="preserve">The level of qualifications completed by students </w:t>
      </w:r>
      <w:r w:rsidR="002D09D6">
        <w:t>were at</w:t>
      </w:r>
      <w:r w:rsidR="005F0183">
        <w:t>:</w:t>
      </w:r>
    </w:p>
    <w:p w:rsidR="005F0183" w:rsidRDefault="002D09D6" w:rsidP="005F0183">
      <w:pPr>
        <w:pStyle w:val="ListBullet"/>
      </w:pPr>
      <w:r>
        <w:t xml:space="preserve">diploma level </w:t>
      </w:r>
      <w:r w:rsidR="005F0183">
        <w:t xml:space="preserve">and above — </w:t>
      </w:r>
      <w:r w:rsidR="005F0183" w:rsidRPr="00825666">
        <w:t>1</w:t>
      </w:r>
      <w:r w:rsidR="005F0183">
        <w:t>3.</w:t>
      </w:r>
      <w:r w:rsidR="005F0183" w:rsidRPr="00825666">
        <w:t xml:space="preserve">4 per cent of qualifications completed by all students </w:t>
      </w:r>
    </w:p>
    <w:p w:rsidR="005F0183" w:rsidRPr="002D09D6" w:rsidRDefault="005F0183" w:rsidP="005F0183">
      <w:pPr>
        <w:pStyle w:val="ListBullet"/>
      </w:pPr>
      <w:r w:rsidRPr="00825666">
        <w:rPr>
          <w:shd w:val="clear" w:color="auto" w:fill="FFFFFF" w:themeFill="background1"/>
        </w:rPr>
        <w:t>certificate level III or IV</w:t>
      </w:r>
      <w:r>
        <w:rPr>
          <w:shd w:val="clear" w:color="auto" w:fill="FFFFFF" w:themeFill="background1"/>
        </w:rPr>
        <w:t xml:space="preserve"> — </w:t>
      </w:r>
      <w:r w:rsidRPr="00825666">
        <w:rPr>
          <w:shd w:val="clear" w:color="auto" w:fill="FFFFFF" w:themeFill="background1"/>
        </w:rPr>
        <w:t>6</w:t>
      </w:r>
      <w:r>
        <w:rPr>
          <w:shd w:val="clear" w:color="auto" w:fill="FFFFFF" w:themeFill="background1"/>
        </w:rPr>
        <w:t>5.1</w:t>
      </w:r>
      <w:r w:rsidRPr="00825666">
        <w:rPr>
          <w:shd w:val="clear" w:color="auto" w:fill="FFFFFF" w:themeFill="background1"/>
        </w:rPr>
        <w:t xml:space="preserve"> per cent</w:t>
      </w:r>
    </w:p>
    <w:p w:rsidR="00DF6A13" w:rsidRPr="00825666" w:rsidRDefault="002D09D6" w:rsidP="002D09D6">
      <w:pPr>
        <w:pStyle w:val="ListBullet"/>
      </w:pPr>
      <w:r w:rsidRPr="00825666">
        <w:t>certificate level I or II or lower</w:t>
      </w:r>
      <w:r>
        <w:rPr>
          <w:shd w:val="clear" w:color="auto" w:fill="FFFFFF" w:themeFill="background1"/>
        </w:rPr>
        <w:t xml:space="preserve"> — </w:t>
      </w:r>
      <w:r w:rsidR="00DF6A13" w:rsidRPr="00825666">
        <w:t>2</w:t>
      </w:r>
      <w:r w:rsidR="0081576E">
        <w:t>1.5</w:t>
      </w:r>
      <w:r w:rsidR="00DF6A13" w:rsidRPr="00825666">
        <w:t xml:space="preserve"> per cent </w:t>
      </w:r>
      <w:r w:rsidR="00B815BB" w:rsidRPr="0081576E">
        <w:t>(table 5A.</w:t>
      </w:r>
      <w:r w:rsidR="0081576E" w:rsidRPr="0081576E">
        <w:t>24</w:t>
      </w:r>
      <w:r w:rsidR="00B815BB" w:rsidRPr="0081576E">
        <w:t>)</w:t>
      </w:r>
      <w:r w:rsidR="00DF6A13" w:rsidRPr="0081576E">
        <w:t>.</w:t>
      </w:r>
      <w:r w:rsidR="005F0183">
        <w:t xml:space="preserve"> </w:t>
      </w:r>
    </w:p>
    <w:p w:rsidR="00DF6A13" w:rsidRPr="00952247" w:rsidRDefault="00DF6A13" w:rsidP="00DF6A13">
      <w:pPr>
        <w:pStyle w:val="BoxSpaceAbove"/>
        <w:rPr>
          <w:color w:val="FF000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F6A13" w:rsidRPr="002D41C3" w:rsidTr="008E3C13">
        <w:tc>
          <w:tcPr>
            <w:tcW w:w="8771" w:type="dxa"/>
            <w:tcBorders>
              <w:top w:val="single" w:sz="6" w:space="0" w:color="78A22F"/>
              <w:left w:val="nil"/>
              <w:bottom w:val="nil"/>
              <w:right w:val="nil"/>
            </w:tcBorders>
            <w:shd w:val="clear" w:color="auto" w:fill="auto"/>
          </w:tcPr>
          <w:p w:rsidR="00DF6A13" w:rsidRPr="002D41C3" w:rsidRDefault="00E12FDD" w:rsidP="00516044">
            <w:pPr>
              <w:pStyle w:val="FigureTitle"/>
            </w:pPr>
            <w:r w:rsidRPr="00784A05">
              <w:rPr>
                <w:b w:val="0"/>
              </w:rPr>
              <w:t xml:space="preserve">Figure </w:t>
            </w:r>
            <w:bookmarkStart w:id="29" w:name="OLE_LINK15"/>
            <w:r w:rsidR="003A68D1">
              <w:rPr>
                <w:b w:val="0"/>
              </w:rPr>
              <w:t>5.</w:t>
            </w:r>
            <w:r w:rsidR="00111918">
              <w:rPr>
                <w:b w:val="0"/>
                <w:noProof/>
              </w:rPr>
              <w:t>13</w:t>
            </w:r>
            <w:bookmarkEnd w:id="29"/>
            <w:r w:rsidR="00DF6A13" w:rsidRPr="002D41C3">
              <w:tab/>
              <w:t>Qualifications completed</w:t>
            </w:r>
            <w:r w:rsidR="008E64B8">
              <w:t xml:space="preserve"> by all students aged 15–64 years</w:t>
            </w:r>
            <w:r w:rsidR="00DF6A13">
              <w:t>, per 1000 people in the population</w:t>
            </w:r>
            <w:r w:rsidR="008E64B8">
              <w:t xml:space="preserve"> aged 15–64 years</w:t>
            </w:r>
            <w:r w:rsidR="00DF6A13" w:rsidRPr="002D41C3">
              <w:rPr>
                <w:rStyle w:val="NoteLabel"/>
                <w:b/>
              </w:rPr>
              <w:t>a</w:t>
            </w:r>
          </w:p>
        </w:tc>
      </w:tr>
      <w:tr w:rsidR="00DF6A13" w:rsidRPr="002D41C3" w:rsidTr="008E3C13">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F6A13" w:rsidRPr="002D41C3" w:rsidTr="008E3C13">
              <w:tc>
                <w:tcPr>
                  <w:tcW w:w="5000" w:type="pct"/>
                  <w:tcBorders>
                    <w:top w:val="nil"/>
                    <w:bottom w:val="nil"/>
                  </w:tcBorders>
                </w:tcPr>
                <w:p w:rsidR="00DF6A13" w:rsidRPr="002D41C3" w:rsidRDefault="00CE71B8" w:rsidP="008E3C13">
                  <w:pPr>
                    <w:pStyle w:val="Figure"/>
                    <w:spacing w:before="60" w:after="60"/>
                    <w:rPr>
                      <w:noProof/>
                    </w:rPr>
                  </w:pPr>
                  <w:r>
                    <w:rPr>
                      <w:noProof/>
                    </w:rPr>
                    <w:drawing>
                      <wp:inline distT="0" distB="0" distL="0" distR="0">
                        <wp:extent cx="5389880" cy="2689225"/>
                        <wp:effectExtent l="0" t="0" r="1270" b="0"/>
                        <wp:docPr id="12" name="Picture 12" descr="Figure 5.13 Qualifications completed by all students aged 15–64 years, per 1000 people in the population aged 15–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89880" cy="2689225"/>
                                </a:xfrm>
                                <a:prstGeom prst="rect">
                                  <a:avLst/>
                                </a:prstGeom>
                                <a:noFill/>
                                <a:ln>
                                  <a:noFill/>
                                </a:ln>
                              </pic:spPr>
                            </pic:pic>
                          </a:graphicData>
                        </a:graphic>
                      </wp:inline>
                    </w:drawing>
                  </w:r>
                </w:p>
              </w:tc>
            </w:tr>
          </w:tbl>
          <w:p w:rsidR="00DF6A13" w:rsidRPr="002D41C3" w:rsidRDefault="00DF6A13" w:rsidP="008E3C13">
            <w:pPr>
              <w:pStyle w:val="Figure"/>
            </w:pPr>
          </w:p>
        </w:tc>
      </w:tr>
      <w:tr w:rsidR="00DF6A13" w:rsidRPr="002D41C3" w:rsidTr="008E3C13">
        <w:tc>
          <w:tcPr>
            <w:tcW w:w="8771" w:type="dxa"/>
            <w:tcBorders>
              <w:top w:val="nil"/>
              <w:left w:val="nil"/>
              <w:bottom w:val="nil"/>
              <w:right w:val="nil"/>
            </w:tcBorders>
            <w:shd w:val="clear" w:color="auto" w:fill="auto"/>
          </w:tcPr>
          <w:p w:rsidR="002E487B" w:rsidRPr="002E487B" w:rsidRDefault="002E487B" w:rsidP="00D01D61">
            <w:pPr>
              <w:pStyle w:val="Note"/>
            </w:pPr>
            <w:r>
              <w:rPr>
                <w:rStyle w:val="NoteLabel"/>
              </w:rPr>
              <w:t>a</w:t>
            </w:r>
            <w:r>
              <w:t xml:space="preserve"> </w:t>
            </w:r>
            <w:r w:rsidRPr="006D3797">
              <w:t xml:space="preserve">See box </w:t>
            </w:r>
            <w:r w:rsidR="003A68D1">
              <w:t>5.8</w:t>
            </w:r>
            <w:r>
              <w:t xml:space="preserve"> </w:t>
            </w:r>
            <w:r w:rsidRPr="006D3797">
              <w:t xml:space="preserve">and table </w:t>
            </w:r>
            <w:r>
              <w:t>5</w:t>
            </w:r>
            <w:r w:rsidRPr="006D3797">
              <w:t>A.</w:t>
            </w:r>
            <w:r>
              <w:t>2</w:t>
            </w:r>
            <w:r w:rsidR="00D01D61">
              <w:t>8</w:t>
            </w:r>
            <w:r w:rsidRPr="006D3797">
              <w:t xml:space="preserve"> for detailed definitions, footnotes and caveats</w:t>
            </w:r>
            <w:r w:rsidR="00FA5292">
              <w:t>.</w:t>
            </w:r>
          </w:p>
        </w:tc>
      </w:tr>
      <w:tr w:rsidR="00DF6A13" w:rsidRPr="002D41C3" w:rsidTr="008E3C13">
        <w:tc>
          <w:tcPr>
            <w:tcW w:w="8771" w:type="dxa"/>
            <w:tcBorders>
              <w:top w:val="nil"/>
              <w:left w:val="nil"/>
              <w:bottom w:val="nil"/>
              <w:right w:val="nil"/>
            </w:tcBorders>
            <w:shd w:val="clear" w:color="auto" w:fill="auto"/>
          </w:tcPr>
          <w:p w:rsidR="00DF6A13" w:rsidRPr="002D41C3" w:rsidRDefault="00DF6A13" w:rsidP="00D01D61">
            <w:pPr>
              <w:pStyle w:val="Source"/>
            </w:pPr>
            <w:r w:rsidRPr="002D41C3">
              <w:rPr>
                <w:i/>
              </w:rPr>
              <w:t>Source</w:t>
            </w:r>
            <w:r w:rsidRPr="002D41C3">
              <w:t>: NCVER (unpublished) National VET provider collection; table 5A.</w:t>
            </w:r>
            <w:r w:rsidR="0081576E">
              <w:t>2</w:t>
            </w:r>
            <w:r w:rsidR="00D01D61">
              <w:t>8</w:t>
            </w:r>
            <w:r w:rsidRPr="002D41C3">
              <w:t>.</w:t>
            </w:r>
          </w:p>
        </w:tc>
      </w:tr>
      <w:tr w:rsidR="00DF6A13" w:rsidRPr="00952247" w:rsidTr="008E3C13">
        <w:tc>
          <w:tcPr>
            <w:tcW w:w="8771" w:type="dxa"/>
            <w:tcBorders>
              <w:top w:val="nil"/>
              <w:left w:val="nil"/>
              <w:bottom w:val="single" w:sz="6" w:space="0" w:color="78A22F"/>
              <w:right w:val="nil"/>
            </w:tcBorders>
            <w:shd w:val="clear" w:color="auto" w:fill="auto"/>
          </w:tcPr>
          <w:p w:rsidR="00DF6A13" w:rsidRPr="00952247" w:rsidRDefault="00DF6A13" w:rsidP="008E3C13">
            <w:pPr>
              <w:pStyle w:val="Figurespace"/>
              <w:rPr>
                <w:color w:val="FF0000"/>
              </w:rPr>
            </w:pPr>
          </w:p>
        </w:tc>
      </w:tr>
      <w:tr w:rsidR="00DF6A13" w:rsidRPr="00952247" w:rsidTr="008E3C13">
        <w:tc>
          <w:tcPr>
            <w:tcW w:w="8771" w:type="dxa"/>
            <w:tcBorders>
              <w:top w:val="single" w:sz="6" w:space="0" w:color="78A22F"/>
              <w:left w:val="nil"/>
              <w:bottom w:val="nil"/>
              <w:right w:val="nil"/>
            </w:tcBorders>
          </w:tcPr>
          <w:p w:rsidR="00DF6A13" w:rsidRPr="00952247" w:rsidRDefault="00DF6A13" w:rsidP="008E3C13">
            <w:pPr>
              <w:pStyle w:val="BoxSpaceBelow"/>
              <w:rPr>
                <w:color w:val="FF0000"/>
              </w:rPr>
            </w:pPr>
          </w:p>
        </w:tc>
      </w:tr>
    </w:tbl>
    <w:p w:rsidR="00DF6A13" w:rsidRPr="00796400" w:rsidRDefault="00DF6A13" w:rsidP="00B94E3B">
      <w:pPr>
        <w:pStyle w:val="BodyText"/>
      </w:pPr>
      <w:r w:rsidRPr="00B94E3B">
        <w:t xml:space="preserve">Nationally, the number of qualifications completed </w:t>
      </w:r>
      <w:r w:rsidR="0081576E" w:rsidRPr="00B94E3B">
        <w:t>de</w:t>
      </w:r>
      <w:r w:rsidRPr="00B94E3B">
        <w:t xml:space="preserve">creased by </w:t>
      </w:r>
      <w:r w:rsidR="0081576E" w:rsidRPr="00B94E3B">
        <w:t>0.5</w:t>
      </w:r>
      <w:r w:rsidRPr="00B94E3B">
        <w:t xml:space="preserve"> per cent between 201</w:t>
      </w:r>
      <w:r w:rsidR="0081576E" w:rsidRPr="00B94E3B">
        <w:t>3</w:t>
      </w:r>
      <w:r w:rsidRPr="00B94E3B">
        <w:t xml:space="preserve"> and 201</w:t>
      </w:r>
      <w:r w:rsidR="0081576E" w:rsidRPr="00B94E3B">
        <w:t>4</w:t>
      </w:r>
      <w:r w:rsidR="00AE1BEE">
        <w:t xml:space="preserve"> however, there has been a growth in the number of qualifications completed in most years since 2005 </w:t>
      </w:r>
      <w:r w:rsidR="00AE1BEE" w:rsidRPr="00B94E3B">
        <w:t>(figure </w:t>
      </w:r>
      <w:r w:rsidR="003A68D1">
        <w:t>5.14</w:t>
      </w:r>
      <w:r w:rsidR="00AE1BEE">
        <w:t xml:space="preserve">). </w:t>
      </w:r>
      <w:r w:rsidR="00AE1BEE" w:rsidRPr="00796400">
        <w:t xml:space="preserve">Overall, qualification completions have </w:t>
      </w:r>
      <w:r w:rsidR="0081576E" w:rsidRPr="00796400">
        <w:t xml:space="preserve">increased </w:t>
      </w:r>
      <w:r w:rsidR="00AE1BEE" w:rsidRPr="00796400">
        <w:t xml:space="preserve">nationally </w:t>
      </w:r>
      <w:r w:rsidRPr="00796400">
        <w:t xml:space="preserve">by </w:t>
      </w:r>
      <w:r w:rsidR="00796400" w:rsidRPr="00F74889">
        <w:t>87.7 </w:t>
      </w:r>
      <w:r w:rsidRPr="00F74889">
        <w:t>per cent</w:t>
      </w:r>
      <w:r w:rsidRPr="00796400">
        <w:t xml:space="preserve"> </w:t>
      </w:r>
      <w:r w:rsidR="00873DEB" w:rsidRPr="00796400">
        <w:t>since 20</w:t>
      </w:r>
      <w:r w:rsidR="00AB51F8" w:rsidRPr="00796400">
        <w:t>0</w:t>
      </w:r>
      <w:r w:rsidR="00873DEB" w:rsidRPr="00796400">
        <w:t>5</w:t>
      </w:r>
      <w:r w:rsidRPr="00796400">
        <w:t xml:space="preserve"> </w:t>
      </w:r>
      <w:r w:rsidR="00873DEB" w:rsidRPr="00796400">
        <w:t>(</w:t>
      </w:r>
      <w:r w:rsidRPr="00796400">
        <w:t xml:space="preserve">equivalent to an average annual increase of </w:t>
      </w:r>
      <w:r w:rsidR="00873DEB" w:rsidRPr="00796400">
        <w:t>7.2</w:t>
      </w:r>
      <w:r w:rsidR="00796400" w:rsidRPr="00796400">
        <w:t> </w:t>
      </w:r>
      <w:r w:rsidRPr="00796400">
        <w:t>per cent</w:t>
      </w:r>
      <w:r w:rsidR="00AB51F8" w:rsidRPr="00796400">
        <w:t>)</w:t>
      </w:r>
      <w:r w:rsidRPr="00796400">
        <w:t xml:space="preserve"> </w:t>
      </w:r>
      <w:r w:rsidR="00AE1BEE" w:rsidRPr="00796400">
        <w:t>(table 5A.24</w:t>
      </w:r>
      <w:r w:rsidRPr="00796400">
        <w:t xml:space="preserve">). </w:t>
      </w:r>
    </w:p>
    <w:p w:rsidR="00DF6A13" w:rsidRPr="00952247" w:rsidRDefault="00DF6A13" w:rsidP="00DF6A13">
      <w:pPr>
        <w:pStyle w:val="BoxSpaceAbove"/>
        <w:rPr>
          <w:color w:val="FF000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F6A13" w:rsidRPr="00992FBA" w:rsidTr="008E3C13">
        <w:tc>
          <w:tcPr>
            <w:tcW w:w="8771" w:type="dxa"/>
            <w:tcBorders>
              <w:top w:val="single" w:sz="6" w:space="0" w:color="78A22F"/>
              <w:left w:val="nil"/>
              <w:bottom w:val="nil"/>
              <w:right w:val="nil"/>
            </w:tcBorders>
            <w:shd w:val="clear" w:color="auto" w:fill="auto"/>
          </w:tcPr>
          <w:p w:rsidR="00DF6A13" w:rsidRPr="00992FBA" w:rsidRDefault="00B815BB" w:rsidP="00516044">
            <w:pPr>
              <w:pStyle w:val="FigureTitle"/>
            </w:pPr>
            <w:r w:rsidRPr="00784A05">
              <w:rPr>
                <w:b w:val="0"/>
              </w:rPr>
              <w:t xml:space="preserve">Figure </w:t>
            </w:r>
            <w:bookmarkStart w:id="30" w:name="OLE_LINK16"/>
            <w:r w:rsidR="003A68D1">
              <w:rPr>
                <w:b w:val="0"/>
              </w:rPr>
              <w:t>5.</w:t>
            </w:r>
            <w:r w:rsidR="00111918">
              <w:rPr>
                <w:b w:val="0"/>
                <w:noProof/>
              </w:rPr>
              <w:t>14</w:t>
            </w:r>
            <w:bookmarkEnd w:id="30"/>
            <w:r w:rsidRPr="002D41C3">
              <w:tab/>
            </w:r>
            <w:r w:rsidR="00DF6A13" w:rsidRPr="00992FBA">
              <w:t xml:space="preserve">Qualifications completed, annual growth </w:t>
            </w:r>
            <w:r w:rsidR="00003604">
              <w:t>from previous year</w:t>
            </w:r>
            <w:r w:rsidR="00DF6A13" w:rsidRPr="00992FBA">
              <w:t>, all students</w:t>
            </w:r>
            <w:r w:rsidR="00DF6A13" w:rsidRPr="00992FBA">
              <w:rPr>
                <w:rStyle w:val="NoteLabel"/>
                <w:b/>
              </w:rPr>
              <w:t>a</w:t>
            </w:r>
          </w:p>
        </w:tc>
      </w:tr>
      <w:tr w:rsidR="00DF6A13" w:rsidRPr="00952247" w:rsidTr="008E3C13">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F6A13" w:rsidRPr="00952247" w:rsidTr="008E3C13">
              <w:tc>
                <w:tcPr>
                  <w:tcW w:w="5000" w:type="pct"/>
                  <w:tcBorders>
                    <w:top w:val="nil"/>
                    <w:bottom w:val="nil"/>
                  </w:tcBorders>
                </w:tcPr>
                <w:p w:rsidR="002D09D6" w:rsidRDefault="00CE71B8" w:rsidP="002D09D6">
                  <w:pPr>
                    <w:pStyle w:val="Figure"/>
                    <w:spacing w:after="0"/>
                    <w:jc w:val="left"/>
                  </w:pPr>
                  <w:r>
                    <w:rPr>
                      <w:noProof/>
                    </w:rPr>
                    <w:drawing>
                      <wp:inline distT="0" distB="0" distL="0" distR="0">
                        <wp:extent cx="2033270" cy="1258570"/>
                        <wp:effectExtent l="0" t="0" r="5080" b="0"/>
                        <wp:docPr id="13" name="Picture 13" descr="Figure 5.14 Qualifications completed, annual growth from previous year, all students&#10;&#10;NSW&#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33270" cy="1258570"/>
                                </a:xfrm>
                                <a:prstGeom prst="rect">
                                  <a:avLst/>
                                </a:prstGeom>
                                <a:noFill/>
                                <a:ln>
                                  <a:noFill/>
                                </a:ln>
                              </pic:spPr>
                            </pic:pic>
                          </a:graphicData>
                        </a:graphic>
                      </wp:inline>
                    </w:drawing>
                  </w:r>
                  <w:r>
                    <w:rPr>
                      <w:noProof/>
                    </w:rPr>
                    <w:drawing>
                      <wp:inline distT="0" distB="0" distL="0" distR="0">
                        <wp:extent cx="1656715" cy="1258570"/>
                        <wp:effectExtent l="0" t="0" r="635" b="0"/>
                        <wp:docPr id="14" name="Picture 14" descr="Figure 5.14 Qualifications completed, annual growth from previous year, all students&#10;&#10;Vic&#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56715" cy="1258570"/>
                                </a:xfrm>
                                <a:prstGeom prst="rect">
                                  <a:avLst/>
                                </a:prstGeom>
                                <a:noFill/>
                                <a:ln>
                                  <a:noFill/>
                                </a:ln>
                              </pic:spPr>
                            </pic:pic>
                          </a:graphicData>
                        </a:graphic>
                      </wp:inline>
                    </w:drawing>
                  </w:r>
                  <w:r>
                    <w:rPr>
                      <w:noProof/>
                    </w:rPr>
                    <w:drawing>
                      <wp:inline distT="0" distB="0" distL="0" distR="0">
                        <wp:extent cx="1656715" cy="1258570"/>
                        <wp:effectExtent l="0" t="0" r="635" b="0"/>
                        <wp:docPr id="15" name="Picture 15" descr="Figure 5.14 Qualifications completed, annual growth from previous year, all students&#10;&#10;Ql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56715" cy="1258570"/>
                                </a:xfrm>
                                <a:prstGeom prst="rect">
                                  <a:avLst/>
                                </a:prstGeom>
                                <a:noFill/>
                                <a:ln>
                                  <a:noFill/>
                                </a:ln>
                              </pic:spPr>
                            </pic:pic>
                          </a:graphicData>
                        </a:graphic>
                      </wp:inline>
                    </w:drawing>
                  </w:r>
                </w:p>
                <w:p w:rsidR="002D09D6" w:rsidRDefault="002D09D6" w:rsidP="002D09D6">
                  <w:pPr>
                    <w:pStyle w:val="Figure"/>
                    <w:spacing w:before="0" w:after="0"/>
                    <w:jc w:val="left"/>
                  </w:pPr>
                </w:p>
                <w:p w:rsidR="002D09D6" w:rsidRDefault="00CE71B8" w:rsidP="002D09D6">
                  <w:pPr>
                    <w:pStyle w:val="Figure"/>
                    <w:spacing w:before="0" w:after="0"/>
                    <w:jc w:val="left"/>
                  </w:pPr>
                  <w:r>
                    <w:rPr>
                      <w:noProof/>
                    </w:rPr>
                    <w:drawing>
                      <wp:inline distT="0" distB="0" distL="0" distR="0">
                        <wp:extent cx="2033270" cy="1258570"/>
                        <wp:effectExtent l="0" t="0" r="5080" b="0"/>
                        <wp:docPr id="16" name="Picture 16" descr="Figure 5.14 Qualifications completed, annual growth from previous year, all students&#10;&#10;W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33270" cy="1258570"/>
                                </a:xfrm>
                                <a:prstGeom prst="rect">
                                  <a:avLst/>
                                </a:prstGeom>
                                <a:noFill/>
                                <a:ln>
                                  <a:noFill/>
                                </a:ln>
                              </pic:spPr>
                            </pic:pic>
                          </a:graphicData>
                        </a:graphic>
                      </wp:inline>
                    </w:drawing>
                  </w:r>
                  <w:r>
                    <w:rPr>
                      <w:noProof/>
                    </w:rPr>
                    <w:drawing>
                      <wp:inline distT="0" distB="0" distL="0" distR="0">
                        <wp:extent cx="1656715" cy="1226185"/>
                        <wp:effectExtent l="0" t="0" r="635" b="0"/>
                        <wp:docPr id="17" name="Picture 17" descr="Figure 5.14 Qualifications completed, annual growth from previous year, all students&#10;&#10;S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56715" cy="1226185"/>
                                </a:xfrm>
                                <a:prstGeom prst="rect">
                                  <a:avLst/>
                                </a:prstGeom>
                                <a:noFill/>
                                <a:ln>
                                  <a:noFill/>
                                </a:ln>
                              </pic:spPr>
                            </pic:pic>
                          </a:graphicData>
                        </a:graphic>
                      </wp:inline>
                    </w:drawing>
                  </w:r>
                  <w:r>
                    <w:rPr>
                      <w:noProof/>
                    </w:rPr>
                    <w:drawing>
                      <wp:inline distT="0" distB="0" distL="0" distR="0">
                        <wp:extent cx="1656715" cy="1258570"/>
                        <wp:effectExtent l="0" t="0" r="635" b="0"/>
                        <wp:docPr id="18" name="Picture 18" descr="Figure 5.14 Qualifications completed, annual growth from previous year, all students&#10;&#10;Ta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56715" cy="1258570"/>
                                </a:xfrm>
                                <a:prstGeom prst="rect">
                                  <a:avLst/>
                                </a:prstGeom>
                                <a:noFill/>
                                <a:ln>
                                  <a:noFill/>
                                </a:ln>
                              </pic:spPr>
                            </pic:pic>
                          </a:graphicData>
                        </a:graphic>
                      </wp:inline>
                    </w:drawing>
                  </w:r>
                  <w:r w:rsidR="004F4014">
                    <w:t xml:space="preserve"> </w:t>
                  </w:r>
                  <w:r w:rsidR="00C5204C">
                    <w:br/>
                  </w:r>
                </w:p>
                <w:p w:rsidR="00B815BB" w:rsidRPr="00B815BB" w:rsidRDefault="00CE71B8" w:rsidP="002D09D6">
                  <w:pPr>
                    <w:pStyle w:val="Figure"/>
                    <w:spacing w:before="0"/>
                    <w:jc w:val="left"/>
                  </w:pPr>
                  <w:r>
                    <w:rPr>
                      <w:noProof/>
                    </w:rPr>
                    <w:drawing>
                      <wp:inline distT="0" distB="0" distL="0" distR="0">
                        <wp:extent cx="2033270" cy="1258570"/>
                        <wp:effectExtent l="0" t="0" r="5080" b="0"/>
                        <wp:docPr id="19" name="Picture 19" descr="Figure 5.14 Qualifications completed, annual growth from previous year, all students&#10;&#10;AC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33270" cy="1258570"/>
                                </a:xfrm>
                                <a:prstGeom prst="rect">
                                  <a:avLst/>
                                </a:prstGeom>
                                <a:noFill/>
                                <a:ln>
                                  <a:noFill/>
                                </a:ln>
                              </pic:spPr>
                            </pic:pic>
                          </a:graphicData>
                        </a:graphic>
                      </wp:inline>
                    </w:drawing>
                  </w:r>
                  <w:r>
                    <w:rPr>
                      <w:noProof/>
                    </w:rPr>
                    <w:drawing>
                      <wp:inline distT="0" distB="0" distL="0" distR="0">
                        <wp:extent cx="1656715" cy="1258570"/>
                        <wp:effectExtent l="0" t="0" r="635" b="0"/>
                        <wp:docPr id="20" name="Picture 20" descr="Figure 5.14 Qualifications completed, annual growth from previous year, all students&#10;&#10;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56715" cy="1258570"/>
                                </a:xfrm>
                                <a:prstGeom prst="rect">
                                  <a:avLst/>
                                </a:prstGeom>
                                <a:noFill/>
                                <a:ln>
                                  <a:noFill/>
                                </a:ln>
                              </pic:spPr>
                            </pic:pic>
                          </a:graphicData>
                        </a:graphic>
                      </wp:inline>
                    </w:drawing>
                  </w:r>
                  <w:r>
                    <w:rPr>
                      <w:noProof/>
                    </w:rPr>
                    <w:drawing>
                      <wp:inline distT="0" distB="0" distL="0" distR="0">
                        <wp:extent cx="1656715" cy="1258570"/>
                        <wp:effectExtent l="0" t="0" r="635" b="0"/>
                        <wp:docPr id="21" name="Picture 21" descr="Figure 5.14 Qualifications completed, annual growth from previous year, all students&#10;&#10;Aus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56715" cy="1258570"/>
                                </a:xfrm>
                                <a:prstGeom prst="rect">
                                  <a:avLst/>
                                </a:prstGeom>
                                <a:noFill/>
                                <a:ln>
                                  <a:noFill/>
                                </a:ln>
                              </pic:spPr>
                            </pic:pic>
                          </a:graphicData>
                        </a:graphic>
                      </wp:inline>
                    </w:drawing>
                  </w:r>
                </w:p>
              </w:tc>
            </w:tr>
          </w:tbl>
          <w:p w:rsidR="00DF6A13" w:rsidRPr="00952247" w:rsidRDefault="00DF6A13" w:rsidP="008E3C13">
            <w:pPr>
              <w:pStyle w:val="Figure"/>
              <w:rPr>
                <w:color w:val="FF0000"/>
              </w:rPr>
            </w:pPr>
          </w:p>
        </w:tc>
      </w:tr>
      <w:tr w:rsidR="00DF6A13" w:rsidRPr="00992FBA" w:rsidTr="008E3C13">
        <w:tc>
          <w:tcPr>
            <w:tcW w:w="8771" w:type="dxa"/>
            <w:tcBorders>
              <w:top w:val="nil"/>
              <w:left w:val="nil"/>
              <w:bottom w:val="nil"/>
              <w:right w:val="nil"/>
            </w:tcBorders>
            <w:shd w:val="clear" w:color="auto" w:fill="auto"/>
          </w:tcPr>
          <w:p w:rsidR="00DF6A13" w:rsidRPr="002E487B" w:rsidRDefault="002E487B" w:rsidP="002E487B">
            <w:pPr>
              <w:pStyle w:val="Note"/>
              <w:rPr>
                <w:b/>
                <w:position w:val="6"/>
              </w:rPr>
            </w:pPr>
            <w:r>
              <w:rPr>
                <w:rStyle w:val="NoteLabel"/>
              </w:rPr>
              <w:t>a</w:t>
            </w:r>
            <w:r>
              <w:t xml:space="preserve"> </w:t>
            </w:r>
            <w:r w:rsidRPr="006D3797">
              <w:t xml:space="preserve">See box </w:t>
            </w:r>
            <w:r w:rsidR="003A68D1">
              <w:t>5.8</w:t>
            </w:r>
            <w:r>
              <w:t xml:space="preserve"> and table 5A.24 </w:t>
            </w:r>
            <w:r w:rsidRPr="006D3797">
              <w:t>for detailed definitions, footnotes and caveats</w:t>
            </w:r>
            <w:r w:rsidR="00516044">
              <w:t>.</w:t>
            </w:r>
          </w:p>
        </w:tc>
      </w:tr>
      <w:tr w:rsidR="00DF6A13" w:rsidRPr="00992FBA" w:rsidTr="008E3C13">
        <w:tc>
          <w:tcPr>
            <w:tcW w:w="8771" w:type="dxa"/>
            <w:tcBorders>
              <w:top w:val="nil"/>
              <w:left w:val="nil"/>
              <w:bottom w:val="nil"/>
              <w:right w:val="nil"/>
            </w:tcBorders>
            <w:shd w:val="clear" w:color="auto" w:fill="auto"/>
          </w:tcPr>
          <w:p w:rsidR="00DF6A13" w:rsidRPr="00992FBA" w:rsidRDefault="00DF6A13" w:rsidP="008E3C13">
            <w:pPr>
              <w:pStyle w:val="Source"/>
            </w:pPr>
            <w:r w:rsidRPr="00992FBA">
              <w:rPr>
                <w:i/>
              </w:rPr>
              <w:t>Source</w:t>
            </w:r>
            <w:r w:rsidRPr="00992FBA">
              <w:t>: NCVER (unpublished) National VET provider collection; table 5A.</w:t>
            </w:r>
            <w:r w:rsidR="007F7C3C">
              <w:t>24</w:t>
            </w:r>
            <w:r w:rsidRPr="00992FBA">
              <w:t>.</w:t>
            </w:r>
          </w:p>
        </w:tc>
      </w:tr>
      <w:tr w:rsidR="00DF6A13" w:rsidRPr="00952247" w:rsidTr="008E3C13">
        <w:tc>
          <w:tcPr>
            <w:tcW w:w="8771" w:type="dxa"/>
            <w:tcBorders>
              <w:top w:val="nil"/>
              <w:left w:val="nil"/>
              <w:bottom w:val="single" w:sz="6" w:space="0" w:color="78A22F"/>
              <w:right w:val="nil"/>
            </w:tcBorders>
            <w:shd w:val="clear" w:color="auto" w:fill="auto"/>
          </w:tcPr>
          <w:p w:rsidR="00DF6A13" w:rsidRPr="00952247" w:rsidRDefault="00DF6A13" w:rsidP="008E3C13">
            <w:pPr>
              <w:pStyle w:val="Figurespace"/>
              <w:rPr>
                <w:color w:val="FF0000"/>
              </w:rPr>
            </w:pPr>
          </w:p>
        </w:tc>
      </w:tr>
      <w:tr w:rsidR="00DF6A13" w:rsidRPr="00952247" w:rsidTr="008E3C13">
        <w:tc>
          <w:tcPr>
            <w:tcW w:w="8771" w:type="dxa"/>
            <w:tcBorders>
              <w:top w:val="single" w:sz="6" w:space="0" w:color="78A22F"/>
              <w:left w:val="nil"/>
              <w:bottom w:val="nil"/>
              <w:right w:val="nil"/>
            </w:tcBorders>
          </w:tcPr>
          <w:p w:rsidR="00DF6A13" w:rsidRPr="00952247" w:rsidRDefault="00DF6A13" w:rsidP="008E3C13">
            <w:pPr>
              <w:pStyle w:val="BoxSpaceBelow"/>
              <w:rPr>
                <w:color w:val="FF0000"/>
              </w:rPr>
            </w:pPr>
          </w:p>
        </w:tc>
      </w:tr>
    </w:tbl>
    <w:p w:rsidR="002D09D6" w:rsidRPr="00992FBA" w:rsidRDefault="002D09D6" w:rsidP="002D09D6">
      <w:pPr>
        <w:pStyle w:val="BodyText"/>
      </w:pPr>
      <w:r w:rsidRPr="00992FBA">
        <w:t>Amongst the VET target groups, between 20</w:t>
      </w:r>
      <w:r>
        <w:t>10</w:t>
      </w:r>
      <w:r w:rsidRPr="00992FBA">
        <w:t xml:space="preserve"> and 201</w:t>
      </w:r>
      <w:r>
        <w:t>4</w:t>
      </w:r>
      <w:r w:rsidRPr="00992FBA">
        <w:t xml:space="preserve"> the number of qualifications completed nationally:</w:t>
      </w:r>
    </w:p>
    <w:p w:rsidR="002D09D6" w:rsidRPr="00992FBA" w:rsidRDefault="002D09D6" w:rsidP="002D09D6">
      <w:pPr>
        <w:pStyle w:val="ListBullet"/>
      </w:pPr>
      <w:r w:rsidRPr="00992FBA">
        <w:t>increased by</w:t>
      </w:r>
      <w:r>
        <w:t xml:space="preserve"> 70</w:t>
      </w:r>
      <w:r w:rsidRPr="00992FBA">
        <w:t>.</w:t>
      </w:r>
      <w:r>
        <w:t>5</w:t>
      </w:r>
      <w:r w:rsidRPr="00992FBA">
        <w:t xml:space="preserve"> per cent for students with disability (table 5A.</w:t>
      </w:r>
      <w:r>
        <w:t>22</w:t>
      </w:r>
      <w:r w:rsidRPr="00992FBA">
        <w:t>)</w:t>
      </w:r>
    </w:p>
    <w:p w:rsidR="002D09D6" w:rsidRPr="00992FBA" w:rsidRDefault="002D09D6" w:rsidP="002D09D6">
      <w:pPr>
        <w:pStyle w:val="ListBullet"/>
      </w:pPr>
      <w:r w:rsidRPr="00992FBA">
        <w:t>increased by</w:t>
      </w:r>
      <w:r>
        <w:t xml:space="preserve"> </w:t>
      </w:r>
      <w:r w:rsidR="00CD4CDA" w:rsidRPr="00F74889">
        <w:t>45.9</w:t>
      </w:r>
      <w:r w:rsidRPr="00F74889">
        <w:t xml:space="preserve"> per cent</w:t>
      </w:r>
      <w:r w:rsidRPr="00992FBA">
        <w:t xml:space="preserve"> for students speaking a </w:t>
      </w:r>
      <w:r w:rsidR="00AE1BEE">
        <w:t xml:space="preserve">LOTE </w:t>
      </w:r>
      <w:r w:rsidRPr="00992FBA">
        <w:t>at home (table 5A.</w:t>
      </w:r>
      <w:r>
        <w:t>23</w:t>
      </w:r>
      <w:r w:rsidRPr="00992FBA">
        <w:t>)</w:t>
      </w:r>
    </w:p>
    <w:p w:rsidR="002D09D6" w:rsidRPr="00992FBA" w:rsidRDefault="002D09D6" w:rsidP="002D09D6">
      <w:pPr>
        <w:pStyle w:val="ListBullet"/>
      </w:pPr>
      <w:r>
        <w:t>de</w:t>
      </w:r>
      <w:r w:rsidRPr="00992FBA">
        <w:t xml:space="preserve">creased by </w:t>
      </w:r>
      <w:r>
        <w:t>13.9</w:t>
      </w:r>
      <w:r w:rsidRPr="00992FBA">
        <w:t xml:space="preserve"> per cent for students from remote and </w:t>
      </w:r>
      <w:r>
        <w:t>very remote areas (table 5A.21)</w:t>
      </w:r>
      <w:r w:rsidRPr="00992FBA">
        <w:t>.</w:t>
      </w:r>
    </w:p>
    <w:p w:rsidR="004050C7" w:rsidRDefault="00DF6A13" w:rsidP="00DF41A6">
      <w:pPr>
        <w:pStyle w:val="BodyText"/>
      </w:pPr>
      <w:r w:rsidRPr="00992FBA">
        <w:t>Nationally, Aboriginal and Torres Strait Islander students completed 20 </w:t>
      </w:r>
      <w:r w:rsidR="00AB51F8">
        <w:t>890</w:t>
      </w:r>
      <w:r w:rsidRPr="00992FBA">
        <w:t xml:space="preserve"> VET </w:t>
      </w:r>
      <w:r w:rsidRPr="004F4014">
        <w:t>qualifications in 201</w:t>
      </w:r>
      <w:r w:rsidR="00AB51F8">
        <w:t>4</w:t>
      </w:r>
      <w:r w:rsidR="00AE1BEE">
        <w:t>,</w:t>
      </w:r>
      <w:r w:rsidR="008E64B8" w:rsidRPr="004F4014">
        <w:t xml:space="preserve"> an increase of </w:t>
      </w:r>
      <w:r w:rsidR="00AB51F8">
        <w:t>34.1</w:t>
      </w:r>
      <w:r w:rsidR="008E64B8" w:rsidRPr="004F4014">
        <w:t xml:space="preserve"> per cent from 1</w:t>
      </w:r>
      <w:r w:rsidR="00AB51F8">
        <w:t>5</w:t>
      </w:r>
      <w:r w:rsidR="008E64B8" w:rsidRPr="004F4014">
        <w:t> </w:t>
      </w:r>
      <w:r w:rsidR="00AB51F8">
        <w:t>579</w:t>
      </w:r>
      <w:r w:rsidR="008E64B8" w:rsidRPr="004F4014">
        <w:t xml:space="preserve"> in 20</w:t>
      </w:r>
      <w:r w:rsidR="00AB51F8">
        <w:t>10</w:t>
      </w:r>
      <w:r w:rsidR="00D01D61">
        <w:t xml:space="preserve"> (table 5A.25)</w:t>
      </w:r>
      <w:r w:rsidR="008E64B8" w:rsidRPr="004F4014">
        <w:t>.</w:t>
      </w:r>
      <w:r w:rsidRPr="004F4014">
        <w:t xml:space="preserve"> </w:t>
      </w:r>
      <w:r w:rsidR="00DF41A6">
        <w:t xml:space="preserve">The greatest increase was for qualifications at Certificate III/IV level </w:t>
      </w:r>
      <w:r w:rsidR="00DF41A6" w:rsidRPr="004F4014">
        <w:t>(figure </w:t>
      </w:r>
      <w:r w:rsidR="003A68D1">
        <w:t>5.15</w:t>
      </w:r>
      <w:r w:rsidR="00DF41A6" w:rsidRPr="004F4014">
        <w:t xml:space="preserve">). Aboriginal and Torres Strait </w:t>
      </w:r>
      <w:r w:rsidR="00DF41A6">
        <w:t xml:space="preserve">Islander </w:t>
      </w:r>
      <w:r w:rsidR="00DF41A6" w:rsidRPr="004F4014">
        <w:t xml:space="preserve">students </w:t>
      </w:r>
      <w:r w:rsidR="00DF41A6">
        <w:t xml:space="preserve">aged 15–64 years </w:t>
      </w:r>
      <w:r w:rsidR="00DF41A6" w:rsidRPr="004F4014">
        <w:t xml:space="preserve">gained </w:t>
      </w:r>
      <w:r w:rsidR="00DF41A6">
        <w:t>46.8 </w:t>
      </w:r>
      <w:r w:rsidR="00DF41A6" w:rsidRPr="004F4014">
        <w:t>qualifications per 1000 Aboriginal and Torres Strait Islander people aged 15–64 years (figure </w:t>
      </w:r>
      <w:r w:rsidR="003A68D1">
        <w:t>5.15</w:t>
      </w:r>
      <w:r w:rsidR="00DF41A6" w:rsidRPr="004F4014">
        <w:t>)</w:t>
      </w:r>
      <w:r w:rsidR="00DF41A6">
        <w:t>.</w:t>
      </w:r>
      <w:r w:rsidR="00DF41A6" w:rsidRPr="00DF41A6">
        <w:t xml:space="preserve"> </w:t>
      </w:r>
      <w:r w:rsidR="00DF41A6">
        <w:t>Data for non</w:t>
      </w:r>
      <w:r w:rsidR="00DF41A6">
        <w:noBreakHyphen/>
        <w:t xml:space="preserve">Indigenous people </w:t>
      </w:r>
      <w:r w:rsidR="008F2D5F">
        <w:t>are</w:t>
      </w:r>
      <w:r w:rsidR="00DF41A6">
        <w:t xml:space="preserve"> available in </w:t>
      </w:r>
      <w:r w:rsidR="00DF41A6" w:rsidRPr="004F4014">
        <w:t>table</w:t>
      </w:r>
      <w:r w:rsidR="00DF41A6">
        <w:t> </w:t>
      </w:r>
      <w:r w:rsidR="00DF41A6" w:rsidRPr="004F4014">
        <w:t>5A.</w:t>
      </w:r>
      <w:r w:rsidR="00DF41A6">
        <w:t>28</w:t>
      </w:r>
      <w:r w:rsidR="00DF41A6" w:rsidRPr="004F4014">
        <w:t>.</w:t>
      </w:r>
    </w:p>
    <w:p w:rsidR="00DF6A13" w:rsidRPr="00952247" w:rsidRDefault="00DF6A13" w:rsidP="00DF6A13">
      <w:pPr>
        <w:pStyle w:val="BoxSpaceAbove"/>
        <w:rPr>
          <w:color w:val="FF000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F6A13" w:rsidRPr="00E17EBE" w:rsidTr="008E3C13">
        <w:tc>
          <w:tcPr>
            <w:tcW w:w="8771" w:type="dxa"/>
            <w:tcBorders>
              <w:top w:val="single" w:sz="6" w:space="0" w:color="78A22F"/>
              <w:left w:val="nil"/>
              <w:bottom w:val="nil"/>
              <w:right w:val="nil"/>
            </w:tcBorders>
            <w:shd w:val="clear" w:color="auto" w:fill="auto"/>
          </w:tcPr>
          <w:p w:rsidR="00DF6A13" w:rsidRPr="00E17EBE" w:rsidRDefault="008E64B8" w:rsidP="002D09D6">
            <w:pPr>
              <w:pStyle w:val="FigureTitle"/>
            </w:pPr>
            <w:r w:rsidRPr="00784A05">
              <w:rPr>
                <w:b w:val="0"/>
              </w:rPr>
              <w:t xml:space="preserve">Figure </w:t>
            </w:r>
            <w:bookmarkStart w:id="31" w:name="OLE_LINK17"/>
            <w:r w:rsidR="003A68D1">
              <w:rPr>
                <w:b w:val="0"/>
              </w:rPr>
              <w:t>5.</w:t>
            </w:r>
            <w:r w:rsidR="00111918">
              <w:rPr>
                <w:b w:val="0"/>
                <w:noProof/>
              </w:rPr>
              <w:t>15</w:t>
            </w:r>
            <w:bookmarkEnd w:id="31"/>
            <w:r w:rsidR="00DF6A13" w:rsidRPr="00E17EBE">
              <w:tab/>
            </w:r>
            <w:r w:rsidRPr="002D41C3">
              <w:t>Qualifications completed</w:t>
            </w:r>
            <w:r>
              <w:t xml:space="preserve"> by Aboriginal and Torres Strait Islander students aged 15–64 years, per 1000 Aboriginal and Torres Strait Islander people in the population aged </w:t>
            </w:r>
            <w:r w:rsidR="002D09D6">
              <w:br/>
            </w:r>
            <w:r>
              <w:t>15–64</w:t>
            </w:r>
            <w:r w:rsidR="002D09D6">
              <w:t> </w:t>
            </w:r>
            <w:r>
              <w:t>years</w:t>
            </w:r>
            <w:r w:rsidRPr="002D41C3">
              <w:rPr>
                <w:rStyle w:val="NoteLabel"/>
                <w:b/>
              </w:rPr>
              <w:t>a</w:t>
            </w:r>
            <w:r w:rsidRPr="00E17EBE">
              <w:rPr>
                <w:rStyle w:val="NoteLabel"/>
                <w:b/>
              </w:rPr>
              <w:t xml:space="preserve"> </w:t>
            </w:r>
          </w:p>
        </w:tc>
      </w:tr>
      <w:tr w:rsidR="00DF6A13" w:rsidRPr="00952247" w:rsidTr="008E3C13">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F6A13" w:rsidRPr="00952247" w:rsidTr="008E3C13">
              <w:tc>
                <w:tcPr>
                  <w:tcW w:w="5000" w:type="pct"/>
                  <w:tcBorders>
                    <w:top w:val="nil"/>
                    <w:bottom w:val="nil"/>
                  </w:tcBorders>
                </w:tcPr>
                <w:p w:rsidR="00DF6A13" w:rsidRPr="00952247" w:rsidRDefault="00CE71B8" w:rsidP="008E3C13">
                  <w:pPr>
                    <w:pStyle w:val="Figure"/>
                    <w:spacing w:before="60" w:after="60"/>
                    <w:rPr>
                      <w:color w:val="FF0000"/>
                    </w:rPr>
                  </w:pPr>
                  <w:r>
                    <w:rPr>
                      <w:noProof/>
                      <w:color w:val="FF0000"/>
                    </w:rPr>
                    <w:drawing>
                      <wp:inline distT="0" distB="0" distL="0" distR="0">
                        <wp:extent cx="5389880" cy="2689225"/>
                        <wp:effectExtent l="0" t="0" r="1270" b="0"/>
                        <wp:docPr id="22" name="Picture 22" descr="Figure 5.15 Qualifications completed by Aboriginal and Torres Strait Islander students aged 15–64 years, per 1000 Aboriginal and Torres Strait Islander people in the population aged &#10;15–64 years&#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89880" cy="2689225"/>
                                </a:xfrm>
                                <a:prstGeom prst="rect">
                                  <a:avLst/>
                                </a:prstGeom>
                                <a:noFill/>
                                <a:ln>
                                  <a:noFill/>
                                </a:ln>
                              </pic:spPr>
                            </pic:pic>
                          </a:graphicData>
                        </a:graphic>
                      </wp:inline>
                    </w:drawing>
                  </w:r>
                </w:p>
              </w:tc>
            </w:tr>
          </w:tbl>
          <w:p w:rsidR="00DF6A13" w:rsidRPr="00952247" w:rsidRDefault="00DF6A13" w:rsidP="008E3C13">
            <w:pPr>
              <w:pStyle w:val="Figure"/>
              <w:rPr>
                <w:color w:val="FF0000"/>
              </w:rPr>
            </w:pPr>
          </w:p>
        </w:tc>
      </w:tr>
      <w:tr w:rsidR="00DF6A13" w:rsidRPr="00E17EBE" w:rsidTr="008E3C13">
        <w:tc>
          <w:tcPr>
            <w:tcW w:w="8771" w:type="dxa"/>
            <w:tcBorders>
              <w:top w:val="nil"/>
              <w:left w:val="nil"/>
              <w:bottom w:val="nil"/>
              <w:right w:val="nil"/>
            </w:tcBorders>
            <w:shd w:val="clear" w:color="auto" w:fill="auto"/>
          </w:tcPr>
          <w:p w:rsidR="00DF6A13" w:rsidRPr="00E17EBE" w:rsidRDefault="002E487B" w:rsidP="002E487B">
            <w:pPr>
              <w:pStyle w:val="Note"/>
            </w:pPr>
            <w:r>
              <w:rPr>
                <w:rStyle w:val="NoteLabel"/>
              </w:rPr>
              <w:t>a</w:t>
            </w:r>
            <w:r>
              <w:t xml:space="preserve"> </w:t>
            </w:r>
            <w:r w:rsidRPr="006D3797">
              <w:t xml:space="preserve">See box </w:t>
            </w:r>
            <w:r w:rsidR="003A68D1">
              <w:t>5.8</w:t>
            </w:r>
            <w:r>
              <w:t xml:space="preserve"> and table 5A.28 </w:t>
            </w:r>
            <w:r w:rsidRPr="006D3797">
              <w:t>for detailed definitions, footnotes and caveats</w:t>
            </w:r>
          </w:p>
        </w:tc>
      </w:tr>
      <w:tr w:rsidR="00DF6A13" w:rsidRPr="00E17EBE" w:rsidTr="008E3C13">
        <w:tc>
          <w:tcPr>
            <w:tcW w:w="8771" w:type="dxa"/>
            <w:tcBorders>
              <w:top w:val="nil"/>
              <w:left w:val="nil"/>
              <w:bottom w:val="nil"/>
              <w:right w:val="nil"/>
            </w:tcBorders>
            <w:shd w:val="clear" w:color="auto" w:fill="auto"/>
          </w:tcPr>
          <w:p w:rsidR="00DF6A13" w:rsidRPr="00E17EBE" w:rsidRDefault="00DF6A13" w:rsidP="008E3C13">
            <w:pPr>
              <w:pStyle w:val="Source"/>
            </w:pPr>
            <w:r w:rsidRPr="00E17EBE">
              <w:rPr>
                <w:i/>
              </w:rPr>
              <w:t>Source</w:t>
            </w:r>
            <w:r w:rsidRPr="00E17EBE">
              <w:t>: NCVER (unpublished) National VET provider collection; table 5A.</w:t>
            </w:r>
            <w:r w:rsidR="007C6F34">
              <w:t>28</w:t>
            </w:r>
            <w:r w:rsidRPr="00E17EBE">
              <w:t>.</w:t>
            </w:r>
          </w:p>
        </w:tc>
      </w:tr>
      <w:tr w:rsidR="00DF6A13" w:rsidRPr="00952247" w:rsidTr="008E3C13">
        <w:tc>
          <w:tcPr>
            <w:tcW w:w="8771" w:type="dxa"/>
            <w:tcBorders>
              <w:top w:val="nil"/>
              <w:left w:val="nil"/>
              <w:bottom w:val="single" w:sz="6" w:space="0" w:color="78A22F"/>
              <w:right w:val="nil"/>
            </w:tcBorders>
            <w:shd w:val="clear" w:color="auto" w:fill="auto"/>
          </w:tcPr>
          <w:p w:rsidR="00DF6A13" w:rsidRPr="00952247" w:rsidRDefault="00DF6A13" w:rsidP="008E3C13">
            <w:pPr>
              <w:pStyle w:val="Figurespace"/>
              <w:rPr>
                <w:color w:val="FF0000"/>
              </w:rPr>
            </w:pPr>
          </w:p>
        </w:tc>
      </w:tr>
      <w:tr w:rsidR="00DF6A13" w:rsidRPr="00952247" w:rsidTr="008E3C13">
        <w:tc>
          <w:tcPr>
            <w:tcW w:w="8771" w:type="dxa"/>
            <w:tcBorders>
              <w:top w:val="single" w:sz="6" w:space="0" w:color="78A22F"/>
              <w:left w:val="nil"/>
              <w:bottom w:val="nil"/>
              <w:right w:val="nil"/>
            </w:tcBorders>
          </w:tcPr>
          <w:p w:rsidR="00DF6A13" w:rsidRPr="00952247" w:rsidRDefault="00DF6A13" w:rsidP="008E3C13">
            <w:pPr>
              <w:pStyle w:val="BoxSpaceBelow"/>
              <w:rPr>
                <w:color w:val="FF0000"/>
              </w:rPr>
            </w:pPr>
          </w:p>
        </w:tc>
      </w:tr>
    </w:tbl>
    <w:p w:rsidR="005760B6" w:rsidRPr="007C6F34" w:rsidRDefault="005760B6" w:rsidP="007C6F34">
      <w:pPr>
        <w:pStyle w:val="BodyText"/>
      </w:pPr>
      <w:r w:rsidRPr="007C6F34">
        <w:t>Qualifications completed for students aged 18</w:t>
      </w:r>
      <w:r w:rsidR="00DF41A6">
        <w:t>–</w:t>
      </w:r>
      <w:r w:rsidRPr="007C6F34">
        <w:t>24 years and 20</w:t>
      </w:r>
      <w:r w:rsidR="00DF41A6">
        <w:t>–</w:t>
      </w:r>
      <w:r w:rsidRPr="007C6F34">
        <w:t>64 years, by Indigenous status are available in table</w:t>
      </w:r>
      <w:r w:rsidR="00E565A6">
        <w:t>s</w:t>
      </w:r>
      <w:r w:rsidRPr="007C6F34">
        <w:t xml:space="preserve"> 5A.</w:t>
      </w:r>
      <w:r w:rsidR="007C6F34">
        <w:t>26</w:t>
      </w:r>
      <w:r w:rsidR="00AD5F7E">
        <w:noBreakHyphen/>
      </w:r>
      <w:r w:rsidR="007C6F34">
        <w:t>27</w:t>
      </w:r>
      <w:r w:rsidRPr="007C6F34">
        <w:t>.</w:t>
      </w:r>
    </w:p>
    <w:p w:rsidR="00DF6A13" w:rsidRPr="00203110" w:rsidRDefault="00DF6A13" w:rsidP="00DF6A13">
      <w:pPr>
        <w:pStyle w:val="Heading5"/>
      </w:pPr>
      <w:r w:rsidRPr="00203110">
        <w:t>VET c</w:t>
      </w:r>
      <w:r w:rsidRPr="000E74B6">
        <w:t>ompletion</w:t>
      </w:r>
      <w:r w:rsidRPr="00203110">
        <w:t>s and qualifications — units of competency and modules completed</w:t>
      </w:r>
    </w:p>
    <w:p w:rsidR="00DF6A13" w:rsidRPr="00D544F2" w:rsidRDefault="00DF6A13" w:rsidP="00D544F2">
      <w:pPr>
        <w:pStyle w:val="BodyText"/>
      </w:pPr>
      <w:r w:rsidRPr="00D544F2">
        <w:t>Nationally</w:t>
      </w:r>
      <w:r w:rsidR="00DF41A6" w:rsidRPr="00DF41A6">
        <w:t xml:space="preserve"> </w:t>
      </w:r>
      <w:r w:rsidR="00DF41A6" w:rsidRPr="00D544F2">
        <w:t>in 201</w:t>
      </w:r>
      <w:r w:rsidR="00DF41A6">
        <w:t>4</w:t>
      </w:r>
      <w:r w:rsidRPr="00D544F2">
        <w:t xml:space="preserve">, VET students completed </w:t>
      </w:r>
      <w:r w:rsidR="00D544F2">
        <w:t>10.1</w:t>
      </w:r>
      <w:r w:rsidRPr="00D544F2">
        <w:t xml:space="preserve"> million units of competency and modules</w:t>
      </w:r>
      <w:r w:rsidR="00DF41A6">
        <w:t xml:space="preserve">, a decrease of </w:t>
      </w:r>
      <w:r w:rsidR="0022206F">
        <w:t>2.6</w:t>
      </w:r>
      <w:r w:rsidR="00D544F2" w:rsidRPr="005B5393">
        <w:t xml:space="preserve"> per cent from 201</w:t>
      </w:r>
      <w:r w:rsidR="0022206F">
        <w:t>3</w:t>
      </w:r>
      <w:r w:rsidR="00DF41A6">
        <w:t xml:space="preserve">, but </w:t>
      </w:r>
      <w:r w:rsidR="004D79B0">
        <w:t xml:space="preserve">an </w:t>
      </w:r>
      <w:r w:rsidR="00DF41A6">
        <w:t xml:space="preserve">annual </w:t>
      </w:r>
      <w:r w:rsidR="00D544F2" w:rsidRPr="005B5393">
        <w:t xml:space="preserve">average </w:t>
      </w:r>
      <w:r w:rsidR="00DF41A6">
        <w:t>increase o</w:t>
      </w:r>
      <w:r w:rsidR="0022206F">
        <w:t>f 3.2 per</w:t>
      </w:r>
      <w:r w:rsidR="008F2D5F">
        <w:t> </w:t>
      </w:r>
      <w:r w:rsidR="0022206F">
        <w:t xml:space="preserve">cent </w:t>
      </w:r>
      <w:r w:rsidR="00DF41A6">
        <w:t xml:space="preserve">from </w:t>
      </w:r>
      <w:r w:rsidR="00D544F2" w:rsidRPr="005B5393">
        <w:t>20</w:t>
      </w:r>
      <w:r w:rsidR="0022206F">
        <w:t>10</w:t>
      </w:r>
      <w:r w:rsidR="00D544F2" w:rsidRPr="005B5393">
        <w:t xml:space="preserve"> (</w:t>
      </w:r>
      <w:r w:rsidR="00DF41A6">
        <w:t xml:space="preserve">table 5A.30 and </w:t>
      </w:r>
      <w:r w:rsidR="00D544F2" w:rsidRPr="005B5393">
        <w:t xml:space="preserve">figure </w:t>
      </w:r>
      <w:r w:rsidR="003A68D1">
        <w:t>5.16</w:t>
      </w:r>
      <w:r w:rsidR="00D544F2" w:rsidRPr="005B5393">
        <w:t>).</w:t>
      </w:r>
    </w:p>
    <w:p w:rsidR="00C5204C" w:rsidRPr="00952247" w:rsidRDefault="00C5204C" w:rsidP="00C5204C">
      <w:pPr>
        <w:pStyle w:val="BoxSpaceAbove"/>
        <w:rPr>
          <w:color w:val="FF000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5204C" w:rsidRPr="00992FBA" w:rsidTr="00BA321E">
        <w:tc>
          <w:tcPr>
            <w:tcW w:w="8771" w:type="dxa"/>
            <w:tcBorders>
              <w:top w:val="single" w:sz="6" w:space="0" w:color="78A22F"/>
              <w:left w:val="nil"/>
              <w:bottom w:val="nil"/>
              <w:right w:val="nil"/>
            </w:tcBorders>
            <w:shd w:val="clear" w:color="auto" w:fill="auto"/>
          </w:tcPr>
          <w:p w:rsidR="00C5204C" w:rsidRPr="00992FBA" w:rsidRDefault="00C5204C" w:rsidP="00516044">
            <w:pPr>
              <w:pStyle w:val="FigureTitle"/>
            </w:pPr>
            <w:r w:rsidRPr="00784A05">
              <w:rPr>
                <w:b w:val="0"/>
              </w:rPr>
              <w:t xml:space="preserve">Figure </w:t>
            </w:r>
            <w:bookmarkStart w:id="32" w:name="OLE_LINK18"/>
            <w:r w:rsidR="003A68D1">
              <w:rPr>
                <w:b w:val="0"/>
              </w:rPr>
              <w:t>5.</w:t>
            </w:r>
            <w:r w:rsidR="00111918">
              <w:rPr>
                <w:b w:val="0"/>
                <w:noProof/>
              </w:rPr>
              <w:t>16</w:t>
            </w:r>
            <w:bookmarkEnd w:id="32"/>
            <w:r w:rsidRPr="002D41C3">
              <w:tab/>
            </w:r>
            <w:r w:rsidR="00003604" w:rsidRPr="00003604">
              <w:t>Units of competency and modules completed</w:t>
            </w:r>
            <w:r w:rsidRPr="00992FBA">
              <w:t xml:space="preserve">, annual growth </w:t>
            </w:r>
            <w:r w:rsidR="00003604">
              <w:t>from previous year</w:t>
            </w:r>
            <w:r w:rsidRPr="00992FBA">
              <w:t>, all students</w:t>
            </w:r>
            <w:r w:rsidRPr="00992FBA">
              <w:rPr>
                <w:rStyle w:val="NoteLabel"/>
                <w:b/>
              </w:rPr>
              <w:t>a</w:t>
            </w:r>
          </w:p>
        </w:tc>
      </w:tr>
      <w:tr w:rsidR="00C5204C" w:rsidRPr="00952247" w:rsidTr="00BA321E">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5204C" w:rsidRPr="00952247" w:rsidTr="00BA321E">
              <w:tc>
                <w:tcPr>
                  <w:tcW w:w="5000" w:type="pct"/>
                  <w:tcBorders>
                    <w:top w:val="nil"/>
                    <w:bottom w:val="nil"/>
                  </w:tcBorders>
                </w:tcPr>
                <w:p w:rsidR="00FD0102" w:rsidRDefault="00303FCA" w:rsidP="00FD0102">
                  <w:pPr>
                    <w:pStyle w:val="Figure"/>
                    <w:spacing w:after="0"/>
                  </w:pPr>
                  <w:r>
                    <w:rPr>
                      <w:noProof/>
                    </w:rPr>
                    <w:drawing>
                      <wp:inline distT="0" distB="0" distL="0" distR="0">
                        <wp:extent cx="2022475" cy="1258570"/>
                        <wp:effectExtent l="0" t="0" r="0" b="0"/>
                        <wp:docPr id="23" name="Picture 23" descr="Figure 5.16 Units of competency and modules completed, annual growth from previous year, all students&#10;&#10;NSW&#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022475" cy="1258570"/>
                                </a:xfrm>
                                <a:prstGeom prst="rect">
                                  <a:avLst/>
                                </a:prstGeom>
                                <a:noFill/>
                                <a:ln>
                                  <a:noFill/>
                                </a:ln>
                              </pic:spPr>
                            </pic:pic>
                          </a:graphicData>
                        </a:graphic>
                      </wp:inline>
                    </w:drawing>
                  </w:r>
                  <w:r>
                    <w:rPr>
                      <w:noProof/>
                    </w:rPr>
                    <w:drawing>
                      <wp:inline distT="0" distB="0" distL="0" distR="0">
                        <wp:extent cx="1656715" cy="1258570"/>
                        <wp:effectExtent l="0" t="0" r="635" b="0"/>
                        <wp:docPr id="24" name="Picture 24" descr="Figure 5.16 Units of competency and modules completed, annual growth from previous year, all students&#10;&#10;Vic&#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56715" cy="1258570"/>
                                </a:xfrm>
                                <a:prstGeom prst="rect">
                                  <a:avLst/>
                                </a:prstGeom>
                                <a:noFill/>
                                <a:ln>
                                  <a:noFill/>
                                </a:ln>
                              </pic:spPr>
                            </pic:pic>
                          </a:graphicData>
                        </a:graphic>
                      </wp:inline>
                    </w:drawing>
                  </w:r>
                  <w:r>
                    <w:rPr>
                      <w:noProof/>
                    </w:rPr>
                    <w:drawing>
                      <wp:inline distT="0" distB="0" distL="0" distR="0">
                        <wp:extent cx="1656715" cy="1258570"/>
                        <wp:effectExtent l="0" t="0" r="635" b="0"/>
                        <wp:docPr id="25" name="Picture 25" descr="Figure 5.16 Units of competency and modules completed, annual growth from previous year, all students&#10;&#10;Ql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56715" cy="1258570"/>
                                </a:xfrm>
                                <a:prstGeom prst="rect">
                                  <a:avLst/>
                                </a:prstGeom>
                                <a:noFill/>
                                <a:ln>
                                  <a:noFill/>
                                </a:ln>
                              </pic:spPr>
                            </pic:pic>
                          </a:graphicData>
                        </a:graphic>
                      </wp:inline>
                    </w:drawing>
                  </w:r>
                </w:p>
                <w:p w:rsidR="00FD0102" w:rsidRDefault="00FD0102" w:rsidP="00FD0102">
                  <w:pPr>
                    <w:pStyle w:val="Figure"/>
                    <w:spacing w:after="0"/>
                  </w:pPr>
                </w:p>
                <w:p w:rsidR="00FD0102" w:rsidRDefault="00303FCA" w:rsidP="00FD0102">
                  <w:pPr>
                    <w:pStyle w:val="Figure"/>
                    <w:spacing w:after="0"/>
                  </w:pPr>
                  <w:r>
                    <w:rPr>
                      <w:noProof/>
                    </w:rPr>
                    <w:drawing>
                      <wp:inline distT="0" distB="0" distL="0" distR="0">
                        <wp:extent cx="2033270" cy="1258570"/>
                        <wp:effectExtent l="0" t="0" r="5080" b="0"/>
                        <wp:docPr id="26" name="Picture 26" descr="Figure 5.16 Units of competency and modules completed, annual growth from previous year, all students&#10;&#10;W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033270" cy="1258570"/>
                                </a:xfrm>
                                <a:prstGeom prst="rect">
                                  <a:avLst/>
                                </a:prstGeom>
                                <a:noFill/>
                                <a:ln>
                                  <a:noFill/>
                                </a:ln>
                              </pic:spPr>
                            </pic:pic>
                          </a:graphicData>
                        </a:graphic>
                      </wp:inline>
                    </w:drawing>
                  </w:r>
                  <w:r>
                    <w:rPr>
                      <w:noProof/>
                    </w:rPr>
                    <w:drawing>
                      <wp:inline distT="0" distB="0" distL="0" distR="0">
                        <wp:extent cx="1656715" cy="1258570"/>
                        <wp:effectExtent l="0" t="0" r="635" b="0"/>
                        <wp:docPr id="27" name="Picture 27" descr="Figure 5.16 Units of competency and modules completed, annual growth from previous year, all students&#10;&#10;S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656715" cy="1258570"/>
                                </a:xfrm>
                                <a:prstGeom prst="rect">
                                  <a:avLst/>
                                </a:prstGeom>
                                <a:noFill/>
                                <a:ln>
                                  <a:noFill/>
                                </a:ln>
                              </pic:spPr>
                            </pic:pic>
                          </a:graphicData>
                        </a:graphic>
                      </wp:inline>
                    </w:drawing>
                  </w:r>
                  <w:r>
                    <w:rPr>
                      <w:noProof/>
                    </w:rPr>
                    <w:drawing>
                      <wp:inline distT="0" distB="0" distL="0" distR="0">
                        <wp:extent cx="1656715" cy="1258570"/>
                        <wp:effectExtent l="0" t="0" r="635" b="0"/>
                        <wp:docPr id="28" name="Picture 28" descr="Figure 5.16 Units of competency and modules completed, annual growth from previous year, all students&#10;&#10;Ta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56715" cy="1258570"/>
                                </a:xfrm>
                                <a:prstGeom prst="rect">
                                  <a:avLst/>
                                </a:prstGeom>
                                <a:noFill/>
                                <a:ln>
                                  <a:noFill/>
                                </a:ln>
                              </pic:spPr>
                            </pic:pic>
                          </a:graphicData>
                        </a:graphic>
                      </wp:inline>
                    </w:drawing>
                  </w:r>
                  <w:r w:rsidR="00003604">
                    <w:br/>
                  </w:r>
                </w:p>
                <w:p w:rsidR="00C5204C" w:rsidRPr="00B815BB" w:rsidRDefault="00303FCA" w:rsidP="004F4014">
                  <w:pPr>
                    <w:pStyle w:val="Figure"/>
                    <w:spacing w:before="0"/>
                  </w:pPr>
                  <w:r>
                    <w:rPr>
                      <w:noProof/>
                    </w:rPr>
                    <w:drawing>
                      <wp:inline distT="0" distB="0" distL="0" distR="0">
                        <wp:extent cx="2033270" cy="1280160"/>
                        <wp:effectExtent l="0" t="0" r="5080" b="0"/>
                        <wp:docPr id="29" name="Picture 29" descr="Figure 5.16 Units of competency and modules completed, annual growth from previous year, all students&#10;&#10;AC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033270" cy="1280160"/>
                                </a:xfrm>
                                <a:prstGeom prst="rect">
                                  <a:avLst/>
                                </a:prstGeom>
                                <a:noFill/>
                                <a:ln>
                                  <a:noFill/>
                                </a:ln>
                              </pic:spPr>
                            </pic:pic>
                          </a:graphicData>
                        </a:graphic>
                      </wp:inline>
                    </w:drawing>
                  </w:r>
                  <w:r>
                    <w:rPr>
                      <w:noProof/>
                    </w:rPr>
                    <w:drawing>
                      <wp:inline distT="0" distB="0" distL="0" distR="0">
                        <wp:extent cx="1656715" cy="1258570"/>
                        <wp:effectExtent l="0" t="0" r="635" b="0"/>
                        <wp:docPr id="30" name="Picture 30" descr="Figure 5.16 Units of competency and modules completed, annual growth from previous year, all students&#10;&#10;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56715" cy="1258570"/>
                                </a:xfrm>
                                <a:prstGeom prst="rect">
                                  <a:avLst/>
                                </a:prstGeom>
                                <a:noFill/>
                                <a:ln>
                                  <a:noFill/>
                                </a:ln>
                              </pic:spPr>
                            </pic:pic>
                          </a:graphicData>
                        </a:graphic>
                      </wp:inline>
                    </w:drawing>
                  </w:r>
                  <w:r>
                    <w:rPr>
                      <w:noProof/>
                    </w:rPr>
                    <w:drawing>
                      <wp:inline distT="0" distB="0" distL="0" distR="0">
                        <wp:extent cx="1656715" cy="1258570"/>
                        <wp:effectExtent l="0" t="0" r="635" b="0"/>
                        <wp:docPr id="31" name="Picture 31" descr="Figure 5.16 Units of competency and modules completed, annual growth from previous year, all students&#10;&#10;Aus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56715" cy="1258570"/>
                                </a:xfrm>
                                <a:prstGeom prst="rect">
                                  <a:avLst/>
                                </a:prstGeom>
                                <a:noFill/>
                                <a:ln>
                                  <a:noFill/>
                                </a:ln>
                              </pic:spPr>
                            </pic:pic>
                          </a:graphicData>
                        </a:graphic>
                      </wp:inline>
                    </w:drawing>
                  </w:r>
                </w:p>
              </w:tc>
            </w:tr>
          </w:tbl>
          <w:p w:rsidR="00C5204C" w:rsidRPr="00952247" w:rsidRDefault="00C5204C" w:rsidP="00BA321E">
            <w:pPr>
              <w:pStyle w:val="Figure"/>
              <w:rPr>
                <w:color w:val="FF0000"/>
              </w:rPr>
            </w:pPr>
          </w:p>
        </w:tc>
      </w:tr>
      <w:tr w:rsidR="00C5204C" w:rsidRPr="00992FBA" w:rsidTr="00BA321E">
        <w:tc>
          <w:tcPr>
            <w:tcW w:w="8771" w:type="dxa"/>
            <w:tcBorders>
              <w:top w:val="nil"/>
              <w:left w:val="nil"/>
              <w:bottom w:val="nil"/>
              <w:right w:val="nil"/>
            </w:tcBorders>
            <w:shd w:val="clear" w:color="auto" w:fill="auto"/>
          </w:tcPr>
          <w:p w:rsidR="00C5204C" w:rsidRPr="00992FBA" w:rsidRDefault="002E487B" w:rsidP="002E487B">
            <w:pPr>
              <w:pStyle w:val="Note"/>
            </w:pPr>
            <w:r>
              <w:rPr>
                <w:rStyle w:val="NoteLabel"/>
              </w:rPr>
              <w:t>a</w:t>
            </w:r>
            <w:r>
              <w:t xml:space="preserve"> </w:t>
            </w:r>
            <w:r w:rsidRPr="006D3797">
              <w:t xml:space="preserve">See box </w:t>
            </w:r>
            <w:r w:rsidR="003A68D1">
              <w:t>5.8</w:t>
            </w:r>
            <w:r>
              <w:t xml:space="preserve"> and table 5A.30 </w:t>
            </w:r>
            <w:r w:rsidRPr="006D3797">
              <w:t>for detailed definitions, footnotes and caveats</w:t>
            </w:r>
          </w:p>
        </w:tc>
      </w:tr>
      <w:tr w:rsidR="00C5204C" w:rsidRPr="00992FBA" w:rsidTr="00BA321E">
        <w:tc>
          <w:tcPr>
            <w:tcW w:w="8771" w:type="dxa"/>
            <w:tcBorders>
              <w:top w:val="nil"/>
              <w:left w:val="nil"/>
              <w:bottom w:val="nil"/>
              <w:right w:val="nil"/>
            </w:tcBorders>
            <w:shd w:val="clear" w:color="auto" w:fill="auto"/>
          </w:tcPr>
          <w:p w:rsidR="00C5204C" w:rsidRPr="00992FBA" w:rsidRDefault="00C5204C" w:rsidP="002E487B">
            <w:pPr>
              <w:pStyle w:val="Source"/>
            </w:pPr>
            <w:r w:rsidRPr="00992FBA">
              <w:rPr>
                <w:i/>
              </w:rPr>
              <w:t>Source</w:t>
            </w:r>
            <w:r w:rsidRPr="00992FBA">
              <w:t>: NCVER (unpublished) National VET provider collection; table 5A.</w:t>
            </w:r>
            <w:r w:rsidR="002E487B">
              <w:t>30</w:t>
            </w:r>
            <w:r w:rsidRPr="00992FBA">
              <w:t>.</w:t>
            </w:r>
          </w:p>
        </w:tc>
      </w:tr>
      <w:tr w:rsidR="00C5204C" w:rsidRPr="00952247" w:rsidTr="00BA321E">
        <w:tc>
          <w:tcPr>
            <w:tcW w:w="8771" w:type="dxa"/>
            <w:tcBorders>
              <w:top w:val="nil"/>
              <w:left w:val="nil"/>
              <w:bottom w:val="single" w:sz="6" w:space="0" w:color="78A22F"/>
              <w:right w:val="nil"/>
            </w:tcBorders>
            <w:shd w:val="clear" w:color="auto" w:fill="auto"/>
          </w:tcPr>
          <w:p w:rsidR="00C5204C" w:rsidRPr="00952247" w:rsidRDefault="00C5204C" w:rsidP="00BA321E">
            <w:pPr>
              <w:pStyle w:val="Figurespace"/>
              <w:rPr>
                <w:color w:val="FF0000"/>
              </w:rPr>
            </w:pPr>
          </w:p>
        </w:tc>
      </w:tr>
      <w:tr w:rsidR="00C5204C" w:rsidRPr="00952247" w:rsidTr="00BA321E">
        <w:tc>
          <w:tcPr>
            <w:tcW w:w="8771" w:type="dxa"/>
            <w:tcBorders>
              <w:top w:val="single" w:sz="6" w:space="0" w:color="78A22F"/>
              <w:left w:val="nil"/>
              <w:bottom w:val="nil"/>
              <w:right w:val="nil"/>
            </w:tcBorders>
          </w:tcPr>
          <w:p w:rsidR="00C5204C" w:rsidRPr="00952247" w:rsidRDefault="00C5204C" w:rsidP="00BA321E">
            <w:pPr>
              <w:pStyle w:val="BoxSpaceBelow"/>
              <w:rPr>
                <w:color w:val="FF0000"/>
              </w:rPr>
            </w:pPr>
          </w:p>
        </w:tc>
      </w:tr>
    </w:tbl>
    <w:p w:rsidR="00DF41A6" w:rsidRDefault="00FD0102" w:rsidP="00DF41A6">
      <w:pPr>
        <w:pStyle w:val="BodyText"/>
      </w:pPr>
      <w:r w:rsidRPr="005B5393">
        <w:t xml:space="preserve">Amongst the VET </w:t>
      </w:r>
      <w:r>
        <w:t>t</w:t>
      </w:r>
      <w:r w:rsidRPr="005B5393">
        <w:t>arget groups, between 20</w:t>
      </w:r>
      <w:r>
        <w:t>10</w:t>
      </w:r>
      <w:r w:rsidRPr="005B5393">
        <w:t xml:space="preserve"> and 201</w:t>
      </w:r>
      <w:r>
        <w:t>4</w:t>
      </w:r>
      <w:r w:rsidRPr="005B5393">
        <w:t xml:space="preserve"> the combined number of units of competency and modules completed</w:t>
      </w:r>
      <w:r w:rsidR="00DF41A6">
        <w:t>:</w:t>
      </w:r>
      <w:r w:rsidRPr="005B5393">
        <w:t xml:space="preserve"> </w:t>
      </w:r>
    </w:p>
    <w:p w:rsidR="00FD0102" w:rsidRDefault="00FD0102" w:rsidP="00DF41A6">
      <w:pPr>
        <w:pStyle w:val="ListBullet"/>
      </w:pPr>
      <w:r>
        <w:t>increase</w:t>
      </w:r>
      <w:r w:rsidR="00DF41A6">
        <w:t>d</w:t>
      </w:r>
      <w:r>
        <w:t xml:space="preserve"> </w:t>
      </w:r>
      <w:r w:rsidRPr="001C62BF">
        <w:t>1</w:t>
      </w:r>
      <w:r>
        <w:t>1.3</w:t>
      </w:r>
      <w:r w:rsidRPr="001C62BF">
        <w:t xml:space="preserve"> per cent </w:t>
      </w:r>
      <w:r>
        <w:t>for Aboriginal and Torres Strait Islander students, which equates to an average annual growth rate of 2.7 p</w:t>
      </w:r>
      <w:r w:rsidR="00DF41A6">
        <w:t xml:space="preserve">er cent </w:t>
      </w:r>
      <w:r w:rsidRPr="004A4BC2">
        <w:t>(</w:t>
      </w:r>
      <w:r>
        <w:t>table 5A.33</w:t>
      </w:r>
      <w:r w:rsidRPr="004A4BC2">
        <w:t xml:space="preserve">). </w:t>
      </w:r>
    </w:p>
    <w:p w:rsidR="00FD0102" w:rsidRPr="00003604" w:rsidRDefault="00FD0102" w:rsidP="00FD0102">
      <w:pPr>
        <w:pStyle w:val="ListBullet"/>
      </w:pPr>
      <w:r w:rsidRPr="00003604">
        <w:t>increase</w:t>
      </w:r>
      <w:r w:rsidR="00DF41A6">
        <w:t>d</w:t>
      </w:r>
      <w:r w:rsidRPr="00003604">
        <w:t xml:space="preserve"> </w:t>
      </w:r>
      <w:r>
        <w:t>34.3</w:t>
      </w:r>
      <w:r w:rsidRPr="00003604">
        <w:t xml:space="preserve"> per cent for students </w:t>
      </w:r>
      <w:r w:rsidR="00DF41A6">
        <w:t xml:space="preserve">with </w:t>
      </w:r>
      <w:r w:rsidRPr="00003604">
        <w:t>disability</w:t>
      </w:r>
      <w:r>
        <w:t>, which equates to</w:t>
      </w:r>
      <w:r w:rsidRPr="00003604">
        <w:t xml:space="preserve"> an average annual growth rate of </w:t>
      </w:r>
      <w:r>
        <w:t>7.6</w:t>
      </w:r>
      <w:r w:rsidRPr="00003604">
        <w:t> per cent (table 5A.</w:t>
      </w:r>
      <w:r>
        <w:t>31</w:t>
      </w:r>
      <w:r w:rsidRPr="00003604">
        <w:t xml:space="preserve">) </w:t>
      </w:r>
    </w:p>
    <w:p w:rsidR="00FD0102" w:rsidRPr="007C0ADB" w:rsidRDefault="00FD0102" w:rsidP="00FD0102">
      <w:pPr>
        <w:pStyle w:val="ListBullet"/>
      </w:pPr>
      <w:r w:rsidRPr="00003604">
        <w:t>increase</w:t>
      </w:r>
      <w:r w:rsidR="00DF41A6">
        <w:t>d</w:t>
      </w:r>
      <w:r w:rsidRPr="00003604">
        <w:t xml:space="preserve"> 5</w:t>
      </w:r>
      <w:r>
        <w:t>0</w:t>
      </w:r>
      <w:r w:rsidRPr="00003604">
        <w:t>.</w:t>
      </w:r>
      <w:r>
        <w:t>2</w:t>
      </w:r>
      <w:r w:rsidRPr="00003604">
        <w:t xml:space="preserve"> per cent for students speaking a </w:t>
      </w:r>
      <w:r>
        <w:t>LOTE</w:t>
      </w:r>
      <w:r w:rsidRPr="00003604">
        <w:t xml:space="preserve"> at home</w:t>
      </w:r>
      <w:r>
        <w:t>, which equates to</w:t>
      </w:r>
      <w:r w:rsidRPr="00003604">
        <w:t xml:space="preserve"> </w:t>
      </w:r>
      <w:r w:rsidR="004D79B0">
        <w:t xml:space="preserve">an </w:t>
      </w:r>
      <w:r>
        <w:t>a</w:t>
      </w:r>
      <w:r w:rsidRPr="00003604">
        <w:t>nnual average growth rate of 1</w:t>
      </w:r>
      <w:r>
        <w:t>0</w:t>
      </w:r>
      <w:r w:rsidRPr="00003604">
        <w:t>.</w:t>
      </w:r>
      <w:r>
        <w:t>7</w:t>
      </w:r>
      <w:r w:rsidRPr="00003604">
        <w:t> per cent (table 5A.</w:t>
      </w:r>
      <w:r>
        <w:t>32</w:t>
      </w:r>
      <w:r w:rsidRPr="00003604">
        <w:t>)</w:t>
      </w:r>
    </w:p>
    <w:p w:rsidR="00FD0102" w:rsidRPr="00003604" w:rsidRDefault="00FD0102" w:rsidP="00FD0102">
      <w:pPr>
        <w:pStyle w:val="ListBullet"/>
      </w:pPr>
      <w:r w:rsidRPr="00003604">
        <w:t>decrease</w:t>
      </w:r>
      <w:r w:rsidR="00DF41A6">
        <w:t>d</w:t>
      </w:r>
      <w:r w:rsidRPr="00003604">
        <w:t xml:space="preserve"> </w:t>
      </w:r>
      <w:r>
        <w:t>27.2</w:t>
      </w:r>
      <w:r w:rsidRPr="00003604">
        <w:t xml:space="preserve"> per cent for students from remote and very remote areas</w:t>
      </w:r>
      <w:r>
        <w:t>,</w:t>
      </w:r>
      <w:r w:rsidRPr="00003604">
        <w:t xml:space="preserve"> an average annual rate of decline of </w:t>
      </w:r>
      <w:r>
        <w:t>7.6</w:t>
      </w:r>
      <w:r w:rsidRPr="00003604">
        <w:t> per cent (table 5A.</w:t>
      </w:r>
      <w:r>
        <w:t>30</w:t>
      </w:r>
      <w:r w:rsidRPr="00003604">
        <w:t>).</w:t>
      </w:r>
    </w:p>
    <w:p w:rsidR="00DF6A13" w:rsidRPr="00203110" w:rsidRDefault="00DF6A13" w:rsidP="00DF6A13">
      <w:pPr>
        <w:pStyle w:val="Heading5"/>
      </w:pPr>
      <w:r w:rsidRPr="00203110">
        <w:lastRenderedPageBreak/>
        <w:t xml:space="preserve">VET completions and qualifications — Qualification Equivalents </w:t>
      </w:r>
    </w:p>
    <w:p w:rsidR="00DF6A13" w:rsidRPr="00802232" w:rsidRDefault="00DF6A13" w:rsidP="00DF6A13">
      <w:pPr>
        <w:pStyle w:val="BodyText"/>
      </w:pPr>
      <w:r w:rsidRPr="00203110">
        <w:t>Nationally</w:t>
      </w:r>
      <w:r w:rsidR="00DF41A6">
        <w:t xml:space="preserve"> in 2014</w:t>
      </w:r>
      <w:r w:rsidRPr="00203110">
        <w:t xml:space="preserve">, VET students undertook training equivalent to </w:t>
      </w:r>
      <w:r w:rsidRPr="00802232">
        <w:t xml:space="preserve">approximately </w:t>
      </w:r>
      <w:r w:rsidR="00F47BDB">
        <w:t>631</w:t>
      </w:r>
      <w:r w:rsidR="00DF41A6">
        <w:t> </w:t>
      </w:r>
      <w:r w:rsidR="00F47BDB">
        <w:t>255</w:t>
      </w:r>
      <w:r w:rsidR="00DF41A6">
        <w:t> </w:t>
      </w:r>
      <w:r w:rsidRPr="00802232">
        <w:t xml:space="preserve">VET qualifications. </w:t>
      </w:r>
      <w:r w:rsidR="005045B6">
        <w:t>There has been an incre</w:t>
      </w:r>
      <w:r w:rsidR="00A944C4">
        <w:t xml:space="preserve">ase in the number of Qualification Equivalents of 135 082 since 2010, an average </w:t>
      </w:r>
      <w:r w:rsidR="00DF41A6">
        <w:t xml:space="preserve">annual </w:t>
      </w:r>
      <w:r w:rsidR="00A944C4">
        <w:t xml:space="preserve">growth rate of 6.2 per cent </w:t>
      </w:r>
      <w:r w:rsidRPr="00802232">
        <w:t>(table</w:t>
      </w:r>
      <w:r w:rsidR="00DF41A6">
        <w:t> </w:t>
      </w:r>
      <w:r w:rsidRPr="00802232">
        <w:t>5A.</w:t>
      </w:r>
      <w:r w:rsidR="00A944C4">
        <w:t>29</w:t>
      </w:r>
      <w:r w:rsidRPr="00802232">
        <w:t xml:space="preserve">). Trends in the number of Qualification Equivalents completed varied across jurisdictions (figure </w:t>
      </w:r>
      <w:r w:rsidR="003A68D1">
        <w:t>5.17</w:t>
      </w:r>
      <w:r w:rsidRPr="00802232">
        <w:t>).</w:t>
      </w:r>
    </w:p>
    <w:p w:rsidR="00DF6A13" w:rsidRDefault="00DF6A13" w:rsidP="00B94E3B">
      <w:pPr>
        <w:pStyle w:val="BodyText"/>
      </w:pPr>
      <w:r w:rsidRPr="00DE0358">
        <w:t xml:space="preserve">Nationally, </w:t>
      </w:r>
      <w:r w:rsidR="00A944C4">
        <w:t xml:space="preserve">growth in </w:t>
      </w:r>
      <w:r w:rsidRPr="00DE0358">
        <w:t xml:space="preserve">Qualification Equivalents </w:t>
      </w:r>
      <w:r w:rsidR="00A944C4">
        <w:t xml:space="preserve">between 2010 and 2014 has </w:t>
      </w:r>
      <w:r w:rsidR="000F4C41">
        <w:t>predominantly occu</w:t>
      </w:r>
      <w:r w:rsidR="00A944C4">
        <w:t xml:space="preserve">rred at </w:t>
      </w:r>
      <w:r w:rsidR="00DF41A6">
        <w:t>Certificate level III/</w:t>
      </w:r>
      <w:r w:rsidRPr="00DE0358">
        <w:t>IV</w:t>
      </w:r>
      <w:r w:rsidR="00A944C4">
        <w:t xml:space="preserve"> </w:t>
      </w:r>
      <w:r w:rsidR="00DF41A6">
        <w:t>(</w:t>
      </w:r>
      <w:r w:rsidR="00A944C4">
        <w:t xml:space="preserve">46.8 per cent </w:t>
      </w:r>
      <w:r w:rsidR="00DF41A6">
        <w:t>increase</w:t>
      </w:r>
      <w:r w:rsidR="00A944C4">
        <w:t xml:space="preserve">, </w:t>
      </w:r>
      <w:r w:rsidR="00DF41A6">
        <w:t xml:space="preserve">representing </w:t>
      </w:r>
      <w:r w:rsidR="00A944C4">
        <w:t xml:space="preserve">an </w:t>
      </w:r>
      <w:r w:rsidR="00DF41A6">
        <w:t xml:space="preserve">average </w:t>
      </w:r>
      <w:r w:rsidR="00A944C4">
        <w:t>annual growth of 10.1 per cent</w:t>
      </w:r>
      <w:r w:rsidR="00DF41A6">
        <w:t xml:space="preserve">), followed by </w:t>
      </w:r>
      <w:r w:rsidRPr="00BD08CA">
        <w:t>diploma level and above</w:t>
      </w:r>
      <w:r w:rsidR="00B94E3B">
        <w:t xml:space="preserve"> </w:t>
      </w:r>
      <w:r w:rsidR="00DF41A6">
        <w:t>(</w:t>
      </w:r>
      <w:r w:rsidR="00B94E3B">
        <w:t xml:space="preserve">10.2 per cent </w:t>
      </w:r>
      <w:r w:rsidR="00DF41A6">
        <w:t>increase</w:t>
      </w:r>
      <w:r w:rsidRPr="00802232">
        <w:t xml:space="preserve">, </w:t>
      </w:r>
      <w:r w:rsidR="00DF41A6">
        <w:t xml:space="preserve">representing </w:t>
      </w:r>
      <w:r w:rsidRPr="00802232">
        <w:t xml:space="preserve">an average annual growth rate of </w:t>
      </w:r>
      <w:r w:rsidR="00B94E3B">
        <w:t>2.5</w:t>
      </w:r>
      <w:r w:rsidRPr="00802232">
        <w:t> per cent</w:t>
      </w:r>
      <w:r w:rsidR="00DF41A6">
        <w:t>)</w:t>
      </w:r>
      <w:r w:rsidR="00B94E3B">
        <w:t xml:space="preserve"> (table 5A.29)</w:t>
      </w:r>
      <w:r w:rsidRPr="00625E4E">
        <w:t>.</w:t>
      </w:r>
      <w:r w:rsidR="00DF41A6">
        <w:t xml:space="preserve"> </w:t>
      </w:r>
      <w:r w:rsidR="00DF41A6" w:rsidRPr="00DF41A6">
        <w:t>These increases were even greater for Aboriginal and Torres Strait Islander students (</w:t>
      </w:r>
      <w:r w:rsidR="00DF41A6">
        <w:t xml:space="preserve">average annual </w:t>
      </w:r>
      <w:r w:rsidR="00DF41A6" w:rsidRPr="00DF41A6">
        <w:t>growth rates of 17.5 per cent for Certificate level III/IV and 13.7 per cent for diploma level and above) (table 5A.29).</w:t>
      </w:r>
    </w:p>
    <w:p w:rsidR="00DF6A13" w:rsidRPr="00952247" w:rsidRDefault="00DF6A13" w:rsidP="00DF6A13">
      <w:pPr>
        <w:pStyle w:val="BoxSpaceAbove"/>
        <w:rPr>
          <w:color w:val="FF000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F6A13" w:rsidRPr="00625E4E" w:rsidTr="008E3C13">
        <w:tc>
          <w:tcPr>
            <w:tcW w:w="8771" w:type="dxa"/>
            <w:tcBorders>
              <w:top w:val="single" w:sz="6" w:space="0" w:color="78A22F"/>
              <w:left w:val="nil"/>
              <w:bottom w:val="nil"/>
              <w:right w:val="nil"/>
            </w:tcBorders>
            <w:shd w:val="clear" w:color="auto" w:fill="auto"/>
          </w:tcPr>
          <w:p w:rsidR="00DF6A13" w:rsidRPr="00625E4E" w:rsidRDefault="00DF6A13" w:rsidP="008E3C13">
            <w:pPr>
              <w:pStyle w:val="FigureTitle"/>
            </w:pPr>
            <w:r w:rsidRPr="00625E4E">
              <w:rPr>
                <w:b w:val="0"/>
              </w:rPr>
              <w:t xml:space="preserve">Figure </w:t>
            </w:r>
            <w:bookmarkStart w:id="33" w:name="OLE_LINK20"/>
            <w:r w:rsidR="003A68D1">
              <w:rPr>
                <w:b w:val="0"/>
              </w:rPr>
              <w:t>5.</w:t>
            </w:r>
            <w:r w:rsidR="00111918">
              <w:rPr>
                <w:b w:val="0"/>
                <w:noProof/>
              </w:rPr>
              <w:t>17</w:t>
            </w:r>
            <w:bookmarkEnd w:id="33"/>
            <w:r w:rsidRPr="00625E4E">
              <w:tab/>
              <w:t xml:space="preserve">Qualification Equivalents, all students, </w:t>
            </w:r>
            <w:r>
              <w:t>per 1000 people aged 15–64 years in the population</w:t>
            </w:r>
            <w:r w:rsidRPr="00625E4E">
              <w:rPr>
                <w:rStyle w:val="NoteLabel"/>
                <w:b/>
              </w:rPr>
              <w:t>a</w:t>
            </w:r>
          </w:p>
        </w:tc>
      </w:tr>
      <w:tr w:rsidR="00DF6A13" w:rsidRPr="00952247" w:rsidTr="008E3C13">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F6A13" w:rsidRPr="00952247" w:rsidTr="008E3C13">
              <w:tc>
                <w:tcPr>
                  <w:tcW w:w="5000" w:type="pct"/>
                  <w:tcBorders>
                    <w:top w:val="nil"/>
                    <w:bottom w:val="nil"/>
                  </w:tcBorders>
                </w:tcPr>
                <w:p w:rsidR="00DF6A13" w:rsidRPr="00952247" w:rsidRDefault="00303FCA" w:rsidP="00A0558E">
                  <w:pPr>
                    <w:pStyle w:val="Figure"/>
                    <w:spacing w:before="60" w:after="60"/>
                    <w:rPr>
                      <w:color w:val="FF0000"/>
                    </w:rPr>
                  </w:pPr>
                  <w:r>
                    <w:rPr>
                      <w:noProof/>
                      <w:color w:val="FF0000"/>
                    </w:rPr>
                    <w:drawing>
                      <wp:inline distT="0" distB="0" distL="0" distR="0">
                        <wp:extent cx="5389880" cy="2689225"/>
                        <wp:effectExtent l="0" t="0" r="1270" b="0"/>
                        <wp:docPr id="32" name="Picture 32" descr="Figure 5.17 Qualification Equivalents, all students, per 1000 people aged 15–64 years in the popul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89880" cy="2689225"/>
                                </a:xfrm>
                                <a:prstGeom prst="rect">
                                  <a:avLst/>
                                </a:prstGeom>
                                <a:noFill/>
                                <a:ln>
                                  <a:noFill/>
                                </a:ln>
                              </pic:spPr>
                            </pic:pic>
                          </a:graphicData>
                        </a:graphic>
                      </wp:inline>
                    </w:drawing>
                  </w:r>
                </w:p>
              </w:tc>
            </w:tr>
          </w:tbl>
          <w:p w:rsidR="00DF6A13" w:rsidRPr="00952247" w:rsidRDefault="00DF6A13" w:rsidP="008E3C13">
            <w:pPr>
              <w:pStyle w:val="Figure"/>
              <w:rPr>
                <w:color w:val="FF0000"/>
              </w:rPr>
            </w:pPr>
          </w:p>
        </w:tc>
      </w:tr>
      <w:tr w:rsidR="00DF6A13" w:rsidRPr="00625E4E" w:rsidTr="008E3C13">
        <w:tc>
          <w:tcPr>
            <w:tcW w:w="8771" w:type="dxa"/>
            <w:tcBorders>
              <w:top w:val="nil"/>
              <w:left w:val="nil"/>
              <w:bottom w:val="nil"/>
              <w:right w:val="nil"/>
            </w:tcBorders>
            <w:shd w:val="clear" w:color="auto" w:fill="auto"/>
          </w:tcPr>
          <w:p w:rsidR="00DF6A13" w:rsidRPr="00625E4E" w:rsidRDefault="002E487B" w:rsidP="002E487B">
            <w:pPr>
              <w:pStyle w:val="Note"/>
            </w:pPr>
            <w:r>
              <w:rPr>
                <w:rStyle w:val="NoteLabel"/>
              </w:rPr>
              <w:t>a</w:t>
            </w:r>
            <w:r>
              <w:t xml:space="preserve"> </w:t>
            </w:r>
            <w:r w:rsidRPr="006D3797">
              <w:t xml:space="preserve">See box </w:t>
            </w:r>
            <w:r w:rsidR="003A68D1">
              <w:t>5.8</w:t>
            </w:r>
            <w:r>
              <w:t xml:space="preserve"> and table</w:t>
            </w:r>
            <w:r w:rsidRPr="006D3797">
              <w:t xml:space="preserve"> </w:t>
            </w:r>
            <w:r>
              <w:t>5</w:t>
            </w:r>
            <w:r w:rsidRPr="006D3797">
              <w:t>A.</w:t>
            </w:r>
            <w:r>
              <w:t>29</w:t>
            </w:r>
            <w:r w:rsidRPr="006D3797">
              <w:t xml:space="preserve"> for detailed definitions, footnotes and caveats</w:t>
            </w:r>
          </w:p>
        </w:tc>
      </w:tr>
      <w:tr w:rsidR="00DF6A13" w:rsidRPr="00625E4E" w:rsidTr="008E3C13">
        <w:tc>
          <w:tcPr>
            <w:tcW w:w="8771" w:type="dxa"/>
            <w:tcBorders>
              <w:top w:val="nil"/>
              <w:left w:val="nil"/>
              <w:bottom w:val="nil"/>
              <w:right w:val="nil"/>
            </w:tcBorders>
            <w:shd w:val="clear" w:color="auto" w:fill="auto"/>
          </w:tcPr>
          <w:p w:rsidR="00DF6A13" w:rsidRPr="00625E4E" w:rsidRDefault="00DF6A13" w:rsidP="00332C35">
            <w:pPr>
              <w:pStyle w:val="Source"/>
            </w:pPr>
            <w:r w:rsidRPr="00625E4E">
              <w:rPr>
                <w:i/>
              </w:rPr>
              <w:t>Source</w:t>
            </w:r>
            <w:r w:rsidRPr="00625E4E">
              <w:t>: NCVER (unpublished) National VET provider collection; table 5A.</w:t>
            </w:r>
            <w:r w:rsidR="00332C35">
              <w:t>29</w:t>
            </w:r>
            <w:r w:rsidRPr="00625E4E">
              <w:t>.</w:t>
            </w:r>
          </w:p>
        </w:tc>
      </w:tr>
      <w:tr w:rsidR="00DF6A13" w:rsidRPr="00952247" w:rsidTr="008E3C13">
        <w:tc>
          <w:tcPr>
            <w:tcW w:w="8771" w:type="dxa"/>
            <w:tcBorders>
              <w:top w:val="nil"/>
              <w:left w:val="nil"/>
              <w:bottom w:val="single" w:sz="6" w:space="0" w:color="78A22F"/>
              <w:right w:val="nil"/>
            </w:tcBorders>
            <w:shd w:val="clear" w:color="auto" w:fill="auto"/>
          </w:tcPr>
          <w:p w:rsidR="00DF6A13" w:rsidRPr="00952247" w:rsidRDefault="00DF6A13" w:rsidP="008E3C13">
            <w:pPr>
              <w:pStyle w:val="Figurespace"/>
              <w:rPr>
                <w:color w:val="FF0000"/>
              </w:rPr>
            </w:pPr>
          </w:p>
        </w:tc>
      </w:tr>
      <w:tr w:rsidR="00DF6A13" w:rsidRPr="00952247" w:rsidTr="008E3C13">
        <w:tc>
          <w:tcPr>
            <w:tcW w:w="8771" w:type="dxa"/>
            <w:tcBorders>
              <w:top w:val="single" w:sz="6" w:space="0" w:color="78A22F"/>
              <w:left w:val="nil"/>
              <w:bottom w:val="nil"/>
              <w:right w:val="nil"/>
            </w:tcBorders>
          </w:tcPr>
          <w:p w:rsidR="00DF6A13" w:rsidRPr="00952247" w:rsidRDefault="00DF6A13" w:rsidP="008E3C13">
            <w:pPr>
              <w:pStyle w:val="BoxSpaceBelow"/>
              <w:rPr>
                <w:color w:val="FF0000"/>
              </w:rPr>
            </w:pPr>
          </w:p>
        </w:tc>
      </w:tr>
    </w:tbl>
    <w:p w:rsidR="00C57336" w:rsidRPr="00EF5A5F" w:rsidRDefault="00C57336" w:rsidP="00E4296A">
      <w:pPr>
        <w:pStyle w:val="Heading3"/>
      </w:pPr>
      <w:r w:rsidRPr="00EF5A5F">
        <w:t>Efficiency</w:t>
      </w:r>
    </w:p>
    <w:p w:rsidR="00C57336" w:rsidRPr="007C0ADB" w:rsidRDefault="00C57336" w:rsidP="009621D0">
      <w:pPr>
        <w:pStyle w:val="BodyText"/>
      </w:pPr>
      <w:r w:rsidRPr="00EF5A5F">
        <w:t>A</w:t>
      </w:r>
      <w:r w:rsidR="00372A4C" w:rsidRPr="00EF5A5F">
        <w:t xml:space="preserve"> proxy</w:t>
      </w:r>
      <w:r w:rsidRPr="00EF5A5F">
        <w:t xml:space="preserve"> indicator of efficiency is the level of government inputs per unit of output (unit cost). The indicator</w:t>
      </w:r>
      <w:r w:rsidR="004461E9" w:rsidRPr="00EF5A5F">
        <w:t>s</w:t>
      </w:r>
      <w:r w:rsidRPr="00EF5A5F">
        <w:t xml:space="preserve"> of unit cost reported </w:t>
      </w:r>
      <w:r w:rsidR="004461E9" w:rsidRPr="00EF5A5F">
        <w:t xml:space="preserve">are </w:t>
      </w:r>
      <w:r w:rsidRPr="00EF5A5F">
        <w:t>‘</w:t>
      </w:r>
      <w:r w:rsidR="00FD3093">
        <w:t>r</w:t>
      </w:r>
      <w:r w:rsidRPr="00EF5A5F">
        <w:t>ecurre</w:t>
      </w:r>
      <w:r w:rsidR="008F026B" w:rsidRPr="00EF5A5F">
        <w:t>nt expenditure per annu</w:t>
      </w:r>
      <w:r w:rsidR="001E6ABD" w:rsidRPr="00EF5A5F">
        <w:t>a</w:t>
      </w:r>
      <w:r w:rsidR="008F026B" w:rsidRPr="00EF5A5F">
        <w:t>l hour’</w:t>
      </w:r>
      <w:r w:rsidR="004461E9" w:rsidRPr="00EF5A5F">
        <w:t xml:space="preserve"> and ‘</w:t>
      </w:r>
      <w:r w:rsidR="00FD3093">
        <w:t>r</w:t>
      </w:r>
      <w:r w:rsidR="004461E9" w:rsidRPr="00EF5A5F">
        <w:t>ecurrent expenditure per load pass’</w:t>
      </w:r>
      <w:r w:rsidR="008F026B" w:rsidRPr="00EF5A5F">
        <w:t>.</w:t>
      </w:r>
      <w:r w:rsidR="00372A4C" w:rsidRPr="00EF5A5F">
        <w:t xml:space="preserve"> </w:t>
      </w:r>
      <w:r w:rsidR="00357F9D" w:rsidRPr="00EF5A5F">
        <w:t xml:space="preserve">In </w:t>
      </w:r>
      <w:r w:rsidRPr="00EF5A5F">
        <w:t>VET</w:t>
      </w:r>
      <w:r w:rsidR="00357F9D" w:rsidRPr="00EF5A5F">
        <w:t xml:space="preserve">, the user cost of capital is not included in </w:t>
      </w:r>
      <w:r w:rsidR="00357F9D" w:rsidRPr="00EF5A5F">
        <w:lastRenderedPageBreak/>
        <w:t xml:space="preserve">estimates of recurrent expenditure, although it is reported separately </w:t>
      </w:r>
      <w:r w:rsidR="0041225C" w:rsidRPr="00EF5A5F">
        <w:t>in</w:t>
      </w:r>
      <w:r w:rsidR="00357F9D" w:rsidRPr="00EF5A5F">
        <w:t xml:space="preserve"> the </w:t>
      </w:r>
      <w:r w:rsidR="00F9168D">
        <w:t>indicators</w:t>
      </w:r>
      <w:r w:rsidR="0041225C" w:rsidRPr="00EF5A5F">
        <w:t xml:space="preserve"> </w:t>
      </w:r>
      <w:r w:rsidR="00357F9D" w:rsidRPr="00EF5A5F">
        <w:t>‘</w:t>
      </w:r>
      <w:r w:rsidR="00142638" w:rsidRPr="00EF5A5F">
        <w:t xml:space="preserve">user </w:t>
      </w:r>
      <w:r w:rsidR="00357F9D" w:rsidRPr="00EF5A5F">
        <w:t xml:space="preserve">cost of capital per annual hour’ </w:t>
      </w:r>
      <w:r w:rsidR="00F9168D">
        <w:t>and</w:t>
      </w:r>
      <w:r w:rsidR="00357F9D" w:rsidRPr="00EF5A5F">
        <w:t xml:space="preserve"> ‘</w:t>
      </w:r>
      <w:r w:rsidR="00142638" w:rsidRPr="00EF5A5F">
        <w:t xml:space="preserve">user </w:t>
      </w:r>
      <w:r w:rsidR="00357F9D" w:rsidRPr="00EF5A5F">
        <w:t>cost of capital per load pass’</w:t>
      </w:r>
      <w:r w:rsidRPr="00EF5A5F">
        <w:t xml:space="preserve"> (box</w:t>
      </w:r>
      <w:r w:rsidR="001803EF">
        <w:t xml:space="preserve"> </w:t>
      </w:r>
      <w:r w:rsidR="003A68D1">
        <w:t>5.9</w:t>
      </w:r>
      <w:r w:rsidR="008F026B" w:rsidRPr="00EF5A5F">
        <w:t>).</w:t>
      </w:r>
      <w:r w:rsidR="00EE44B2">
        <w:t xml:space="preserve"> </w:t>
      </w:r>
    </w:p>
    <w:p w:rsidR="004642F3" w:rsidRDefault="004642F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642F3" w:rsidTr="00C368C9">
        <w:tc>
          <w:tcPr>
            <w:tcW w:w="8771" w:type="dxa"/>
            <w:tcBorders>
              <w:top w:val="single" w:sz="6" w:space="0" w:color="78A22F"/>
              <w:left w:val="nil"/>
              <w:bottom w:val="nil"/>
              <w:right w:val="nil"/>
            </w:tcBorders>
            <w:shd w:val="clear" w:color="auto" w:fill="F2F2F2" w:themeFill="background1" w:themeFillShade="F2"/>
          </w:tcPr>
          <w:p w:rsidR="004642F3" w:rsidRDefault="004642F3" w:rsidP="004642F3">
            <w:pPr>
              <w:pStyle w:val="BoxTitle"/>
            </w:pPr>
            <w:r>
              <w:rPr>
                <w:b w:val="0"/>
              </w:rPr>
              <w:t>Box</w:t>
            </w:r>
            <w:bookmarkStart w:id="34" w:name="OLE_LINK1"/>
            <w:r>
              <w:rPr>
                <w:b w:val="0"/>
              </w:rPr>
              <w:t xml:space="preserve"> </w:t>
            </w:r>
            <w:bookmarkStart w:id="35" w:name="OLE_LINK7"/>
            <w:r w:rsidR="003A68D1">
              <w:rPr>
                <w:b w:val="0"/>
              </w:rPr>
              <w:t>5.</w:t>
            </w:r>
            <w:r w:rsidR="00111918">
              <w:rPr>
                <w:b w:val="0"/>
                <w:noProof/>
              </w:rPr>
              <w:t>9</w:t>
            </w:r>
            <w:bookmarkEnd w:id="34"/>
            <w:bookmarkEnd w:id="35"/>
            <w:r>
              <w:tab/>
            </w:r>
            <w:r w:rsidRPr="00EF5A5F">
              <w:t>Comparability of cost estimates</w:t>
            </w:r>
          </w:p>
        </w:tc>
      </w:tr>
      <w:tr w:rsidR="004642F3" w:rsidTr="00C368C9">
        <w:trPr>
          <w:cantSplit/>
        </w:trPr>
        <w:tc>
          <w:tcPr>
            <w:tcW w:w="8771" w:type="dxa"/>
            <w:tcBorders>
              <w:top w:val="nil"/>
              <w:left w:val="nil"/>
              <w:bottom w:val="nil"/>
              <w:right w:val="nil"/>
            </w:tcBorders>
            <w:shd w:val="clear" w:color="auto" w:fill="F2F2F2" w:themeFill="background1" w:themeFillShade="F2"/>
          </w:tcPr>
          <w:p w:rsidR="004642F3" w:rsidRPr="00A00D75" w:rsidRDefault="004642F3" w:rsidP="00A00D75">
            <w:pPr>
              <w:pStyle w:val="Box"/>
            </w:pPr>
            <w:r w:rsidRPr="00A00D75">
              <w:t xml:space="preserve">Government recurrent expenditure is calculated using data prepared by </w:t>
            </w:r>
            <w:r w:rsidR="00EE44B2" w:rsidRPr="00A00D75">
              <w:t xml:space="preserve">State </w:t>
            </w:r>
            <w:r w:rsidRPr="00A00D75">
              <w:t xml:space="preserve">and </w:t>
            </w:r>
            <w:r w:rsidR="00EE44B2" w:rsidRPr="00A00D75">
              <w:t>Territory government</w:t>
            </w:r>
            <w:r w:rsidR="004D79B0">
              <w:t>s</w:t>
            </w:r>
            <w:r w:rsidR="00EE44B2" w:rsidRPr="00A00D75">
              <w:t xml:space="preserve"> </w:t>
            </w:r>
            <w:r w:rsidRPr="00A00D75">
              <w:t xml:space="preserve">under the Australian Vocational Education and Training Management Information Statistical Standard (AVETMISS) for VET financial data. These data are prepared annually on an accrual basis and are audited. </w:t>
            </w:r>
          </w:p>
          <w:p w:rsidR="00EE44B2" w:rsidRDefault="0003011D" w:rsidP="00A00D75">
            <w:pPr>
              <w:pStyle w:val="Box"/>
            </w:pPr>
            <w:r>
              <w:t>G</w:t>
            </w:r>
            <w:r w:rsidR="004642F3" w:rsidRPr="00A00D75">
              <w:t>overnment recurrent expenditure for VET</w:t>
            </w:r>
            <w:r>
              <w:t xml:space="preserve"> </w:t>
            </w:r>
            <w:r w:rsidR="004642F3" w:rsidRPr="00A00D75">
              <w:t xml:space="preserve">includes </w:t>
            </w:r>
            <w:r w:rsidR="00EE44B2" w:rsidRPr="00A00D75">
              <w:t xml:space="preserve">Australian Government </w:t>
            </w:r>
            <w:r w:rsidR="004642F3" w:rsidRPr="00A00D75">
              <w:t>and State</w:t>
            </w:r>
            <w:r w:rsidR="00EE44B2" w:rsidRPr="00A00D75">
              <w:t xml:space="preserve"> and </w:t>
            </w:r>
            <w:r w:rsidR="004642F3" w:rsidRPr="00A00D75">
              <w:t xml:space="preserve">Territory </w:t>
            </w:r>
            <w:r w:rsidR="00EE44B2" w:rsidRPr="00A00D75">
              <w:t xml:space="preserve">governments </w:t>
            </w:r>
            <w:r w:rsidR="004642F3" w:rsidRPr="00A00D75">
              <w:t xml:space="preserve">recurrent funding, </w:t>
            </w:r>
            <w:r w:rsidR="00EE44B2" w:rsidRPr="00A00D75">
              <w:t xml:space="preserve">Australian Government </w:t>
            </w:r>
            <w:r w:rsidR="004642F3" w:rsidRPr="00A00D75">
              <w:t>specific purpose funding and State</w:t>
            </w:r>
            <w:r w:rsidR="00EE44B2" w:rsidRPr="00A00D75">
              <w:t xml:space="preserve"> and </w:t>
            </w:r>
            <w:r w:rsidR="004642F3" w:rsidRPr="00A00D75">
              <w:t xml:space="preserve">Territory specific purpose funding. This includes activity funded under the NASWD. </w:t>
            </w:r>
          </w:p>
          <w:p w:rsidR="007324F6" w:rsidRDefault="007324F6" w:rsidP="00F74889">
            <w:pPr>
              <w:pStyle w:val="Box"/>
            </w:pPr>
            <w:r>
              <w:t>Government recurrent expenditure for VET may be affected by the movement of TAFE institutes between government and non</w:t>
            </w:r>
            <w:r>
              <w:noBreakHyphen/>
              <w:t>government sector</w:t>
            </w:r>
            <w:r w:rsidR="00BB3BDC">
              <w:t>s</w:t>
            </w:r>
            <w:r>
              <w:t>.</w:t>
            </w:r>
            <w:r w:rsidR="00A04084">
              <w:t xml:space="preserve"> </w:t>
            </w:r>
          </w:p>
          <w:p w:rsidR="00EE44B2" w:rsidRDefault="004642F3" w:rsidP="00C368C9">
            <w:pPr>
              <w:pStyle w:val="Box"/>
            </w:pPr>
            <w:r w:rsidRPr="00EF5A5F">
              <w:t xml:space="preserve">Government recurrent expenditure is calculated by adding the following AVETMISS financial statements revenue items for the government recurrent payments received by </w:t>
            </w:r>
            <w:r w:rsidR="00EE44B2" w:rsidRPr="00EF5A5F">
              <w:t xml:space="preserve">State </w:t>
            </w:r>
            <w:r w:rsidR="00EE44B2">
              <w:t>and Territory governments</w:t>
            </w:r>
            <w:r w:rsidRPr="00EF5A5F">
              <w:t xml:space="preserve">: </w:t>
            </w:r>
          </w:p>
          <w:p w:rsidR="00EE44B2" w:rsidRDefault="004642F3" w:rsidP="00EE44B2">
            <w:pPr>
              <w:pStyle w:val="BoxListBullet"/>
            </w:pPr>
            <w:r w:rsidRPr="00EF5A5F">
              <w:t>Commonwea</w:t>
            </w:r>
            <w:r w:rsidR="00EE44B2">
              <w:t>lth National Agreement revenue</w:t>
            </w:r>
          </w:p>
          <w:p w:rsidR="00EE44B2" w:rsidRDefault="004642F3" w:rsidP="00EE44B2">
            <w:pPr>
              <w:pStyle w:val="BoxListBullet"/>
            </w:pPr>
            <w:r w:rsidRPr="009F0F4A">
              <w:t>State/Territory</w:t>
            </w:r>
            <w:r w:rsidR="00EE44B2">
              <w:t xml:space="preserve"> recurrent revenue</w:t>
            </w:r>
          </w:p>
          <w:p w:rsidR="00EE44B2" w:rsidRDefault="004642F3" w:rsidP="00EE44B2">
            <w:pPr>
              <w:pStyle w:val="BoxListBullet"/>
            </w:pPr>
            <w:r w:rsidRPr="00EF5A5F">
              <w:t>Commonwealth Ad</w:t>
            </w:r>
            <w:r w:rsidR="00EE44B2">
              <w:t>ministered Programs revenue</w:t>
            </w:r>
          </w:p>
          <w:p w:rsidR="00EE44B2" w:rsidRDefault="004642F3" w:rsidP="00EE44B2">
            <w:pPr>
              <w:pStyle w:val="BoxListBullet"/>
            </w:pPr>
            <w:r w:rsidRPr="00EF5A5F">
              <w:t>revenue for VET expenses and liabilities of State</w:t>
            </w:r>
            <w:r w:rsidR="00A00D75">
              <w:t xml:space="preserve"> and </w:t>
            </w:r>
            <w:r w:rsidRPr="00EF5A5F">
              <w:t xml:space="preserve">Territory training departments undertaken by another department or agency but required to be reported in the financial accounts of the training department. </w:t>
            </w:r>
          </w:p>
          <w:p w:rsidR="0003011D" w:rsidRDefault="00EE44B2" w:rsidP="00EE44B2">
            <w:pPr>
              <w:pStyle w:val="Box"/>
            </w:pPr>
            <w:r>
              <w:t>G</w:t>
            </w:r>
            <w:r w:rsidR="004642F3" w:rsidRPr="00342AE5">
              <w:t>overnment recurrent expenditure</w:t>
            </w:r>
            <w:r w:rsidR="0003011D">
              <w:t>:</w:t>
            </w:r>
          </w:p>
          <w:p w:rsidR="0003011D" w:rsidRDefault="004642F3" w:rsidP="00EE44B2">
            <w:pPr>
              <w:pStyle w:val="BoxListBullet"/>
            </w:pPr>
            <w:r w:rsidRPr="00342AE5">
              <w:t>include</w:t>
            </w:r>
            <w:r w:rsidR="00EE44B2">
              <w:t>s</w:t>
            </w:r>
            <w:r w:rsidRPr="00342AE5">
              <w:t xml:space="preserve"> payments received by </w:t>
            </w:r>
            <w:r w:rsidR="00EE44B2">
              <w:t>State</w:t>
            </w:r>
            <w:r w:rsidR="00EE44B2" w:rsidRPr="00342AE5">
              <w:t xml:space="preserve"> </w:t>
            </w:r>
            <w:r w:rsidRPr="00342AE5">
              <w:t xml:space="preserve">and </w:t>
            </w:r>
            <w:r w:rsidR="00EE44B2">
              <w:t>Territory governments</w:t>
            </w:r>
            <w:r w:rsidR="00EE44B2" w:rsidRPr="00342AE5">
              <w:t xml:space="preserve"> </w:t>
            </w:r>
            <w:r w:rsidRPr="00342AE5">
              <w:t>for VET in schools programs</w:t>
            </w:r>
            <w:r w:rsidR="00FD0102">
              <w:t>, which cannot be separated from other expenditure categories</w:t>
            </w:r>
          </w:p>
          <w:p w:rsidR="00F9168D" w:rsidRDefault="004642F3" w:rsidP="00EE44B2">
            <w:pPr>
              <w:pStyle w:val="BoxListBullet"/>
            </w:pPr>
            <w:r w:rsidRPr="00EF5A5F">
              <w:t>excludes capital expenditure and the user cost of capital</w:t>
            </w:r>
            <w:r w:rsidR="00FD0102">
              <w:t>. These are</w:t>
            </w:r>
            <w:r w:rsidRPr="00EF5A5F">
              <w:t xml:space="preserve"> reported separately.</w:t>
            </w:r>
          </w:p>
          <w:p w:rsidR="0061604A" w:rsidRDefault="0061604A" w:rsidP="0003011D">
            <w:pPr>
              <w:pStyle w:val="Box"/>
            </w:pPr>
            <w:r w:rsidRPr="004642F3">
              <w:t xml:space="preserve">To promote comparability of the financial data across states and territories, as well as comparability between the financial and activity data, expenditure is adjusted by course mix weights where used for calculating unit costs (that is, efficiency indicators per government funded annual hour) </w:t>
            </w:r>
            <w:r w:rsidR="0003011D">
              <w:t>(see section 5.5 for details</w:t>
            </w:r>
            <w:r w:rsidR="00A04084">
              <w:t>)</w:t>
            </w:r>
            <w:r w:rsidRPr="004642F3">
              <w:t>.</w:t>
            </w:r>
          </w:p>
          <w:p w:rsidR="0003011D" w:rsidRDefault="0003011D" w:rsidP="0003011D">
            <w:pPr>
              <w:pStyle w:val="Box"/>
            </w:pPr>
            <w:r>
              <w:t>Expenditure data for years prior to 2014 are adjusted to real dollars (2014 dollars) using the gross domestic product (GDP) chain price index (table 5A.96)</w:t>
            </w:r>
            <w:r w:rsidR="004D79B0">
              <w:t>.</w:t>
            </w:r>
            <w:r>
              <w:t xml:space="preserve"> </w:t>
            </w:r>
          </w:p>
          <w:p w:rsidR="0003011D" w:rsidRPr="00EF5A5F" w:rsidRDefault="0003011D" w:rsidP="007324F6">
            <w:pPr>
              <w:pStyle w:val="Box"/>
            </w:pPr>
            <w:r>
              <w:t>Annual hours are adjusted for invalid enrolment rates based on formal advice of NCVER auditors. Invalid enrolments are those student enrolments reported in the national collection as participating in a module/unit of competency but for which the auditors could find no confirmed evidence that the student had participated in that enrolment within the collection period.</w:t>
            </w:r>
          </w:p>
        </w:tc>
      </w:tr>
      <w:tr w:rsidR="004642F3" w:rsidTr="00C368C9">
        <w:trPr>
          <w:cantSplit/>
        </w:trPr>
        <w:tc>
          <w:tcPr>
            <w:tcW w:w="8771" w:type="dxa"/>
            <w:tcBorders>
              <w:top w:val="nil"/>
              <w:left w:val="nil"/>
              <w:bottom w:val="single" w:sz="6" w:space="0" w:color="78A22F"/>
              <w:right w:val="nil"/>
            </w:tcBorders>
            <w:shd w:val="clear" w:color="auto" w:fill="F2F2F2" w:themeFill="background1" w:themeFillShade="F2"/>
          </w:tcPr>
          <w:p w:rsidR="004642F3" w:rsidRDefault="004642F3">
            <w:pPr>
              <w:pStyle w:val="Box"/>
              <w:spacing w:before="0" w:line="120" w:lineRule="exact"/>
            </w:pPr>
          </w:p>
        </w:tc>
      </w:tr>
      <w:tr w:rsidR="004642F3" w:rsidRPr="000863A5" w:rsidTr="00C368C9">
        <w:tc>
          <w:tcPr>
            <w:tcW w:w="8771" w:type="dxa"/>
            <w:tcBorders>
              <w:top w:val="single" w:sz="6" w:space="0" w:color="78A22F"/>
              <w:left w:val="nil"/>
              <w:bottom w:val="nil"/>
              <w:right w:val="nil"/>
            </w:tcBorders>
          </w:tcPr>
          <w:p w:rsidR="004642F3" w:rsidRPr="00626D32" w:rsidRDefault="004642F3" w:rsidP="00C368C9">
            <w:pPr>
              <w:pStyle w:val="BoxSpaceBelow"/>
            </w:pPr>
          </w:p>
        </w:tc>
      </w:tr>
    </w:tbl>
    <w:p w:rsidR="00C57336" w:rsidRPr="000C682B" w:rsidRDefault="00382DB9" w:rsidP="00382DB9">
      <w:pPr>
        <w:pStyle w:val="Heading4"/>
      </w:pPr>
      <w:r>
        <w:t xml:space="preserve">Inputs per output — </w:t>
      </w:r>
      <w:r w:rsidR="001E1524" w:rsidRPr="000C682B">
        <w:t xml:space="preserve">Government recurrent expenditure per annual hour </w:t>
      </w:r>
    </w:p>
    <w:p w:rsidR="00C57336" w:rsidRDefault="000D514D" w:rsidP="00792821">
      <w:pPr>
        <w:pStyle w:val="BodyText"/>
      </w:pPr>
      <w:r w:rsidRPr="00EF5A5F">
        <w:t xml:space="preserve">‘Government recurrent expenditure per annual hour’ is an indicator of </w:t>
      </w:r>
      <w:r w:rsidR="003913DC" w:rsidRPr="00EF5A5F">
        <w:t xml:space="preserve">governments’ objective to </w:t>
      </w:r>
      <w:r w:rsidR="00B77C37" w:rsidRPr="00EF5A5F">
        <w:t>provide VET services in an efficient manner</w:t>
      </w:r>
      <w:r w:rsidRPr="00EF5A5F">
        <w:t xml:space="preserve">. Recurrent cost per annual hour </w:t>
      </w:r>
      <w:r w:rsidRPr="00EF5A5F">
        <w:lastRenderedPageBreak/>
        <w:t xml:space="preserve">of training measures the average </w:t>
      </w:r>
      <w:r w:rsidR="00FD0102">
        <w:t xml:space="preserve">unit </w:t>
      </w:r>
      <w:r w:rsidRPr="00EF5A5F">
        <w:t xml:space="preserve">cost of producing a training output of the VET system </w:t>
      </w:r>
      <w:r w:rsidR="00C57336" w:rsidRPr="00EF5A5F">
        <w:t>(box</w:t>
      </w:r>
      <w:r w:rsidR="001803EF">
        <w:t xml:space="preserve"> </w:t>
      </w:r>
      <w:r w:rsidR="003A68D1">
        <w:t>5.10</w:t>
      </w:r>
      <w:r w:rsidR="00C57336" w:rsidRPr="00EF5A5F">
        <w:t>).</w:t>
      </w:r>
    </w:p>
    <w:p w:rsidR="00DD49BC" w:rsidRDefault="00DD49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D49BC" w:rsidTr="00137F60">
        <w:tc>
          <w:tcPr>
            <w:tcW w:w="8771" w:type="dxa"/>
            <w:tcBorders>
              <w:top w:val="single" w:sz="6" w:space="0" w:color="78A22F"/>
              <w:left w:val="nil"/>
              <w:bottom w:val="nil"/>
              <w:right w:val="nil"/>
            </w:tcBorders>
            <w:shd w:val="clear" w:color="auto" w:fill="F2F2F2" w:themeFill="background1" w:themeFillShade="F2"/>
          </w:tcPr>
          <w:p w:rsidR="00DD49BC" w:rsidRDefault="00DD49BC" w:rsidP="00DD49BC">
            <w:pPr>
              <w:pStyle w:val="BoxTitle"/>
            </w:pPr>
            <w:r>
              <w:rPr>
                <w:b w:val="0"/>
              </w:rPr>
              <w:t xml:space="preserve">Box </w:t>
            </w:r>
            <w:bookmarkStart w:id="36" w:name="OLE_LINK24"/>
            <w:r w:rsidR="003A68D1">
              <w:rPr>
                <w:b w:val="0"/>
              </w:rPr>
              <w:t>5.</w:t>
            </w:r>
            <w:r w:rsidR="00111918">
              <w:rPr>
                <w:b w:val="0"/>
                <w:noProof/>
              </w:rPr>
              <w:t>10</w:t>
            </w:r>
            <w:bookmarkEnd w:id="36"/>
            <w:r>
              <w:tab/>
            </w:r>
            <w:r w:rsidRPr="00EF5A5F">
              <w:t>Government recurrent expenditure per annual hour</w:t>
            </w:r>
          </w:p>
        </w:tc>
      </w:tr>
      <w:tr w:rsidR="00DD49BC" w:rsidTr="00137F60">
        <w:trPr>
          <w:cantSplit/>
        </w:trPr>
        <w:tc>
          <w:tcPr>
            <w:tcW w:w="8771" w:type="dxa"/>
            <w:tcBorders>
              <w:top w:val="nil"/>
              <w:left w:val="nil"/>
              <w:bottom w:val="nil"/>
              <w:right w:val="nil"/>
            </w:tcBorders>
            <w:shd w:val="clear" w:color="auto" w:fill="F2F2F2" w:themeFill="background1" w:themeFillShade="F2"/>
          </w:tcPr>
          <w:p w:rsidR="00DD49BC" w:rsidRPr="00EF5A5F" w:rsidRDefault="00DD49BC" w:rsidP="00137F60">
            <w:pPr>
              <w:pStyle w:val="Box"/>
            </w:pPr>
            <w:r w:rsidRPr="00EF5A5F">
              <w:t xml:space="preserve">‘Government recurrent expenditure per annual hour’ is defined as government recurrent expenditure (as defined in box </w:t>
            </w:r>
            <w:r w:rsidR="003A68D1">
              <w:t>5.9</w:t>
            </w:r>
            <w:r w:rsidRPr="00EF5A5F">
              <w:t xml:space="preserve">) divided by government funded annual hours. </w:t>
            </w:r>
          </w:p>
          <w:p w:rsidR="00DD49BC" w:rsidRPr="00EF5A5F" w:rsidRDefault="00DD49BC" w:rsidP="00137F60">
            <w:pPr>
              <w:pStyle w:val="Box"/>
            </w:pPr>
            <w:r w:rsidRPr="00EF5A5F">
              <w:t xml:space="preserve">Low or decreasing unit costs can indicate efficient delivery of VET services. </w:t>
            </w:r>
          </w:p>
          <w:p w:rsidR="00DD49BC" w:rsidRPr="00EF5A5F" w:rsidRDefault="00DD49BC" w:rsidP="00137F60">
            <w:pPr>
              <w:pStyle w:val="Box"/>
            </w:pPr>
            <w:r w:rsidRPr="00EF5A5F">
              <w:t xml:space="preserve">Government recurrent expenditure per annual hour </w:t>
            </w:r>
            <w:r w:rsidR="0095518C">
              <w:t>should</w:t>
            </w:r>
            <w:r w:rsidRPr="00EF5A5F">
              <w:t xml:space="preserve"> be interpreted carefully because low or decreasing unit costs do not necessarily reflect a lessening of quality. The factors that have the greatest impact on efficiency include:</w:t>
            </w:r>
          </w:p>
          <w:p w:rsidR="00DD49BC" w:rsidRPr="00EF5A5F" w:rsidRDefault="00DD49BC" w:rsidP="00137F60">
            <w:pPr>
              <w:pStyle w:val="BoxListBullet"/>
            </w:pPr>
            <w:r w:rsidRPr="00EF5A5F">
              <w:t>training related factors, such as class sizes, teaching salaries, teaching hours per full time equivalent staff member and differences in the length of training programs</w:t>
            </w:r>
          </w:p>
          <w:p w:rsidR="00DD49BC" w:rsidRPr="00EF5A5F" w:rsidRDefault="00DD49BC" w:rsidP="00137F60">
            <w:pPr>
              <w:pStyle w:val="BoxListBullet"/>
            </w:pPr>
            <w:r w:rsidRPr="00EF5A5F">
              <w:t>differences across jurisdictions, including socio</w:t>
            </w:r>
            <w:r w:rsidR="00AD5F7E">
              <w:noBreakHyphen/>
            </w:r>
            <w:r w:rsidRPr="00EF5A5F">
              <w:t>demographic composition, administrative scale, and dispersion and scale of service delivery</w:t>
            </w:r>
          </w:p>
          <w:p w:rsidR="00DD49BC" w:rsidRPr="00EF5A5F" w:rsidRDefault="00DD49BC" w:rsidP="00137F60">
            <w:pPr>
              <w:pStyle w:val="BoxListBullet"/>
            </w:pPr>
            <w:r w:rsidRPr="00EF5A5F">
              <w:t>VET policies and practices, including the level of fees and charges paid by students.</w:t>
            </w:r>
          </w:p>
          <w:p w:rsidR="00DD49BC" w:rsidRPr="00EF5A5F" w:rsidRDefault="00DD49BC" w:rsidP="00137F60">
            <w:pPr>
              <w:pStyle w:val="Box"/>
            </w:pPr>
            <w:r w:rsidRPr="009F0F4A">
              <w:t>Expenditure per annual hour is adjusted for course mix differences across jurisdictions</w:t>
            </w:r>
            <w:r w:rsidRPr="00CE1395">
              <w:rPr>
                <w:shd w:val="clear" w:color="auto" w:fill="F2F2F2" w:themeFill="background1" w:themeFillShade="F2"/>
              </w:rPr>
              <w:t xml:space="preserve"> </w:t>
            </w:r>
            <w:r w:rsidRPr="00FD3D47">
              <w:t xml:space="preserve">(more information is provided in box 5.6). </w:t>
            </w:r>
          </w:p>
          <w:p w:rsidR="00DD49BC" w:rsidRDefault="00DD49BC" w:rsidP="00137F60">
            <w:pPr>
              <w:pStyle w:val="Box"/>
            </w:pPr>
            <w:r>
              <w:t xml:space="preserve">Data reported for this measure are </w:t>
            </w:r>
          </w:p>
          <w:p w:rsidR="00DD49BC" w:rsidRDefault="00DD49BC" w:rsidP="00137F60">
            <w:pPr>
              <w:pStyle w:val="BoxListBullet"/>
            </w:pPr>
            <w:r>
              <w:t>comparable (subject to caveats) across jurisdictions and over time</w:t>
            </w:r>
          </w:p>
          <w:p w:rsidR="00DD49BC" w:rsidRDefault="00DD49BC" w:rsidP="00137F60">
            <w:pPr>
              <w:pStyle w:val="BoxListBullet"/>
            </w:pPr>
            <w:r>
              <w:t xml:space="preserve">complete for the current reporting period (subject to caveats). </w:t>
            </w:r>
            <w:r w:rsidR="009D4117">
              <w:t>All required 2014</w:t>
            </w:r>
            <w:r>
              <w:t xml:space="preserve"> data are available for all jurisdictions providing the service.</w:t>
            </w:r>
          </w:p>
          <w:p w:rsidR="000E74B6" w:rsidRPr="00EF5A5F" w:rsidRDefault="000E74B6" w:rsidP="000E74B6">
            <w:pPr>
              <w:pStyle w:val="Box"/>
            </w:pPr>
            <w:r w:rsidRPr="0054109B">
              <w:t>Data quality information for this indicator</w:t>
            </w:r>
            <w:r>
              <w:t xml:space="preserve"> is at www.pc.gov.au/rogs/2016.</w:t>
            </w:r>
          </w:p>
        </w:tc>
      </w:tr>
      <w:tr w:rsidR="00DD49BC" w:rsidTr="00137F60">
        <w:trPr>
          <w:cantSplit/>
        </w:trPr>
        <w:tc>
          <w:tcPr>
            <w:tcW w:w="8771" w:type="dxa"/>
            <w:tcBorders>
              <w:top w:val="nil"/>
              <w:left w:val="nil"/>
              <w:bottom w:val="single" w:sz="6" w:space="0" w:color="78A22F"/>
              <w:right w:val="nil"/>
            </w:tcBorders>
            <w:shd w:val="clear" w:color="auto" w:fill="F2F2F2" w:themeFill="background1" w:themeFillShade="F2"/>
          </w:tcPr>
          <w:p w:rsidR="00DD49BC" w:rsidRDefault="00DD49BC">
            <w:pPr>
              <w:pStyle w:val="Box"/>
              <w:spacing w:before="0" w:line="120" w:lineRule="exact"/>
            </w:pPr>
          </w:p>
        </w:tc>
      </w:tr>
      <w:tr w:rsidR="00DD49BC" w:rsidRPr="000863A5" w:rsidTr="00137F60">
        <w:tc>
          <w:tcPr>
            <w:tcW w:w="8771" w:type="dxa"/>
            <w:tcBorders>
              <w:top w:val="single" w:sz="6" w:space="0" w:color="78A22F"/>
              <w:left w:val="nil"/>
              <w:bottom w:val="nil"/>
              <w:right w:val="nil"/>
            </w:tcBorders>
          </w:tcPr>
          <w:p w:rsidR="00DD49BC" w:rsidRPr="00626D32" w:rsidRDefault="00DD49BC" w:rsidP="00137F60">
            <w:pPr>
              <w:pStyle w:val="BoxSpaceBelow"/>
            </w:pPr>
          </w:p>
        </w:tc>
      </w:tr>
    </w:tbl>
    <w:p w:rsidR="00C57336" w:rsidRDefault="00270504" w:rsidP="00A26D57">
      <w:pPr>
        <w:pStyle w:val="BodyText"/>
      </w:pPr>
      <w:r>
        <w:t>Since 2005, government real recurrent</w:t>
      </w:r>
      <w:r w:rsidR="00692E24">
        <w:t xml:space="preserve"> VET</w:t>
      </w:r>
      <w:r>
        <w:t xml:space="preserve"> expenditure has increased 4.1 per cent</w:t>
      </w:r>
      <w:r w:rsidR="00692E24">
        <w:t xml:space="preserve">, while the number of government funded annual hours has increased 51.8 per cent (table 5A.34). </w:t>
      </w:r>
      <w:r w:rsidR="00692E24" w:rsidRPr="008C6471">
        <w:t>As a result, g</w:t>
      </w:r>
      <w:r w:rsidR="00CE10A6" w:rsidRPr="008C6471">
        <w:t xml:space="preserve">overnment real recurrent expenditure per annual hour has declined </w:t>
      </w:r>
      <w:r w:rsidR="008C6471" w:rsidRPr="00F74889">
        <w:t>31.5</w:t>
      </w:r>
      <w:r w:rsidR="00CE10A6" w:rsidRPr="00F74889">
        <w:t> per cent</w:t>
      </w:r>
      <w:r w:rsidR="00CE10A6" w:rsidRPr="008C6471">
        <w:t xml:space="preserve"> over the past 10 years </w:t>
      </w:r>
      <w:r w:rsidR="00692E24" w:rsidRPr="008C6471">
        <w:t xml:space="preserve">— </w:t>
      </w:r>
      <w:r w:rsidR="00CE10A6" w:rsidRPr="008C6471">
        <w:t xml:space="preserve">from $16.64 in 2005 </w:t>
      </w:r>
      <w:r w:rsidR="00692E24" w:rsidRPr="008C6471">
        <w:t xml:space="preserve">to $11.40 in 2014 — </w:t>
      </w:r>
      <w:r w:rsidR="00CE10A6" w:rsidRPr="008C6471">
        <w:t xml:space="preserve">at an average annual rate of decline of </w:t>
      </w:r>
      <w:r w:rsidR="00BB3BDC" w:rsidRPr="00F74889">
        <w:t>4.1</w:t>
      </w:r>
      <w:r w:rsidR="00CE10A6" w:rsidRPr="00F74889">
        <w:t> per cent</w:t>
      </w:r>
      <w:r w:rsidR="00CE10A6" w:rsidRPr="008C6471">
        <w:t xml:space="preserve"> (table 5A.3</w:t>
      </w:r>
      <w:r w:rsidR="00692E24" w:rsidRPr="008C6471">
        <w:t xml:space="preserve">4 and </w:t>
      </w:r>
      <w:r w:rsidR="00CE10A6" w:rsidRPr="008C6471">
        <w:t xml:space="preserve">figure </w:t>
      </w:r>
      <w:r w:rsidR="003A68D1">
        <w:t>5.18</w:t>
      </w:r>
      <w:r w:rsidR="00CE10A6" w:rsidRPr="008C6471">
        <w:t>)</w:t>
      </w:r>
      <w:r w:rsidR="00B010D3" w:rsidRPr="008C6471">
        <w:t xml:space="preserve">. </w:t>
      </w:r>
    </w:p>
    <w:p w:rsidR="00DD49BC" w:rsidRDefault="00DD49BC" w:rsidP="00137F6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D49BC" w:rsidTr="00A26D57">
        <w:tc>
          <w:tcPr>
            <w:tcW w:w="8771" w:type="dxa"/>
            <w:tcBorders>
              <w:top w:val="single" w:sz="6" w:space="0" w:color="78A22F"/>
              <w:left w:val="nil"/>
              <w:bottom w:val="nil"/>
              <w:right w:val="nil"/>
            </w:tcBorders>
            <w:shd w:val="clear" w:color="auto" w:fill="auto"/>
          </w:tcPr>
          <w:p w:rsidR="00DD49BC" w:rsidRPr="00176D3F" w:rsidRDefault="00DD49BC" w:rsidP="00516044">
            <w:pPr>
              <w:pStyle w:val="FigureTitle"/>
            </w:pPr>
            <w:r w:rsidRPr="00784A05">
              <w:rPr>
                <w:b w:val="0"/>
              </w:rPr>
              <w:t xml:space="preserve">Figure </w:t>
            </w:r>
            <w:bookmarkStart w:id="37" w:name="OLE_LINK26"/>
            <w:r w:rsidR="003A68D1">
              <w:rPr>
                <w:b w:val="0"/>
              </w:rPr>
              <w:t>5.</w:t>
            </w:r>
            <w:r w:rsidR="00111918">
              <w:rPr>
                <w:b w:val="0"/>
                <w:noProof/>
              </w:rPr>
              <w:t>18</w:t>
            </w:r>
            <w:bookmarkEnd w:id="37"/>
            <w:r>
              <w:tab/>
            </w:r>
            <w:r w:rsidRPr="00250878">
              <w:t>Government real recurrent expenditure per annual hour (201</w:t>
            </w:r>
            <w:r w:rsidR="00F9168D">
              <w:t>4</w:t>
            </w:r>
            <w:r w:rsidRPr="00250878">
              <w:t> dollars)</w:t>
            </w:r>
            <w:r w:rsidRPr="00250878">
              <w:rPr>
                <w:rStyle w:val="NoteLabel"/>
                <w:b/>
              </w:rPr>
              <w:t>a</w:t>
            </w:r>
          </w:p>
        </w:tc>
      </w:tr>
      <w:tr w:rsidR="00DD49BC" w:rsidTr="00A26D57">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D49BC" w:rsidTr="00A26D57">
              <w:tc>
                <w:tcPr>
                  <w:tcW w:w="5000" w:type="pct"/>
                  <w:tcBorders>
                    <w:top w:val="nil"/>
                    <w:bottom w:val="nil"/>
                  </w:tcBorders>
                  <w:shd w:val="clear" w:color="auto" w:fill="auto"/>
                </w:tcPr>
                <w:p w:rsidR="00DD49BC" w:rsidRDefault="00303FCA" w:rsidP="00A0558E">
                  <w:pPr>
                    <w:pStyle w:val="Figure"/>
                    <w:spacing w:before="60" w:after="60"/>
                  </w:pPr>
                  <w:r>
                    <w:rPr>
                      <w:noProof/>
                    </w:rPr>
                    <w:drawing>
                      <wp:inline distT="0" distB="0" distL="0" distR="0">
                        <wp:extent cx="5389880" cy="2710815"/>
                        <wp:effectExtent l="0" t="0" r="1270" b="0"/>
                        <wp:docPr id="33" name="Picture 33" descr="Figure 5.18 Government real recurrent expenditure per annual hour (20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DD49BC" w:rsidRDefault="00DD49BC" w:rsidP="00137F60">
            <w:pPr>
              <w:pStyle w:val="Figure"/>
            </w:pPr>
          </w:p>
        </w:tc>
      </w:tr>
      <w:tr w:rsidR="00DD49BC" w:rsidRPr="00176D3F" w:rsidTr="00A26D57">
        <w:tc>
          <w:tcPr>
            <w:tcW w:w="8771" w:type="dxa"/>
            <w:tcBorders>
              <w:top w:val="nil"/>
              <w:left w:val="nil"/>
              <w:bottom w:val="nil"/>
              <w:right w:val="nil"/>
            </w:tcBorders>
            <w:shd w:val="clear" w:color="auto" w:fill="auto"/>
          </w:tcPr>
          <w:p w:rsidR="00461DA8" w:rsidRPr="00461DA8" w:rsidRDefault="002E487B" w:rsidP="002E487B">
            <w:pPr>
              <w:pStyle w:val="Note"/>
            </w:pPr>
            <w:r>
              <w:rPr>
                <w:rStyle w:val="NoteLabel"/>
              </w:rPr>
              <w:t>a</w:t>
            </w:r>
            <w:r>
              <w:t xml:space="preserve"> </w:t>
            </w:r>
            <w:r w:rsidRPr="006D3797">
              <w:t xml:space="preserve">See </w:t>
            </w:r>
            <w:r>
              <w:t xml:space="preserve">box </w:t>
            </w:r>
            <w:r w:rsidR="003A68D1">
              <w:t>5.10</w:t>
            </w:r>
            <w:r>
              <w:t xml:space="preserve"> and table 5A.34</w:t>
            </w:r>
            <w:r w:rsidRPr="006D3797">
              <w:t xml:space="preserve"> for detailed definitions, footnotes and caveats</w:t>
            </w:r>
            <w:r w:rsidR="00B010D3" w:rsidRPr="004B1B81">
              <w:t>.</w:t>
            </w:r>
          </w:p>
        </w:tc>
      </w:tr>
      <w:tr w:rsidR="00DD49BC" w:rsidRPr="00176D3F" w:rsidTr="00137F60">
        <w:tc>
          <w:tcPr>
            <w:tcW w:w="8771" w:type="dxa"/>
            <w:tcBorders>
              <w:top w:val="nil"/>
              <w:left w:val="nil"/>
              <w:bottom w:val="nil"/>
              <w:right w:val="nil"/>
            </w:tcBorders>
            <w:shd w:val="clear" w:color="auto" w:fill="auto"/>
          </w:tcPr>
          <w:p w:rsidR="00DD49BC" w:rsidRPr="00176D3F" w:rsidRDefault="00DD49BC" w:rsidP="00692E24">
            <w:pPr>
              <w:pStyle w:val="Source"/>
            </w:pPr>
            <w:r w:rsidRPr="00171E10">
              <w:rPr>
                <w:i/>
              </w:rPr>
              <w:t>Source</w:t>
            </w:r>
            <w:r w:rsidRPr="00171E10">
              <w:t>: NCVER (unpublished) National financial and VET provider collections; table</w:t>
            </w:r>
            <w:r w:rsidR="00692E24">
              <w:t>s</w:t>
            </w:r>
            <w:r w:rsidRPr="00171E10">
              <w:t xml:space="preserve"> 5A.</w:t>
            </w:r>
            <w:r w:rsidR="00B010D3">
              <w:t>34</w:t>
            </w:r>
            <w:r w:rsidRPr="00171E10">
              <w:t>.</w:t>
            </w:r>
          </w:p>
        </w:tc>
      </w:tr>
      <w:tr w:rsidR="00DD49BC" w:rsidTr="00137F60">
        <w:tc>
          <w:tcPr>
            <w:tcW w:w="8771" w:type="dxa"/>
            <w:tcBorders>
              <w:top w:val="nil"/>
              <w:left w:val="nil"/>
              <w:bottom w:val="single" w:sz="6" w:space="0" w:color="78A22F"/>
              <w:right w:val="nil"/>
            </w:tcBorders>
            <w:shd w:val="clear" w:color="auto" w:fill="auto"/>
          </w:tcPr>
          <w:p w:rsidR="00DD49BC" w:rsidRDefault="00DD49BC" w:rsidP="00137F60">
            <w:pPr>
              <w:pStyle w:val="Figurespace"/>
            </w:pPr>
          </w:p>
        </w:tc>
      </w:tr>
      <w:tr w:rsidR="00DD49BC" w:rsidRPr="000863A5" w:rsidTr="00137F60">
        <w:tc>
          <w:tcPr>
            <w:tcW w:w="8771" w:type="dxa"/>
            <w:tcBorders>
              <w:top w:val="single" w:sz="6" w:space="0" w:color="78A22F"/>
              <w:left w:val="nil"/>
              <w:bottom w:val="nil"/>
              <w:right w:val="nil"/>
            </w:tcBorders>
          </w:tcPr>
          <w:p w:rsidR="00DD49BC" w:rsidRPr="00626D32" w:rsidRDefault="00DD49BC" w:rsidP="00137F60">
            <w:pPr>
              <w:pStyle w:val="BoxSpaceBelow"/>
            </w:pPr>
          </w:p>
        </w:tc>
      </w:tr>
    </w:tbl>
    <w:p w:rsidR="006148D2" w:rsidRPr="000C682B" w:rsidRDefault="00382DB9" w:rsidP="00382DB9">
      <w:pPr>
        <w:pStyle w:val="Heading4"/>
      </w:pPr>
      <w:r>
        <w:t xml:space="preserve">Inputs per output — </w:t>
      </w:r>
      <w:r w:rsidR="006148D2" w:rsidRPr="000C682B">
        <w:t>Government recurrent expenditure per load pass</w:t>
      </w:r>
    </w:p>
    <w:p w:rsidR="00C57336" w:rsidRDefault="00FF125D" w:rsidP="006148D2">
      <w:pPr>
        <w:pStyle w:val="BodyText"/>
      </w:pPr>
      <w:r w:rsidRPr="00EF5A5F">
        <w:t xml:space="preserve">‘Government recurrent expenditure per load pass’ is an indicator of </w:t>
      </w:r>
      <w:r w:rsidR="00F52645" w:rsidRPr="00EF5A5F">
        <w:t>governments’ objective to provide VET services in an efficient manner.</w:t>
      </w:r>
      <w:r w:rsidRPr="00EF5A5F">
        <w:t xml:space="preserve"> It is the cost to government of each successfully completed VET module or unit of competency </w:t>
      </w:r>
      <w:r w:rsidR="00C57336" w:rsidRPr="00EF5A5F">
        <w:t xml:space="preserve">(box </w:t>
      </w:r>
      <w:r w:rsidR="003A68D1">
        <w:t>5.11</w:t>
      </w:r>
      <w:r w:rsidR="00C57336" w:rsidRPr="00EF5A5F">
        <w:t xml:space="preserve">). </w:t>
      </w:r>
    </w:p>
    <w:p w:rsidR="00DD49BC" w:rsidRDefault="00DD49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D49BC" w:rsidTr="00137F60">
        <w:tc>
          <w:tcPr>
            <w:tcW w:w="8771" w:type="dxa"/>
            <w:tcBorders>
              <w:top w:val="single" w:sz="6" w:space="0" w:color="78A22F"/>
              <w:left w:val="nil"/>
              <w:bottom w:val="nil"/>
              <w:right w:val="nil"/>
            </w:tcBorders>
            <w:shd w:val="clear" w:color="auto" w:fill="F2F2F2" w:themeFill="background1" w:themeFillShade="F2"/>
          </w:tcPr>
          <w:p w:rsidR="00DD49BC" w:rsidRDefault="00DD49BC" w:rsidP="00DD49BC">
            <w:pPr>
              <w:pStyle w:val="BoxTitle"/>
            </w:pPr>
            <w:r>
              <w:rPr>
                <w:b w:val="0"/>
              </w:rPr>
              <w:t xml:space="preserve">Box </w:t>
            </w:r>
            <w:bookmarkStart w:id="38" w:name="OLE_LINK25"/>
            <w:r w:rsidR="003A68D1">
              <w:rPr>
                <w:b w:val="0"/>
              </w:rPr>
              <w:t>5.</w:t>
            </w:r>
            <w:r w:rsidR="00111918">
              <w:rPr>
                <w:b w:val="0"/>
                <w:noProof/>
              </w:rPr>
              <w:t>11</w:t>
            </w:r>
            <w:bookmarkEnd w:id="38"/>
            <w:r>
              <w:tab/>
            </w:r>
            <w:r w:rsidRPr="00EF5A5F">
              <w:t>Government recurrent expenditure per load pass</w:t>
            </w:r>
          </w:p>
        </w:tc>
      </w:tr>
      <w:tr w:rsidR="00DD49BC" w:rsidTr="00137F60">
        <w:trPr>
          <w:cantSplit/>
        </w:trPr>
        <w:tc>
          <w:tcPr>
            <w:tcW w:w="8771" w:type="dxa"/>
            <w:tcBorders>
              <w:top w:val="nil"/>
              <w:left w:val="nil"/>
              <w:bottom w:val="nil"/>
              <w:right w:val="nil"/>
            </w:tcBorders>
            <w:shd w:val="clear" w:color="auto" w:fill="F2F2F2" w:themeFill="background1" w:themeFillShade="F2"/>
          </w:tcPr>
          <w:p w:rsidR="00DD49BC" w:rsidRPr="00EF5A5F" w:rsidRDefault="00DD49BC" w:rsidP="00137F60">
            <w:pPr>
              <w:pStyle w:val="Box"/>
            </w:pPr>
            <w:r w:rsidRPr="00EF5A5F">
              <w:t xml:space="preserve">‘Government recurrent expenditure per load pass’ is defined as government recurrent expenditure (as defined in box </w:t>
            </w:r>
            <w:r w:rsidR="003A68D1">
              <w:t>5.9</w:t>
            </w:r>
            <w:r w:rsidRPr="00EF5A5F">
              <w:t xml:space="preserve">) divided by hours of </w:t>
            </w:r>
            <w:r>
              <w:t>government</w:t>
            </w:r>
            <w:r w:rsidRPr="00EF5A5F">
              <w:t xml:space="preserve"> funded load pass. Load pass is based on assessable enrolments of modules and units of competency achieved/passed and </w:t>
            </w:r>
            <w:r w:rsidR="00AE2629">
              <w:t>recognition of prior learning</w:t>
            </w:r>
            <w:r w:rsidRPr="00EF5A5F">
              <w:t>, and does not include non</w:t>
            </w:r>
            <w:r w:rsidR="00AD5F7E">
              <w:noBreakHyphen/>
            </w:r>
            <w:r w:rsidRPr="00EF5A5F">
              <w:t>assessable enrolments.</w:t>
            </w:r>
          </w:p>
          <w:p w:rsidR="00DD49BC" w:rsidRPr="00EF5A5F" w:rsidRDefault="00DD49BC" w:rsidP="00137F60">
            <w:pPr>
              <w:pStyle w:val="Box"/>
            </w:pPr>
            <w:r w:rsidRPr="00EF5A5F">
              <w:t>Low or decreasing unit costs can indicate efficient delivery of VET services per successfully completed load pass hour. The factors that have the greatest impact on efficiency include:</w:t>
            </w:r>
          </w:p>
          <w:p w:rsidR="00DD49BC" w:rsidRPr="00EF5A5F" w:rsidRDefault="00DD49BC" w:rsidP="00137F60">
            <w:pPr>
              <w:pStyle w:val="BoxListBullet"/>
            </w:pPr>
            <w:r w:rsidRPr="00EF5A5F">
              <w:t>training related factors, such as class sizes, teaching salaries, teaching hours per full time equivalent staff member, and differences in the length of training programs</w:t>
            </w:r>
          </w:p>
          <w:p w:rsidR="00DD49BC" w:rsidRPr="00EF5A5F" w:rsidRDefault="00DD49BC" w:rsidP="00137F60">
            <w:pPr>
              <w:pStyle w:val="BoxListBullet"/>
            </w:pPr>
            <w:r w:rsidRPr="00EF5A5F">
              <w:t>differences across jurisdictions, including socio</w:t>
            </w:r>
            <w:r w:rsidR="00AD5F7E">
              <w:noBreakHyphen/>
            </w:r>
            <w:r w:rsidRPr="00EF5A5F">
              <w:t>demographic composition, administrative scale, and dispersion and scale of service delivery</w:t>
            </w:r>
          </w:p>
          <w:p w:rsidR="00DD49BC" w:rsidRPr="00EF5A5F" w:rsidRDefault="00DD49BC" w:rsidP="00137F60">
            <w:pPr>
              <w:pStyle w:val="BoxListBullet"/>
            </w:pPr>
            <w:r w:rsidRPr="00EF5A5F">
              <w:t>VET policies and practices, including the level of fees and charges paid by students.</w:t>
            </w:r>
          </w:p>
          <w:p w:rsidR="00DD49BC" w:rsidRDefault="00DD49BC" w:rsidP="00137F60">
            <w:pPr>
              <w:pStyle w:val="Box"/>
            </w:pPr>
            <w:r>
              <w:t xml:space="preserve">Data reported for this measure are </w:t>
            </w:r>
          </w:p>
          <w:p w:rsidR="00DD49BC" w:rsidRDefault="00DD49BC" w:rsidP="00137F60">
            <w:pPr>
              <w:pStyle w:val="BoxListBullet"/>
            </w:pPr>
            <w:r>
              <w:t>comparable (subject to caveats) across jurisdictions and over time</w:t>
            </w:r>
          </w:p>
          <w:p w:rsidR="00DD49BC" w:rsidRDefault="00DD49BC" w:rsidP="00137F60">
            <w:pPr>
              <w:pStyle w:val="BoxListBullet"/>
            </w:pPr>
            <w:r>
              <w:t xml:space="preserve">complete for the current reporting period (subject to caveats). </w:t>
            </w:r>
            <w:r w:rsidR="009D4117">
              <w:t>All required 2014</w:t>
            </w:r>
            <w:r>
              <w:t xml:space="preserve"> data are available for all jurisdictions providing the service.</w:t>
            </w:r>
          </w:p>
          <w:p w:rsidR="00DD49BC" w:rsidRPr="00EF5A5F" w:rsidRDefault="00DD49BC" w:rsidP="00BA3094">
            <w:pPr>
              <w:pStyle w:val="Box"/>
            </w:pPr>
            <w:r w:rsidRPr="00EF5A5F">
              <w:t xml:space="preserve">Data quality information for this indicator </w:t>
            </w:r>
            <w:r w:rsidR="006E0D24">
              <w:t>is at www.pc.gov.au/</w:t>
            </w:r>
            <w:r w:rsidRPr="00EF5A5F">
              <w:t>rogs/</w:t>
            </w:r>
            <w:r>
              <w:t>201</w:t>
            </w:r>
            <w:r w:rsidR="00BA3094">
              <w:t>6</w:t>
            </w:r>
            <w:r w:rsidRPr="00EF5A5F">
              <w:t>.</w:t>
            </w:r>
          </w:p>
        </w:tc>
      </w:tr>
      <w:tr w:rsidR="00DD49BC" w:rsidTr="00137F60">
        <w:trPr>
          <w:cantSplit/>
        </w:trPr>
        <w:tc>
          <w:tcPr>
            <w:tcW w:w="8771" w:type="dxa"/>
            <w:tcBorders>
              <w:top w:val="nil"/>
              <w:left w:val="nil"/>
              <w:bottom w:val="single" w:sz="6" w:space="0" w:color="78A22F"/>
              <w:right w:val="nil"/>
            </w:tcBorders>
            <w:shd w:val="clear" w:color="auto" w:fill="F2F2F2" w:themeFill="background1" w:themeFillShade="F2"/>
          </w:tcPr>
          <w:p w:rsidR="00DD49BC" w:rsidRDefault="00DD49BC">
            <w:pPr>
              <w:pStyle w:val="Box"/>
              <w:spacing w:before="0" w:line="120" w:lineRule="exact"/>
            </w:pPr>
          </w:p>
        </w:tc>
      </w:tr>
      <w:tr w:rsidR="00DD49BC" w:rsidRPr="000863A5" w:rsidTr="00137F60">
        <w:tc>
          <w:tcPr>
            <w:tcW w:w="8771" w:type="dxa"/>
            <w:tcBorders>
              <w:top w:val="single" w:sz="6" w:space="0" w:color="78A22F"/>
              <w:left w:val="nil"/>
              <w:bottom w:val="nil"/>
              <w:right w:val="nil"/>
            </w:tcBorders>
          </w:tcPr>
          <w:p w:rsidR="00DD49BC" w:rsidRPr="00626D32" w:rsidRDefault="00DD49BC" w:rsidP="00137F60">
            <w:pPr>
              <w:pStyle w:val="BoxSpaceBelow"/>
            </w:pPr>
          </w:p>
        </w:tc>
      </w:tr>
    </w:tbl>
    <w:p w:rsidR="00C57336" w:rsidRDefault="00C57336" w:rsidP="00AD6D24">
      <w:pPr>
        <w:pStyle w:val="BodyText"/>
      </w:pPr>
      <w:r w:rsidRPr="006C5A10">
        <w:t xml:space="preserve">Government </w:t>
      </w:r>
      <w:r w:rsidR="00280F08" w:rsidRPr="006C5A10">
        <w:t xml:space="preserve">real </w:t>
      </w:r>
      <w:r w:rsidR="00930286" w:rsidRPr="006C5A10">
        <w:t xml:space="preserve">recurrent </w:t>
      </w:r>
      <w:r w:rsidRPr="006C5A10">
        <w:t xml:space="preserve">expenditure per load pass hour in </w:t>
      </w:r>
      <w:r w:rsidR="00CE6D0B" w:rsidRPr="006C5A10">
        <w:t>201</w:t>
      </w:r>
      <w:r w:rsidR="00B010D3">
        <w:t>4</w:t>
      </w:r>
      <w:r w:rsidR="00CE6D0B" w:rsidRPr="006C5A10">
        <w:t xml:space="preserve"> </w:t>
      </w:r>
      <w:r w:rsidRPr="006C5A10">
        <w:t xml:space="preserve">was </w:t>
      </w:r>
      <w:r w:rsidR="00227C8D" w:rsidRPr="00A26D57">
        <w:t>$</w:t>
      </w:r>
      <w:r w:rsidR="00B010D3">
        <w:t>13.66</w:t>
      </w:r>
      <w:r w:rsidR="009E096A">
        <w:t xml:space="preserve"> </w:t>
      </w:r>
      <w:r w:rsidRPr="006C5A10">
        <w:t>nationally</w:t>
      </w:r>
      <w:r w:rsidR="00235488" w:rsidRPr="006C5A10">
        <w:t>, a</w:t>
      </w:r>
      <w:r w:rsidRPr="006C5A10">
        <w:t xml:space="preserve"> </w:t>
      </w:r>
      <w:r w:rsidR="009E096A" w:rsidRPr="00A26D57">
        <w:t>decreas</w:t>
      </w:r>
      <w:r w:rsidRPr="00A26D57">
        <w:t>e</w:t>
      </w:r>
      <w:r w:rsidRPr="006C5A10">
        <w:t xml:space="preserve"> from </w:t>
      </w:r>
      <w:r w:rsidR="00227C8D" w:rsidRPr="00A26D57">
        <w:t>$</w:t>
      </w:r>
      <w:r w:rsidR="009E096A" w:rsidRPr="00A26D57">
        <w:t>15.</w:t>
      </w:r>
      <w:r w:rsidR="00B010D3">
        <w:t>54</w:t>
      </w:r>
      <w:r w:rsidR="009E096A">
        <w:t xml:space="preserve"> </w:t>
      </w:r>
      <w:r w:rsidRPr="006C5A10">
        <w:t xml:space="preserve">in </w:t>
      </w:r>
      <w:r w:rsidR="00CE6D0B" w:rsidRPr="00F74889">
        <w:t>201</w:t>
      </w:r>
      <w:r w:rsidR="008C6471" w:rsidRPr="00F74889">
        <w:t>3</w:t>
      </w:r>
      <w:r w:rsidR="00CE6D0B" w:rsidRPr="00655E39">
        <w:t xml:space="preserve"> </w:t>
      </w:r>
      <w:r w:rsidR="002F6FE7" w:rsidRPr="00655E39">
        <w:t>a</w:t>
      </w:r>
      <w:r w:rsidR="002F6FE7" w:rsidRPr="006C5A10">
        <w:t xml:space="preserve">nd </w:t>
      </w:r>
      <w:r w:rsidR="00782F69" w:rsidRPr="006C5A10">
        <w:t xml:space="preserve">from </w:t>
      </w:r>
      <w:r w:rsidR="00782F69" w:rsidRPr="00A26D57">
        <w:t>$</w:t>
      </w:r>
      <w:r w:rsidR="00B010D3">
        <w:t>22.39</w:t>
      </w:r>
      <w:r w:rsidR="009E096A">
        <w:t xml:space="preserve"> </w:t>
      </w:r>
      <w:r w:rsidR="002F6FE7" w:rsidRPr="006C5A10">
        <w:t xml:space="preserve">in </w:t>
      </w:r>
      <w:r w:rsidR="00CE6D0B" w:rsidRPr="006C5A10">
        <w:t>200</w:t>
      </w:r>
      <w:r w:rsidR="00B010D3">
        <w:t>5</w:t>
      </w:r>
      <w:r w:rsidR="007E7322">
        <w:t xml:space="preserve"> </w:t>
      </w:r>
      <w:r w:rsidR="00235488" w:rsidRPr="00EF5A5F">
        <w:t>(figure</w:t>
      </w:r>
      <w:r w:rsidR="001803EF">
        <w:t xml:space="preserve"> </w:t>
      </w:r>
      <w:r w:rsidR="003A68D1">
        <w:t>5.19</w:t>
      </w:r>
      <w:r w:rsidR="00305403" w:rsidRPr="00EF5A5F">
        <w:t xml:space="preserve"> and table 5A.</w:t>
      </w:r>
      <w:r w:rsidR="00B010D3">
        <w:t>35</w:t>
      </w:r>
      <w:r w:rsidR="00B208DC" w:rsidRPr="00EF5A5F">
        <w:t>).</w:t>
      </w:r>
    </w:p>
    <w:p w:rsidR="00DD49BC" w:rsidRDefault="00DD49BC" w:rsidP="00137F6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D49BC" w:rsidTr="00A26D57">
        <w:tc>
          <w:tcPr>
            <w:tcW w:w="8771" w:type="dxa"/>
            <w:tcBorders>
              <w:top w:val="single" w:sz="6" w:space="0" w:color="78A22F"/>
              <w:left w:val="nil"/>
              <w:bottom w:val="nil"/>
              <w:right w:val="nil"/>
            </w:tcBorders>
            <w:shd w:val="clear" w:color="auto" w:fill="auto"/>
          </w:tcPr>
          <w:p w:rsidR="00DD49BC" w:rsidRPr="00176D3F" w:rsidRDefault="00DD49BC" w:rsidP="00516044">
            <w:pPr>
              <w:pStyle w:val="FigureTitle"/>
            </w:pPr>
            <w:r w:rsidRPr="00784A05">
              <w:rPr>
                <w:b w:val="0"/>
              </w:rPr>
              <w:t xml:space="preserve">Figure </w:t>
            </w:r>
            <w:bookmarkStart w:id="39" w:name="OLE_LINK27"/>
            <w:r w:rsidR="003A68D1">
              <w:rPr>
                <w:b w:val="0"/>
              </w:rPr>
              <w:t>5.</w:t>
            </w:r>
            <w:r w:rsidR="00111918">
              <w:rPr>
                <w:b w:val="0"/>
                <w:noProof/>
              </w:rPr>
              <w:t>19</w:t>
            </w:r>
            <w:bookmarkEnd w:id="39"/>
            <w:r>
              <w:tab/>
            </w:r>
            <w:r w:rsidRPr="00171E10">
              <w:t xml:space="preserve">Government real recurrent expenditure per hour of load pass </w:t>
            </w:r>
            <w:r w:rsidR="00516044">
              <w:t>(2014</w:t>
            </w:r>
            <w:r w:rsidRPr="00171E10">
              <w:t> dollars)</w:t>
            </w:r>
            <w:r w:rsidRPr="00171E10">
              <w:rPr>
                <w:rStyle w:val="NoteLabel"/>
                <w:b/>
              </w:rPr>
              <w:t>a</w:t>
            </w:r>
            <w:r w:rsidR="00CA7F9D">
              <w:rPr>
                <w:rStyle w:val="NoteLabel"/>
                <w:b/>
              </w:rPr>
              <w:t xml:space="preserve"> </w:t>
            </w:r>
          </w:p>
        </w:tc>
      </w:tr>
      <w:tr w:rsidR="00DD49BC" w:rsidTr="00A26D57">
        <w:tc>
          <w:tcPr>
            <w:tcW w:w="8771" w:type="dxa"/>
            <w:tcBorders>
              <w:top w:val="nil"/>
              <w:left w:val="nil"/>
              <w:bottom w:val="nil"/>
              <w:right w:val="nil"/>
            </w:tcBorders>
            <w:shd w:val="clear" w:color="auto" w:fill="auto"/>
            <w:tcMar>
              <w:top w:w="28" w:type="dxa"/>
              <w:bottom w:w="28" w:type="dxa"/>
            </w:tcMar>
          </w:tcPr>
          <w:tbl>
            <w:tblPr>
              <w:tblW w:w="5000" w:type="pct"/>
              <w:tblLayout w:type="fixed"/>
              <w:tblCellMar>
                <w:top w:w="28" w:type="dxa"/>
                <w:left w:w="0" w:type="dxa"/>
                <w:right w:w="0" w:type="dxa"/>
              </w:tblCellMar>
              <w:tblLook w:val="0000" w:firstRow="0" w:lastRow="0" w:firstColumn="0" w:lastColumn="0" w:noHBand="0" w:noVBand="0"/>
            </w:tblPr>
            <w:tblGrid>
              <w:gridCol w:w="8487"/>
            </w:tblGrid>
            <w:tr w:rsidR="00DD49BC" w:rsidTr="00A26D57">
              <w:tc>
                <w:tcPr>
                  <w:tcW w:w="5000" w:type="pct"/>
                </w:tcPr>
                <w:p w:rsidR="00DD49BC" w:rsidRDefault="00303FCA" w:rsidP="00A0558E">
                  <w:pPr>
                    <w:pStyle w:val="Figure"/>
                    <w:spacing w:before="60" w:after="60"/>
                  </w:pPr>
                  <w:r>
                    <w:rPr>
                      <w:noProof/>
                    </w:rPr>
                    <w:drawing>
                      <wp:inline distT="0" distB="0" distL="0" distR="0">
                        <wp:extent cx="5292725" cy="2710815"/>
                        <wp:effectExtent l="0" t="0" r="3175" b="0"/>
                        <wp:docPr id="34" name="Picture 34" descr="Figure 5.19 Government real recurrent expenditure per hour of load pass (20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292725" cy="2710815"/>
                                </a:xfrm>
                                <a:prstGeom prst="rect">
                                  <a:avLst/>
                                </a:prstGeom>
                                <a:noFill/>
                                <a:ln>
                                  <a:noFill/>
                                </a:ln>
                              </pic:spPr>
                            </pic:pic>
                          </a:graphicData>
                        </a:graphic>
                      </wp:inline>
                    </w:drawing>
                  </w:r>
                </w:p>
              </w:tc>
            </w:tr>
          </w:tbl>
          <w:p w:rsidR="00DD49BC" w:rsidRDefault="00DD49BC" w:rsidP="00137F60">
            <w:pPr>
              <w:pStyle w:val="Figure"/>
            </w:pPr>
          </w:p>
        </w:tc>
      </w:tr>
      <w:tr w:rsidR="00DD49BC" w:rsidRPr="00176D3F" w:rsidTr="00137F60">
        <w:tc>
          <w:tcPr>
            <w:tcW w:w="8771" w:type="dxa"/>
            <w:tcBorders>
              <w:top w:val="nil"/>
              <w:left w:val="nil"/>
              <w:bottom w:val="nil"/>
              <w:right w:val="nil"/>
            </w:tcBorders>
            <w:shd w:val="clear" w:color="auto" w:fill="auto"/>
          </w:tcPr>
          <w:p w:rsidR="00DD49BC" w:rsidRPr="00176D3F" w:rsidRDefault="002E487B" w:rsidP="002E487B">
            <w:pPr>
              <w:pStyle w:val="Note"/>
            </w:pPr>
            <w:r>
              <w:rPr>
                <w:rStyle w:val="NoteLabel"/>
              </w:rPr>
              <w:t>a</w:t>
            </w:r>
            <w:r>
              <w:t xml:space="preserve"> </w:t>
            </w:r>
            <w:r w:rsidRPr="006D3797">
              <w:t xml:space="preserve">See box </w:t>
            </w:r>
            <w:r w:rsidR="003A68D1">
              <w:t>5.11</w:t>
            </w:r>
            <w:r>
              <w:t xml:space="preserve"> and table 5A.35 </w:t>
            </w:r>
            <w:r w:rsidRPr="006D3797">
              <w:t>for detailed definitions, footnotes and caveats</w:t>
            </w:r>
            <w:r w:rsidR="00B010D3" w:rsidRPr="004B1B81">
              <w:t>.</w:t>
            </w:r>
          </w:p>
        </w:tc>
      </w:tr>
      <w:tr w:rsidR="00DD49BC" w:rsidRPr="00176D3F" w:rsidTr="00137F60">
        <w:tc>
          <w:tcPr>
            <w:tcW w:w="8771" w:type="dxa"/>
            <w:tcBorders>
              <w:top w:val="nil"/>
              <w:left w:val="nil"/>
              <w:bottom w:val="nil"/>
              <w:right w:val="nil"/>
            </w:tcBorders>
            <w:shd w:val="clear" w:color="auto" w:fill="auto"/>
          </w:tcPr>
          <w:p w:rsidR="00DD49BC" w:rsidRPr="00176D3F" w:rsidRDefault="00DD49BC" w:rsidP="00B010D3">
            <w:pPr>
              <w:pStyle w:val="Source"/>
            </w:pPr>
            <w:r w:rsidRPr="00171E10">
              <w:rPr>
                <w:i/>
              </w:rPr>
              <w:t>Source</w:t>
            </w:r>
            <w:r w:rsidRPr="00AD5F7E">
              <w:t>:</w:t>
            </w:r>
            <w:r w:rsidRPr="00171E10">
              <w:t xml:space="preserve"> NCVER (unpublished) National financial and VET provider collections; table 5A.</w:t>
            </w:r>
            <w:r w:rsidR="00B010D3">
              <w:t>35</w:t>
            </w:r>
            <w:r w:rsidRPr="00171E10">
              <w:t>.</w:t>
            </w:r>
          </w:p>
        </w:tc>
      </w:tr>
      <w:tr w:rsidR="00DD49BC" w:rsidTr="00137F60">
        <w:tc>
          <w:tcPr>
            <w:tcW w:w="8771" w:type="dxa"/>
            <w:tcBorders>
              <w:top w:val="nil"/>
              <w:left w:val="nil"/>
              <w:bottom w:val="single" w:sz="6" w:space="0" w:color="78A22F"/>
              <w:right w:val="nil"/>
            </w:tcBorders>
            <w:shd w:val="clear" w:color="auto" w:fill="auto"/>
          </w:tcPr>
          <w:p w:rsidR="00DD49BC" w:rsidRDefault="00DD49BC" w:rsidP="00137F60">
            <w:pPr>
              <w:pStyle w:val="Figurespace"/>
            </w:pPr>
          </w:p>
        </w:tc>
      </w:tr>
      <w:tr w:rsidR="00DD49BC" w:rsidRPr="000863A5" w:rsidTr="00137F60">
        <w:tc>
          <w:tcPr>
            <w:tcW w:w="8771" w:type="dxa"/>
            <w:tcBorders>
              <w:top w:val="single" w:sz="6" w:space="0" w:color="78A22F"/>
              <w:left w:val="nil"/>
              <w:bottom w:val="nil"/>
              <w:right w:val="nil"/>
            </w:tcBorders>
          </w:tcPr>
          <w:p w:rsidR="00DD49BC" w:rsidRPr="00626D32" w:rsidRDefault="00DD49BC" w:rsidP="00137F60">
            <w:pPr>
              <w:pStyle w:val="BoxSpaceBelow"/>
            </w:pPr>
          </w:p>
        </w:tc>
      </w:tr>
    </w:tbl>
    <w:p w:rsidR="00C57336" w:rsidRPr="00EF5A5F" w:rsidRDefault="00382DB9" w:rsidP="00382DB9">
      <w:pPr>
        <w:pStyle w:val="Heading4"/>
      </w:pPr>
      <w:r>
        <w:lastRenderedPageBreak/>
        <w:t xml:space="preserve">Inputs per output — </w:t>
      </w:r>
      <w:r w:rsidR="00142638" w:rsidRPr="00EF5A5F">
        <w:t>User c</w:t>
      </w:r>
      <w:r w:rsidR="003B68FC" w:rsidRPr="00EF5A5F">
        <w:t xml:space="preserve">ost of capital per annual hour </w:t>
      </w:r>
    </w:p>
    <w:p w:rsidR="00C57336" w:rsidRDefault="00295628" w:rsidP="009621D0">
      <w:pPr>
        <w:pStyle w:val="BodyText"/>
      </w:pPr>
      <w:r w:rsidRPr="00EF5A5F">
        <w:t>‘</w:t>
      </w:r>
      <w:r w:rsidR="00142638" w:rsidRPr="00EF5A5F">
        <w:t>User c</w:t>
      </w:r>
      <w:r w:rsidRPr="00EF5A5F">
        <w:t xml:space="preserve">ost of capital per annual hour’ is an indicator of </w:t>
      </w:r>
      <w:r w:rsidR="00B77C37" w:rsidRPr="00EF5A5F">
        <w:t>governments’ objective to provide VET services in an efficient manner</w:t>
      </w:r>
      <w:r w:rsidRPr="00EF5A5F">
        <w:t xml:space="preserve">. The </w:t>
      </w:r>
      <w:r w:rsidR="00142638" w:rsidRPr="00EF5A5F">
        <w:t>user cost of capital</w:t>
      </w:r>
      <w:r w:rsidRPr="00EF5A5F">
        <w:t xml:space="preserve"> is included in estimates of the cost of government services because it reflects the opportu</w:t>
      </w:r>
      <w:r w:rsidR="0003011D">
        <w:t xml:space="preserve">nity cost of government assets </w:t>
      </w:r>
      <w:r w:rsidR="00C57336" w:rsidRPr="00EF5A5F">
        <w:t xml:space="preserve">(box </w:t>
      </w:r>
      <w:r w:rsidR="003A68D1">
        <w:t>5.12</w:t>
      </w:r>
      <w:r w:rsidR="00C57336" w:rsidRPr="00EF5A5F">
        <w:t xml:space="preserve">). </w:t>
      </w:r>
    </w:p>
    <w:p w:rsidR="00DD49BC" w:rsidRDefault="00DD49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D49BC" w:rsidTr="00137F60">
        <w:tc>
          <w:tcPr>
            <w:tcW w:w="8771" w:type="dxa"/>
            <w:tcBorders>
              <w:top w:val="single" w:sz="6" w:space="0" w:color="78A22F"/>
              <w:left w:val="nil"/>
              <w:bottom w:val="nil"/>
              <w:right w:val="nil"/>
            </w:tcBorders>
            <w:shd w:val="clear" w:color="auto" w:fill="F2F2F2" w:themeFill="background1" w:themeFillShade="F2"/>
          </w:tcPr>
          <w:p w:rsidR="00DD49BC" w:rsidRDefault="00DD49BC" w:rsidP="00DD49BC">
            <w:pPr>
              <w:pStyle w:val="BoxTitle"/>
            </w:pPr>
            <w:r>
              <w:rPr>
                <w:b w:val="0"/>
              </w:rPr>
              <w:t xml:space="preserve">Box </w:t>
            </w:r>
            <w:bookmarkStart w:id="40" w:name="OLE_LINK22"/>
            <w:r w:rsidR="003A68D1">
              <w:rPr>
                <w:b w:val="0"/>
              </w:rPr>
              <w:t>5.</w:t>
            </w:r>
            <w:r w:rsidR="00111918">
              <w:rPr>
                <w:b w:val="0"/>
                <w:noProof/>
              </w:rPr>
              <w:t>12</w:t>
            </w:r>
            <w:bookmarkEnd w:id="40"/>
            <w:r>
              <w:tab/>
            </w:r>
            <w:r w:rsidRPr="00EF5A5F">
              <w:t>User cost of capital per annual hour</w:t>
            </w:r>
          </w:p>
        </w:tc>
      </w:tr>
      <w:tr w:rsidR="00DD49BC" w:rsidTr="00137F60">
        <w:trPr>
          <w:cantSplit/>
        </w:trPr>
        <w:tc>
          <w:tcPr>
            <w:tcW w:w="8771" w:type="dxa"/>
            <w:tcBorders>
              <w:top w:val="nil"/>
              <w:left w:val="nil"/>
              <w:bottom w:val="nil"/>
              <w:right w:val="nil"/>
            </w:tcBorders>
            <w:shd w:val="clear" w:color="auto" w:fill="F2F2F2" w:themeFill="background1" w:themeFillShade="F2"/>
          </w:tcPr>
          <w:p w:rsidR="00DD49BC" w:rsidRPr="00EF5A5F" w:rsidRDefault="00DD49BC" w:rsidP="00137F60">
            <w:pPr>
              <w:pStyle w:val="Box"/>
            </w:pPr>
            <w:r w:rsidRPr="00EF5A5F">
              <w:t>‘User cost of capital per annual hour’ is defined as the user cost of capital (adjusted for course mix weight) divided by government funded annual hours. User cost of capital is 8 per cent of the value of total physical non</w:t>
            </w:r>
            <w:r w:rsidR="00AD5F7E">
              <w:noBreakHyphen/>
            </w:r>
            <w:r w:rsidRPr="00EF5A5F">
              <w:t xml:space="preserve">current assets. Annual hours are the total hours of delivery based on the standard nominal hour value for each subject undertaken. These represent the hours of supervised training under a traditional delivery strategy. </w:t>
            </w:r>
          </w:p>
          <w:p w:rsidR="00DD49BC" w:rsidRPr="00EF5A5F" w:rsidRDefault="00DD49BC" w:rsidP="00137F60">
            <w:pPr>
              <w:pStyle w:val="Box"/>
            </w:pPr>
            <w:r w:rsidRPr="00EF5A5F">
              <w:t xml:space="preserve">Low or decreasing total costs per annual hour can reflect higher efficiency in the delivery of VET services. </w:t>
            </w:r>
          </w:p>
          <w:p w:rsidR="00DD49BC" w:rsidRDefault="00DD49BC" w:rsidP="00137F60">
            <w:pPr>
              <w:pStyle w:val="Box"/>
            </w:pPr>
            <w:r w:rsidRPr="00EF5A5F">
              <w:t xml:space="preserve">User cost of capital per annual hour </w:t>
            </w:r>
            <w:r w:rsidR="00CA7F9D">
              <w:t>should</w:t>
            </w:r>
            <w:r w:rsidRPr="00EF5A5F">
              <w:t xml:space="preserve"> be interpreted carefully because low unit costs may not necessarily reflect a lessening of quality. Differences in some input costs (for example, land values) can affect reported costs across jurisdictions without necessarily reflecting the efficiency of service delivery. The user cost of capital for land is presented separately from the cost of other assets, to allow users assessing the results to consider any differences in land values across jurisdictions. The basis for the 8 per cent capital charge is discussed in chapter </w:t>
            </w:r>
            <w:r>
              <w:t>1</w:t>
            </w:r>
            <w:r w:rsidRPr="00EF5A5F">
              <w:t>.</w:t>
            </w:r>
          </w:p>
          <w:p w:rsidR="007324F6" w:rsidRDefault="007324F6" w:rsidP="00F74889">
            <w:pPr>
              <w:pStyle w:val="Box"/>
            </w:pPr>
            <w:r>
              <w:t>The user cost of capital may be affected by the movement of TAFE institutes (or their assets) between government and non</w:t>
            </w:r>
            <w:r w:rsidR="00AD5F7E">
              <w:noBreakHyphen/>
            </w:r>
            <w:r>
              <w:t xml:space="preserve">government sector. </w:t>
            </w:r>
          </w:p>
          <w:p w:rsidR="00DD49BC" w:rsidRPr="00EF5A5F" w:rsidRDefault="00DD49BC" w:rsidP="00137F60">
            <w:pPr>
              <w:pStyle w:val="Box"/>
            </w:pPr>
            <w:r w:rsidRPr="009F0F4A">
              <w:t>User cost of capital per annual hour is adjusted for course mix differences across jurisdictions (more i</w:t>
            </w:r>
            <w:r w:rsidRPr="00FD3D47">
              <w:t>nformation is provided in box 5.6)</w:t>
            </w:r>
            <w:r w:rsidRPr="00EF5A5F">
              <w:t>.</w:t>
            </w:r>
          </w:p>
          <w:p w:rsidR="00DD49BC" w:rsidRDefault="00DD49BC" w:rsidP="00137F60">
            <w:pPr>
              <w:pStyle w:val="Box"/>
            </w:pPr>
            <w:r>
              <w:t xml:space="preserve">Data reported for this measure are </w:t>
            </w:r>
          </w:p>
          <w:p w:rsidR="00DD49BC" w:rsidRDefault="00DD49BC" w:rsidP="00137F60">
            <w:pPr>
              <w:pStyle w:val="BoxListBullet"/>
            </w:pPr>
            <w:r>
              <w:t>comparable (subject to caveats) across jurisdictions and over time</w:t>
            </w:r>
          </w:p>
          <w:p w:rsidR="00DD49BC" w:rsidRDefault="00DD49BC" w:rsidP="00137F60">
            <w:pPr>
              <w:pStyle w:val="BoxListBullet"/>
            </w:pPr>
            <w:r>
              <w:t xml:space="preserve">complete for the current reporting period (subject to caveats). </w:t>
            </w:r>
            <w:r w:rsidR="009D4117">
              <w:t>All required 2014</w:t>
            </w:r>
            <w:r>
              <w:t xml:space="preserve"> data are available for all jurisdictions providing the service.</w:t>
            </w:r>
          </w:p>
          <w:p w:rsidR="00DD49BC" w:rsidRPr="00EF5A5F" w:rsidRDefault="00DD49BC" w:rsidP="00F3610C">
            <w:pPr>
              <w:pStyle w:val="Box"/>
            </w:pPr>
            <w:r w:rsidRPr="00EF5A5F">
              <w:t xml:space="preserve">Data quality information for this indicator </w:t>
            </w:r>
            <w:r w:rsidR="006E0D24">
              <w:t>is at www.pc.gov.au</w:t>
            </w:r>
            <w:r w:rsidR="00BA3094">
              <w:t>/rogs/2016</w:t>
            </w:r>
            <w:r w:rsidRPr="00EF5A5F">
              <w:t>.</w:t>
            </w:r>
          </w:p>
        </w:tc>
      </w:tr>
      <w:tr w:rsidR="00DD49BC" w:rsidTr="00137F60">
        <w:trPr>
          <w:cantSplit/>
        </w:trPr>
        <w:tc>
          <w:tcPr>
            <w:tcW w:w="8771" w:type="dxa"/>
            <w:tcBorders>
              <w:top w:val="nil"/>
              <w:left w:val="nil"/>
              <w:bottom w:val="single" w:sz="6" w:space="0" w:color="78A22F"/>
              <w:right w:val="nil"/>
            </w:tcBorders>
            <w:shd w:val="clear" w:color="auto" w:fill="F2F2F2" w:themeFill="background1" w:themeFillShade="F2"/>
          </w:tcPr>
          <w:p w:rsidR="00DD49BC" w:rsidRDefault="00DD49BC">
            <w:pPr>
              <w:pStyle w:val="Box"/>
              <w:spacing w:before="0" w:line="120" w:lineRule="exact"/>
            </w:pPr>
          </w:p>
        </w:tc>
      </w:tr>
      <w:tr w:rsidR="00DD49BC" w:rsidRPr="000863A5" w:rsidTr="00137F60">
        <w:tc>
          <w:tcPr>
            <w:tcW w:w="8771" w:type="dxa"/>
            <w:tcBorders>
              <w:top w:val="single" w:sz="6" w:space="0" w:color="78A22F"/>
              <w:left w:val="nil"/>
              <w:bottom w:val="nil"/>
              <w:right w:val="nil"/>
            </w:tcBorders>
          </w:tcPr>
          <w:p w:rsidR="00DD49BC" w:rsidRPr="00626D32" w:rsidRDefault="00DD49BC" w:rsidP="00137F60">
            <w:pPr>
              <w:pStyle w:val="BoxSpaceBelow"/>
            </w:pPr>
          </w:p>
        </w:tc>
      </w:tr>
    </w:tbl>
    <w:p w:rsidR="00C57336" w:rsidRDefault="00C57336" w:rsidP="00EC52AB">
      <w:pPr>
        <w:pStyle w:val="BodyText"/>
      </w:pPr>
      <w:r w:rsidRPr="00EF5A5F">
        <w:t xml:space="preserve">Nationally, the </w:t>
      </w:r>
      <w:r w:rsidR="00142638" w:rsidRPr="00EF5A5F">
        <w:t xml:space="preserve">user cost of </w:t>
      </w:r>
      <w:r w:rsidR="00142638" w:rsidRPr="006C5A10">
        <w:t>capital</w:t>
      </w:r>
      <w:r w:rsidRPr="006C5A10">
        <w:t xml:space="preserve"> per annual hour in </w:t>
      </w:r>
      <w:r w:rsidR="00CE6D0B" w:rsidRPr="006C5A10">
        <w:t>201</w:t>
      </w:r>
      <w:r w:rsidR="0016459D">
        <w:t>4</w:t>
      </w:r>
      <w:r w:rsidR="00CE6D0B" w:rsidRPr="006C5A10">
        <w:t xml:space="preserve"> </w:t>
      </w:r>
      <w:r w:rsidRPr="006C5A10">
        <w:t xml:space="preserve">was </w:t>
      </w:r>
      <w:r w:rsidR="00BF289D" w:rsidRPr="006C5A10">
        <w:t>$</w:t>
      </w:r>
      <w:r w:rsidR="0016459D">
        <w:t>1.72</w:t>
      </w:r>
      <w:r w:rsidRPr="006C5A10">
        <w:t xml:space="preserve">. The largest components of </w:t>
      </w:r>
      <w:r w:rsidR="00142638" w:rsidRPr="006C5A10">
        <w:t>user cost of capital</w:t>
      </w:r>
      <w:r w:rsidRPr="006C5A10">
        <w:t xml:space="preserve"> per annual</w:t>
      </w:r>
      <w:r w:rsidR="00B75B00" w:rsidRPr="006C5A10">
        <w:t xml:space="preserve"> hour were building costs (</w:t>
      </w:r>
      <w:r w:rsidR="00BF289D" w:rsidRPr="006C5A10">
        <w:t>$</w:t>
      </w:r>
      <w:r w:rsidR="009940ED">
        <w:t>1.</w:t>
      </w:r>
      <w:r w:rsidR="0016459D">
        <w:t>30</w:t>
      </w:r>
      <w:r w:rsidR="009940ED">
        <w:t xml:space="preserve">) </w:t>
      </w:r>
      <w:r w:rsidRPr="006C5A10">
        <w:t>followed by land costs (</w:t>
      </w:r>
      <w:r w:rsidR="00BF289D" w:rsidRPr="006C5A10">
        <w:t>$</w:t>
      </w:r>
      <w:r w:rsidR="009940ED">
        <w:t>0.</w:t>
      </w:r>
      <w:r w:rsidR="0016459D">
        <w:t>32</w:t>
      </w:r>
      <w:r w:rsidR="0003011D" w:rsidRPr="006C5A10">
        <w:t>)</w:t>
      </w:r>
      <w:r w:rsidR="0003011D">
        <w:t>. These costs varied across States and Territories</w:t>
      </w:r>
      <w:r w:rsidR="0003011D" w:rsidRPr="006C5A10">
        <w:t xml:space="preserve"> </w:t>
      </w:r>
      <w:r w:rsidRPr="006C5A10">
        <w:t xml:space="preserve">(figure </w:t>
      </w:r>
      <w:r w:rsidR="003A68D1">
        <w:t>5.20</w:t>
      </w:r>
      <w:r w:rsidRPr="00EF5A5F">
        <w:t>).</w:t>
      </w:r>
    </w:p>
    <w:p w:rsidR="0016459D" w:rsidRDefault="0016459D" w:rsidP="0016459D">
      <w:pPr>
        <w:pStyle w:val="BodyText"/>
        <w:shd w:val="clear" w:color="auto" w:fill="FFFFFF" w:themeFill="background1"/>
      </w:pPr>
      <w:r w:rsidRPr="001803EF">
        <w:t>Tables 5A.</w:t>
      </w:r>
      <w:r>
        <w:t>36</w:t>
      </w:r>
      <w:r w:rsidRPr="001803EF">
        <w:t xml:space="preserve"> and 5A.</w:t>
      </w:r>
      <w:r>
        <w:t>37</w:t>
      </w:r>
      <w:r w:rsidRPr="001803EF">
        <w:t xml:space="preserve"> provide additional information on the total cost to government of funding VET per annual hour over a 10</w:t>
      </w:r>
      <w:r w:rsidRPr="001803EF">
        <w:noBreakHyphen/>
        <w:t>year time series (including both the user cost of capital and recurrent costs).</w:t>
      </w:r>
    </w:p>
    <w:p w:rsidR="00FA7D52" w:rsidRDefault="00FA7D52" w:rsidP="00137F6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A7D52" w:rsidTr="00137F60">
        <w:tc>
          <w:tcPr>
            <w:tcW w:w="8771" w:type="dxa"/>
            <w:tcBorders>
              <w:top w:val="single" w:sz="6" w:space="0" w:color="78A22F"/>
              <w:left w:val="nil"/>
              <w:bottom w:val="nil"/>
              <w:right w:val="nil"/>
            </w:tcBorders>
            <w:shd w:val="clear" w:color="auto" w:fill="auto"/>
          </w:tcPr>
          <w:p w:rsidR="00FA7D52" w:rsidRPr="00176D3F" w:rsidRDefault="00FA7D52" w:rsidP="00296B8F">
            <w:pPr>
              <w:pStyle w:val="FigureTitle"/>
            </w:pPr>
            <w:r w:rsidRPr="00784A05">
              <w:rPr>
                <w:b w:val="0"/>
              </w:rPr>
              <w:t xml:space="preserve">Figure </w:t>
            </w:r>
            <w:bookmarkStart w:id="41" w:name="OLE_LINK28"/>
            <w:r w:rsidR="003A68D1">
              <w:rPr>
                <w:b w:val="0"/>
              </w:rPr>
              <w:t>5.</w:t>
            </w:r>
            <w:r w:rsidR="00111918">
              <w:rPr>
                <w:b w:val="0"/>
                <w:noProof/>
              </w:rPr>
              <w:t>20</w:t>
            </w:r>
            <w:bookmarkEnd w:id="41"/>
            <w:r>
              <w:tab/>
            </w:r>
            <w:r w:rsidRPr="00250878">
              <w:t>User cost of capital per annual hour, 201</w:t>
            </w:r>
            <w:r w:rsidR="00296B8F">
              <w:t>4</w:t>
            </w:r>
            <w:r w:rsidRPr="00250878">
              <w:rPr>
                <w:rStyle w:val="NoteLabel"/>
                <w:b/>
              </w:rPr>
              <w:t>a</w:t>
            </w:r>
          </w:p>
        </w:tc>
      </w:tr>
      <w:tr w:rsidR="00FA7D52" w:rsidTr="00137F60">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A7D52" w:rsidTr="00296B8F">
              <w:tc>
                <w:tcPr>
                  <w:tcW w:w="5000" w:type="pct"/>
                  <w:tcBorders>
                    <w:top w:val="nil"/>
                    <w:bottom w:val="nil"/>
                  </w:tcBorders>
                </w:tcPr>
                <w:p w:rsidR="00FA7D52" w:rsidRDefault="00303FCA" w:rsidP="00A0558E">
                  <w:pPr>
                    <w:pStyle w:val="Figure"/>
                    <w:spacing w:before="60" w:after="60"/>
                  </w:pPr>
                  <w:r>
                    <w:rPr>
                      <w:noProof/>
                    </w:rPr>
                    <w:drawing>
                      <wp:inline distT="0" distB="0" distL="0" distR="0">
                        <wp:extent cx="5389880" cy="2710815"/>
                        <wp:effectExtent l="0" t="0" r="1270" b="0"/>
                        <wp:docPr id="35" name="Picture 35" descr="Figure 5.20 User cost of capital per annual hour,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FA7D52" w:rsidRDefault="00FA7D52" w:rsidP="00137F60">
            <w:pPr>
              <w:pStyle w:val="Figure"/>
            </w:pPr>
          </w:p>
        </w:tc>
      </w:tr>
      <w:tr w:rsidR="00FA7D52" w:rsidRPr="00176D3F" w:rsidTr="00137F60">
        <w:tc>
          <w:tcPr>
            <w:tcW w:w="8771" w:type="dxa"/>
            <w:tcBorders>
              <w:top w:val="nil"/>
              <w:left w:val="nil"/>
              <w:bottom w:val="nil"/>
              <w:right w:val="nil"/>
            </w:tcBorders>
            <w:shd w:val="clear" w:color="auto" w:fill="auto"/>
          </w:tcPr>
          <w:p w:rsidR="00FA7D52" w:rsidRPr="00176D3F" w:rsidRDefault="002E487B" w:rsidP="002E487B">
            <w:pPr>
              <w:pStyle w:val="Note"/>
            </w:pPr>
            <w:r>
              <w:rPr>
                <w:rStyle w:val="NoteLabel"/>
              </w:rPr>
              <w:t>a</w:t>
            </w:r>
            <w:r>
              <w:t xml:space="preserve"> </w:t>
            </w:r>
            <w:r w:rsidRPr="006D3797">
              <w:t xml:space="preserve">See box </w:t>
            </w:r>
            <w:r w:rsidR="003A68D1">
              <w:t>5.12</w:t>
            </w:r>
            <w:r>
              <w:t xml:space="preserve"> and table 5A.36 </w:t>
            </w:r>
            <w:r w:rsidRPr="006D3797">
              <w:t>for detailed definitions, footnotes and caveats</w:t>
            </w:r>
            <w:r w:rsidR="0016459D" w:rsidRPr="004B1B81">
              <w:t>.</w:t>
            </w:r>
          </w:p>
        </w:tc>
      </w:tr>
      <w:tr w:rsidR="00FA7D52" w:rsidRPr="00176D3F" w:rsidTr="00137F60">
        <w:tc>
          <w:tcPr>
            <w:tcW w:w="8771" w:type="dxa"/>
            <w:tcBorders>
              <w:top w:val="nil"/>
              <w:left w:val="nil"/>
              <w:bottom w:val="nil"/>
              <w:right w:val="nil"/>
            </w:tcBorders>
            <w:shd w:val="clear" w:color="auto" w:fill="auto"/>
          </w:tcPr>
          <w:p w:rsidR="00FA7D52" w:rsidRPr="00176D3F" w:rsidRDefault="00FA7D52" w:rsidP="0016459D">
            <w:pPr>
              <w:pStyle w:val="Source"/>
            </w:pPr>
            <w:r w:rsidRPr="00171E10">
              <w:rPr>
                <w:i/>
              </w:rPr>
              <w:t>Source</w:t>
            </w:r>
            <w:r w:rsidRPr="00171E10">
              <w:t>: NCVER (unpublished) National financial and VET provider collections; table 5A.</w:t>
            </w:r>
            <w:r w:rsidR="0016459D">
              <w:t>36</w:t>
            </w:r>
            <w:r w:rsidRPr="00171E10">
              <w:t>.</w:t>
            </w:r>
          </w:p>
        </w:tc>
      </w:tr>
      <w:tr w:rsidR="00FA7D52" w:rsidTr="00137F60">
        <w:tc>
          <w:tcPr>
            <w:tcW w:w="8771" w:type="dxa"/>
            <w:tcBorders>
              <w:top w:val="nil"/>
              <w:left w:val="nil"/>
              <w:bottom w:val="single" w:sz="6" w:space="0" w:color="78A22F"/>
              <w:right w:val="nil"/>
            </w:tcBorders>
            <w:shd w:val="clear" w:color="auto" w:fill="auto"/>
          </w:tcPr>
          <w:p w:rsidR="00FA7D52" w:rsidRDefault="00FA7D52" w:rsidP="00137F60">
            <w:pPr>
              <w:pStyle w:val="Figurespace"/>
            </w:pPr>
          </w:p>
        </w:tc>
      </w:tr>
      <w:tr w:rsidR="00FA7D52" w:rsidRPr="000863A5" w:rsidTr="00137F60">
        <w:tc>
          <w:tcPr>
            <w:tcW w:w="8771" w:type="dxa"/>
            <w:tcBorders>
              <w:top w:val="single" w:sz="6" w:space="0" w:color="78A22F"/>
              <w:left w:val="nil"/>
              <w:bottom w:val="nil"/>
              <w:right w:val="nil"/>
            </w:tcBorders>
          </w:tcPr>
          <w:p w:rsidR="00FA7D52" w:rsidRPr="00626D32" w:rsidRDefault="00FA7D52" w:rsidP="00137F60">
            <w:pPr>
              <w:pStyle w:val="BoxSpaceBelow"/>
            </w:pPr>
          </w:p>
        </w:tc>
      </w:tr>
    </w:tbl>
    <w:p w:rsidR="006148D2" w:rsidRPr="00EF5A5F" w:rsidRDefault="00382DB9" w:rsidP="00382DB9">
      <w:pPr>
        <w:pStyle w:val="Heading4"/>
      </w:pPr>
      <w:r>
        <w:t xml:space="preserve">Inputs per output — </w:t>
      </w:r>
      <w:r w:rsidR="006148D2" w:rsidRPr="00EF5A5F">
        <w:t>User cost of capital per load pass</w:t>
      </w:r>
    </w:p>
    <w:p w:rsidR="00C57336" w:rsidRDefault="00D5141C" w:rsidP="006148D2">
      <w:pPr>
        <w:pStyle w:val="BodyText"/>
      </w:pPr>
      <w:r w:rsidRPr="00EF5A5F">
        <w:t>‘</w:t>
      </w:r>
      <w:r w:rsidR="003F412D" w:rsidRPr="00EF5A5F">
        <w:t>User c</w:t>
      </w:r>
      <w:r w:rsidRPr="00EF5A5F">
        <w:t xml:space="preserve">ost of capital per load pass’ is an indicator of </w:t>
      </w:r>
      <w:r w:rsidR="000543C4" w:rsidRPr="00EF5A5F">
        <w:t>governments’ objective to provide VET services in an efficient manner</w:t>
      </w:r>
      <w:r w:rsidRPr="00EF5A5F">
        <w:t xml:space="preserve">. The </w:t>
      </w:r>
      <w:r w:rsidR="003F412D" w:rsidRPr="00EF5A5F">
        <w:t>user cost of capital</w:t>
      </w:r>
      <w:r w:rsidRPr="00EF5A5F">
        <w:t xml:space="preserve"> is included in estimates of the cost of government services because it reflects the opportunity cost of government assets </w:t>
      </w:r>
      <w:r w:rsidR="00553D45" w:rsidRPr="00EF5A5F">
        <w:t>(box</w:t>
      </w:r>
      <w:r w:rsidR="001803EF">
        <w:t xml:space="preserve"> </w:t>
      </w:r>
      <w:r w:rsidR="003A68D1">
        <w:t>5.13</w:t>
      </w:r>
      <w:r w:rsidR="00C57336" w:rsidRPr="00EF5A5F">
        <w:t>).</w:t>
      </w:r>
    </w:p>
    <w:p w:rsidR="00FA7D52" w:rsidRDefault="00FA7D5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A7D52" w:rsidTr="00137F60">
        <w:tc>
          <w:tcPr>
            <w:tcW w:w="8771" w:type="dxa"/>
            <w:tcBorders>
              <w:top w:val="single" w:sz="6" w:space="0" w:color="78A22F"/>
              <w:left w:val="nil"/>
              <w:bottom w:val="nil"/>
              <w:right w:val="nil"/>
            </w:tcBorders>
            <w:shd w:val="clear" w:color="auto" w:fill="F2F2F2" w:themeFill="background1" w:themeFillShade="F2"/>
          </w:tcPr>
          <w:p w:rsidR="00FA7D52" w:rsidRDefault="00FA7D52" w:rsidP="00FA7D52">
            <w:pPr>
              <w:pStyle w:val="BoxTitle"/>
            </w:pPr>
            <w:r>
              <w:rPr>
                <w:b w:val="0"/>
              </w:rPr>
              <w:t xml:space="preserve">Box </w:t>
            </w:r>
            <w:bookmarkStart w:id="42" w:name="OLE_LINK23"/>
            <w:r w:rsidR="003A68D1">
              <w:rPr>
                <w:b w:val="0"/>
              </w:rPr>
              <w:t>5.</w:t>
            </w:r>
            <w:r w:rsidR="00111918">
              <w:rPr>
                <w:b w:val="0"/>
                <w:noProof/>
              </w:rPr>
              <w:t>13</w:t>
            </w:r>
            <w:bookmarkEnd w:id="42"/>
            <w:r>
              <w:tab/>
            </w:r>
            <w:r w:rsidRPr="00EF5A5F">
              <w:t>User cost of capital per load pass</w:t>
            </w:r>
          </w:p>
        </w:tc>
      </w:tr>
      <w:tr w:rsidR="00FA7D52" w:rsidTr="00137F60">
        <w:trPr>
          <w:cantSplit/>
        </w:trPr>
        <w:tc>
          <w:tcPr>
            <w:tcW w:w="8771" w:type="dxa"/>
            <w:tcBorders>
              <w:top w:val="nil"/>
              <w:left w:val="nil"/>
              <w:bottom w:val="nil"/>
              <w:right w:val="nil"/>
            </w:tcBorders>
            <w:shd w:val="clear" w:color="auto" w:fill="F2F2F2" w:themeFill="background1" w:themeFillShade="F2"/>
          </w:tcPr>
          <w:p w:rsidR="00FA7D52" w:rsidRPr="00EF5A5F" w:rsidRDefault="00FA7D52" w:rsidP="00137F60">
            <w:pPr>
              <w:pStyle w:val="Box"/>
            </w:pPr>
            <w:r w:rsidRPr="00EF5A5F">
              <w:t xml:space="preserve">‘User cost of capital per load pass’ is defined as the user cost of capital divided by hours of </w:t>
            </w:r>
            <w:r>
              <w:t>government</w:t>
            </w:r>
            <w:r w:rsidRPr="00EF5A5F">
              <w:t xml:space="preserve"> funded load pass. User cost of capital is 8 per cent of the value of total physical non</w:t>
            </w:r>
            <w:r w:rsidR="00AD5F7E">
              <w:noBreakHyphen/>
            </w:r>
            <w:r w:rsidRPr="00EF5A5F">
              <w:t xml:space="preserve">current assets. Load pass is based on assessable enrolments of modules and units of competency achieved/passed and </w:t>
            </w:r>
            <w:r w:rsidR="00AE2629">
              <w:t>recognition of prior learning</w:t>
            </w:r>
            <w:r w:rsidRPr="00EF5A5F">
              <w:t>, and does not include non</w:t>
            </w:r>
            <w:r w:rsidRPr="00EF5A5F">
              <w:noBreakHyphen/>
              <w:t>assessable enrolments.</w:t>
            </w:r>
          </w:p>
          <w:p w:rsidR="00BD2563" w:rsidRPr="00EF5A5F" w:rsidRDefault="00FA7D52" w:rsidP="00BD2563">
            <w:pPr>
              <w:pStyle w:val="Box"/>
            </w:pPr>
            <w:r w:rsidRPr="00EF5A5F">
              <w:t>Low or decreasing total costs per load pass hour can reflect higher efficiency in the delivery of VET services.</w:t>
            </w:r>
            <w:r w:rsidR="00BD2563" w:rsidRPr="00EF5A5F">
              <w:t xml:space="preserve"> </w:t>
            </w:r>
          </w:p>
          <w:p w:rsidR="00BD2563" w:rsidRDefault="00BD2563" w:rsidP="00BD2563">
            <w:pPr>
              <w:pStyle w:val="Box"/>
            </w:pPr>
            <w:r>
              <w:t>The user cost of capital may be affected by the movement of TAFE institutes (or their assets) between government and non</w:t>
            </w:r>
            <w:r w:rsidR="00AD5F7E">
              <w:noBreakHyphen/>
            </w:r>
            <w:r>
              <w:t>government sector.</w:t>
            </w:r>
          </w:p>
          <w:p w:rsidR="00FA7D52" w:rsidRPr="00EF5A5F" w:rsidRDefault="00FA7D52" w:rsidP="00137F60">
            <w:pPr>
              <w:pStyle w:val="Box"/>
            </w:pPr>
            <w:r w:rsidRPr="00EF5A5F">
              <w:t xml:space="preserve">User cost of capital per load pass </w:t>
            </w:r>
            <w:r w:rsidR="00CA7F9D">
              <w:t>should</w:t>
            </w:r>
            <w:r w:rsidRPr="00EF5A5F">
              <w:t xml:space="preserve"> be interpreted carefully because differences in some input costs (for example, land values) could affect reported costs across jurisdictions without necessarily reflecting the efficiency of service delivery. The user cost of capital for land is presented separately from the cost of other assets, to allow users assessing the results to consider any differences in land values across jurisdictions. The basis for the 8</w:t>
            </w:r>
            <w:r w:rsidR="001803EF">
              <w:t xml:space="preserve"> </w:t>
            </w:r>
            <w:r w:rsidRPr="00EF5A5F">
              <w:t>per</w:t>
            </w:r>
            <w:r w:rsidR="001803EF">
              <w:t xml:space="preserve"> </w:t>
            </w:r>
            <w:r w:rsidRPr="00EF5A5F">
              <w:t xml:space="preserve">cent capital charge is discussed in chapter </w:t>
            </w:r>
            <w:r>
              <w:t>1</w:t>
            </w:r>
            <w:r w:rsidRPr="00EF5A5F">
              <w:t>.</w:t>
            </w:r>
          </w:p>
          <w:p w:rsidR="00FA7D52" w:rsidRDefault="00FA7D52" w:rsidP="00137F60">
            <w:pPr>
              <w:pStyle w:val="Box"/>
            </w:pPr>
            <w:r>
              <w:t xml:space="preserve">Data reported for this measure are </w:t>
            </w:r>
          </w:p>
          <w:p w:rsidR="00FA7D52" w:rsidRDefault="00FA7D52" w:rsidP="00137F60">
            <w:pPr>
              <w:pStyle w:val="BoxListBullet"/>
            </w:pPr>
            <w:r>
              <w:t>comparable (subject to caveats) across jurisdictions and over time</w:t>
            </w:r>
          </w:p>
          <w:p w:rsidR="00FA7D52" w:rsidRDefault="00FA7D52" w:rsidP="00137F60">
            <w:pPr>
              <w:pStyle w:val="BoxListBullet"/>
            </w:pPr>
            <w:r>
              <w:t xml:space="preserve">complete for the current reporting period (subject to caveats). </w:t>
            </w:r>
            <w:r w:rsidR="009D4117">
              <w:t>All required 2014</w:t>
            </w:r>
            <w:r>
              <w:t xml:space="preserve"> data are available for all jurisdictions providing the service.</w:t>
            </w:r>
          </w:p>
          <w:p w:rsidR="00FA7D52" w:rsidRPr="00EF5A5F" w:rsidRDefault="00FA7D52" w:rsidP="00F3610C">
            <w:pPr>
              <w:pStyle w:val="Box"/>
            </w:pPr>
            <w:r w:rsidRPr="00EF5A5F">
              <w:t xml:space="preserve">Data quality information for this indicator </w:t>
            </w:r>
            <w:r w:rsidR="006E0D24">
              <w:t>is at www.pc.gov.au</w:t>
            </w:r>
            <w:r w:rsidR="00BA3094">
              <w:t>/rogs/2016</w:t>
            </w:r>
            <w:r w:rsidRPr="00EF5A5F">
              <w:t>.</w:t>
            </w:r>
          </w:p>
        </w:tc>
      </w:tr>
      <w:tr w:rsidR="00FA7D52" w:rsidTr="00137F60">
        <w:trPr>
          <w:cantSplit/>
        </w:trPr>
        <w:tc>
          <w:tcPr>
            <w:tcW w:w="8771" w:type="dxa"/>
            <w:tcBorders>
              <w:top w:val="nil"/>
              <w:left w:val="nil"/>
              <w:bottom w:val="single" w:sz="6" w:space="0" w:color="78A22F"/>
              <w:right w:val="nil"/>
            </w:tcBorders>
            <w:shd w:val="clear" w:color="auto" w:fill="F2F2F2" w:themeFill="background1" w:themeFillShade="F2"/>
          </w:tcPr>
          <w:p w:rsidR="00FA7D52" w:rsidRDefault="00FA7D52">
            <w:pPr>
              <w:pStyle w:val="Box"/>
              <w:spacing w:before="0" w:line="120" w:lineRule="exact"/>
            </w:pPr>
          </w:p>
        </w:tc>
      </w:tr>
      <w:tr w:rsidR="00FA7D52" w:rsidRPr="000863A5" w:rsidTr="00137F60">
        <w:tc>
          <w:tcPr>
            <w:tcW w:w="8771" w:type="dxa"/>
            <w:tcBorders>
              <w:top w:val="single" w:sz="6" w:space="0" w:color="78A22F"/>
              <w:left w:val="nil"/>
              <w:bottom w:val="nil"/>
              <w:right w:val="nil"/>
            </w:tcBorders>
          </w:tcPr>
          <w:p w:rsidR="00FA7D52" w:rsidRPr="00626D32" w:rsidRDefault="00FA7D52" w:rsidP="00137F60">
            <w:pPr>
              <w:pStyle w:val="BoxSpaceBelow"/>
            </w:pPr>
          </w:p>
        </w:tc>
      </w:tr>
    </w:tbl>
    <w:p w:rsidR="008B2039" w:rsidRDefault="008B2039" w:rsidP="0095094B">
      <w:pPr>
        <w:pStyle w:val="BodyText"/>
      </w:pPr>
      <w:r w:rsidRPr="00EF5A5F">
        <w:t xml:space="preserve">In </w:t>
      </w:r>
      <w:r w:rsidR="00CE6D0B">
        <w:t>201</w:t>
      </w:r>
      <w:r w:rsidR="0016459D">
        <w:t>4</w:t>
      </w:r>
      <w:r w:rsidRPr="00EF5A5F">
        <w:t xml:space="preserve">, the </w:t>
      </w:r>
      <w:r w:rsidR="003F412D" w:rsidRPr="00EF5A5F">
        <w:t xml:space="preserve">user cost of </w:t>
      </w:r>
      <w:r w:rsidR="003F412D" w:rsidRPr="006C5A10">
        <w:t>capital</w:t>
      </w:r>
      <w:r w:rsidRPr="006C5A10">
        <w:t xml:space="preserve"> per load pass hour was </w:t>
      </w:r>
      <w:r w:rsidR="00603BB3">
        <w:t>$2.</w:t>
      </w:r>
      <w:r w:rsidR="0016459D">
        <w:t>07</w:t>
      </w:r>
      <w:r w:rsidR="00603BB3">
        <w:t xml:space="preserve"> </w:t>
      </w:r>
      <w:r w:rsidRPr="006C5A10">
        <w:t>nationally</w:t>
      </w:r>
      <w:r w:rsidR="009C66AD" w:rsidRPr="006C5A10">
        <w:t>.</w:t>
      </w:r>
      <w:r w:rsidR="00DC4F98" w:rsidRPr="006C5A10">
        <w:t xml:space="preserve"> </w:t>
      </w:r>
      <w:r w:rsidR="000F127B" w:rsidRPr="006C5A10">
        <w:t>T</w:t>
      </w:r>
      <w:r w:rsidRPr="006C5A10">
        <w:t>he larges</w:t>
      </w:r>
      <w:r w:rsidR="00CE7D93" w:rsidRPr="006C5A10">
        <w:t xml:space="preserve">t components were building </w:t>
      </w:r>
      <w:r w:rsidR="00A31382">
        <w:t>($1.</w:t>
      </w:r>
      <w:r w:rsidR="0016459D">
        <w:t>56</w:t>
      </w:r>
      <w:r w:rsidRPr="006C5A10">
        <w:t>) and land (</w:t>
      </w:r>
      <w:r w:rsidR="003A7FD6" w:rsidRPr="006C5A10">
        <w:t>$</w:t>
      </w:r>
      <w:r w:rsidR="00A31382">
        <w:t>0.</w:t>
      </w:r>
      <w:r w:rsidR="0016459D">
        <w:t>38</w:t>
      </w:r>
      <w:r w:rsidRPr="006C5A10">
        <w:t>) costs (</w:t>
      </w:r>
      <w:r w:rsidR="00246888">
        <w:t>table 5A.36</w:t>
      </w:r>
      <w:r w:rsidRPr="00EF5A5F">
        <w:t>).</w:t>
      </w:r>
    </w:p>
    <w:p w:rsidR="00C57336" w:rsidRPr="00EF5A5F" w:rsidRDefault="00C57336" w:rsidP="00281C53">
      <w:pPr>
        <w:pStyle w:val="Heading3"/>
      </w:pPr>
      <w:r w:rsidRPr="00EF5A5F">
        <w:t>Outcomes</w:t>
      </w:r>
    </w:p>
    <w:p w:rsidR="00C57336" w:rsidRPr="00EF5A5F" w:rsidRDefault="007B2759" w:rsidP="00C57336">
      <w:pPr>
        <w:pStyle w:val="BodyText"/>
      </w:pPr>
      <w:r w:rsidRPr="00EF5A5F">
        <w:t xml:space="preserve">Outcomes are the impact of services on the status of an individual or group (while outputs are the services delivered) (see chapter 1, section 1.5). </w:t>
      </w:r>
      <w:r w:rsidR="00C57336" w:rsidRPr="00EF5A5F">
        <w:t xml:space="preserve">The objectives for VET services </w:t>
      </w:r>
      <w:r w:rsidR="00DC725E">
        <w:t xml:space="preserve">include </w:t>
      </w:r>
      <w:r w:rsidR="00C57336" w:rsidRPr="00EF5A5F">
        <w:t>a range of outcomes for students</w:t>
      </w:r>
      <w:r w:rsidR="00224929">
        <w:t>,</w:t>
      </w:r>
      <w:r w:rsidR="00C57336" w:rsidRPr="00EF5A5F">
        <w:t xml:space="preserve"> employers</w:t>
      </w:r>
      <w:r w:rsidR="00224929">
        <w:t>, and the wider economy</w:t>
      </w:r>
      <w:r w:rsidR="00C57336" w:rsidRPr="00EF5A5F">
        <w:t xml:space="preserve"> (box</w:t>
      </w:r>
      <w:r w:rsidR="00F9168D">
        <w:t xml:space="preserve"> </w:t>
      </w:r>
      <w:r w:rsidR="003A68D1">
        <w:t>5.5</w:t>
      </w:r>
      <w:r w:rsidR="00C57336" w:rsidRPr="00EF5A5F">
        <w:t xml:space="preserve">). </w:t>
      </w:r>
    </w:p>
    <w:p w:rsidR="00C57336" w:rsidRPr="00EF5A5F" w:rsidRDefault="00C57336" w:rsidP="00246888">
      <w:pPr>
        <w:pStyle w:val="Heading4"/>
      </w:pPr>
      <w:r w:rsidRPr="00EF5A5F">
        <w:t xml:space="preserve">Student outcomes </w:t>
      </w:r>
    </w:p>
    <w:p w:rsidR="00C57336" w:rsidRDefault="008F67BC" w:rsidP="00CC7F11">
      <w:pPr>
        <w:pStyle w:val="BodyText"/>
      </w:pPr>
      <w:r w:rsidRPr="00EF5A5F">
        <w:t xml:space="preserve">The </w:t>
      </w:r>
      <w:r w:rsidR="00246888">
        <w:t xml:space="preserve">main source of data for student outcomes is the </w:t>
      </w:r>
      <w:r w:rsidRPr="00EF5A5F">
        <w:t xml:space="preserve">annual </w:t>
      </w:r>
      <w:r w:rsidR="00C57336" w:rsidRPr="00246888">
        <w:t xml:space="preserve">Student Outcomes Survey </w:t>
      </w:r>
      <w:r w:rsidR="00C57336" w:rsidRPr="00EF5A5F">
        <w:t xml:space="preserve">conducted by the </w:t>
      </w:r>
      <w:r w:rsidR="00246888">
        <w:t xml:space="preserve">NCVER, which collects data </w:t>
      </w:r>
      <w:r w:rsidR="004D79B0">
        <w:t xml:space="preserve">on </w:t>
      </w:r>
      <w:r w:rsidR="00C57336" w:rsidRPr="00EF5A5F">
        <w:t xml:space="preserve">students </w:t>
      </w:r>
      <w:r w:rsidR="00246888">
        <w:t>who und</w:t>
      </w:r>
      <w:r w:rsidR="00C57336" w:rsidRPr="00EF5A5F">
        <w:t>ert</w:t>
      </w:r>
      <w:r w:rsidR="00246888">
        <w:t xml:space="preserve">ook </w:t>
      </w:r>
      <w:r w:rsidR="00C57336" w:rsidRPr="00EF5A5F">
        <w:t>activity within the VET system in Australia in the previous year (box</w:t>
      </w:r>
      <w:r w:rsidR="00D2242D" w:rsidRPr="00EF5A5F">
        <w:t xml:space="preserve"> </w:t>
      </w:r>
      <w:r w:rsidR="003A68D1">
        <w:t>5.14</w:t>
      </w:r>
      <w:r w:rsidR="00C57336" w:rsidRPr="00EF5A5F">
        <w:t>).</w:t>
      </w:r>
    </w:p>
    <w:p w:rsidR="00FA7D52" w:rsidRDefault="00FA7D5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A7D52" w:rsidTr="00137F60">
        <w:tc>
          <w:tcPr>
            <w:tcW w:w="8771" w:type="dxa"/>
            <w:tcBorders>
              <w:top w:val="single" w:sz="6" w:space="0" w:color="78A22F"/>
              <w:left w:val="nil"/>
              <w:bottom w:val="nil"/>
              <w:right w:val="nil"/>
            </w:tcBorders>
            <w:shd w:val="clear" w:color="auto" w:fill="F2F2F2" w:themeFill="background1" w:themeFillShade="F2"/>
          </w:tcPr>
          <w:p w:rsidR="00FA7D52" w:rsidRDefault="00FA7D52" w:rsidP="00FA7D52">
            <w:pPr>
              <w:pStyle w:val="BoxTitle"/>
            </w:pPr>
            <w:r>
              <w:rPr>
                <w:b w:val="0"/>
              </w:rPr>
              <w:t xml:space="preserve">Box </w:t>
            </w:r>
            <w:bookmarkStart w:id="43" w:name="OLE_LINK30"/>
            <w:r w:rsidR="003A68D1">
              <w:rPr>
                <w:b w:val="0"/>
              </w:rPr>
              <w:t>5.</w:t>
            </w:r>
            <w:r w:rsidR="00111918">
              <w:rPr>
                <w:b w:val="0"/>
                <w:noProof/>
              </w:rPr>
              <w:t>14</w:t>
            </w:r>
            <w:bookmarkEnd w:id="43"/>
            <w:r>
              <w:tab/>
            </w:r>
            <w:r w:rsidRPr="00EF5A5F">
              <w:t>Student Outcomes Survey</w:t>
            </w:r>
          </w:p>
        </w:tc>
      </w:tr>
      <w:tr w:rsidR="00FA7D52" w:rsidTr="00137F60">
        <w:trPr>
          <w:cantSplit/>
        </w:trPr>
        <w:tc>
          <w:tcPr>
            <w:tcW w:w="8771" w:type="dxa"/>
            <w:tcBorders>
              <w:top w:val="nil"/>
              <w:left w:val="nil"/>
              <w:bottom w:val="nil"/>
              <w:right w:val="nil"/>
            </w:tcBorders>
            <w:shd w:val="clear" w:color="auto" w:fill="F2F2F2" w:themeFill="background1" w:themeFillShade="F2"/>
          </w:tcPr>
          <w:p w:rsidR="00FA7D52" w:rsidRPr="00EF5A5F" w:rsidRDefault="00FA7D52" w:rsidP="00137F60">
            <w:pPr>
              <w:pStyle w:val="Box"/>
            </w:pPr>
            <w:r w:rsidRPr="00EF5A5F">
              <w:t xml:space="preserve">The </w:t>
            </w:r>
            <w:r w:rsidR="00DC725E" w:rsidRPr="00DC725E">
              <w:t xml:space="preserve">Student Outcomes Survey </w:t>
            </w:r>
            <w:r w:rsidR="00DC725E">
              <w:t xml:space="preserve">collects data </w:t>
            </w:r>
            <w:r w:rsidRPr="00EF5A5F">
              <w:t>about graduates and module completers</w:t>
            </w:r>
            <w:r w:rsidR="00DC725E">
              <w:t>, including</w:t>
            </w:r>
            <w:r w:rsidRPr="00EF5A5F">
              <w:t xml:space="preserve"> their general characteristics, fields of study, employment outcomes, occupations, industries of employment, satisfaction with their course of study, and further study outcomes.</w:t>
            </w:r>
          </w:p>
          <w:p w:rsidR="00FA7D52" w:rsidRPr="00EF5A5F" w:rsidRDefault="00FA7D52" w:rsidP="00137F60">
            <w:pPr>
              <w:pStyle w:val="Box"/>
            </w:pPr>
            <w:r w:rsidRPr="00EF5A5F">
              <w:t>The survey collects the opinions of a sample of VET students, so the results are estimates of the opinions of the total VET student population. The sample is randomly selected and stratified for graduates and module completers by TAFE institute, field of study, sex and age. Responses are weighted to population benchmarks to minimise non</w:t>
            </w:r>
            <w:r w:rsidR="00AD5F7E">
              <w:noBreakHyphen/>
            </w:r>
            <w:r w:rsidRPr="00EF5A5F">
              <w:t xml:space="preserve">response bias. </w:t>
            </w:r>
          </w:p>
          <w:p w:rsidR="00FA7D52" w:rsidRPr="00EF5A5F" w:rsidRDefault="00FA7D52" w:rsidP="00137F60">
            <w:pPr>
              <w:pStyle w:val="Box"/>
            </w:pPr>
            <w:r w:rsidRPr="00EF5A5F">
              <w:t xml:space="preserve">The precision of survey estimates depends on the sample size and the distribution of sample responses. To assist with making comparisons across jurisdictions, error bars representing the 95 per cent confidence intervals associated with each point estimate are presented in the survey figures. These confidence intervals can be used to indicate whether there are likely to be statistically significant differences across jurisdictions. When comparing the estimates, if the confidence intervals for the jurisdictions do not overlap, then the estimates are statistically significantly different (at the 95 per cent confidence level). </w:t>
            </w:r>
          </w:p>
          <w:p w:rsidR="00246888" w:rsidRDefault="00FA7D52" w:rsidP="00246888">
            <w:pPr>
              <w:pStyle w:val="Box"/>
            </w:pPr>
            <w:r w:rsidRPr="00EF5A5F">
              <w:t xml:space="preserve">The </w:t>
            </w:r>
            <w:r w:rsidR="00246888" w:rsidRPr="00EF5A5F">
              <w:t xml:space="preserve">survey </w:t>
            </w:r>
            <w:r w:rsidR="00246888">
              <w:t xml:space="preserve">collects </w:t>
            </w:r>
            <w:r w:rsidRPr="00EF5A5F">
              <w:t>data on all VET providers, capturing government funded students (TAFE, private and community education providers) as well as those training on a fee</w:t>
            </w:r>
            <w:r w:rsidRPr="00EF5A5F">
              <w:noBreakHyphen/>
              <w:t>for</w:t>
            </w:r>
            <w:r w:rsidRPr="00EF5A5F">
              <w:noBreakHyphen/>
              <w:t xml:space="preserve">service basis (TAFE and some private and community education providers). </w:t>
            </w:r>
            <w:r w:rsidR="00246888" w:rsidRPr="00F74889">
              <w:t>S</w:t>
            </w:r>
            <w:r w:rsidRPr="00F74889">
              <w:t xml:space="preserve">tudent outcomes </w:t>
            </w:r>
            <w:r w:rsidR="00246888" w:rsidRPr="00F74889">
              <w:t xml:space="preserve">data reported </w:t>
            </w:r>
            <w:r w:rsidRPr="00F74889">
              <w:t xml:space="preserve">in the chapter </w:t>
            </w:r>
            <w:r w:rsidR="00246888" w:rsidRPr="00F74889">
              <w:t>only relate to the activities of government funded VET (box 5.3).</w:t>
            </w:r>
          </w:p>
          <w:p w:rsidR="00FA7D52" w:rsidRPr="00EF5A5F" w:rsidRDefault="00FA7D52" w:rsidP="00DC725E">
            <w:pPr>
              <w:pStyle w:val="Box"/>
            </w:pPr>
            <w:r w:rsidRPr="00EF5A5F">
              <w:t xml:space="preserve">Care </w:t>
            </w:r>
            <w:r w:rsidR="00DC725E">
              <w:t>should</w:t>
            </w:r>
            <w:r w:rsidRPr="00EF5A5F">
              <w:t xml:space="preserve"> be taken when comparing student outcomes across states and territories, because each jurisdiction has different economic, demographic and social profiles that are likely to have an effect on a range of training related outcomes. In particular, economic parameters beyond the control of the VET system may affect employment outcomes for graduates (see </w:t>
            </w:r>
            <w:r>
              <w:t>chapter 2</w:t>
            </w:r>
            <w:r w:rsidRPr="00EF5A5F">
              <w:t>).</w:t>
            </w:r>
          </w:p>
        </w:tc>
      </w:tr>
      <w:tr w:rsidR="00FA7D52" w:rsidTr="00137F60">
        <w:trPr>
          <w:cantSplit/>
        </w:trPr>
        <w:tc>
          <w:tcPr>
            <w:tcW w:w="8771" w:type="dxa"/>
            <w:tcBorders>
              <w:top w:val="nil"/>
              <w:left w:val="nil"/>
              <w:bottom w:val="single" w:sz="6" w:space="0" w:color="78A22F"/>
              <w:right w:val="nil"/>
            </w:tcBorders>
            <w:shd w:val="clear" w:color="auto" w:fill="F2F2F2" w:themeFill="background1" w:themeFillShade="F2"/>
          </w:tcPr>
          <w:p w:rsidR="00FA7D52" w:rsidRDefault="00FA7D52">
            <w:pPr>
              <w:pStyle w:val="Box"/>
              <w:spacing w:before="0" w:line="120" w:lineRule="exact"/>
            </w:pPr>
          </w:p>
        </w:tc>
      </w:tr>
      <w:tr w:rsidR="00FA7D52" w:rsidRPr="000863A5" w:rsidTr="00137F60">
        <w:tc>
          <w:tcPr>
            <w:tcW w:w="8771" w:type="dxa"/>
            <w:tcBorders>
              <w:top w:val="single" w:sz="6" w:space="0" w:color="78A22F"/>
              <w:left w:val="nil"/>
              <w:bottom w:val="nil"/>
              <w:right w:val="nil"/>
            </w:tcBorders>
          </w:tcPr>
          <w:p w:rsidR="00FA7D52" w:rsidRPr="00626D32" w:rsidRDefault="00FA7D52" w:rsidP="00137F60">
            <w:pPr>
              <w:pStyle w:val="BoxSpaceBelow"/>
            </w:pPr>
          </w:p>
        </w:tc>
      </w:tr>
    </w:tbl>
    <w:p w:rsidR="00C57336" w:rsidRPr="00EF5A5F" w:rsidRDefault="00C57336" w:rsidP="00802232">
      <w:pPr>
        <w:pStyle w:val="Heading4"/>
      </w:pPr>
      <w:r w:rsidRPr="00EF5A5F">
        <w:t>Student employment and further study outcomes</w:t>
      </w:r>
    </w:p>
    <w:p w:rsidR="00C57336" w:rsidRDefault="00D8167A" w:rsidP="002A477E">
      <w:pPr>
        <w:pStyle w:val="BodyText"/>
      </w:pPr>
      <w:r w:rsidRPr="00EF5A5F">
        <w:t xml:space="preserve">‘Student employment and further study outcomes’ is an indicator </w:t>
      </w:r>
      <w:r w:rsidR="00E040AE" w:rsidRPr="00EF5A5F">
        <w:t xml:space="preserve">of </w:t>
      </w:r>
      <w:r w:rsidR="000543C4" w:rsidRPr="00EF5A5F">
        <w:t>governments’ objective for the VET system</w:t>
      </w:r>
      <w:r w:rsidR="00246888">
        <w:t xml:space="preserve"> </w:t>
      </w:r>
      <w:r w:rsidR="00FB5394">
        <w:t xml:space="preserve">to </w:t>
      </w:r>
      <w:r w:rsidR="00246888">
        <w:t>deliver</w:t>
      </w:r>
      <w:r w:rsidR="002A477E" w:rsidRPr="00C05D42">
        <w:t xml:space="preserve"> the skills and capabilities needed for improved economic participation for working age Australians</w:t>
      </w:r>
      <w:r w:rsidR="00E040AE" w:rsidRPr="00EF5A5F">
        <w:t xml:space="preserve"> </w:t>
      </w:r>
      <w:r w:rsidR="00C57336" w:rsidRPr="00EF5A5F">
        <w:t xml:space="preserve">(box </w:t>
      </w:r>
      <w:r w:rsidR="003A68D1">
        <w:t>5.15</w:t>
      </w:r>
      <w:r w:rsidR="00C57336" w:rsidRPr="00EF5A5F">
        <w:t>).</w:t>
      </w:r>
    </w:p>
    <w:p w:rsidR="00FA7D52" w:rsidRDefault="00FA7D5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A7D52" w:rsidTr="00137F60">
        <w:tc>
          <w:tcPr>
            <w:tcW w:w="8771" w:type="dxa"/>
            <w:tcBorders>
              <w:top w:val="single" w:sz="6" w:space="0" w:color="78A22F"/>
              <w:left w:val="nil"/>
              <w:bottom w:val="nil"/>
              <w:right w:val="nil"/>
            </w:tcBorders>
            <w:shd w:val="clear" w:color="auto" w:fill="F2F2F2" w:themeFill="background1" w:themeFillShade="F2"/>
          </w:tcPr>
          <w:p w:rsidR="00FA7D52" w:rsidRDefault="00FA7D52" w:rsidP="00FA7D52">
            <w:pPr>
              <w:pStyle w:val="BoxTitle"/>
            </w:pPr>
            <w:r>
              <w:rPr>
                <w:b w:val="0"/>
              </w:rPr>
              <w:t xml:space="preserve">Box </w:t>
            </w:r>
            <w:bookmarkStart w:id="44" w:name="OLE_LINK31"/>
            <w:r w:rsidR="003A68D1">
              <w:rPr>
                <w:b w:val="0"/>
              </w:rPr>
              <w:t>5.</w:t>
            </w:r>
            <w:r w:rsidR="00111918">
              <w:rPr>
                <w:b w:val="0"/>
                <w:noProof/>
              </w:rPr>
              <w:t>15</w:t>
            </w:r>
            <w:bookmarkEnd w:id="44"/>
            <w:r>
              <w:tab/>
            </w:r>
            <w:r w:rsidRPr="00EF5A5F">
              <w:t>Student employment and further study outcomes</w:t>
            </w:r>
          </w:p>
        </w:tc>
      </w:tr>
      <w:tr w:rsidR="00FA7D52" w:rsidTr="00137F60">
        <w:trPr>
          <w:cantSplit/>
        </w:trPr>
        <w:tc>
          <w:tcPr>
            <w:tcW w:w="8771" w:type="dxa"/>
            <w:tcBorders>
              <w:top w:val="nil"/>
              <w:left w:val="nil"/>
              <w:bottom w:val="nil"/>
              <w:right w:val="nil"/>
            </w:tcBorders>
            <w:shd w:val="clear" w:color="auto" w:fill="F2F2F2" w:themeFill="background1" w:themeFillShade="F2"/>
          </w:tcPr>
          <w:p w:rsidR="00FA7D52" w:rsidRPr="00EF5A5F" w:rsidRDefault="00FA7D52" w:rsidP="00137F60">
            <w:pPr>
              <w:pStyle w:val="Box"/>
            </w:pPr>
            <w:r w:rsidRPr="00EF5A5F">
              <w:t>‘Student employment and further study outcomes’ is defined by four measures:</w:t>
            </w:r>
          </w:p>
          <w:p w:rsidR="00FA7D52" w:rsidRPr="00EF5A5F" w:rsidRDefault="00FA7D52" w:rsidP="00137F60">
            <w:pPr>
              <w:pStyle w:val="BoxListBullet"/>
            </w:pPr>
            <w:r w:rsidRPr="00EF5A5F">
              <w:t xml:space="preserve">the proportion of </w:t>
            </w:r>
            <w:r w:rsidR="00DC725E">
              <w:t xml:space="preserve">government funded VET </w:t>
            </w:r>
            <w:r w:rsidRPr="00EF5A5F">
              <w:t>graduates who were employed and/or continued on to further study after completing their course, reported by VET target groups</w:t>
            </w:r>
          </w:p>
          <w:p w:rsidR="00FA7D52" w:rsidRPr="00EF5A5F" w:rsidRDefault="00FA7D52" w:rsidP="00137F60">
            <w:pPr>
              <w:pStyle w:val="BoxListBullet"/>
            </w:pPr>
            <w:r w:rsidRPr="00EF5A5F">
              <w:t xml:space="preserve">the proportion of </w:t>
            </w:r>
            <w:r w:rsidR="00DC725E">
              <w:t xml:space="preserve">government funded VET </w:t>
            </w:r>
            <w:r w:rsidRPr="00EF5A5F">
              <w:t xml:space="preserve">graduates employed after completing their course who were unemployed before the course </w:t>
            </w:r>
          </w:p>
          <w:p w:rsidR="00FA7D52" w:rsidRPr="00EF5A5F" w:rsidRDefault="00FA7D52" w:rsidP="00137F60">
            <w:pPr>
              <w:pStyle w:val="BoxListBullet"/>
            </w:pPr>
            <w:r w:rsidRPr="00EF5A5F">
              <w:rPr>
                <w:rFonts w:cs="Arial"/>
                <w:szCs w:val="22"/>
              </w:rPr>
              <w:t xml:space="preserve">the proportion of </w:t>
            </w:r>
            <w:r w:rsidR="00DC725E">
              <w:t xml:space="preserve">government funded VET </w:t>
            </w:r>
            <w:r w:rsidRPr="00EF5A5F">
              <w:rPr>
                <w:rFonts w:cs="Arial"/>
                <w:szCs w:val="22"/>
              </w:rPr>
              <w:t>graduates who improved their employment circumstances after completing their course</w:t>
            </w:r>
            <w:r w:rsidRPr="00EF5A5F">
              <w:t>, reported by VET target groups</w:t>
            </w:r>
            <w:r w:rsidRPr="006C5A10">
              <w:t xml:space="preserve"> </w:t>
            </w:r>
            <w:r>
              <w:t xml:space="preserve">and </w:t>
            </w:r>
            <w:r w:rsidRPr="006C5A10">
              <w:t>by level of qualification</w:t>
            </w:r>
            <w:r w:rsidRPr="00EF5A5F">
              <w:t>. The definition of ‘</w:t>
            </w:r>
            <w:r w:rsidRPr="00EF5A5F">
              <w:rPr>
                <w:rFonts w:cs="Arial"/>
                <w:szCs w:val="22"/>
              </w:rPr>
              <w:t>improved employment circumstances’ is at least one of</w:t>
            </w:r>
            <w:r w:rsidRPr="00EF5A5F">
              <w:t>:</w:t>
            </w:r>
          </w:p>
          <w:p w:rsidR="00FA7D52" w:rsidRPr="00EF5A5F" w:rsidRDefault="00FA7D52" w:rsidP="00137F60">
            <w:pPr>
              <w:pStyle w:val="BoxListBullet2"/>
            </w:pPr>
            <w:bookmarkStart w:id="45" w:name="OLE_LINK73"/>
            <w:r w:rsidRPr="00EF5A5F">
              <w:t>employment status changing from not employed before training (both unemployed and not in the labour force) to employed either full</w:t>
            </w:r>
            <w:r w:rsidR="00AD5F7E">
              <w:noBreakHyphen/>
            </w:r>
            <w:r w:rsidRPr="00EF5A5F">
              <w:t>time or part</w:t>
            </w:r>
            <w:r w:rsidR="00AD5F7E">
              <w:noBreakHyphen/>
            </w:r>
            <w:r w:rsidRPr="00EF5A5F">
              <w:t>time after training</w:t>
            </w:r>
          </w:p>
          <w:p w:rsidR="00FA7D52" w:rsidRPr="00EF5A5F" w:rsidRDefault="00FA7D52" w:rsidP="00137F60">
            <w:pPr>
              <w:pStyle w:val="BoxListBullet2"/>
            </w:pPr>
            <w:r w:rsidRPr="00EF5A5F">
              <w:t>employed at a higher skill level after training</w:t>
            </w:r>
          </w:p>
          <w:p w:rsidR="00FA7D52" w:rsidRPr="006C5A10" w:rsidRDefault="00FA7D52" w:rsidP="00137F60">
            <w:pPr>
              <w:pStyle w:val="BoxListBullet2"/>
            </w:pPr>
            <w:r w:rsidRPr="00EF5A5F">
              <w:t>received a job</w:t>
            </w:r>
            <w:r w:rsidR="00AD5F7E">
              <w:noBreakHyphen/>
            </w:r>
            <w:r w:rsidRPr="00EF5A5F">
              <w:t xml:space="preserve">related benefit after completing their training, including set up or </w:t>
            </w:r>
            <w:r w:rsidRPr="006C5A10">
              <w:t>expanded their own business, got a promotion, increased earnings, or other job</w:t>
            </w:r>
            <w:r w:rsidRPr="006C5A10">
              <w:noBreakHyphen/>
              <w:t>related benefits</w:t>
            </w:r>
          </w:p>
          <w:bookmarkEnd w:id="45"/>
          <w:p w:rsidR="00FA7D52" w:rsidRPr="00EF5A5F" w:rsidRDefault="00FA7D52" w:rsidP="00137F60">
            <w:pPr>
              <w:pStyle w:val="BoxListBullet"/>
            </w:pPr>
            <w:r w:rsidRPr="006C5A10">
              <w:t xml:space="preserve">the proportion of </w:t>
            </w:r>
            <w:r w:rsidR="00DC725E">
              <w:t xml:space="preserve">government funded VET </w:t>
            </w:r>
            <w:r w:rsidRPr="006C5A10">
              <w:t xml:space="preserve">graduates </w:t>
            </w:r>
            <w:r w:rsidRPr="00EF5A5F">
              <w:t>who undertook their course for employment</w:t>
            </w:r>
            <w:r w:rsidR="00AD5F7E">
              <w:noBreakHyphen/>
            </w:r>
            <w:r w:rsidRPr="00EF5A5F">
              <w:t>related reasons and were employed after completing their course, who reported at least one job</w:t>
            </w:r>
            <w:r w:rsidR="00AD5F7E">
              <w:noBreakHyphen/>
            </w:r>
            <w:r w:rsidRPr="00EF5A5F">
              <w:t xml:space="preserve">related benefit from completing the course. </w:t>
            </w:r>
          </w:p>
          <w:p w:rsidR="00FA7D52" w:rsidRPr="00EF5A5F" w:rsidRDefault="00FA7D52" w:rsidP="00137F60">
            <w:pPr>
              <w:pStyle w:val="Box"/>
            </w:pPr>
            <w:r>
              <w:t>Data</w:t>
            </w:r>
            <w:r w:rsidRPr="00EF5A5F">
              <w:t xml:space="preserve"> are </w:t>
            </w:r>
            <w:r>
              <w:t xml:space="preserve">provided </w:t>
            </w:r>
            <w:r w:rsidRPr="00EF5A5F">
              <w:t xml:space="preserve">for VET target groups </w:t>
            </w:r>
            <w:r>
              <w:t>(</w:t>
            </w:r>
            <w:r w:rsidRPr="00EF5A5F">
              <w:t xml:space="preserve">students with disability, students speaking a </w:t>
            </w:r>
            <w:r w:rsidR="00AE1BEE">
              <w:t>LOTE</w:t>
            </w:r>
            <w:r w:rsidRPr="00EF5A5F">
              <w:t xml:space="preserve"> at home, students from remote and very remote areas and</w:t>
            </w:r>
            <w:r w:rsidR="00804C04">
              <w:t xml:space="preserve"> Aboriginal and Torres Strait Islander </w:t>
            </w:r>
            <w:r w:rsidRPr="00EF5A5F">
              <w:t>students</w:t>
            </w:r>
            <w:r>
              <w:t>)</w:t>
            </w:r>
            <w:r w:rsidRPr="00EF5A5F">
              <w:t>.</w:t>
            </w:r>
          </w:p>
          <w:p w:rsidR="00FA7D52" w:rsidRPr="00EF5A5F" w:rsidRDefault="00FA7D52" w:rsidP="00137F60">
            <w:pPr>
              <w:pStyle w:val="Box"/>
            </w:pPr>
            <w:r w:rsidRPr="00EF5A5F">
              <w:t>Holding other factors constant, high or increasing proportions indicate positive employment or further study outcomes after training. The proportion of students who improved their employment outcomes or were engaged in further study can overlap, since students may realise the two outcomes simultaneously.</w:t>
            </w:r>
          </w:p>
          <w:p w:rsidR="00FA7D52" w:rsidRPr="00EF5A5F" w:rsidRDefault="00FA7D52" w:rsidP="00137F60">
            <w:pPr>
              <w:pStyle w:val="Box"/>
            </w:pPr>
            <w:r w:rsidRPr="00EF5A5F">
              <w:t xml:space="preserve">Comparison of labour market outcomes must also account for the general economic conditions in each jurisdiction (see </w:t>
            </w:r>
            <w:r>
              <w:t>chapter 2</w:t>
            </w:r>
            <w:r w:rsidRPr="00EF5A5F">
              <w:t>).</w:t>
            </w:r>
          </w:p>
          <w:p w:rsidR="00FA7D52" w:rsidRDefault="00FA7D52" w:rsidP="00137F60">
            <w:pPr>
              <w:pStyle w:val="Box"/>
            </w:pPr>
            <w:r>
              <w:t xml:space="preserve">Data </w:t>
            </w:r>
            <w:r w:rsidR="006F0893">
              <w:t>reported for these measures are:</w:t>
            </w:r>
          </w:p>
          <w:p w:rsidR="00FA7D52" w:rsidRDefault="00FA7D52" w:rsidP="00137F60">
            <w:pPr>
              <w:pStyle w:val="BoxListBullet"/>
            </w:pPr>
            <w:r>
              <w:t>comparable (subject to caveats) across jurisdictions and over time</w:t>
            </w:r>
          </w:p>
          <w:p w:rsidR="00FA7D52" w:rsidRDefault="00FA7D52" w:rsidP="00137F60">
            <w:pPr>
              <w:pStyle w:val="BoxListBullet"/>
            </w:pPr>
            <w:r>
              <w:t>complete for the current reporting period (subject to caveats). All required 201</w:t>
            </w:r>
            <w:r w:rsidR="00224929">
              <w:t>4</w:t>
            </w:r>
            <w:r>
              <w:t xml:space="preserve"> data are available for all jurisdictions providing the service.</w:t>
            </w:r>
          </w:p>
          <w:p w:rsidR="00401449" w:rsidRDefault="00401449" w:rsidP="00224929">
            <w:pPr>
              <w:pStyle w:val="Box"/>
            </w:pPr>
            <w:r w:rsidRPr="00401449">
              <w:t>Data for these measures include 95 per cent confidence intervals (in the form of error bars in figures).</w:t>
            </w:r>
          </w:p>
          <w:p w:rsidR="00FA7D52" w:rsidRPr="00EF5A5F" w:rsidRDefault="00FA7D52" w:rsidP="00224929">
            <w:pPr>
              <w:pStyle w:val="Box"/>
            </w:pPr>
            <w:r w:rsidRPr="00EF5A5F">
              <w:t xml:space="preserve">Data quality information for this indicator </w:t>
            </w:r>
            <w:r w:rsidR="006E0D24">
              <w:t>is at www.pc.gov.au/</w:t>
            </w:r>
            <w:r w:rsidRPr="00EF5A5F">
              <w:t>rogs/</w:t>
            </w:r>
            <w:r>
              <w:t>201</w:t>
            </w:r>
            <w:r w:rsidR="00224929">
              <w:t>6</w:t>
            </w:r>
            <w:r w:rsidRPr="00EF5A5F">
              <w:t>.</w:t>
            </w:r>
          </w:p>
        </w:tc>
      </w:tr>
      <w:tr w:rsidR="00FA7D52" w:rsidTr="00137F60">
        <w:trPr>
          <w:cantSplit/>
        </w:trPr>
        <w:tc>
          <w:tcPr>
            <w:tcW w:w="8771" w:type="dxa"/>
            <w:tcBorders>
              <w:top w:val="nil"/>
              <w:left w:val="nil"/>
              <w:bottom w:val="single" w:sz="6" w:space="0" w:color="78A22F"/>
              <w:right w:val="nil"/>
            </w:tcBorders>
            <w:shd w:val="clear" w:color="auto" w:fill="F2F2F2" w:themeFill="background1" w:themeFillShade="F2"/>
          </w:tcPr>
          <w:p w:rsidR="00FA7D52" w:rsidRDefault="00FA7D52">
            <w:pPr>
              <w:pStyle w:val="Box"/>
              <w:spacing w:before="0" w:line="120" w:lineRule="exact"/>
            </w:pPr>
          </w:p>
        </w:tc>
      </w:tr>
      <w:tr w:rsidR="00FA7D52" w:rsidRPr="000863A5" w:rsidTr="00137F60">
        <w:tc>
          <w:tcPr>
            <w:tcW w:w="8771" w:type="dxa"/>
            <w:tcBorders>
              <w:top w:val="single" w:sz="6" w:space="0" w:color="78A22F"/>
              <w:left w:val="nil"/>
              <w:bottom w:val="nil"/>
              <w:right w:val="nil"/>
            </w:tcBorders>
          </w:tcPr>
          <w:p w:rsidR="00FA7D52" w:rsidRPr="00626D32" w:rsidRDefault="00FA7D52" w:rsidP="00137F60">
            <w:pPr>
              <w:pStyle w:val="BoxSpaceBelow"/>
            </w:pPr>
          </w:p>
        </w:tc>
      </w:tr>
    </w:tbl>
    <w:p w:rsidR="00B6333E" w:rsidRPr="00EF5A5F" w:rsidRDefault="00286280" w:rsidP="00802232">
      <w:pPr>
        <w:pStyle w:val="Heading5"/>
      </w:pPr>
      <w:r>
        <w:t>G</w:t>
      </w:r>
      <w:r w:rsidR="00AA0202" w:rsidRPr="00EF5A5F">
        <w:t>raduates who were employed and/or continued on to further study after completing their course</w:t>
      </w:r>
    </w:p>
    <w:p w:rsidR="00C57336" w:rsidRDefault="00C57336" w:rsidP="00D64BF3">
      <w:pPr>
        <w:pStyle w:val="BodyText"/>
      </w:pPr>
      <w:r w:rsidRPr="00EF5A5F">
        <w:t xml:space="preserve">Nationally, </w:t>
      </w:r>
      <w:r w:rsidR="00A31382">
        <w:t>87.</w:t>
      </w:r>
      <w:r w:rsidR="005F3C3B">
        <w:t>4</w:t>
      </w:r>
      <w:r w:rsidR="001803EF">
        <w:t xml:space="preserve"> </w:t>
      </w:r>
      <w:r w:rsidRPr="00EF5A5F">
        <w:t>per</w:t>
      </w:r>
      <w:r w:rsidR="001803EF">
        <w:t xml:space="preserve"> </w:t>
      </w:r>
      <w:r w:rsidRPr="00EF5A5F">
        <w:t xml:space="preserve">cent of </w:t>
      </w:r>
      <w:r w:rsidR="009529D3" w:rsidRPr="00EF5A5F">
        <w:t xml:space="preserve">government funded VET </w:t>
      </w:r>
      <w:r w:rsidRPr="00EF5A5F">
        <w:t xml:space="preserve">graduates surveyed were either in employment and/or pursuing further study after completing a VET course in </w:t>
      </w:r>
      <w:r w:rsidR="00F6462E">
        <w:t>201</w:t>
      </w:r>
      <w:r w:rsidR="009A0109">
        <w:t>3</w:t>
      </w:r>
      <w:r w:rsidR="005F3C3B">
        <w:t xml:space="preserve">. The proportion of government funded VET graduates in employment or pursuing further study has </w:t>
      </w:r>
      <w:r w:rsidR="00224929">
        <w:t xml:space="preserve">remained steady </w:t>
      </w:r>
      <w:r w:rsidR="005F3C3B">
        <w:t>over the past five years</w:t>
      </w:r>
      <w:r w:rsidRPr="00EF5A5F">
        <w:t xml:space="preserve">. Of </w:t>
      </w:r>
      <w:r w:rsidR="003D036A" w:rsidRPr="00EF5A5F">
        <w:t xml:space="preserve">all </w:t>
      </w:r>
      <w:r w:rsidR="009529D3" w:rsidRPr="00EF5A5F">
        <w:t xml:space="preserve">government funded VET </w:t>
      </w:r>
      <w:r w:rsidRPr="00EF5A5F">
        <w:t xml:space="preserve">graduates </w:t>
      </w:r>
      <w:r w:rsidR="00224929">
        <w:t xml:space="preserve">that </w:t>
      </w:r>
      <w:r w:rsidR="00224929">
        <w:lastRenderedPageBreak/>
        <w:t>completed a course in 201</w:t>
      </w:r>
      <w:r w:rsidR="009A0109">
        <w:t>3</w:t>
      </w:r>
      <w:r w:rsidR="00224929">
        <w:t xml:space="preserve">, </w:t>
      </w:r>
      <w:r w:rsidR="00A31382">
        <w:t>7</w:t>
      </w:r>
      <w:r w:rsidR="005F3C3B">
        <w:t>6.4</w:t>
      </w:r>
      <w:r w:rsidR="001803EF">
        <w:t xml:space="preserve"> </w:t>
      </w:r>
      <w:r w:rsidRPr="00EF5A5F">
        <w:t>per</w:t>
      </w:r>
      <w:r w:rsidR="001803EF">
        <w:t xml:space="preserve"> </w:t>
      </w:r>
      <w:r w:rsidRPr="00EF5A5F">
        <w:t xml:space="preserve">cent said they were in employment while </w:t>
      </w:r>
      <w:r w:rsidR="00A31382">
        <w:t>35.</w:t>
      </w:r>
      <w:r w:rsidR="005F3C3B">
        <w:t>5</w:t>
      </w:r>
      <w:r w:rsidR="001803EF">
        <w:t xml:space="preserve"> </w:t>
      </w:r>
      <w:r w:rsidR="00747F9B" w:rsidRPr="00EF5A5F">
        <w:t>per</w:t>
      </w:r>
      <w:r w:rsidR="001803EF">
        <w:t xml:space="preserve"> </w:t>
      </w:r>
      <w:r w:rsidR="00747F9B" w:rsidRPr="00EF5A5F">
        <w:t>c</w:t>
      </w:r>
      <w:r w:rsidRPr="00EF5A5F">
        <w:t xml:space="preserve">ent </w:t>
      </w:r>
      <w:r w:rsidR="00DC725E">
        <w:t>had</w:t>
      </w:r>
      <w:r w:rsidR="00461DA8">
        <w:t xml:space="preserve"> </w:t>
      </w:r>
      <w:r w:rsidRPr="00EF5A5F">
        <w:t xml:space="preserve">continued on to further study </w:t>
      </w:r>
      <w:r w:rsidR="00224929">
        <w:t>in 201</w:t>
      </w:r>
      <w:r w:rsidR="009A0109">
        <w:t>4</w:t>
      </w:r>
      <w:r w:rsidR="00224929">
        <w:t xml:space="preserve"> </w:t>
      </w:r>
      <w:r w:rsidRPr="00EF5A5F">
        <w:t xml:space="preserve">(figure </w:t>
      </w:r>
      <w:r w:rsidR="003A68D1">
        <w:t>5.21</w:t>
      </w:r>
      <w:r w:rsidRPr="00EF5A5F">
        <w:t>).</w:t>
      </w:r>
    </w:p>
    <w:p w:rsidR="00FA7D52" w:rsidRDefault="00FA7D52" w:rsidP="00137F6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A7D52" w:rsidTr="00137F60">
        <w:tc>
          <w:tcPr>
            <w:tcW w:w="8771" w:type="dxa"/>
            <w:tcBorders>
              <w:top w:val="single" w:sz="6" w:space="0" w:color="78A22F"/>
              <w:left w:val="nil"/>
              <w:bottom w:val="nil"/>
              <w:right w:val="nil"/>
            </w:tcBorders>
            <w:shd w:val="clear" w:color="auto" w:fill="auto"/>
          </w:tcPr>
          <w:p w:rsidR="00FA7D52" w:rsidRPr="00176D3F" w:rsidRDefault="00FA7D52" w:rsidP="00FB5394">
            <w:pPr>
              <w:pStyle w:val="FigureTitle"/>
            </w:pPr>
            <w:r w:rsidRPr="00784A05">
              <w:rPr>
                <w:b w:val="0"/>
              </w:rPr>
              <w:t xml:space="preserve">Figure </w:t>
            </w:r>
            <w:bookmarkStart w:id="46" w:name="OLE_LINK32"/>
            <w:r w:rsidR="003A68D1">
              <w:rPr>
                <w:b w:val="0"/>
              </w:rPr>
              <w:t>5.</w:t>
            </w:r>
            <w:r w:rsidR="00111918">
              <w:rPr>
                <w:b w:val="0"/>
                <w:noProof/>
              </w:rPr>
              <w:t>21</w:t>
            </w:r>
            <w:bookmarkEnd w:id="46"/>
            <w:r>
              <w:tab/>
            </w:r>
            <w:r w:rsidRPr="00DC0B62">
              <w:t>Proportion of VET graduates in employment and/or who continued on to further study in 201</w:t>
            </w:r>
            <w:r w:rsidR="00FC64F6">
              <w:t>4</w:t>
            </w:r>
            <w:r w:rsidRPr="00DC0B62">
              <w:t xml:space="preserve"> after completing a course</w:t>
            </w:r>
            <w:r w:rsidR="00401449">
              <w:rPr>
                <w:rStyle w:val="NoteLabel"/>
                <w:b/>
              </w:rPr>
              <w:t>a</w:t>
            </w:r>
          </w:p>
        </w:tc>
      </w:tr>
      <w:tr w:rsidR="00FA7D52" w:rsidTr="00137F60">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A7D52" w:rsidTr="00FA7D52">
              <w:tc>
                <w:tcPr>
                  <w:tcW w:w="5000" w:type="pct"/>
                  <w:tcBorders>
                    <w:top w:val="nil"/>
                    <w:bottom w:val="nil"/>
                  </w:tcBorders>
                </w:tcPr>
                <w:p w:rsidR="00FA7D52" w:rsidRDefault="00303FCA" w:rsidP="00A0558E">
                  <w:pPr>
                    <w:pStyle w:val="Figure"/>
                    <w:spacing w:before="60" w:after="60"/>
                  </w:pPr>
                  <w:r>
                    <w:rPr>
                      <w:noProof/>
                    </w:rPr>
                    <w:drawing>
                      <wp:inline distT="0" distB="0" distL="0" distR="0">
                        <wp:extent cx="5389880" cy="2710815"/>
                        <wp:effectExtent l="0" t="0" r="1270" b="0"/>
                        <wp:docPr id="36" name="Picture 36" descr="Figure 5.21 Proportion of VET graduates in employment and/or who continued on to further study in 2014 after completing a cours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FA7D52" w:rsidRDefault="00FA7D52" w:rsidP="00137F60">
            <w:pPr>
              <w:pStyle w:val="Figure"/>
            </w:pPr>
          </w:p>
        </w:tc>
      </w:tr>
      <w:tr w:rsidR="00FA7D52" w:rsidRPr="00176D3F" w:rsidTr="00137F60">
        <w:tc>
          <w:tcPr>
            <w:tcW w:w="8771" w:type="dxa"/>
            <w:tcBorders>
              <w:top w:val="nil"/>
              <w:left w:val="nil"/>
              <w:bottom w:val="nil"/>
              <w:right w:val="nil"/>
            </w:tcBorders>
            <w:shd w:val="clear" w:color="auto" w:fill="auto"/>
          </w:tcPr>
          <w:p w:rsidR="00FA7D52" w:rsidRPr="00176D3F" w:rsidRDefault="009A0109" w:rsidP="00401449">
            <w:pPr>
              <w:pStyle w:val="Note"/>
            </w:pPr>
            <w:r w:rsidRPr="00171E10">
              <w:rPr>
                <w:rStyle w:val="NoteLabel"/>
              </w:rPr>
              <w:t>a</w:t>
            </w:r>
            <w:r w:rsidRPr="00171E10">
              <w:t xml:space="preserve"> </w:t>
            </w:r>
            <w:r w:rsidR="002E487B" w:rsidRPr="006D3797">
              <w:t xml:space="preserve">See </w:t>
            </w:r>
            <w:r w:rsidR="002E487B">
              <w:t>box </w:t>
            </w:r>
            <w:r w:rsidR="003A68D1">
              <w:t>5.15</w:t>
            </w:r>
            <w:r w:rsidR="002E487B">
              <w:t xml:space="preserve"> and table 5A.40 </w:t>
            </w:r>
            <w:r w:rsidR="002E487B" w:rsidRPr="006D3797">
              <w:t>for detailed definitions, footnotes and caveats</w:t>
            </w:r>
            <w:r w:rsidR="00224929" w:rsidRPr="004B1B81">
              <w:t>.</w:t>
            </w:r>
          </w:p>
        </w:tc>
      </w:tr>
      <w:tr w:rsidR="00FA7D52" w:rsidRPr="00176D3F" w:rsidTr="00137F60">
        <w:tc>
          <w:tcPr>
            <w:tcW w:w="8771" w:type="dxa"/>
            <w:tcBorders>
              <w:top w:val="nil"/>
              <w:left w:val="nil"/>
              <w:bottom w:val="nil"/>
              <w:right w:val="nil"/>
            </w:tcBorders>
            <w:shd w:val="clear" w:color="auto" w:fill="auto"/>
          </w:tcPr>
          <w:p w:rsidR="00FA7D52" w:rsidRPr="00176D3F" w:rsidRDefault="00FA7D52" w:rsidP="00224929">
            <w:pPr>
              <w:pStyle w:val="Source"/>
            </w:pPr>
            <w:r w:rsidRPr="00171E10">
              <w:rPr>
                <w:i/>
              </w:rPr>
              <w:t>Source</w:t>
            </w:r>
            <w:r w:rsidRPr="00171E10">
              <w:t xml:space="preserve">: NCVER (unpublished) </w:t>
            </w:r>
            <w:r w:rsidRPr="00171E10">
              <w:rPr>
                <w:i/>
              </w:rPr>
              <w:t>Student Outcomes Survey</w:t>
            </w:r>
            <w:r w:rsidRPr="00171E10">
              <w:t>; table 5A.</w:t>
            </w:r>
            <w:r w:rsidR="00224929">
              <w:t>40</w:t>
            </w:r>
            <w:r w:rsidRPr="00171E10">
              <w:t>.</w:t>
            </w:r>
          </w:p>
        </w:tc>
      </w:tr>
      <w:tr w:rsidR="00FA7D52" w:rsidTr="00137F60">
        <w:tc>
          <w:tcPr>
            <w:tcW w:w="8771" w:type="dxa"/>
            <w:tcBorders>
              <w:top w:val="nil"/>
              <w:left w:val="nil"/>
              <w:bottom w:val="single" w:sz="6" w:space="0" w:color="78A22F"/>
              <w:right w:val="nil"/>
            </w:tcBorders>
            <w:shd w:val="clear" w:color="auto" w:fill="auto"/>
          </w:tcPr>
          <w:p w:rsidR="00FA7D52" w:rsidRDefault="00FA7D52" w:rsidP="00137F60">
            <w:pPr>
              <w:pStyle w:val="Figurespace"/>
            </w:pPr>
          </w:p>
        </w:tc>
      </w:tr>
      <w:tr w:rsidR="00FA7D52" w:rsidRPr="000863A5" w:rsidTr="00137F60">
        <w:tc>
          <w:tcPr>
            <w:tcW w:w="8771" w:type="dxa"/>
            <w:tcBorders>
              <w:top w:val="single" w:sz="6" w:space="0" w:color="78A22F"/>
              <w:left w:val="nil"/>
              <w:bottom w:val="nil"/>
              <w:right w:val="nil"/>
            </w:tcBorders>
          </w:tcPr>
          <w:p w:rsidR="00FA7D52" w:rsidRPr="00626D32" w:rsidRDefault="00FA7D52" w:rsidP="00137F60">
            <w:pPr>
              <w:pStyle w:val="BoxSpaceBelow"/>
            </w:pPr>
          </w:p>
        </w:tc>
      </w:tr>
    </w:tbl>
    <w:p w:rsidR="00286280" w:rsidRDefault="00E87125" w:rsidP="00E87125">
      <w:pPr>
        <w:pStyle w:val="BodyText"/>
      </w:pPr>
      <w:r w:rsidRPr="00EA6743">
        <w:t>Of those government funded VET graduates who continued on to further study</w:t>
      </w:r>
      <w:r>
        <w:t xml:space="preserve"> in 2014</w:t>
      </w:r>
      <w:r w:rsidR="00286280">
        <w:t>:</w:t>
      </w:r>
    </w:p>
    <w:p w:rsidR="00286280" w:rsidRDefault="00E87125" w:rsidP="00286280">
      <w:pPr>
        <w:pStyle w:val="ListBullet"/>
      </w:pPr>
      <w:r>
        <w:t xml:space="preserve">46.0 </w:t>
      </w:r>
      <w:r w:rsidRPr="00EA6743">
        <w:t>per</w:t>
      </w:r>
      <w:r>
        <w:t xml:space="preserve"> </w:t>
      </w:r>
      <w:r w:rsidRPr="00EA6743">
        <w:t>cent pursued their furth</w:t>
      </w:r>
      <w:r w:rsidR="009A0109">
        <w:t>er study within the TAFE system</w:t>
      </w:r>
      <w:r w:rsidRPr="00EA6743">
        <w:t xml:space="preserve"> </w:t>
      </w:r>
    </w:p>
    <w:p w:rsidR="00286280" w:rsidRDefault="00E87125" w:rsidP="00286280">
      <w:pPr>
        <w:pStyle w:val="ListBullet"/>
      </w:pPr>
      <w:r>
        <w:t xml:space="preserve">23.8 </w:t>
      </w:r>
      <w:r w:rsidRPr="00EA6743">
        <w:t>per</w:t>
      </w:r>
      <w:r>
        <w:t xml:space="preserve"> </w:t>
      </w:r>
      <w:r w:rsidRPr="00EA6743">
        <w:t xml:space="preserve">cent went on to further study at universities </w:t>
      </w:r>
    </w:p>
    <w:p w:rsidR="00286280" w:rsidRDefault="00E87125" w:rsidP="00286280">
      <w:pPr>
        <w:pStyle w:val="ListBullet"/>
      </w:pPr>
      <w:r>
        <w:t xml:space="preserve">30.2 </w:t>
      </w:r>
      <w:r w:rsidRPr="00EA6743">
        <w:t>per</w:t>
      </w:r>
      <w:r>
        <w:t xml:space="preserve"> </w:t>
      </w:r>
      <w:r w:rsidRPr="00EA6743">
        <w:t>cent went on to further study at private providers or other registered providers</w:t>
      </w:r>
      <w:r>
        <w:t xml:space="preserve">. </w:t>
      </w:r>
    </w:p>
    <w:p w:rsidR="00E87125" w:rsidRDefault="00E87125" w:rsidP="00286280">
      <w:pPr>
        <w:pStyle w:val="BodyText"/>
      </w:pPr>
      <w:r>
        <w:t>The results varied across jurisdictions</w:t>
      </w:r>
      <w:r w:rsidRPr="00EA6743">
        <w:t xml:space="preserve"> </w:t>
      </w:r>
      <w:r w:rsidRPr="00EF5A5F">
        <w:t xml:space="preserve">(figure </w:t>
      </w:r>
      <w:r w:rsidR="003A68D1">
        <w:t>5.22</w:t>
      </w:r>
      <w:r w:rsidRPr="00EF5A5F">
        <w:t xml:space="preserve">). </w:t>
      </w:r>
    </w:p>
    <w:p w:rsidR="00E87125" w:rsidRDefault="00E87125" w:rsidP="00E8712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87125" w:rsidTr="000E2547">
        <w:tc>
          <w:tcPr>
            <w:tcW w:w="8771" w:type="dxa"/>
            <w:tcBorders>
              <w:top w:val="single" w:sz="6" w:space="0" w:color="78A22F"/>
              <w:left w:val="nil"/>
              <w:bottom w:val="nil"/>
              <w:right w:val="nil"/>
            </w:tcBorders>
            <w:shd w:val="clear" w:color="auto" w:fill="auto"/>
          </w:tcPr>
          <w:p w:rsidR="00E87125" w:rsidRPr="00176D3F" w:rsidRDefault="00E87125" w:rsidP="00C9778B">
            <w:pPr>
              <w:pStyle w:val="FigureTitle"/>
            </w:pPr>
            <w:r w:rsidRPr="00784A05">
              <w:rPr>
                <w:b w:val="0"/>
              </w:rPr>
              <w:t xml:space="preserve">Figure </w:t>
            </w:r>
            <w:bookmarkStart w:id="47" w:name="OLE_LINK35"/>
            <w:r w:rsidR="003A68D1">
              <w:rPr>
                <w:b w:val="0"/>
              </w:rPr>
              <w:t>5.</w:t>
            </w:r>
            <w:r w:rsidR="00111918">
              <w:rPr>
                <w:b w:val="0"/>
                <w:noProof/>
              </w:rPr>
              <w:t>22</w:t>
            </w:r>
            <w:bookmarkEnd w:id="47"/>
            <w:r>
              <w:tab/>
            </w:r>
            <w:r w:rsidRPr="00A26D57">
              <w:t>VET graduates who continued on to further study after completing a course,</w:t>
            </w:r>
            <w:r w:rsidR="00C9778B">
              <w:t xml:space="preserve"> </w:t>
            </w:r>
            <w:r w:rsidR="00C9778B" w:rsidRPr="00A26D57">
              <w:t xml:space="preserve">by </w:t>
            </w:r>
            <w:r w:rsidR="00C9778B">
              <w:t xml:space="preserve">type of continuing institution </w:t>
            </w:r>
            <w:r w:rsidRPr="00A26D57">
              <w:t>201</w:t>
            </w:r>
            <w:r w:rsidR="00193559">
              <w:t>4</w:t>
            </w:r>
            <w:r w:rsidRPr="00CC723C">
              <w:rPr>
                <w:rStyle w:val="NoteLabel"/>
                <w:b/>
              </w:rPr>
              <w:t>a</w:t>
            </w:r>
          </w:p>
        </w:tc>
      </w:tr>
      <w:tr w:rsidR="00E87125" w:rsidTr="000E2547">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87125" w:rsidTr="000E2547">
              <w:tc>
                <w:tcPr>
                  <w:tcW w:w="5000" w:type="pct"/>
                  <w:tcBorders>
                    <w:top w:val="nil"/>
                    <w:bottom w:val="nil"/>
                  </w:tcBorders>
                </w:tcPr>
                <w:p w:rsidR="00E87125" w:rsidRDefault="00303FCA" w:rsidP="00A0558E">
                  <w:pPr>
                    <w:pStyle w:val="Figure"/>
                    <w:spacing w:before="60" w:after="60"/>
                  </w:pPr>
                  <w:r>
                    <w:rPr>
                      <w:noProof/>
                    </w:rPr>
                    <w:drawing>
                      <wp:inline distT="0" distB="0" distL="0" distR="0">
                        <wp:extent cx="5389880" cy="2710815"/>
                        <wp:effectExtent l="0" t="0" r="1270" b="0"/>
                        <wp:docPr id="37" name="Picture 37" descr="Figure 5.22 VET graduates who continued on to further study after completing a course, by type of continuing institution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E87125" w:rsidRDefault="00E87125" w:rsidP="000E2547">
            <w:pPr>
              <w:pStyle w:val="Figure"/>
            </w:pPr>
          </w:p>
        </w:tc>
      </w:tr>
      <w:tr w:rsidR="00E87125" w:rsidRPr="00176D3F" w:rsidTr="000E2547">
        <w:tc>
          <w:tcPr>
            <w:tcW w:w="8771" w:type="dxa"/>
            <w:tcBorders>
              <w:top w:val="nil"/>
              <w:left w:val="nil"/>
              <w:bottom w:val="nil"/>
              <w:right w:val="nil"/>
            </w:tcBorders>
            <w:shd w:val="clear" w:color="auto" w:fill="auto"/>
          </w:tcPr>
          <w:p w:rsidR="00E87125" w:rsidRPr="00176D3F" w:rsidRDefault="006E1123" w:rsidP="00401449">
            <w:pPr>
              <w:pStyle w:val="Note"/>
            </w:pPr>
            <w:r w:rsidRPr="00171E10">
              <w:rPr>
                <w:rStyle w:val="NoteLabel"/>
              </w:rPr>
              <w:t>a</w:t>
            </w:r>
            <w:r w:rsidRPr="00171E10">
              <w:t xml:space="preserve"> </w:t>
            </w:r>
            <w:r w:rsidR="002E487B" w:rsidRPr="006D3797">
              <w:t>See box</w:t>
            </w:r>
            <w:r w:rsidR="00332C35">
              <w:t> </w:t>
            </w:r>
            <w:r w:rsidR="003A68D1">
              <w:t>5.15</w:t>
            </w:r>
            <w:r w:rsidR="002E487B">
              <w:t xml:space="preserve"> and table 5A.40 </w:t>
            </w:r>
            <w:r w:rsidR="002E487B" w:rsidRPr="006D3797">
              <w:t>for detailed definitions, footnotes and caveats</w:t>
            </w:r>
            <w:r w:rsidRPr="004B1B81">
              <w:t>.</w:t>
            </w:r>
          </w:p>
        </w:tc>
      </w:tr>
      <w:tr w:rsidR="00E87125" w:rsidRPr="00176D3F" w:rsidTr="000E2547">
        <w:tc>
          <w:tcPr>
            <w:tcW w:w="8771" w:type="dxa"/>
            <w:tcBorders>
              <w:top w:val="nil"/>
              <w:left w:val="nil"/>
              <w:bottom w:val="nil"/>
              <w:right w:val="nil"/>
            </w:tcBorders>
            <w:shd w:val="clear" w:color="auto" w:fill="auto"/>
          </w:tcPr>
          <w:p w:rsidR="00E87125" w:rsidRPr="00176D3F" w:rsidRDefault="00E87125" w:rsidP="006E1123">
            <w:pPr>
              <w:pStyle w:val="Source"/>
            </w:pPr>
            <w:r w:rsidRPr="00171E10">
              <w:rPr>
                <w:i/>
              </w:rPr>
              <w:t>Source</w:t>
            </w:r>
            <w:r w:rsidRPr="00171E10">
              <w:t xml:space="preserve">: NCVER (unpublished) </w:t>
            </w:r>
            <w:r w:rsidRPr="00171E10">
              <w:rPr>
                <w:i/>
              </w:rPr>
              <w:t>Student Outcomes Survey</w:t>
            </w:r>
            <w:r w:rsidRPr="00171E10">
              <w:t>; table 5A.</w:t>
            </w:r>
            <w:r w:rsidR="006E1123">
              <w:t>40</w:t>
            </w:r>
            <w:r w:rsidRPr="00171E10">
              <w:t>.</w:t>
            </w:r>
          </w:p>
        </w:tc>
      </w:tr>
      <w:tr w:rsidR="00E87125" w:rsidTr="000E2547">
        <w:tc>
          <w:tcPr>
            <w:tcW w:w="8771" w:type="dxa"/>
            <w:tcBorders>
              <w:top w:val="nil"/>
              <w:left w:val="nil"/>
              <w:bottom w:val="single" w:sz="6" w:space="0" w:color="78A22F"/>
              <w:right w:val="nil"/>
            </w:tcBorders>
            <w:shd w:val="clear" w:color="auto" w:fill="auto"/>
          </w:tcPr>
          <w:p w:rsidR="00E87125" w:rsidRDefault="00E87125" w:rsidP="000E2547">
            <w:pPr>
              <w:pStyle w:val="Figurespace"/>
            </w:pPr>
          </w:p>
        </w:tc>
      </w:tr>
      <w:tr w:rsidR="00E87125" w:rsidRPr="000863A5" w:rsidTr="000E2547">
        <w:tc>
          <w:tcPr>
            <w:tcW w:w="8771" w:type="dxa"/>
            <w:tcBorders>
              <w:top w:val="single" w:sz="6" w:space="0" w:color="78A22F"/>
              <w:left w:val="nil"/>
              <w:bottom w:val="nil"/>
              <w:right w:val="nil"/>
            </w:tcBorders>
          </w:tcPr>
          <w:p w:rsidR="00E87125" w:rsidRPr="00626D32" w:rsidRDefault="00E87125" w:rsidP="000E2547">
            <w:pPr>
              <w:pStyle w:val="BoxSpaceBelow"/>
            </w:pPr>
          </w:p>
        </w:tc>
      </w:tr>
    </w:tbl>
    <w:p w:rsidR="00193559" w:rsidRDefault="00193559" w:rsidP="006E1123">
      <w:pPr>
        <w:pStyle w:val="Heading6"/>
      </w:pPr>
      <w:r>
        <w:t>Aboriginal and Torres Strait Islander VET graduates</w:t>
      </w:r>
    </w:p>
    <w:p w:rsidR="006E1123" w:rsidRDefault="00A35127" w:rsidP="006F5988">
      <w:pPr>
        <w:pStyle w:val="BodyText"/>
      </w:pPr>
      <w:r w:rsidRPr="00E444F5">
        <w:t>Nationally</w:t>
      </w:r>
      <w:r w:rsidR="006E1123" w:rsidRPr="006E1123">
        <w:t xml:space="preserve"> </w:t>
      </w:r>
      <w:r w:rsidR="006E1123" w:rsidRPr="00E444F5">
        <w:t>in 201</w:t>
      </w:r>
      <w:r w:rsidR="006E1123">
        <w:t xml:space="preserve">4, </w:t>
      </w:r>
      <w:r w:rsidR="00BA3094">
        <w:t xml:space="preserve">78.8 </w:t>
      </w:r>
      <w:r w:rsidR="00BA3094" w:rsidRPr="00E444F5">
        <w:t>per</w:t>
      </w:r>
      <w:r w:rsidR="00BA3094">
        <w:t xml:space="preserve"> </w:t>
      </w:r>
      <w:r w:rsidR="00BA3094" w:rsidRPr="00E444F5">
        <w:t xml:space="preserve">cent </w:t>
      </w:r>
      <w:r w:rsidR="006E1123" w:rsidRPr="00E444F5">
        <w:t>of government funded</w:t>
      </w:r>
      <w:r w:rsidR="006E1123">
        <w:t xml:space="preserve"> Aboriginal and Torres Strait Islander </w:t>
      </w:r>
      <w:r w:rsidR="006E1123" w:rsidRPr="00E444F5">
        <w:t>VET graduates</w:t>
      </w:r>
      <w:r w:rsidR="006F5988">
        <w:t xml:space="preserve"> </w:t>
      </w:r>
      <w:r w:rsidRPr="00E444F5">
        <w:t>were employed and/or in further study after completing a course</w:t>
      </w:r>
      <w:r w:rsidR="008C6471">
        <w:t xml:space="preserve">, </w:t>
      </w:r>
      <w:r w:rsidR="008C6471" w:rsidRPr="00F74889">
        <w:t xml:space="preserve">comparable to </w:t>
      </w:r>
      <w:r w:rsidR="006E2568" w:rsidRPr="00F74889">
        <w:t>20</w:t>
      </w:r>
      <w:r w:rsidR="006E1123" w:rsidRPr="00F74889">
        <w:t>10</w:t>
      </w:r>
      <w:r w:rsidR="006F5988">
        <w:t>. Nationally in 2014:</w:t>
      </w:r>
    </w:p>
    <w:p w:rsidR="006E1123" w:rsidRDefault="00BD4349" w:rsidP="006D5EE2">
      <w:pPr>
        <w:pStyle w:val="ListBullet"/>
      </w:pPr>
      <w:r>
        <w:t xml:space="preserve">a lower proportion </w:t>
      </w:r>
      <w:r w:rsidR="006F5988">
        <w:t xml:space="preserve">of Aboriginal and Torres Strait Islander government funded VET students </w:t>
      </w:r>
      <w:r>
        <w:t xml:space="preserve">were </w:t>
      </w:r>
      <w:r w:rsidR="00A35127" w:rsidRPr="00E444F5">
        <w:t>emp</w:t>
      </w:r>
      <w:r>
        <w:t xml:space="preserve">loyed after completing a course </w:t>
      </w:r>
      <w:r w:rsidRPr="00E444F5">
        <w:t>(</w:t>
      </w:r>
      <w:r>
        <w:t>64.3</w:t>
      </w:r>
      <w:r w:rsidR="006E1123">
        <w:t> </w:t>
      </w:r>
      <w:r w:rsidRPr="00E444F5">
        <w:t>per</w:t>
      </w:r>
      <w:r>
        <w:t xml:space="preserve"> </w:t>
      </w:r>
      <w:r w:rsidRPr="00E444F5">
        <w:t>cent</w:t>
      </w:r>
      <w:r>
        <w:t xml:space="preserve">), compared to </w:t>
      </w:r>
      <w:r w:rsidR="00FC64F6">
        <w:t>non</w:t>
      </w:r>
      <w:r w:rsidR="00FC64F6">
        <w:noBreakHyphen/>
        <w:t xml:space="preserve">Indigenous </w:t>
      </w:r>
      <w:r w:rsidRPr="00E444F5">
        <w:t xml:space="preserve">government funded VET graduates </w:t>
      </w:r>
      <w:r>
        <w:t>(76.</w:t>
      </w:r>
      <w:r w:rsidR="00FC64F6">
        <w:t>6</w:t>
      </w:r>
      <w:r w:rsidR="006E1123">
        <w:t> </w:t>
      </w:r>
      <w:r w:rsidR="00A35127" w:rsidRPr="00E444F5">
        <w:t>per</w:t>
      </w:r>
      <w:r w:rsidR="001803EF">
        <w:t xml:space="preserve"> </w:t>
      </w:r>
      <w:r w:rsidR="00A35127" w:rsidRPr="00E444F5">
        <w:t>cent)</w:t>
      </w:r>
      <w:r>
        <w:t xml:space="preserve"> </w:t>
      </w:r>
    </w:p>
    <w:p w:rsidR="00A35127" w:rsidRDefault="006E1123" w:rsidP="006D5EE2">
      <w:pPr>
        <w:pStyle w:val="ListBullet"/>
      </w:pPr>
      <w:r>
        <w:t>a</w:t>
      </w:r>
      <w:r w:rsidR="00BD4349">
        <w:t xml:space="preserve"> similar proportion </w:t>
      </w:r>
      <w:r w:rsidR="006F5988">
        <w:t xml:space="preserve">of Aboriginal and Torres Strait Islander and </w:t>
      </w:r>
      <w:r w:rsidR="00FC64F6">
        <w:t>non</w:t>
      </w:r>
      <w:r w:rsidR="00FC64F6">
        <w:noBreakHyphen/>
        <w:t xml:space="preserve">Indigenous government funded VET </w:t>
      </w:r>
      <w:r w:rsidR="006F5988">
        <w:t xml:space="preserve">graduates </w:t>
      </w:r>
      <w:r w:rsidR="00BD4349">
        <w:t>continued on to further study</w:t>
      </w:r>
      <w:r w:rsidR="00A35127" w:rsidRPr="00E444F5">
        <w:t xml:space="preserve"> </w:t>
      </w:r>
      <w:r w:rsidR="00BD4349">
        <w:t>(</w:t>
      </w:r>
      <w:r w:rsidR="00A31382">
        <w:t>3</w:t>
      </w:r>
      <w:r w:rsidR="00FC64F6">
        <w:t>6.5</w:t>
      </w:r>
      <w:r w:rsidR="001803EF">
        <w:t xml:space="preserve"> </w:t>
      </w:r>
      <w:r w:rsidR="00A35127" w:rsidRPr="00E444F5">
        <w:t>per</w:t>
      </w:r>
      <w:r>
        <w:t> cent</w:t>
      </w:r>
      <w:r w:rsidR="006F5988">
        <w:t xml:space="preserve"> and </w:t>
      </w:r>
      <w:r w:rsidR="00A31382">
        <w:t>35.</w:t>
      </w:r>
      <w:r w:rsidR="00FC64F6">
        <w:t>4</w:t>
      </w:r>
      <w:r w:rsidR="00A31382">
        <w:t xml:space="preserve"> </w:t>
      </w:r>
      <w:r w:rsidR="00A35127" w:rsidRPr="00E444F5">
        <w:t xml:space="preserve">per cent </w:t>
      </w:r>
      <w:r w:rsidR="006F5988">
        <w:t>respectively</w:t>
      </w:r>
      <w:r w:rsidR="00A35127" w:rsidRPr="00E444F5">
        <w:t>) (figure</w:t>
      </w:r>
      <w:r w:rsidR="00FC64F6">
        <w:t xml:space="preserve"> </w:t>
      </w:r>
      <w:r w:rsidR="003A68D1">
        <w:t>5.23</w:t>
      </w:r>
      <w:r w:rsidR="00FC64F6">
        <w:t xml:space="preserve"> and table</w:t>
      </w:r>
      <w:r w:rsidR="00BA3094">
        <w:t>s</w:t>
      </w:r>
      <w:r w:rsidR="00FC64F6">
        <w:t> 5A.</w:t>
      </w:r>
      <w:r>
        <w:t>41</w:t>
      </w:r>
      <w:r w:rsidR="00AD5F7E">
        <w:noBreakHyphen/>
      </w:r>
      <w:r>
        <w:t>42</w:t>
      </w:r>
      <w:r w:rsidR="00A35127" w:rsidRPr="00E444F5">
        <w:t>).</w:t>
      </w:r>
    </w:p>
    <w:p w:rsidR="00FB5394" w:rsidRDefault="00FB5394" w:rsidP="00FB5394">
      <w:pPr>
        <w:pStyle w:val="BodyText"/>
      </w:pPr>
      <w:r w:rsidRPr="00EA6743">
        <w:t>Of those government funded</w:t>
      </w:r>
      <w:r>
        <w:t xml:space="preserve"> Aboriginal and Torres Strait Islander </w:t>
      </w:r>
      <w:r w:rsidRPr="00EA6743">
        <w:t>VET graduates who went on to further study</w:t>
      </w:r>
      <w:r>
        <w:t xml:space="preserve"> in 2014:</w:t>
      </w:r>
      <w:r w:rsidRPr="00EA6743">
        <w:t xml:space="preserve"> </w:t>
      </w:r>
    </w:p>
    <w:p w:rsidR="00FB5394" w:rsidRDefault="00FB5394" w:rsidP="00FB5394">
      <w:pPr>
        <w:pStyle w:val="ListBullet"/>
      </w:pPr>
      <w:r>
        <w:t xml:space="preserve">58.7 </w:t>
      </w:r>
      <w:r w:rsidRPr="00EA6743">
        <w:t>per</w:t>
      </w:r>
      <w:r>
        <w:t xml:space="preserve"> </w:t>
      </w:r>
      <w:r w:rsidRPr="00EA6743">
        <w:t xml:space="preserve">cent continued on to further study within the TAFE system (compared with </w:t>
      </w:r>
      <w:r>
        <w:t xml:space="preserve">45.4 </w:t>
      </w:r>
      <w:r w:rsidRPr="00EA6743">
        <w:t>per</w:t>
      </w:r>
      <w:r>
        <w:t xml:space="preserve"> </w:t>
      </w:r>
      <w:r w:rsidRPr="00EA6743">
        <w:t xml:space="preserve">cent for </w:t>
      </w:r>
      <w:r>
        <w:t>non</w:t>
      </w:r>
      <w:r>
        <w:noBreakHyphen/>
        <w:t>Indigenous government funded VET graduates)</w:t>
      </w:r>
    </w:p>
    <w:p w:rsidR="00FB5394" w:rsidRDefault="00FB5394" w:rsidP="00FB5394">
      <w:pPr>
        <w:pStyle w:val="ListBullet"/>
      </w:pPr>
      <w:r>
        <w:t xml:space="preserve">18.1 per </w:t>
      </w:r>
      <w:r w:rsidRPr="00EA6743">
        <w:t xml:space="preserve">cent went </w:t>
      </w:r>
      <w:r w:rsidR="004D79B0">
        <w:t xml:space="preserve">on </w:t>
      </w:r>
      <w:r w:rsidRPr="00EA6743">
        <w:t xml:space="preserve">to university (compared with </w:t>
      </w:r>
      <w:r>
        <w:t xml:space="preserve">24.1 </w:t>
      </w:r>
      <w:r w:rsidRPr="00EA6743">
        <w:t>per</w:t>
      </w:r>
      <w:r>
        <w:t xml:space="preserve"> </w:t>
      </w:r>
      <w:r w:rsidRPr="00EA6743">
        <w:t xml:space="preserve">cent for </w:t>
      </w:r>
      <w:r>
        <w:t>non</w:t>
      </w:r>
      <w:r>
        <w:noBreakHyphen/>
        <w:t xml:space="preserve">Indigenous government </w:t>
      </w:r>
      <w:r w:rsidRPr="00EA6743">
        <w:t xml:space="preserve">funded VET graduates) </w:t>
      </w:r>
    </w:p>
    <w:p w:rsidR="00FB5394" w:rsidRDefault="00B648D8" w:rsidP="00FB5394">
      <w:pPr>
        <w:pStyle w:val="ListBullet"/>
      </w:pPr>
      <w:r w:rsidRPr="00F74889">
        <w:t>23.2</w:t>
      </w:r>
      <w:r w:rsidR="00FB5394" w:rsidRPr="00F74889">
        <w:t xml:space="preserve"> per cent</w:t>
      </w:r>
      <w:r w:rsidR="00FB5394" w:rsidRPr="00EA6743">
        <w:t xml:space="preserve"> went on to further study at private providers or other registered providers (compared with </w:t>
      </w:r>
      <w:r w:rsidR="00FB5394">
        <w:t xml:space="preserve">30.5 </w:t>
      </w:r>
      <w:r w:rsidR="00FB5394" w:rsidRPr="00EA6743">
        <w:t>per</w:t>
      </w:r>
      <w:r w:rsidR="00FB5394">
        <w:t xml:space="preserve"> </w:t>
      </w:r>
      <w:r w:rsidR="00FB5394" w:rsidRPr="00EA6743">
        <w:t xml:space="preserve">cent for </w:t>
      </w:r>
      <w:r w:rsidR="00FB5394">
        <w:t>non</w:t>
      </w:r>
      <w:r w:rsidR="00FB5394">
        <w:noBreakHyphen/>
        <w:t>Indigenous</w:t>
      </w:r>
      <w:r w:rsidR="00FB5394" w:rsidRPr="00EA6743">
        <w:t xml:space="preserve"> </w:t>
      </w:r>
      <w:r w:rsidR="00FB5394" w:rsidRPr="00EF5A5F">
        <w:t>government funded VET graduates) (table</w:t>
      </w:r>
      <w:r w:rsidR="00FB5394">
        <w:t>s</w:t>
      </w:r>
      <w:r w:rsidR="00FB5394" w:rsidRPr="00EF5A5F">
        <w:t xml:space="preserve"> 5A.</w:t>
      </w:r>
      <w:r w:rsidR="00FB5394">
        <w:t>41</w:t>
      </w:r>
      <w:r w:rsidR="00AD5F7E">
        <w:noBreakHyphen/>
      </w:r>
      <w:r w:rsidR="00FB5394">
        <w:t>42</w:t>
      </w:r>
      <w:r w:rsidR="00FB5394" w:rsidRPr="00EF5A5F">
        <w:t>).</w:t>
      </w:r>
    </w:p>
    <w:p w:rsidR="00613275" w:rsidRDefault="00613275" w:rsidP="00137F6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13275" w:rsidTr="00137F60">
        <w:tc>
          <w:tcPr>
            <w:tcW w:w="8771" w:type="dxa"/>
            <w:tcBorders>
              <w:top w:val="single" w:sz="6" w:space="0" w:color="78A22F"/>
              <w:left w:val="nil"/>
              <w:bottom w:val="nil"/>
              <w:right w:val="nil"/>
            </w:tcBorders>
            <w:shd w:val="clear" w:color="auto" w:fill="auto"/>
          </w:tcPr>
          <w:p w:rsidR="00613275" w:rsidRPr="00176D3F" w:rsidRDefault="00613275" w:rsidP="00BD2563">
            <w:pPr>
              <w:pStyle w:val="FigureTitle"/>
            </w:pPr>
            <w:r w:rsidRPr="00784A05">
              <w:rPr>
                <w:b w:val="0"/>
              </w:rPr>
              <w:t xml:space="preserve">Figure </w:t>
            </w:r>
            <w:bookmarkStart w:id="48" w:name="OLE_LINK33"/>
            <w:r w:rsidR="003A68D1">
              <w:rPr>
                <w:b w:val="0"/>
              </w:rPr>
              <w:t>5.</w:t>
            </w:r>
            <w:bookmarkStart w:id="49" w:name="OLE_LINK34"/>
            <w:r w:rsidR="00111918">
              <w:rPr>
                <w:b w:val="0"/>
                <w:noProof/>
              </w:rPr>
              <w:t>23</w:t>
            </w:r>
            <w:bookmarkEnd w:id="48"/>
            <w:bookmarkEnd w:id="49"/>
            <w:r>
              <w:tab/>
            </w:r>
            <w:r w:rsidRPr="00DC0B62">
              <w:t>Proportion of</w:t>
            </w:r>
            <w:r w:rsidR="00804C04">
              <w:t xml:space="preserve"> Aboriginal and Torres Strait Islander </w:t>
            </w:r>
            <w:r w:rsidRPr="00DC0B62">
              <w:t>VET graduates in employment and/or who continued on to further study in 201</w:t>
            </w:r>
            <w:r w:rsidR="00E27CB3">
              <w:t>4</w:t>
            </w:r>
            <w:r w:rsidRPr="00DC0B62">
              <w:t xml:space="preserve"> after completing a course</w:t>
            </w:r>
            <w:r w:rsidR="00401449">
              <w:rPr>
                <w:rStyle w:val="NoteLabel"/>
                <w:b/>
              </w:rPr>
              <w:t>a</w:t>
            </w:r>
          </w:p>
        </w:tc>
      </w:tr>
      <w:tr w:rsidR="00613275" w:rsidTr="00137F60">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13275" w:rsidTr="00613275">
              <w:tc>
                <w:tcPr>
                  <w:tcW w:w="5000" w:type="pct"/>
                  <w:tcBorders>
                    <w:top w:val="nil"/>
                    <w:bottom w:val="nil"/>
                  </w:tcBorders>
                </w:tcPr>
                <w:p w:rsidR="00613275" w:rsidRDefault="00303FCA" w:rsidP="00A0558E">
                  <w:pPr>
                    <w:pStyle w:val="Figure"/>
                    <w:spacing w:before="60" w:after="60"/>
                  </w:pPr>
                  <w:r>
                    <w:rPr>
                      <w:noProof/>
                    </w:rPr>
                    <w:drawing>
                      <wp:inline distT="0" distB="0" distL="0" distR="0">
                        <wp:extent cx="5389880" cy="2710815"/>
                        <wp:effectExtent l="0" t="0" r="1270" b="0"/>
                        <wp:docPr id="38" name="Picture 38" descr="Figure 5.23 Proportion of Aboriginal and Torres Strait Islander VET graduates in employment and/or who continued on to further study in 2014 after completing a cours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613275" w:rsidRDefault="00613275" w:rsidP="00137F60">
            <w:pPr>
              <w:pStyle w:val="Figure"/>
            </w:pPr>
          </w:p>
        </w:tc>
      </w:tr>
      <w:tr w:rsidR="00613275" w:rsidRPr="00176D3F" w:rsidTr="00137F60">
        <w:tc>
          <w:tcPr>
            <w:tcW w:w="8771" w:type="dxa"/>
            <w:tcBorders>
              <w:top w:val="nil"/>
              <w:left w:val="nil"/>
              <w:bottom w:val="nil"/>
              <w:right w:val="nil"/>
            </w:tcBorders>
            <w:shd w:val="clear" w:color="auto" w:fill="auto"/>
          </w:tcPr>
          <w:p w:rsidR="00613275" w:rsidRPr="00176D3F" w:rsidRDefault="00BF0AF9" w:rsidP="00401449">
            <w:pPr>
              <w:pStyle w:val="Note"/>
            </w:pPr>
            <w:r w:rsidRPr="00171E10">
              <w:rPr>
                <w:rStyle w:val="NoteLabel"/>
              </w:rPr>
              <w:t>a</w:t>
            </w:r>
            <w:r w:rsidRPr="004B1B81">
              <w:t xml:space="preserve"> </w:t>
            </w:r>
            <w:r w:rsidR="0053766B" w:rsidRPr="006D3797">
              <w:t>See box</w:t>
            </w:r>
            <w:r w:rsidR="00332C35">
              <w:t> </w:t>
            </w:r>
            <w:r w:rsidR="003A68D1">
              <w:t>5.15</w:t>
            </w:r>
            <w:r w:rsidR="0053766B">
              <w:t xml:space="preserve"> and table 5A.41</w:t>
            </w:r>
            <w:r w:rsidR="0053766B" w:rsidRPr="006D3797">
              <w:t xml:space="preserve"> for detailed definitions, footnotes and caveats</w:t>
            </w:r>
            <w:r w:rsidRPr="004B1B81">
              <w:t>.</w:t>
            </w:r>
            <w:r w:rsidR="00613275" w:rsidRPr="000C682B">
              <w:rPr>
                <w:shd w:val="clear" w:color="auto" w:fill="FFFFFF" w:themeFill="background1"/>
              </w:rPr>
              <w:t xml:space="preserve"> </w:t>
            </w:r>
          </w:p>
        </w:tc>
      </w:tr>
      <w:tr w:rsidR="00613275" w:rsidRPr="00176D3F" w:rsidTr="00137F60">
        <w:tc>
          <w:tcPr>
            <w:tcW w:w="8771" w:type="dxa"/>
            <w:tcBorders>
              <w:top w:val="nil"/>
              <w:left w:val="nil"/>
              <w:bottom w:val="nil"/>
              <w:right w:val="nil"/>
            </w:tcBorders>
            <w:shd w:val="clear" w:color="auto" w:fill="auto"/>
          </w:tcPr>
          <w:p w:rsidR="00613275" w:rsidRPr="00176D3F" w:rsidRDefault="00613275" w:rsidP="00BF0AF9">
            <w:pPr>
              <w:pStyle w:val="Source"/>
            </w:pPr>
            <w:r w:rsidRPr="00EF5A5F">
              <w:rPr>
                <w:i/>
              </w:rPr>
              <w:t>Source</w:t>
            </w:r>
            <w:r w:rsidRPr="00EF5A5F">
              <w:t xml:space="preserve">: NCVER (unpublished) </w:t>
            </w:r>
            <w:r w:rsidRPr="00EF5A5F">
              <w:rPr>
                <w:i/>
              </w:rPr>
              <w:t>Student Outcomes Survey</w:t>
            </w:r>
            <w:r w:rsidRPr="00EF5A5F">
              <w:t>; table 5A.</w:t>
            </w:r>
            <w:r w:rsidR="006E1123">
              <w:t>41</w:t>
            </w:r>
            <w:r w:rsidRPr="00EF5A5F">
              <w:t>.</w:t>
            </w:r>
          </w:p>
        </w:tc>
      </w:tr>
      <w:tr w:rsidR="00613275" w:rsidTr="00137F60">
        <w:tc>
          <w:tcPr>
            <w:tcW w:w="8771" w:type="dxa"/>
            <w:tcBorders>
              <w:top w:val="nil"/>
              <w:left w:val="nil"/>
              <w:bottom w:val="single" w:sz="6" w:space="0" w:color="78A22F"/>
              <w:right w:val="nil"/>
            </w:tcBorders>
            <w:shd w:val="clear" w:color="auto" w:fill="auto"/>
          </w:tcPr>
          <w:p w:rsidR="00613275" w:rsidRDefault="00613275" w:rsidP="00137F60">
            <w:pPr>
              <w:pStyle w:val="Figurespace"/>
            </w:pPr>
          </w:p>
        </w:tc>
      </w:tr>
      <w:tr w:rsidR="00613275" w:rsidRPr="000863A5" w:rsidTr="00137F60">
        <w:tc>
          <w:tcPr>
            <w:tcW w:w="8771" w:type="dxa"/>
            <w:tcBorders>
              <w:top w:val="single" w:sz="6" w:space="0" w:color="78A22F"/>
              <w:left w:val="nil"/>
              <w:bottom w:val="nil"/>
              <w:right w:val="nil"/>
            </w:tcBorders>
          </w:tcPr>
          <w:p w:rsidR="00613275" w:rsidRPr="00626D32" w:rsidRDefault="00613275" w:rsidP="00137F60">
            <w:pPr>
              <w:pStyle w:val="BoxSpaceBelow"/>
            </w:pPr>
          </w:p>
        </w:tc>
      </w:tr>
    </w:tbl>
    <w:p w:rsidR="00193559" w:rsidRDefault="00193559" w:rsidP="00193559">
      <w:pPr>
        <w:pStyle w:val="Heading6"/>
      </w:pPr>
      <w:r>
        <w:t xml:space="preserve">Other </w:t>
      </w:r>
      <w:r w:rsidR="00105A60">
        <w:t>target</w:t>
      </w:r>
      <w:r>
        <w:t xml:space="preserve"> groups</w:t>
      </w:r>
    </w:p>
    <w:p w:rsidR="00E87125" w:rsidRDefault="00890106" w:rsidP="0095094B">
      <w:pPr>
        <w:pStyle w:val="BodyText"/>
      </w:pPr>
      <w:r w:rsidRPr="00E444F5">
        <w:t>Nationall</w:t>
      </w:r>
      <w:r w:rsidR="00E87125">
        <w:t>y</w:t>
      </w:r>
      <w:r w:rsidR="00193559" w:rsidRPr="00193559">
        <w:t xml:space="preserve"> </w:t>
      </w:r>
      <w:r w:rsidR="00193559">
        <w:t>the follow</w:t>
      </w:r>
      <w:r w:rsidR="00EC562F">
        <w:t>ing</w:t>
      </w:r>
      <w:r w:rsidR="00193559">
        <w:t xml:space="preserve"> proportions of </w:t>
      </w:r>
      <w:r w:rsidR="00193559" w:rsidRPr="00EF5A5F">
        <w:t xml:space="preserve">government funded VET graduates </w:t>
      </w:r>
      <w:r w:rsidR="00193559">
        <w:t xml:space="preserve">indicated that they </w:t>
      </w:r>
      <w:r w:rsidR="00193559" w:rsidRPr="00EF5A5F">
        <w:t xml:space="preserve">were employed </w:t>
      </w:r>
      <w:r w:rsidR="00193559">
        <w:t>in 2014 after completing a course in 2013</w:t>
      </w:r>
      <w:r w:rsidR="00E87125">
        <w:t>:</w:t>
      </w:r>
    </w:p>
    <w:p w:rsidR="00E87125" w:rsidRDefault="00193559" w:rsidP="00E87125">
      <w:pPr>
        <w:pStyle w:val="ListBullet"/>
      </w:pPr>
      <w:r>
        <w:t xml:space="preserve">people </w:t>
      </w:r>
      <w:r w:rsidRPr="00E444F5">
        <w:t>with disability</w:t>
      </w:r>
      <w:r>
        <w:t xml:space="preserve"> — </w:t>
      </w:r>
      <w:r w:rsidR="00A851F4">
        <w:t>5</w:t>
      </w:r>
      <w:r w:rsidR="00E27CB3">
        <w:t>1.4</w:t>
      </w:r>
      <w:r w:rsidR="0096194E">
        <w:t xml:space="preserve"> </w:t>
      </w:r>
      <w:r w:rsidR="00890106" w:rsidRPr="00E444F5">
        <w:t>per</w:t>
      </w:r>
      <w:r w:rsidR="0096194E">
        <w:t xml:space="preserve"> </w:t>
      </w:r>
      <w:r w:rsidR="00890106" w:rsidRPr="00E444F5">
        <w:t xml:space="preserve">cent </w:t>
      </w:r>
      <w:r w:rsidR="008A67B8" w:rsidRPr="00EF5A5F">
        <w:t>(</w:t>
      </w:r>
      <w:r w:rsidR="008A67B8">
        <w:t>table 5A.47</w:t>
      </w:r>
      <w:r w:rsidR="008A67B8" w:rsidRPr="00EF5A5F">
        <w:t>)</w:t>
      </w:r>
    </w:p>
    <w:p w:rsidR="00193559" w:rsidRDefault="00193559" w:rsidP="00E87125">
      <w:pPr>
        <w:pStyle w:val="ListBullet"/>
      </w:pPr>
      <w:r>
        <w:t xml:space="preserve">people </w:t>
      </w:r>
      <w:r w:rsidRPr="00E444F5">
        <w:t xml:space="preserve">who spoke a </w:t>
      </w:r>
      <w:r w:rsidR="00AE1BEE">
        <w:t>LOTE</w:t>
      </w:r>
      <w:r w:rsidRPr="00E444F5">
        <w:t xml:space="preserve"> at home</w:t>
      </w:r>
      <w:r>
        <w:t xml:space="preserve"> — </w:t>
      </w:r>
      <w:r w:rsidR="00A851F4">
        <w:t>65.</w:t>
      </w:r>
      <w:r w:rsidR="00E27CB3">
        <w:t>6</w:t>
      </w:r>
      <w:r w:rsidR="00A851F4">
        <w:t> </w:t>
      </w:r>
      <w:r w:rsidR="00890106" w:rsidRPr="00E444F5">
        <w:t xml:space="preserve">per cent </w:t>
      </w:r>
      <w:r w:rsidR="008A67B8" w:rsidRPr="00EF5A5F">
        <w:t>(</w:t>
      </w:r>
      <w:r w:rsidR="008A67B8">
        <w:t>table 5A.48</w:t>
      </w:r>
      <w:r w:rsidR="008A67B8" w:rsidRPr="00EF5A5F">
        <w:t>)</w:t>
      </w:r>
    </w:p>
    <w:p w:rsidR="00E87125" w:rsidRDefault="00193559" w:rsidP="00E87125">
      <w:pPr>
        <w:pStyle w:val="ListBullet"/>
      </w:pPr>
      <w:r w:rsidRPr="00E444F5">
        <w:t xml:space="preserve">graduates from remote and very remote areas </w:t>
      </w:r>
      <w:r>
        <w:t>—</w:t>
      </w:r>
      <w:r w:rsidR="00A851F4">
        <w:t>8</w:t>
      </w:r>
      <w:r w:rsidR="00E27CB3">
        <w:t>3.8</w:t>
      </w:r>
      <w:r w:rsidR="0096194E">
        <w:t xml:space="preserve"> </w:t>
      </w:r>
      <w:r w:rsidR="00890106" w:rsidRPr="00E444F5">
        <w:t>per</w:t>
      </w:r>
      <w:r w:rsidR="0096194E">
        <w:t xml:space="preserve"> </w:t>
      </w:r>
      <w:r w:rsidR="00890106" w:rsidRPr="00E444F5">
        <w:t xml:space="preserve">cent </w:t>
      </w:r>
      <w:r w:rsidRPr="00EF5A5F">
        <w:t>(</w:t>
      </w:r>
      <w:r>
        <w:t>table 5A.</w:t>
      </w:r>
      <w:r w:rsidR="008A67B8">
        <w:t>46</w:t>
      </w:r>
      <w:r w:rsidRPr="00EF5A5F">
        <w:t>)</w:t>
      </w:r>
      <w:r>
        <w:t>.</w:t>
      </w:r>
    </w:p>
    <w:p w:rsidR="00C57336" w:rsidRDefault="00C57336" w:rsidP="00E87125">
      <w:pPr>
        <w:pStyle w:val="ListBullet"/>
        <w:numPr>
          <w:ilvl w:val="0"/>
          <w:numId w:val="0"/>
        </w:numPr>
      </w:pPr>
      <w:r w:rsidRPr="00EF5A5F">
        <w:t xml:space="preserve">Further information </w:t>
      </w:r>
      <w:r w:rsidR="001007CB" w:rsidRPr="00EF5A5F">
        <w:t xml:space="preserve">for </w:t>
      </w:r>
      <w:r w:rsidR="0033651B" w:rsidRPr="00EF5A5F">
        <w:t xml:space="preserve">graduates </w:t>
      </w:r>
      <w:r w:rsidR="00E95295">
        <w:t>from other geographical locations</w:t>
      </w:r>
      <w:r w:rsidR="001007CB" w:rsidRPr="00EF5A5F">
        <w:t xml:space="preserve"> </w:t>
      </w:r>
      <w:r w:rsidR="00BA3094">
        <w:t>is</w:t>
      </w:r>
      <w:r w:rsidR="001007CB" w:rsidRPr="00EF5A5F">
        <w:t xml:space="preserve"> reported in </w:t>
      </w:r>
      <w:r w:rsidR="0022213A" w:rsidRPr="00EF5A5F">
        <w:t>tables</w:t>
      </w:r>
      <w:r w:rsidR="00DA4D56">
        <w:t> </w:t>
      </w:r>
      <w:r w:rsidR="0022213A" w:rsidRPr="00EF5A5F">
        <w:t>5A.</w:t>
      </w:r>
      <w:r w:rsidR="008A67B8">
        <w:t>43</w:t>
      </w:r>
      <w:r w:rsidR="00CA43E3" w:rsidRPr="00EF5A5F">
        <w:t>–</w:t>
      </w:r>
      <w:r w:rsidR="008A67B8">
        <w:t>46</w:t>
      </w:r>
      <w:r w:rsidRPr="00EF5A5F">
        <w:t>.</w:t>
      </w:r>
    </w:p>
    <w:p w:rsidR="00193559" w:rsidRDefault="00193559" w:rsidP="00193559">
      <w:pPr>
        <w:pStyle w:val="BodyText"/>
      </w:pPr>
      <w:r w:rsidRPr="00E444F5">
        <w:t>Nationall</w:t>
      </w:r>
      <w:r>
        <w:t>y</w:t>
      </w:r>
      <w:r w:rsidRPr="00193559">
        <w:t xml:space="preserve"> </w:t>
      </w:r>
      <w:r>
        <w:t>the follow</w:t>
      </w:r>
      <w:r w:rsidR="00EC562F">
        <w:t>ing</w:t>
      </w:r>
      <w:r>
        <w:t xml:space="preserve"> proportions of </w:t>
      </w:r>
      <w:r w:rsidRPr="00EF5A5F">
        <w:t xml:space="preserve">government funded VET graduates </w:t>
      </w:r>
      <w:r>
        <w:t xml:space="preserve">indicated that they </w:t>
      </w:r>
      <w:r w:rsidRPr="009E5E63">
        <w:t>continued on to further study in 201</w:t>
      </w:r>
      <w:r>
        <w:t>4</w:t>
      </w:r>
      <w:r w:rsidRPr="009E5E63">
        <w:t xml:space="preserve"> after completing a course in </w:t>
      </w:r>
      <w:r>
        <w:t>2013:</w:t>
      </w:r>
    </w:p>
    <w:p w:rsidR="00193559" w:rsidRDefault="00193559" w:rsidP="00193559">
      <w:pPr>
        <w:pStyle w:val="ListBullet"/>
      </w:pPr>
      <w:r>
        <w:t xml:space="preserve">people </w:t>
      </w:r>
      <w:r w:rsidRPr="00E444F5">
        <w:t>with disability</w:t>
      </w:r>
      <w:r>
        <w:t xml:space="preserve"> — </w:t>
      </w:r>
      <w:r w:rsidR="008A67B8">
        <w:t>40.1</w:t>
      </w:r>
      <w:r>
        <w:t xml:space="preserve"> </w:t>
      </w:r>
      <w:r w:rsidRPr="00E444F5">
        <w:t>per</w:t>
      </w:r>
      <w:r>
        <w:t xml:space="preserve"> </w:t>
      </w:r>
      <w:r w:rsidRPr="00E444F5">
        <w:t xml:space="preserve">cent </w:t>
      </w:r>
      <w:r w:rsidR="008A67B8" w:rsidRPr="00EF5A5F">
        <w:t>(</w:t>
      </w:r>
      <w:r w:rsidR="008A67B8">
        <w:t>table 5A.47</w:t>
      </w:r>
      <w:r w:rsidR="008A67B8" w:rsidRPr="00EF5A5F">
        <w:t>)</w:t>
      </w:r>
    </w:p>
    <w:p w:rsidR="00193559" w:rsidRDefault="00193559" w:rsidP="00193559">
      <w:pPr>
        <w:pStyle w:val="ListBullet"/>
      </w:pPr>
      <w:r>
        <w:t xml:space="preserve">people </w:t>
      </w:r>
      <w:r w:rsidRPr="00E444F5">
        <w:t xml:space="preserve">who spoke a </w:t>
      </w:r>
      <w:r w:rsidR="00AE1BEE">
        <w:t>LOTE</w:t>
      </w:r>
      <w:r w:rsidRPr="00E444F5">
        <w:t xml:space="preserve"> at home</w:t>
      </w:r>
      <w:r>
        <w:t xml:space="preserve"> — 3</w:t>
      </w:r>
      <w:r w:rsidR="008A67B8">
        <w:t>4.8</w:t>
      </w:r>
      <w:r>
        <w:t> </w:t>
      </w:r>
      <w:r w:rsidRPr="00E444F5">
        <w:t xml:space="preserve">per cent </w:t>
      </w:r>
      <w:r w:rsidR="008A67B8" w:rsidRPr="00EF5A5F">
        <w:t>(</w:t>
      </w:r>
      <w:r w:rsidR="008A67B8">
        <w:t>table 5A.48</w:t>
      </w:r>
      <w:r w:rsidR="008A67B8" w:rsidRPr="00EF5A5F">
        <w:t>)</w:t>
      </w:r>
    </w:p>
    <w:p w:rsidR="00193559" w:rsidRDefault="00193559" w:rsidP="00193559">
      <w:pPr>
        <w:pStyle w:val="ListBullet"/>
      </w:pPr>
      <w:r w:rsidRPr="00E444F5">
        <w:t xml:space="preserve">graduates from remote and very remote areas </w:t>
      </w:r>
      <w:r>
        <w:t xml:space="preserve">— </w:t>
      </w:r>
      <w:r w:rsidR="008A67B8">
        <w:t>37.1</w:t>
      </w:r>
      <w:r>
        <w:t xml:space="preserve"> </w:t>
      </w:r>
      <w:r w:rsidRPr="00E444F5">
        <w:t>per</w:t>
      </w:r>
      <w:r>
        <w:t xml:space="preserve"> </w:t>
      </w:r>
      <w:r w:rsidRPr="00E444F5">
        <w:t xml:space="preserve">cent </w:t>
      </w:r>
      <w:r w:rsidRPr="00EF5A5F">
        <w:t>(</w:t>
      </w:r>
      <w:r>
        <w:t>table</w:t>
      </w:r>
      <w:r w:rsidR="00DA4D56">
        <w:t> </w:t>
      </w:r>
      <w:r>
        <w:t>5A.</w:t>
      </w:r>
      <w:r w:rsidR="008A67B8">
        <w:t>46</w:t>
      </w:r>
      <w:r w:rsidRPr="00EF5A5F">
        <w:t>)</w:t>
      </w:r>
      <w:r>
        <w:t>.</w:t>
      </w:r>
    </w:p>
    <w:p w:rsidR="00C57336" w:rsidRDefault="00286280" w:rsidP="00286280">
      <w:pPr>
        <w:pStyle w:val="Heading5"/>
      </w:pPr>
      <w:r>
        <w:lastRenderedPageBreak/>
        <w:t>G</w:t>
      </w:r>
      <w:r w:rsidR="00850378" w:rsidRPr="00EF5A5F">
        <w:t xml:space="preserve">raduates employed after completing their course who were </w:t>
      </w:r>
      <w:r w:rsidR="000E6798" w:rsidRPr="00EF5A5F">
        <w:t>unemployed before the course</w:t>
      </w:r>
    </w:p>
    <w:p w:rsidR="00F25C93" w:rsidRDefault="00C57336" w:rsidP="001735ED">
      <w:pPr>
        <w:pStyle w:val="BodyText"/>
      </w:pPr>
      <w:r w:rsidRPr="009202F4">
        <w:t xml:space="preserve">Nationally, of the </w:t>
      </w:r>
      <w:r w:rsidR="009529D3" w:rsidRPr="009202F4">
        <w:t xml:space="preserve">government funded VET </w:t>
      </w:r>
      <w:r w:rsidRPr="009202F4">
        <w:t xml:space="preserve">graduates surveyed in </w:t>
      </w:r>
      <w:r w:rsidR="008C3331" w:rsidRPr="009202F4">
        <w:t>201</w:t>
      </w:r>
      <w:r w:rsidR="004A4717">
        <w:t>4</w:t>
      </w:r>
      <w:r w:rsidR="008C3331" w:rsidRPr="009202F4">
        <w:t xml:space="preserve"> </w:t>
      </w:r>
      <w:r w:rsidRPr="009202F4">
        <w:t>who we</w:t>
      </w:r>
      <w:r w:rsidR="006F6DDD" w:rsidRPr="009202F4">
        <w:t xml:space="preserve">re </w:t>
      </w:r>
      <w:r w:rsidR="00C038AD" w:rsidRPr="009202F4">
        <w:t>unemployed before the</w:t>
      </w:r>
      <w:r w:rsidR="006F5988">
        <w:t>ir</w:t>
      </w:r>
      <w:r w:rsidR="00C038AD" w:rsidRPr="009202F4">
        <w:t xml:space="preserve"> course</w:t>
      </w:r>
      <w:r w:rsidRPr="009202F4">
        <w:t xml:space="preserve">, </w:t>
      </w:r>
      <w:r w:rsidR="00F87EC2">
        <w:t>46.</w:t>
      </w:r>
      <w:r w:rsidR="004A4717">
        <w:t>7</w:t>
      </w:r>
      <w:r w:rsidR="0096194E">
        <w:t xml:space="preserve"> </w:t>
      </w:r>
      <w:r w:rsidRPr="009202F4">
        <w:t>per</w:t>
      </w:r>
      <w:r w:rsidR="0096194E">
        <w:t xml:space="preserve"> </w:t>
      </w:r>
      <w:r w:rsidRPr="009202F4">
        <w:t>cent indicated they were employed after the course</w:t>
      </w:r>
      <w:r w:rsidR="00937F0F" w:rsidRPr="009202F4">
        <w:t xml:space="preserve">, </w:t>
      </w:r>
      <w:r w:rsidR="00F87EC2">
        <w:t>45.9</w:t>
      </w:r>
      <w:r w:rsidR="0096194E">
        <w:t xml:space="preserve"> </w:t>
      </w:r>
      <w:r w:rsidR="00937F0F" w:rsidRPr="009202F4">
        <w:t>per</w:t>
      </w:r>
      <w:r w:rsidR="0096194E">
        <w:t xml:space="preserve"> </w:t>
      </w:r>
      <w:r w:rsidR="00937F0F" w:rsidRPr="009202F4">
        <w:t xml:space="preserve">cent were unemployed and </w:t>
      </w:r>
      <w:r w:rsidR="00F87EC2">
        <w:t>7.</w:t>
      </w:r>
      <w:r w:rsidR="004A4717">
        <w:t>2</w:t>
      </w:r>
      <w:r w:rsidR="0096194E">
        <w:t xml:space="preserve"> </w:t>
      </w:r>
      <w:r w:rsidRPr="009202F4">
        <w:t>per</w:t>
      </w:r>
      <w:r w:rsidR="0096194E">
        <w:t xml:space="preserve"> </w:t>
      </w:r>
      <w:r w:rsidRPr="009202F4">
        <w:t>cent were not in the labour force (</w:t>
      </w:r>
      <w:r w:rsidR="001735ED">
        <w:t>table 5A.49</w:t>
      </w:r>
      <w:r w:rsidRPr="009202F4">
        <w:t>).</w:t>
      </w:r>
      <w:r w:rsidR="001735ED">
        <w:t xml:space="preserve"> </w:t>
      </w:r>
      <w:r w:rsidR="007950EB" w:rsidRPr="00F74889">
        <w:rPr>
          <w:rFonts w:cs="Arial"/>
          <w:color w:val="000000"/>
          <w:szCs w:val="18"/>
        </w:rPr>
        <w:t>The proportion of all government funded VET graduates who were unemployed before the course and who became employed after the course was comparable between 2010 and 2014</w:t>
      </w:r>
      <w:r w:rsidRPr="002D35E4">
        <w:t xml:space="preserve"> </w:t>
      </w:r>
      <w:r w:rsidR="00823EB8" w:rsidRPr="002D35E4">
        <w:t>(figure</w:t>
      </w:r>
      <w:r w:rsidR="0096194E">
        <w:t xml:space="preserve"> </w:t>
      </w:r>
      <w:r w:rsidR="003A68D1">
        <w:t>5.24</w:t>
      </w:r>
      <w:r w:rsidRPr="002D35E4">
        <w:t>).</w:t>
      </w:r>
      <w:r w:rsidR="00E7351A" w:rsidRPr="002D35E4">
        <w:t xml:space="preserve"> </w:t>
      </w:r>
    </w:p>
    <w:p w:rsidR="00370347" w:rsidRDefault="00F25C93" w:rsidP="001735ED">
      <w:pPr>
        <w:pStyle w:val="BodyText"/>
      </w:pPr>
      <w:r>
        <w:t xml:space="preserve">In comparison, Aboriginal and Torres Strait Islander </w:t>
      </w:r>
      <w:r w:rsidRPr="002D35E4">
        <w:t>government funded</w:t>
      </w:r>
      <w:r>
        <w:t xml:space="preserve"> </w:t>
      </w:r>
      <w:r w:rsidRPr="002D35E4">
        <w:t>VET graduates</w:t>
      </w:r>
      <w:r>
        <w:t xml:space="preserve"> </w:t>
      </w:r>
      <w:r w:rsidR="007950EB" w:rsidRPr="00F74889">
        <w:t>who were unem</w:t>
      </w:r>
      <w:r w:rsidR="007950EB" w:rsidRPr="00F74889">
        <w:rPr>
          <w:rFonts w:cs="Arial"/>
          <w:color w:val="000000"/>
          <w:szCs w:val="18"/>
        </w:rPr>
        <w:t xml:space="preserve">ployed before the course and who became employed after the course </w:t>
      </w:r>
      <w:r w:rsidR="007950EB" w:rsidRPr="00F74889">
        <w:t>increased</w:t>
      </w:r>
      <w:r w:rsidRPr="00F74889">
        <w:t xml:space="preserve"> </w:t>
      </w:r>
      <w:r w:rsidR="007950EB" w:rsidRPr="00F74889">
        <w:t xml:space="preserve">by </w:t>
      </w:r>
      <w:r w:rsidRPr="00F74889">
        <w:t xml:space="preserve">6.9 percentage points over the same period, </w:t>
      </w:r>
      <w:r w:rsidR="007950EB" w:rsidRPr="00F74889">
        <w:t xml:space="preserve">to </w:t>
      </w:r>
      <w:r w:rsidRPr="00F74889">
        <w:t>40.0 per cent in 2014</w:t>
      </w:r>
      <w:r w:rsidRPr="00EF5A5F">
        <w:t xml:space="preserve"> (table</w:t>
      </w:r>
      <w:r w:rsidR="007950EB">
        <w:t> </w:t>
      </w:r>
      <w:r w:rsidRPr="00EF5A5F">
        <w:t>5A.</w:t>
      </w:r>
      <w:r>
        <w:t>50</w:t>
      </w:r>
      <w:r w:rsidRPr="00EF5A5F">
        <w:t>).</w:t>
      </w:r>
      <w:r w:rsidR="001735ED">
        <w:t xml:space="preserve"> </w:t>
      </w:r>
    </w:p>
    <w:p w:rsidR="00F25C93" w:rsidRDefault="00F25C93" w:rsidP="001735ED">
      <w:pPr>
        <w:pStyle w:val="BodyText"/>
      </w:pPr>
      <w:r>
        <w:t>A</w:t>
      </w:r>
      <w:r w:rsidRPr="00EF5A5F">
        <w:t xml:space="preserve">dditional information is provided in </w:t>
      </w:r>
      <w:r>
        <w:t>table</w:t>
      </w:r>
      <w:r w:rsidR="00DA4D56">
        <w:t> </w:t>
      </w:r>
      <w:r w:rsidRPr="00EF5A5F">
        <w:t>5A.</w:t>
      </w:r>
      <w:r w:rsidR="001735ED">
        <w:t>5</w:t>
      </w:r>
      <w:r w:rsidR="00370347">
        <w:t>2</w:t>
      </w:r>
      <w:r w:rsidRPr="00EF5A5F">
        <w:t xml:space="preserve"> on the labour force status of graduates who were employed prior to the course.</w:t>
      </w:r>
    </w:p>
    <w:p w:rsidR="002E576E" w:rsidRDefault="002E576E" w:rsidP="005F14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E576E" w:rsidTr="005F14B9">
        <w:tc>
          <w:tcPr>
            <w:tcW w:w="8771" w:type="dxa"/>
            <w:tcBorders>
              <w:top w:val="single" w:sz="6" w:space="0" w:color="78A22F"/>
              <w:left w:val="nil"/>
              <w:bottom w:val="nil"/>
              <w:right w:val="nil"/>
            </w:tcBorders>
            <w:shd w:val="clear" w:color="auto" w:fill="auto"/>
          </w:tcPr>
          <w:p w:rsidR="002E576E" w:rsidRPr="00176D3F" w:rsidRDefault="002E576E" w:rsidP="00FB5394">
            <w:pPr>
              <w:pStyle w:val="FigureTitle"/>
            </w:pPr>
            <w:r w:rsidRPr="00784A05">
              <w:rPr>
                <w:b w:val="0"/>
              </w:rPr>
              <w:t xml:space="preserve">Figure </w:t>
            </w:r>
            <w:bookmarkStart w:id="50" w:name="OLE_LINK37"/>
            <w:r w:rsidR="003A68D1">
              <w:rPr>
                <w:b w:val="0"/>
              </w:rPr>
              <w:t>5.</w:t>
            </w:r>
            <w:r w:rsidR="00111918">
              <w:rPr>
                <w:b w:val="0"/>
                <w:noProof/>
              </w:rPr>
              <w:t>24</w:t>
            </w:r>
            <w:bookmarkEnd w:id="50"/>
            <w:r>
              <w:tab/>
            </w:r>
            <w:r w:rsidRPr="00782E96">
              <w:t>Proportion of VET graduates who were unemployed prior to commencing a course and were employed after completing a course</w:t>
            </w:r>
            <w:r w:rsidRPr="00782E96">
              <w:rPr>
                <w:rStyle w:val="NoteLabel"/>
                <w:b/>
              </w:rPr>
              <w:t>a</w:t>
            </w:r>
          </w:p>
        </w:tc>
      </w:tr>
      <w:tr w:rsidR="002E576E" w:rsidTr="005F14B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E576E" w:rsidTr="002E576E">
              <w:tc>
                <w:tcPr>
                  <w:tcW w:w="5000" w:type="pct"/>
                  <w:tcBorders>
                    <w:top w:val="nil"/>
                    <w:bottom w:val="nil"/>
                  </w:tcBorders>
                </w:tcPr>
                <w:p w:rsidR="002E576E" w:rsidRDefault="00303FCA" w:rsidP="00A0558E">
                  <w:pPr>
                    <w:pStyle w:val="Figure"/>
                    <w:spacing w:before="60" w:after="60"/>
                  </w:pPr>
                  <w:r>
                    <w:rPr>
                      <w:noProof/>
                    </w:rPr>
                    <w:drawing>
                      <wp:inline distT="0" distB="0" distL="0" distR="0">
                        <wp:extent cx="5389880" cy="2710815"/>
                        <wp:effectExtent l="0" t="0" r="1270" b="0"/>
                        <wp:docPr id="39" name="Picture 39" descr="Figure 5.24 Proportion of VET graduates who were unemployed prior to commencing a course and were employed after completing a cours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2E576E" w:rsidRDefault="002E576E" w:rsidP="005F14B9">
            <w:pPr>
              <w:pStyle w:val="Figure"/>
            </w:pPr>
          </w:p>
        </w:tc>
      </w:tr>
      <w:tr w:rsidR="002E576E" w:rsidRPr="00176D3F" w:rsidTr="005F14B9">
        <w:tc>
          <w:tcPr>
            <w:tcW w:w="8771" w:type="dxa"/>
            <w:tcBorders>
              <w:top w:val="nil"/>
              <w:left w:val="nil"/>
              <w:bottom w:val="nil"/>
              <w:right w:val="nil"/>
            </w:tcBorders>
            <w:shd w:val="clear" w:color="auto" w:fill="auto"/>
          </w:tcPr>
          <w:p w:rsidR="002E576E" w:rsidRPr="00176D3F" w:rsidRDefault="00F25C93" w:rsidP="00401449">
            <w:pPr>
              <w:pStyle w:val="Note"/>
            </w:pPr>
            <w:r w:rsidRPr="00171E10">
              <w:rPr>
                <w:rStyle w:val="NoteLabel"/>
              </w:rPr>
              <w:t>a</w:t>
            </w:r>
            <w:r w:rsidRPr="00171E10">
              <w:t xml:space="preserve"> </w:t>
            </w:r>
            <w:r w:rsidR="0053766B" w:rsidRPr="006D3797">
              <w:t>See box</w:t>
            </w:r>
            <w:r w:rsidR="0053766B">
              <w:t> </w:t>
            </w:r>
            <w:r w:rsidR="003A68D1">
              <w:t>5.15</w:t>
            </w:r>
            <w:r w:rsidR="0053766B">
              <w:t xml:space="preserve"> and table 5A.49 </w:t>
            </w:r>
            <w:r w:rsidR="0053766B" w:rsidRPr="006D3797">
              <w:t>for detailed definitions, footnotes and caveats</w:t>
            </w:r>
            <w:r w:rsidRPr="004B1B81">
              <w:t>.</w:t>
            </w:r>
          </w:p>
        </w:tc>
      </w:tr>
      <w:tr w:rsidR="002E576E" w:rsidRPr="00176D3F" w:rsidTr="005F14B9">
        <w:tc>
          <w:tcPr>
            <w:tcW w:w="8771" w:type="dxa"/>
            <w:tcBorders>
              <w:top w:val="nil"/>
              <w:left w:val="nil"/>
              <w:bottom w:val="nil"/>
              <w:right w:val="nil"/>
            </w:tcBorders>
            <w:shd w:val="clear" w:color="auto" w:fill="auto"/>
          </w:tcPr>
          <w:p w:rsidR="002E576E" w:rsidRPr="00176D3F" w:rsidRDefault="002E576E" w:rsidP="00F25C93">
            <w:pPr>
              <w:pStyle w:val="Source"/>
            </w:pPr>
            <w:r w:rsidRPr="008C1DD2">
              <w:rPr>
                <w:i/>
              </w:rPr>
              <w:t>Source</w:t>
            </w:r>
            <w:r w:rsidRPr="008C1DD2">
              <w:t xml:space="preserve">: NCVER (unpublished) </w:t>
            </w:r>
            <w:r w:rsidRPr="008C1DD2">
              <w:rPr>
                <w:i/>
              </w:rPr>
              <w:t>Student Outcomes Survey</w:t>
            </w:r>
            <w:r w:rsidRPr="008C1DD2">
              <w:t>; table 5A.</w:t>
            </w:r>
            <w:r w:rsidR="00F25C93">
              <w:t>49</w:t>
            </w:r>
            <w:r w:rsidRPr="008C1DD2">
              <w:t>.</w:t>
            </w:r>
          </w:p>
        </w:tc>
      </w:tr>
      <w:tr w:rsidR="002E576E" w:rsidTr="005F14B9">
        <w:tc>
          <w:tcPr>
            <w:tcW w:w="8771" w:type="dxa"/>
            <w:tcBorders>
              <w:top w:val="nil"/>
              <w:left w:val="nil"/>
              <w:bottom w:val="single" w:sz="6" w:space="0" w:color="78A22F"/>
              <w:right w:val="nil"/>
            </w:tcBorders>
            <w:shd w:val="clear" w:color="auto" w:fill="auto"/>
          </w:tcPr>
          <w:p w:rsidR="002E576E" w:rsidRDefault="002E576E" w:rsidP="005F14B9">
            <w:pPr>
              <w:pStyle w:val="Figurespace"/>
            </w:pPr>
          </w:p>
        </w:tc>
      </w:tr>
      <w:tr w:rsidR="002E576E" w:rsidRPr="000863A5" w:rsidTr="005F14B9">
        <w:tc>
          <w:tcPr>
            <w:tcW w:w="8771" w:type="dxa"/>
            <w:tcBorders>
              <w:top w:val="single" w:sz="6" w:space="0" w:color="78A22F"/>
              <w:left w:val="nil"/>
              <w:bottom w:val="nil"/>
              <w:right w:val="nil"/>
            </w:tcBorders>
          </w:tcPr>
          <w:p w:rsidR="002E576E" w:rsidRPr="00626D32" w:rsidRDefault="002E576E" w:rsidP="005F14B9">
            <w:pPr>
              <w:pStyle w:val="BoxSpaceBelow"/>
            </w:pPr>
          </w:p>
        </w:tc>
      </w:tr>
    </w:tbl>
    <w:p w:rsidR="00C50895" w:rsidRPr="00EF5A5F" w:rsidRDefault="009B0AC8" w:rsidP="009B0AC8">
      <w:pPr>
        <w:pStyle w:val="Heading5"/>
      </w:pPr>
      <w:r>
        <w:lastRenderedPageBreak/>
        <w:t>G</w:t>
      </w:r>
      <w:r w:rsidR="00AA0202" w:rsidRPr="00EF5A5F">
        <w:t xml:space="preserve">raduates who improved their employment circumstances after completing their </w:t>
      </w:r>
      <w:r w:rsidR="0031432E" w:rsidRPr="00EF5A5F">
        <w:t>course</w:t>
      </w:r>
    </w:p>
    <w:p w:rsidR="00410356" w:rsidRDefault="00F7334E" w:rsidP="00410356">
      <w:pPr>
        <w:pStyle w:val="BodyText"/>
        <w:shd w:val="clear" w:color="auto" w:fill="FFFFFF" w:themeFill="background1"/>
      </w:pPr>
      <w:r w:rsidRPr="009626DB">
        <w:t xml:space="preserve">Nationally, </w:t>
      </w:r>
      <w:r w:rsidR="009B0AC8">
        <w:t>59.3</w:t>
      </w:r>
      <w:r w:rsidR="0096194E">
        <w:t xml:space="preserve"> </w:t>
      </w:r>
      <w:r w:rsidRPr="009626DB">
        <w:t xml:space="preserve">per cent of all </w:t>
      </w:r>
      <w:r w:rsidR="00A85AD7" w:rsidRPr="009626DB">
        <w:t xml:space="preserve">government funded VET </w:t>
      </w:r>
      <w:r w:rsidRPr="009626DB">
        <w:t xml:space="preserve">graduates in </w:t>
      </w:r>
      <w:r w:rsidR="008F6854" w:rsidRPr="009626DB">
        <w:t>201</w:t>
      </w:r>
      <w:r w:rsidR="009B0AC8">
        <w:t>4</w:t>
      </w:r>
      <w:r w:rsidR="008F6854" w:rsidRPr="009626DB">
        <w:t xml:space="preserve"> </w:t>
      </w:r>
      <w:r w:rsidRPr="009626DB">
        <w:t xml:space="preserve">indicated they had improved their employment circumstances after completing their course, </w:t>
      </w:r>
      <w:r w:rsidR="003B6341" w:rsidRPr="009626DB">
        <w:t>a decrease</w:t>
      </w:r>
      <w:r w:rsidRPr="009626DB">
        <w:t xml:space="preserve"> of </w:t>
      </w:r>
      <w:r w:rsidR="00410356">
        <w:t xml:space="preserve">3.7 </w:t>
      </w:r>
      <w:r w:rsidR="00410356" w:rsidRPr="009626DB">
        <w:t>percentage points from 20</w:t>
      </w:r>
      <w:r w:rsidR="00410356">
        <w:t xml:space="preserve">10 and 7.4 percentage points </w:t>
      </w:r>
      <w:r w:rsidR="00FB5394">
        <w:t>from</w:t>
      </w:r>
      <w:r w:rsidR="00BD145C">
        <w:t xml:space="preserve"> 2005</w:t>
      </w:r>
      <w:r w:rsidR="00410356" w:rsidRPr="009626DB">
        <w:t xml:space="preserve"> </w:t>
      </w:r>
      <w:r w:rsidR="00410356" w:rsidRPr="00A405CB">
        <w:t>(figure</w:t>
      </w:r>
      <w:r w:rsidR="00410356">
        <w:t xml:space="preserve"> </w:t>
      </w:r>
      <w:r w:rsidR="003A68D1">
        <w:t>5.25</w:t>
      </w:r>
      <w:r w:rsidR="00410356">
        <w:t xml:space="preserve">). </w:t>
      </w:r>
    </w:p>
    <w:p w:rsidR="00410356" w:rsidRDefault="00410356" w:rsidP="00410356">
      <w:pPr>
        <w:pStyle w:val="BodyText"/>
      </w:pPr>
      <w:r w:rsidRPr="00410356">
        <w:t>A</w:t>
      </w:r>
      <w:r>
        <w:t xml:space="preserve"> VET student may </w:t>
      </w:r>
      <w:r w:rsidRPr="00410356">
        <w:t>report a positive response to more than one measure contributing to improved employment status after training.</w:t>
      </w:r>
      <w:r>
        <w:t xml:space="preserve"> In 2014, VET graduates indicated that after completing their training:</w:t>
      </w:r>
    </w:p>
    <w:p w:rsidR="00410356" w:rsidRPr="009626DB" w:rsidRDefault="00410356" w:rsidP="00410356">
      <w:pPr>
        <w:pStyle w:val="ListBullet"/>
      </w:pPr>
      <w:r>
        <w:t xml:space="preserve">13.4 </w:t>
      </w:r>
      <w:r w:rsidRPr="009626DB">
        <w:t xml:space="preserve">per cent changed from </w:t>
      </w:r>
      <w:r>
        <w:t>‘</w:t>
      </w:r>
      <w:r w:rsidRPr="009626DB">
        <w:t>not employed</w:t>
      </w:r>
      <w:r>
        <w:t>’</w:t>
      </w:r>
      <w:r w:rsidRPr="009626DB">
        <w:t xml:space="preserve"> before training to </w:t>
      </w:r>
      <w:r>
        <w:t>‘</w:t>
      </w:r>
      <w:r w:rsidRPr="009626DB">
        <w:t>employed</w:t>
      </w:r>
      <w:r>
        <w:t>’</w:t>
      </w:r>
      <w:r w:rsidRPr="009626DB">
        <w:t xml:space="preserve"> </w:t>
      </w:r>
    </w:p>
    <w:p w:rsidR="00410356" w:rsidRPr="009626DB" w:rsidRDefault="00410356" w:rsidP="00410356">
      <w:pPr>
        <w:pStyle w:val="ListBullet"/>
      </w:pPr>
      <w:r>
        <w:t xml:space="preserve">7.6 per </w:t>
      </w:r>
      <w:r w:rsidRPr="009626DB">
        <w:t xml:space="preserve">cent were employed at a higher skill level </w:t>
      </w:r>
    </w:p>
    <w:p w:rsidR="00410356" w:rsidRDefault="00410356" w:rsidP="00410356">
      <w:pPr>
        <w:pStyle w:val="ListBullet"/>
      </w:pPr>
      <w:r>
        <w:t xml:space="preserve">50.7 </w:t>
      </w:r>
      <w:r w:rsidRPr="009626DB">
        <w:t>per cent received a job</w:t>
      </w:r>
      <w:r>
        <w:t xml:space="preserve"> </w:t>
      </w:r>
      <w:r w:rsidRPr="009626DB">
        <w:t>related benefit (table 5A.</w:t>
      </w:r>
      <w:r w:rsidR="00BD145C">
        <w:t>60</w:t>
      </w:r>
      <w:r w:rsidRPr="009626DB">
        <w:t>).</w:t>
      </w:r>
    </w:p>
    <w:p w:rsidR="002E576E" w:rsidRDefault="002E576E" w:rsidP="005F14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E576E" w:rsidTr="005F14B9">
        <w:tc>
          <w:tcPr>
            <w:tcW w:w="8771" w:type="dxa"/>
            <w:tcBorders>
              <w:top w:val="single" w:sz="6" w:space="0" w:color="78A22F"/>
              <w:left w:val="nil"/>
              <w:bottom w:val="nil"/>
              <w:right w:val="nil"/>
            </w:tcBorders>
            <w:shd w:val="clear" w:color="auto" w:fill="auto"/>
          </w:tcPr>
          <w:p w:rsidR="002E576E" w:rsidRPr="00176D3F" w:rsidRDefault="002E576E" w:rsidP="00BA3094">
            <w:pPr>
              <w:pStyle w:val="FigureTitle"/>
            </w:pPr>
            <w:r w:rsidRPr="00784A05">
              <w:rPr>
                <w:b w:val="0"/>
              </w:rPr>
              <w:t xml:space="preserve">Figure </w:t>
            </w:r>
            <w:bookmarkStart w:id="51" w:name="OLE_LINK19"/>
            <w:r w:rsidR="003A68D1">
              <w:rPr>
                <w:b w:val="0"/>
              </w:rPr>
              <w:t>5.</w:t>
            </w:r>
            <w:r w:rsidR="00111918">
              <w:rPr>
                <w:b w:val="0"/>
                <w:noProof/>
              </w:rPr>
              <w:t>25</w:t>
            </w:r>
            <w:bookmarkEnd w:id="51"/>
            <w:r>
              <w:tab/>
            </w:r>
            <w:r w:rsidRPr="00CC723C">
              <w:t xml:space="preserve">Proportion of government funded VET graduates who improved their employment circumstances after </w:t>
            </w:r>
            <w:r w:rsidR="00BA3094">
              <w:t>training</w:t>
            </w:r>
            <w:r w:rsidR="00401449">
              <w:rPr>
                <w:rStyle w:val="NoteLabel"/>
                <w:b/>
              </w:rPr>
              <w:t>a</w:t>
            </w:r>
          </w:p>
        </w:tc>
      </w:tr>
      <w:tr w:rsidR="002E576E" w:rsidTr="005F14B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E576E" w:rsidTr="002E576E">
              <w:tc>
                <w:tcPr>
                  <w:tcW w:w="5000" w:type="pct"/>
                  <w:tcBorders>
                    <w:top w:val="nil"/>
                    <w:bottom w:val="nil"/>
                  </w:tcBorders>
                </w:tcPr>
                <w:p w:rsidR="002E576E" w:rsidRDefault="00303FCA" w:rsidP="00A0558E">
                  <w:pPr>
                    <w:pStyle w:val="Figure"/>
                    <w:spacing w:before="60" w:after="60"/>
                  </w:pPr>
                  <w:r>
                    <w:rPr>
                      <w:noProof/>
                    </w:rPr>
                    <w:drawing>
                      <wp:inline distT="0" distB="0" distL="0" distR="0">
                        <wp:extent cx="5389880" cy="2689225"/>
                        <wp:effectExtent l="0" t="0" r="1270" b="0"/>
                        <wp:docPr id="40" name="Picture 40" descr="Figure 5.25 Proportion of government funded VET graduates who improved their employment circumstances after train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89880" cy="2689225"/>
                                </a:xfrm>
                                <a:prstGeom prst="rect">
                                  <a:avLst/>
                                </a:prstGeom>
                                <a:noFill/>
                                <a:ln>
                                  <a:noFill/>
                                </a:ln>
                              </pic:spPr>
                            </pic:pic>
                          </a:graphicData>
                        </a:graphic>
                      </wp:inline>
                    </w:drawing>
                  </w:r>
                </w:p>
              </w:tc>
            </w:tr>
          </w:tbl>
          <w:p w:rsidR="002E576E" w:rsidRDefault="002E576E" w:rsidP="005F14B9">
            <w:pPr>
              <w:pStyle w:val="Figure"/>
            </w:pPr>
          </w:p>
        </w:tc>
      </w:tr>
      <w:tr w:rsidR="002E576E" w:rsidRPr="00176D3F" w:rsidTr="005F14B9">
        <w:tc>
          <w:tcPr>
            <w:tcW w:w="8771" w:type="dxa"/>
            <w:tcBorders>
              <w:top w:val="nil"/>
              <w:left w:val="nil"/>
              <w:bottom w:val="nil"/>
              <w:right w:val="nil"/>
            </w:tcBorders>
            <w:shd w:val="clear" w:color="auto" w:fill="auto"/>
          </w:tcPr>
          <w:p w:rsidR="002E576E" w:rsidRPr="00176D3F" w:rsidRDefault="00BD145C" w:rsidP="00401449">
            <w:pPr>
              <w:pStyle w:val="Note"/>
            </w:pPr>
            <w:r w:rsidRPr="00171E10">
              <w:rPr>
                <w:rStyle w:val="NoteLabel"/>
              </w:rPr>
              <w:t>a</w:t>
            </w:r>
            <w:r w:rsidRPr="00171E10">
              <w:t xml:space="preserve"> </w:t>
            </w:r>
            <w:r w:rsidR="0053766B" w:rsidRPr="006D3797">
              <w:t>See</w:t>
            </w:r>
            <w:r w:rsidR="0053766B">
              <w:t xml:space="preserve"> </w:t>
            </w:r>
            <w:r w:rsidR="0053766B" w:rsidRPr="006D3797">
              <w:t>box</w:t>
            </w:r>
            <w:r w:rsidR="0053766B">
              <w:t> </w:t>
            </w:r>
            <w:r w:rsidR="003A68D1">
              <w:t>5.15</w:t>
            </w:r>
            <w:r w:rsidR="0053766B">
              <w:t xml:space="preserve"> and table 5A.56 </w:t>
            </w:r>
            <w:r w:rsidR="0053766B" w:rsidRPr="006D3797">
              <w:t>for detailed definitions, footnotes and caveats</w:t>
            </w:r>
            <w:r w:rsidRPr="004B1B81">
              <w:t>.</w:t>
            </w:r>
          </w:p>
        </w:tc>
      </w:tr>
      <w:tr w:rsidR="002E576E" w:rsidRPr="00176D3F" w:rsidTr="005F14B9">
        <w:tc>
          <w:tcPr>
            <w:tcW w:w="8771" w:type="dxa"/>
            <w:tcBorders>
              <w:top w:val="nil"/>
              <w:left w:val="nil"/>
              <w:bottom w:val="nil"/>
              <w:right w:val="nil"/>
            </w:tcBorders>
            <w:shd w:val="clear" w:color="auto" w:fill="auto"/>
          </w:tcPr>
          <w:p w:rsidR="002E576E" w:rsidRPr="00176D3F" w:rsidRDefault="002E576E" w:rsidP="00BD145C">
            <w:pPr>
              <w:pStyle w:val="Source"/>
            </w:pPr>
            <w:r w:rsidRPr="008C1DD2">
              <w:rPr>
                <w:i/>
              </w:rPr>
              <w:t>Source</w:t>
            </w:r>
            <w:r w:rsidRPr="008C1DD2">
              <w:t xml:space="preserve">: NCVER (unpublished) </w:t>
            </w:r>
            <w:r w:rsidRPr="008C1DD2">
              <w:rPr>
                <w:i/>
              </w:rPr>
              <w:t>Student Outcomes Survey</w:t>
            </w:r>
            <w:r w:rsidRPr="008C1DD2">
              <w:t>; table 5A.</w:t>
            </w:r>
            <w:r w:rsidR="00BD145C">
              <w:t>56</w:t>
            </w:r>
            <w:r w:rsidRPr="008C1DD2">
              <w:t>.</w:t>
            </w:r>
          </w:p>
        </w:tc>
      </w:tr>
      <w:tr w:rsidR="002E576E" w:rsidTr="005F14B9">
        <w:tc>
          <w:tcPr>
            <w:tcW w:w="8771" w:type="dxa"/>
            <w:tcBorders>
              <w:top w:val="nil"/>
              <w:left w:val="nil"/>
              <w:bottom w:val="single" w:sz="6" w:space="0" w:color="78A22F"/>
              <w:right w:val="nil"/>
            </w:tcBorders>
            <w:shd w:val="clear" w:color="auto" w:fill="auto"/>
          </w:tcPr>
          <w:p w:rsidR="002E576E" w:rsidRDefault="002E576E" w:rsidP="005F14B9">
            <w:pPr>
              <w:pStyle w:val="Figurespace"/>
            </w:pPr>
          </w:p>
        </w:tc>
      </w:tr>
      <w:tr w:rsidR="002E576E" w:rsidRPr="000863A5" w:rsidTr="005F14B9">
        <w:tc>
          <w:tcPr>
            <w:tcW w:w="8771" w:type="dxa"/>
            <w:tcBorders>
              <w:top w:val="single" w:sz="6" w:space="0" w:color="78A22F"/>
              <w:left w:val="nil"/>
              <w:bottom w:val="nil"/>
              <w:right w:val="nil"/>
            </w:tcBorders>
          </w:tcPr>
          <w:p w:rsidR="002E576E" w:rsidRPr="00626D32" w:rsidRDefault="002E576E" w:rsidP="005F14B9">
            <w:pPr>
              <w:pStyle w:val="BoxSpaceBelow"/>
            </w:pPr>
          </w:p>
        </w:tc>
      </w:tr>
    </w:tbl>
    <w:p w:rsidR="00FB5394" w:rsidRDefault="00FB5394" w:rsidP="00FB5394">
      <w:pPr>
        <w:pStyle w:val="BodyText"/>
      </w:pPr>
      <w:r w:rsidRPr="007A3E9E">
        <w:t xml:space="preserve">Nationally </w:t>
      </w:r>
      <w:r>
        <w:t xml:space="preserve">a greater proportion of graduates improved their employment circumstances after completing a certificate III/IV course or a diploma or above course, compared to graduates completing a certificate I/II course. Nationally in 2014, </w:t>
      </w:r>
      <w:r w:rsidR="00594B30">
        <w:t xml:space="preserve">for </w:t>
      </w:r>
      <w:r w:rsidRPr="007A3E9E">
        <w:t xml:space="preserve">government funded </w:t>
      </w:r>
      <w:r w:rsidRPr="00F74889">
        <w:t xml:space="preserve">VET graduates </w:t>
      </w:r>
      <w:r w:rsidR="00594B30" w:rsidRPr="00F74889">
        <w:t>that completed the course at a level of</w:t>
      </w:r>
      <w:r>
        <w:t xml:space="preserve">: </w:t>
      </w:r>
    </w:p>
    <w:p w:rsidR="00FB5394" w:rsidRDefault="00FB5394" w:rsidP="00FB5394">
      <w:pPr>
        <w:pStyle w:val="ListBullet"/>
      </w:pPr>
      <w:r>
        <w:t xml:space="preserve">diploma or above — 62.0 </w:t>
      </w:r>
      <w:r w:rsidRPr="007A3E9E">
        <w:t xml:space="preserve">per cent indicated their employment circumstances </w:t>
      </w:r>
      <w:r w:rsidR="00C9778B" w:rsidRPr="007A3E9E">
        <w:t>improved</w:t>
      </w:r>
    </w:p>
    <w:p w:rsidR="00FB5394" w:rsidRDefault="00FB5394" w:rsidP="00FB5394">
      <w:pPr>
        <w:pStyle w:val="ListBullet"/>
      </w:pPr>
      <w:r>
        <w:t xml:space="preserve">certificate level III/IV — 62.3 per cent </w:t>
      </w:r>
      <w:r w:rsidRPr="007A3E9E">
        <w:t>indicated their employment circumstances</w:t>
      </w:r>
      <w:r w:rsidR="00C9778B">
        <w:t xml:space="preserve"> </w:t>
      </w:r>
      <w:r w:rsidR="00C9778B" w:rsidRPr="007A3E9E">
        <w:t>improved</w:t>
      </w:r>
    </w:p>
    <w:p w:rsidR="00FB5394" w:rsidRDefault="00FB5394" w:rsidP="00FB5394">
      <w:pPr>
        <w:pStyle w:val="ListBullet"/>
      </w:pPr>
      <w:r>
        <w:lastRenderedPageBreak/>
        <w:t xml:space="preserve">certificate level I/II — 45.8 per cent </w:t>
      </w:r>
      <w:r w:rsidRPr="007A3E9E">
        <w:t xml:space="preserve">indicated their employment circumstances </w:t>
      </w:r>
      <w:r w:rsidR="00C9778B" w:rsidRPr="007A3E9E">
        <w:t xml:space="preserve">improved </w:t>
      </w:r>
      <w:r w:rsidRPr="007A3E9E">
        <w:t>(</w:t>
      </w:r>
      <w:r>
        <w:t>table 5A.63</w:t>
      </w:r>
      <w:r w:rsidRPr="007A3E9E">
        <w:t xml:space="preserve">). </w:t>
      </w:r>
    </w:p>
    <w:p w:rsidR="00FB5394" w:rsidRDefault="00FB5394" w:rsidP="00FB5394">
      <w:pPr>
        <w:pStyle w:val="BodyText"/>
      </w:pPr>
      <w:r>
        <w:rPr>
          <w:noProof/>
        </w:rPr>
        <w:t xml:space="preserve">Data </w:t>
      </w:r>
      <w:r w:rsidRPr="00EF5A5F">
        <w:rPr>
          <w:noProof/>
        </w:rPr>
        <w:t xml:space="preserve">on </w:t>
      </w:r>
      <w:r>
        <w:rPr>
          <w:noProof/>
        </w:rPr>
        <w:t xml:space="preserve">VET </w:t>
      </w:r>
      <w:r w:rsidRPr="00EF5A5F">
        <w:rPr>
          <w:noProof/>
        </w:rPr>
        <w:t xml:space="preserve">graduates </w:t>
      </w:r>
      <w:r>
        <w:rPr>
          <w:noProof/>
        </w:rPr>
        <w:t>aged 20</w:t>
      </w:r>
      <w:r>
        <w:t>–</w:t>
      </w:r>
      <w:r w:rsidRPr="008360A2">
        <w:t>64</w:t>
      </w:r>
      <w:r>
        <w:t xml:space="preserve"> years </w:t>
      </w:r>
      <w:r w:rsidRPr="00EF5A5F">
        <w:rPr>
          <w:noProof/>
        </w:rPr>
        <w:t xml:space="preserve">who improved their employment circumstances after completing their training, </w:t>
      </w:r>
      <w:r>
        <w:rPr>
          <w:noProof/>
        </w:rPr>
        <w:t>by certfificate level are included in table 5A.64.</w:t>
      </w:r>
    </w:p>
    <w:p w:rsidR="00410356" w:rsidRDefault="00410356" w:rsidP="00410356">
      <w:pPr>
        <w:pStyle w:val="Heading6"/>
      </w:pPr>
      <w:r>
        <w:t>Aboriginal and Torres Strait Islander VET graduates</w:t>
      </w:r>
    </w:p>
    <w:p w:rsidR="00DC725E" w:rsidRDefault="00DC725E" w:rsidP="00A26D57">
      <w:pPr>
        <w:pStyle w:val="BodyText"/>
      </w:pPr>
      <w:r w:rsidRPr="002C1271">
        <w:t xml:space="preserve">Nationally, </w:t>
      </w:r>
      <w:r>
        <w:t>5</w:t>
      </w:r>
      <w:r w:rsidR="000E2547">
        <w:t>3.3</w:t>
      </w:r>
      <w:r w:rsidRPr="008224E4">
        <w:rPr>
          <w:color w:val="FF0000"/>
        </w:rPr>
        <w:t xml:space="preserve"> </w:t>
      </w:r>
      <w:r w:rsidRPr="002C1271">
        <w:t>per cent of all government funded</w:t>
      </w:r>
      <w:r>
        <w:t xml:space="preserve"> Aboriginal and Torres Strait Islander </w:t>
      </w:r>
      <w:r w:rsidRPr="002C1271">
        <w:t>VET graduates in 201</w:t>
      </w:r>
      <w:r w:rsidR="000E2547">
        <w:t>4</w:t>
      </w:r>
      <w:r w:rsidRPr="002C1271">
        <w:t xml:space="preserve"> indicated they had improved their employment circumstances after completing their</w:t>
      </w:r>
      <w:r w:rsidR="004244B8">
        <w:t xml:space="preserve"> course</w:t>
      </w:r>
      <w:r w:rsidR="004A63C9">
        <w:rPr>
          <w:rFonts w:cs="Arial"/>
          <w:color w:val="000000"/>
          <w:szCs w:val="18"/>
        </w:rPr>
        <w:t xml:space="preserve">, </w:t>
      </w:r>
      <w:r w:rsidR="004A63C9" w:rsidRPr="00F74889">
        <w:rPr>
          <w:rFonts w:cs="Arial"/>
          <w:color w:val="000000"/>
          <w:szCs w:val="18"/>
        </w:rPr>
        <w:t>comparable to 2010</w:t>
      </w:r>
      <w:r w:rsidR="004A63C9">
        <w:rPr>
          <w:rFonts w:cs="Arial"/>
          <w:color w:val="000000"/>
          <w:szCs w:val="18"/>
        </w:rPr>
        <w:t>, but a decrease of 7.6 percentage points from 2005</w:t>
      </w:r>
      <w:r w:rsidR="00CA4B6C" w:rsidRPr="001F3301">
        <w:rPr>
          <w:color w:val="FF0000"/>
        </w:rPr>
        <w:t>.</w:t>
      </w:r>
      <w:r w:rsidRPr="001F3301">
        <w:rPr>
          <w:color w:val="FF0000"/>
        </w:rPr>
        <w:t xml:space="preserve"> </w:t>
      </w:r>
      <w:r w:rsidR="00CA4B6C">
        <w:t>This compares</w:t>
      </w:r>
      <w:r w:rsidRPr="002C1271">
        <w:t xml:space="preserve"> with </w:t>
      </w:r>
      <w:r w:rsidR="000E2547">
        <w:t>59.5</w:t>
      </w:r>
      <w:r>
        <w:t xml:space="preserve"> </w:t>
      </w:r>
      <w:r w:rsidRPr="002C1271">
        <w:t>per cent of government funded non</w:t>
      </w:r>
      <w:r w:rsidR="00AD5F7E">
        <w:noBreakHyphen/>
      </w:r>
      <w:r w:rsidRPr="002C1271">
        <w:t xml:space="preserve">Indigenous VET graduates </w:t>
      </w:r>
      <w:r w:rsidR="00CA4B6C">
        <w:t xml:space="preserve">that </w:t>
      </w:r>
      <w:r w:rsidR="00CA4B6C" w:rsidRPr="002C1271">
        <w:t xml:space="preserve">indicated they had improved their employment circumstances </w:t>
      </w:r>
      <w:r w:rsidR="00066FD8">
        <w:t xml:space="preserve">in 2014 </w:t>
      </w:r>
      <w:r w:rsidR="00CA4B6C" w:rsidRPr="002C1271">
        <w:t xml:space="preserve">after completing their course </w:t>
      </w:r>
      <w:r w:rsidRPr="00EF5A5F">
        <w:t>(figure</w:t>
      </w:r>
      <w:r>
        <w:t xml:space="preserve"> </w:t>
      </w:r>
      <w:r w:rsidR="003A68D1">
        <w:t>5.26</w:t>
      </w:r>
      <w:r w:rsidRPr="00EF5A5F">
        <w:t xml:space="preserve">). </w:t>
      </w:r>
    </w:p>
    <w:p w:rsidR="00226247" w:rsidRPr="009145AF" w:rsidRDefault="00410356" w:rsidP="00226247">
      <w:pPr>
        <w:pStyle w:val="BodyText"/>
      </w:pPr>
      <w:r>
        <w:t>G</w:t>
      </w:r>
      <w:r w:rsidR="00226247" w:rsidRPr="009145AF">
        <w:t>overnment funded</w:t>
      </w:r>
      <w:r w:rsidR="00226247">
        <w:t xml:space="preserve"> Aboriginal and Torres Strait Islander </w:t>
      </w:r>
      <w:r w:rsidR="00226247" w:rsidRPr="009145AF">
        <w:t>VET graduates in 20</w:t>
      </w:r>
      <w:r w:rsidR="00226247">
        <w:t>14</w:t>
      </w:r>
      <w:r>
        <w:t xml:space="preserve"> indicated that after completing their training</w:t>
      </w:r>
      <w:r w:rsidR="00226247" w:rsidRPr="009145AF">
        <w:t>:</w:t>
      </w:r>
    </w:p>
    <w:p w:rsidR="00226247" w:rsidRPr="009145AF" w:rsidRDefault="00226247" w:rsidP="00226247">
      <w:pPr>
        <w:pStyle w:val="ListBullet"/>
      </w:pPr>
      <w:r>
        <w:t xml:space="preserve">14.8 </w:t>
      </w:r>
      <w:r w:rsidRPr="009145AF">
        <w:t>per</w:t>
      </w:r>
      <w:r>
        <w:t xml:space="preserve"> </w:t>
      </w:r>
      <w:r w:rsidRPr="009145AF">
        <w:t xml:space="preserve">cent changed from </w:t>
      </w:r>
      <w:r>
        <w:t>‘</w:t>
      </w:r>
      <w:r w:rsidRPr="009145AF">
        <w:t>not employed</w:t>
      </w:r>
      <w:r>
        <w:t>’</w:t>
      </w:r>
      <w:r w:rsidRPr="009145AF">
        <w:t xml:space="preserve"> before training to </w:t>
      </w:r>
      <w:r>
        <w:t>‘</w:t>
      </w:r>
      <w:r w:rsidRPr="009145AF">
        <w:t>employed</w:t>
      </w:r>
      <w:r>
        <w:t>’</w:t>
      </w:r>
      <w:r w:rsidRPr="009145AF">
        <w:t xml:space="preserve"> </w:t>
      </w:r>
    </w:p>
    <w:p w:rsidR="00226247" w:rsidRPr="001441FB" w:rsidRDefault="00226247" w:rsidP="00226247">
      <w:pPr>
        <w:pStyle w:val="ListBullet"/>
      </w:pPr>
      <w:r>
        <w:t xml:space="preserve">8.0 </w:t>
      </w:r>
      <w:r w:rsidRPr="009145AF">
        <w:t>per</w:t>
      </w:r>
      <w:r>
        <w:t xml:space="preserve"> </w:t>
      </w:r>
      <w:r w:rsidRPr="009145AF">
        <w:t xml:space="preserve">cent were employed at a higher skill level </w:t>
      </w:r>
    </w:p>
    <w:p w:rsidR="001441FB" w:rsidRPr="007C0ADB" w:rsidRDefault="00226247" w:rsidP="001441FB">
      <w:pPr>
        <w:pStyle w:val="ListBullet"/>
      </w:pPr>
      <w:r w:rsidRPr="001441FB">
        <w:t xml:space="preserve">53.0 per cent </w:t>
      </w:r>
      <w:r w:rsidR="00410356" w:rsidRPr="001441FB">
        <w:t>received a job</w:t>
      </w:r>
      <w:r w:rsidR="00AD5F7E">
        <w:noBreakHyphen/>
      </w:r>
      <w:r w:rsidR="00410356" w:rsidRPr="001441FB">
        <w:t xml:space="preserve">related benefit </w:t>
      </w:r>
      <w:r w:rsidRPr="001441FB">
        <w:t>(table 5A.</w:t>
      </w:r>
      <w:r w:rsidR="00BD145C">
        <w:t>60</w:t>
      </w:r>
      <w:r w:rsidRPr="001441FB">
        <w:t>).</w:t>
      </w:r>
      <w:r w:rsidR="001441FB" w:rsidRPr="007C0ADB">
        <w:t xml:space="preserve"> </w:t>
      </w:r>
    </w:p>
    <w:p w:rsidR="002E576E" w:rsidRDefault="002E576E" w:rsidP="005F14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E576E" w:rsidTr="005F14B9">
        <w:tc>
          <w:tcPr>
            <w:tcW w:w="8771" w:type="dxa"/>
            <w:tcBorders>
              <w:top w:val="single" w:sz="6" w:space="0" w:color="78A22F"/>
              <w:left w:val="nil"/>
              <w:bottom w:val="nil"/>
              <w:right w:val="nil"/>
            </w:tcBorders>
            <w:shd w:val="clear" w:color="auto" w:fill="auto"/>
          </w:tcPr>
          <w:p w:rsidR="002E576E" w:rsidRPr="00176D3F" w:rsidRDefault="002E576E" w:rsidP="00FB5394">
            <w:pPr>
              <w:pStyle w:val="FigureTitle"/>
            </w:pPr>
            <w:r w:rsidRPr="00784A05">
              <w:rPr>
                <w:b w:val="0"/>
              </w:rPr>
              <w:t xml:space="preserve">Figure </w:t>
            </w:r>
            <w:bookmarkStart w:id="52" w:name="OLE_LINK36"/>
            <w:r w:rsidR="003A68D1">
              <w:rPr>
                <w:b w:val="0"/>
              </w:rPr>
              <w:t>5.</w:t>
            </w:r>
            <w:r w:rsidR="00111918">
              <w:rPr>
                <w:b w:val="0"/>
                <w:noProof/>
              </w:rPr>
              <w:t>26</w:t>
            </w:r>
            <w:bookmarkEnd w:id="52"/>
            <w:r>
              <w:tab/>
            </w:r>
            <w:r w:rsidRPr="00CC723C">
              <w:t>Proportion of VET graduates who improved their employment circumstances after training, by</w:t>
            </w:r>
            <w:r w:rsidR="00804C04">
              <w:t xml:space="preserve"> </w:t>
            </w:r>
            <w:r w:rsidR="002312FF">
              <w:t>Indigenous</w:t>
            </w:r>
            <w:r w:rsidR="00804C04">
              <w:t xml:space="preserve"> </w:t>
            </w:r>
            <w:r w:rsidRPr="00CC723C">
              <w:t>status</w:t>
            </w:r>
            <w:r w:rsidRPr="00CC723C">
              <w:rPr>
                <w:rStyle w:val="NoteLabel"/>
                <w:b/>
              </w:rPr>
              <w:t>a</w:t>
            </w:r>
          </w:p>
        </w:tc>
      </w:tr>
      <w:tr w:rsidR="002E576E" w:rsidTr="005F14B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E576E" w:rsidTr="002E576E">
              <w:tc>
                <w:tcPr>
                  <w:tcW w:w="5000" w:type="pct"/>
                  <w:tcBorders>
                    <w:top w:val="nil"/>
                    <w:bottom w:val="nil"/>
                  </w:tcBorders>
                </w:tcPr>
                <w:p w:rsidR="002E576E" w:rsidRDefault="00303FCA" w:rsidP="00A0558E">
                  <w:pPr>
                    <w:pStyle w:val="Figure"/>
                    <w:spacing w:before="60" w:after="60"/>
                  </w:pPr>
                  <w:r>
                    <w:rPr>
                      <w:noProof/>
                    </w:rPr>
                    <w:drawing>
                      <wp:inline distT="0" distB="0" distL="0" distR="0">
                        <wp:extent cx="5389880" cy="2710815"/>
                        <wp:effectExtent l="0" t="0" r="1270" b="0"/>
                        <wp:docPr id="41" name="Picture 41" descr="Figure 5.26 Proportion of VET graduates who improved their employment circumstances after training, by Indigenous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2E576E" w:rsidRDefault="002E576E" w:rsidP="005F14B9">
            <w:pPr>
              <w:pStyle w:val="Figure"/>
            </w:pPr>
          </w:p>
        </w:tc>
      </w:tr>
      <w:tr w:rsidR="002E576E" w:rsidRPr="00176D3F" w:rsidTr="005F14B9">
        <w:tc>
          <w:tcPr>
            <w:tcW w:w="8771" w:type="dxa"/>
            <w:tcBorders>
              <w:top w:val="nil"/>
              <w:left w:val="nil"/>
              <w:bottom w:val="nil"/>
              <w:right w:val="nil"/>
            </w:tcBorders>
            <w:shd w:val="clear" w:color="auto" w:fill="auto"/>
          </w:tcPr>
          <w:p w:rsidR="002E576E" w:rsidRPr="00176D3F" w:rsidRDefault="00BD145C" w:rsidP="00401449">
            <w:pPr>
              <w:pStyle w:val="Note"/>
            </w:pPr>
            <w:r w:rsidRPr="00171E10">
              <w:rPr>
                <w:rStyle w:val="NoteLabel"/>
              </w:rPr>
              <w:t>a</w:t>
            </w:r>
            <w:r w:rsidRPr="00171E10">
              <w:t xml:space="preserve"> </w:t>
            </w:r>
            <w:r w:rsidR="0053766B" w:rsidRPr="006D3797">
              <w:t>See box</w:t>
            </w:r>
            <w:r w:rsidR="0053766B">
              <w:t> </w:t>
            </w:r>
            <w:r w:rsidR="003A68D1">
              <w:t>5.15</w:t>
            </w:r>
            <w:r w:rsidR="0053766B">
              <w:t xml:space="preserve"> and tables 5A.58</w:t>
            </w:r>
            <w:r w:rsidR="00AD5F7E">
              <w:noBreakHyphen/>
            </w:r>
            <w:r w:rsidR="0053766B">
              <w:t xml:space="preserve">59 </w:t>
            </w:r>
            <w:r w:rsidR="0053766B" w:rsidRPr="006D3797">
              <w:t>for detailed definitions, footnotes and caveats</w:t>
            </w:r>
            <w:r w:rsidRPr="004B1B81">
              <w:t>.</w:t>
            </w:r>
          </w:p>
        </w:tc>
      </w:tr>
      <w:tr w:rsidR="002E576E" w:rsidRPr="00176D3F" w:rsidTr="005F14B9">
        <w:tc>
          <w:tcPr>
            <w:tcW w:w="8771" w:type="dxa"/>
            <w:tcBorders>
              <w:top w:val="nil"/>
              <w:left w:val="nil"/>
              <w:bottom w:val="nil"/>
              <w:right w:val="nil"/>
            </w:tcBorders>
            <w:shd w:val="clear" w:color="auto" w:fill="auto"/>
          </w:tcPr>
          <w:p w:rsidR="002E576E" w:rsidRPr="00176D3F" w:rsidRDefault="002E576E" w:rsidP="00BD145C">
            <w:pPr>
              <w:pStyle w:val="Source"/>
            </w:pPr>
            <w:r w:rsidRPr="008C1DD2">
              <w:rPr>
                <w:i/>
              </w:rPr>
              <w:t>Source</w:t>
            </w:r>
            <w:r w:rsidRPr="008C1DD2">
              <w:t xml:space="preserve">: NCVER (unpublished) </w:t>
            </w:r>
            <w:r w:rsidRPr="008C1DD2">
              <w:rPr>
                <w:i/>
              </w:rPr>
              <w:t>Student Outcomes Survey</w:t>
            </w:r>
            <w:r w:rsidRPr="008C1DD2">
              <w:t>; tables 5A.</w:t>
            </w:r>
            <w:r w:rsidR="00BD145C">
              <w:t>58</w:t>
            </w:r>
            <w:r w:rsidR="00AD5F7E">
              <w:noBreakHyphen/>
            </w:r>
            <w:r w:rsidR="00BD145C">
              <w:t>59</w:t>
            </w:r>
            <w:r w:rsidRPr="008C1DD2">
              <w:t>.</w:t>
            </w:r>
          </w:p>
        </w:tc>
      </w:tr>
      <w:tr w:rsidR="002E576E" w:rsidTr="005F14B9">
        <w:tc>
          <w:tcPr>
            <w:tcW w:w="8771" w:type="dxa"/>
            <w:tcBorders>
              <w:top w:val="nil"/>
              <w:left w:val="nil"/>
              <w:bottom w:val="single" w:sz="6" w:space="0" w:color="78A22F"/>
              <w:right w:val="nil"/>
            </w:tcBorders>
            <w:shd w:val="clear" w:color="auto" w:fill="auto"/>
          </w:tcPr>
          <w:p w:rsidR="002E576E" w:rsidRDefault="002E576E" w:rsidP="005F14B9">
            <w:pPr>
              <w:pStyle w:val="Figurespace"/>
            </w:pPr>
          </w:p>
        </w:tc>
      </w:tr>
      <w:tr w:rsidR="002E576E" w:rsidRPr="000863A5" w:rsidTr="005F14B9">
        <w:tc>
          <w:tcPr>
            <w:tcW w:w="8771" w:type="dxa"/>
            <w:tcBorders>
              <w:top w:val="single" w:sz="6" w:space="0" w:color="78A22F"/>
              <w:left w:val="nil"/>
              <w:bottom w:val="nil"/>
              <w:right w:val="nil"/>
            </w:tcBorders>
          </w:tcPr>
          <w:p w:rsidR="002E576E" w:rsidRPr="00626D32" w:rsidRDefault="002E576E" w:rsidP="005F14B9">
            <w:pPr>
              <w:pStyle w:val="BoxSpaceBelow"/>
            </w:pPr>
          </w:p>
        </w:tc>
      </w:tr>
    </w:tbl>
    <w:p w:rsidR="00FB5394" w:rsidRDefault="00FB5394" w:rsidP="00FB5394">
      <w:pPr>
        <w:pStyle w:val="BodyText"/>
      </w:pPr>
      <w:r>
        <w:rPr>
          <w:noProof/>
        </w:rPr>
        <w:lastRenderedPageBreak/>
        <w:t xml:space="preserve">Data </w:t>
      </w:r>
      <w:r w:rsidRPr="00EF5A5F">
        <w:rPr>
          <w:noProof/>
        </w:rPr>
        <w:t xml:space="preserve">on </w:t>
      </w:r>
      <w:r>
        <w:rPr>
          <w:noProof/>
        </w:rPr>
        <w:t xml:space="preserve">VET </w:t>
      </w:r>
      <w:r w:rsidRPr="00EF5A5F">
        <w:rPr>
          <w:noProof/>
        </w:rPr>
        <w:t xml:space="preserve">graduates </w:t>
      </w:r>
      <w:r>
        <w:rPr>
          <w:noProof/>
        </w:rPr>
        <w:t>aged 20</w:t>
      </w:r>
      <w:r>
        <w:t>–</w:t>
      </w:r>
      <w:r w:rsidRPr="008360A2">
        <w:t>64</w:t>
      </w:r>
      <w:r>
        <w:t xml:space="preserve"> years</w:t>
      </w:r>
      <w:r w:rsidRPr="00EF5A5F">
        <w:rPr>
          <w:noProof/>
        </w:rPr>
        <w:t xml:space="preserve"> who improved their employment circumstances after completing </w:t>
      </w:r>
      <w:r>
        <w:rPr>
          <w:noProof/>
        </w:rPr>
        <w:t xml:space="preserve">their training </w:t>
      </w:r>
      <w:r>
        <w:t>are included in table 5A.62.</w:t>
      </w:r>
    </w:p>
    <w:p w:rsidR="00410356" w:rsidRDefault="00410356" w:rsidP="00410356">
      <w:pPr>
        <w:pStyle w:val="Heading6"/>
      </w:pPr>
      <w:r>
        <w:t xml:space="preserve">Other </w:t>
      </w:r>
      <w:r w:rsidR="00105A60">
        <w:t>target</w:t>
      </w:r>
      <w:r>
        <w:t xml:space="preserve"> group</w:t>
      </w:r>
      <w:r w:rsidR="00FB5394">
        <w:t xml:space="preserve"> VET graduate</w:t>
      </w:r>
      <w:r>
        <w:t xml:space="preserve">s </w:t>
      </w:r>
    </w:p>
    <w:p w:rsidR="005A2492" w:rsidRDefault="005A2492" w:rsidP="00226247">
      <w:pPr>
        <w:pStyle w:val="BodyText"/>
      </w:pPr>
      <w:r>
        <w:t>Nationally, lower proportions of graduates with disability and graduates who speak a LOTE at home report</w:t>
      </w:r>
      <w:r w:rsidR="00FB5394">
        <w:t>ed</w:t>
      </w:r>
      <w:r>
        <w:t xml:space="preserve"> </w:t>
      </w:r>
      <w:r w:rsidR="00FB5394">
        <w:t>improving</w:t>
      </w:r>
      <w:r>
        <w:t xml:space="preserve"> their employment circumstances</w:t>
      </w:r>
      <w:r w:rsidRPr="005A2492">
        <w:rPr>
          <w:noProof/>
        </w:rPr>
        <w:t xml:space="preserve"> </w:t>
      </w:r>
      <w:r w:rsidRPr="00EF5A5F">
        <w:rPr>
          <w:noProof/>
        </w:rPr>
        <w:t>after completing their</w:t>
      </w:r>
      <w:r>
        <w:rPr>
          <w:noProof/>
        </w:rPr>
        <w:t xml:space="preserve"> training</w:t>
      </w:r>
      <w:r>
        <w:t>, compared to all graduates, in each of the last ten years (table 5A.57).</w:t>
      </w:r>
    </w:p>
    <w:p w:rsidR="005A2492" w:rsidRDefault="005A2492" w:rsidP="00226247">
      <w:pPr>
        <w:pStyle w:val="BodyText"/>
      </w:pPr>
      <w:r>
        <w:rPr>
          <w:noProof/>
        </w:rPr>
        <w:t xml:space="preserve">In comparison, over the last five years, a higher proportion </w:t>
      </w:r>
      <w:r w:rsidR="00FB5394">
        <w:rPr>
          <w:noProof/>
        </w:rPr>
        <w:t xml:space="preserve">of </w:t>
      </w:r>
      <w:r>
        <w:rPr>
          <w:noProof/>
        </w:rPr>
        <w:t>VET graduates from remote and very remote locations report</w:t>
      </w:r>
      <w:r w:rsidR="00FB5394">
        <w:rPr>
          <w:noProof/>
        </w:rPr>
        <w:t>ed</w:t>
      </w:r>
      <w:r>
        <w:rPr>
          <w:noProof/>
        </w:rPr>
        <w:t xml:space="preserve"> that they </w:t>
      </w:r>
      <w:r w:rsidRPr="00EF5A5F">
        <w:rPr>
          <w:noProof/>
        </w:rPr>
        <w:t>improved their employment circumstances after completing their</w:t>
      </w:r>
      <w:r>
        <w:rPr>
          <w:noProof/>
        </w:rPr>
        <w:t xml:space="preserve"> training, compared to VET graduates f</w:t>
      </w:r>
      <w:r w:rsidR="001B4F65">
        <w:rPr>
          <w:noProof/>
        </w:rPr>
        <w:t>ro</w:t>
      </w:r>
      <w:r>
        <w:rPr>
          <w:noProof/>
        </w:rPr>
        <w:t>m major cities, inner regional and outer regional locations (table 5A.61).</w:t>
      </w:r>
    </w:p>
    <w:p w:rsidR="00C57336" w:rsidRPr="00EF5A5F" w:rsidRDefault="00410356" w:rsidP="008A255F">
      <w:pPr>
        <w:pStyle w:val="Heading5"/>
      </w:pPr>
      <w:r>
        <w:t>G</w:t>
      </w:r>
      <w:r w:rsidR="00DD7252" w:rsidRPr="00EF5A5F">
        <w:t>raduates who undertook their course for employment</w:t>
      </w:r>
      <w:r w:rsidR="00AD5F7E">
        <w:noBreakHyphen/>
      </w:r>
      <w:r w:rsidR="00DD7252" w:rsidRPr="00EF5A5F">
        <w:t xml:space="preserve">related reasons and were employed after completing their course, who reported at least one </w:t>
      </w:r>
      <w:r w:rsidR="00CF0AA1" w:rsidRPr="00EF5A5F">
        <w:t>job</w:t>
      </w:r>
      <w:r w:rsidR="00AD5F7E">
        <w:noBreakHyphen/>
      </w:r>
      <w:r w:rsidR="00DD7252" w:rsidRPr="00EF5A5F">
        <w:t>related benefit from completing the course</w:t>
      </w:r>
    </w:p>
    <w:p w:rsidR="001441FB" w:rsidRDefault="004C658E" w:rsidP="001441FB">
      <w:pPr>
        <w:pStyle w:val="BodyText"/>
      </w:pPr>
      <w:r w:rsidRPr="00EF5A5F">
        <w:t xml:space="preserve">Nationally in </w:t>
      </w:r>
      <w:r w:rsidR="008F6854">
        <w:t>201</w:t>
      </w:r>
      <w:r w:rsidR="006F37BC">
        <w:t>4</w:t>
      </w:r>
      <w:r w:rsidRPr="00EF5A5F">
        <w:t xml:space="preserve">, of </w:t>
      </w:r>
      <w:r w:rsidR="00633884" w:rsidRPr="00EF5A5F">
        <w:t>all</w:t>
      </w:r>
      <w:r w:rsidRPr="00EF5A5F">
        <w:t xml:space="preserve"> </w:t>
      </w:r>
      <w:r w:rsidR="00421314" w:rsidRPr="00EF5A5F">
        <w:t xml:space="preserve">government funded VET </w:t>
      </w:r>
      <w:r w:rsidRPr="00EF5A5F">
        <w:t>graduates who were employed after their training and undertook their course for employment related reasons</w:t>
      </w:r>
      <w:r w:rsidR="00C57336" w:rsidRPr="00EF5A5F">
        <w:t xml:space="preserve">, </w:t>
      </w:r>
      <w:r w:rsidR="00593642">
        <w:t>7</w:t>
      </w:r>
      <w:r w:rsidR="006F37BC">
        <w:t>4.8</w:t>
      </w:r>
      <w:r w:rsidR="0096194E">
        <w:t xml:space="preserve"> </w:t>
      </w:r>
      <w:r w:rsidR="00C57336" w:rsidRPr="009145AF">
        <w:t>per</w:t>
      </w:r>
      <w:r w:rsidR="0096194E">
        <w:t xml:space="preserve"> </w:t>
      </w:r>
      <w:r w:rsidR="00C57336" w:rsidRPr="009145AF">
        <w:t xml:space="preserve">cent indicated they had gained at least one </w:t>
      </w:r>
      <w:r w:rsidR="00CF0AA1" w:rsidRPr="009145AF">
        <w:t>job</w:t>
      </w:r>
      <w:r w:rsidR="00AD5F7E">
        <w:noBreakHyphen/>
      </w:r>
      <w:r w:rsidR="00C57336" w:rsidRPr="009145AF">
        <w:t>related benefit from completing the course (figure</w:t>
      </w:r>
      <w:r w:rsidR="00B9159E">
        <w:t xml:space="preserve"> </w:t>
      </w:r>
      <w:r w:rsidR="003A68D1">
        <w:t>5.27</w:t>
      </w:r>
      <w:r w:rsidR="00CF4FD5" w:rsidRPr="009145AF">
        <w:t>).</w:t>
      </w:r>
      <w:r w:rsidR="00D437C8" w:rsidRPr="009145AF">
        <w:t xml:space="preserve"> This compares with </w:t>
      </w:r>
      <w:r w:rsidR="006F37BC">
        <w:t>79.7</w:t>
      </w:r>
      <w:r w:rsidR="0096194E">
        <w:t xml:space="preserve"> </w:t>
      </w:r>
      <w:r w:rsidR="00D437C8" w:rsidRPr="009145AF">
        <w:t>per</w:t>
      </w:r>
      <w:r w:rsidR="0096194E">
        <w:t xml:space="preserve"> </w:t>
      </w:r>
      <w:r w:rsidR="00D437C8" w:rsidRPr="009145AF">
        <w:t>cent for government funded</w:t>
      </w:r>
      <w:r w:rsidR="00804C04">
        <w:t xml:space="preserve"> Aboriginal and Torres Strait Islander </w:t>
      </w:r>
      <w:r w:rsidR="00D437C8" w:rsidRPr="009145AF">
        <w:t>graduates (table 5A.</w:t>
      </w:r>
      <w:r w:rsidR="00E029D4">
        <w:t>55</w:t>
      </w:r>
      <w:r w:rsidR="00D437C8" w:rsidRPr="009145AF">
        <w:t xml:space="preserve">). </w:t>
      </w:r>
    </w:p>
    <w:p w:rsidR="00E029D4" w:rsidRPr="009145AF" w:rsidRDefault="00E029D4" w:rsidP="00E029D4">
      <w:pPr>
        <w:pStyle w:val="BodyText"/>
      </w:pPr>
      <w:r w:rsidRPr="009145AF">
        <w:t>Individual graduates could receive more than one benefit. The benefits reported by graduates included:</w:t>
      </w:r>
    </w:p>
    <w:p w:rsidR="00E029D4" w:rsidRPr="009145AF" w:rsidRDefault="00FB5394" w:rsidP="00E029D4">
      <w:pPr>
        <w:pStyle w:val="ListBullet"/>
        <w:spacing w:before="80"/>
      </w:pPr>
      <w:r>
        <w:t>obtaining</w:t>
      </w:r>
      <w:r w:rsidR="00E029D4" w:rsidRPr="009145AF">
        <w:t xml:space="preserve"> a job </w:t>
      </w:r>
      <w:r w:rsidR="00E029D4">
        <w:t xml:space="preserve">(30.6 </w:t>
      </w:r>
      <w:r w:rsidR="00E029D4" w:rsidRPr="009145AF">
        <w:t>per</w:t>
      </w:r>
      <w:r w:rsidR="00E029D4">
        <w:t xml:space="preserve"> </w:t>
      </w:r>
      <w:r w:rsidR="00E029D4" w:rsidRPr="009145AF">
        <w:t>cent)</w:t>
      </w:r>
    </w:p>
    <w:p w:rsidR="00E029D4" w:rsidRPr="009145AF" w:rsidRDefault="00FB5394" w:rsidP="00E029D4">
      <w:pPr>
        <w:pStyle w:val="ListBullet"/>
        <w:spacing w:before="80"/>
      </w:pPr>
      <w:r>
        <w:t>achieving</w:t>
      </w:r>
      <w:r w:rsidR="00E029D4" w:rsidRPr="009145AF">
        <w:t xml:space="preserve"> an increase in earnings (</w:t>
      </w:r>
      <w:r w:rsidR="00E029D4">
        <w:t xml:space="preserve">23.8 </w:t>
      </w:r>
      <w:r w:rsidR="00E029D4" w:rsidRPr="009145AF">
        <w:t>per</w:t>
      </w:r>
      <w:r w:rsidR="00E029D4">
        <w:t xml:space="preserve"> </w:t>
      </w:r>
      <w:r w:rsidR="00E029D4" w:rsidRPr="009145AF">
        <w:t>cent)</w:t>
      </w:r>
    </w:p>
    <w:p w:rsidR="00E029D4" w:rsidRPr="009145AF" w:rsidRDefault="00FB5394" w:rsidP="00E029D4">
      <w:pPr>
        <w:pStyle w:val="ListBullet"/>
        <w:spacing w:before="80"/>
      </w:pPr>
      <w:r>
        <w:t>achieving</w:t>
      </w:r>
      <w:r w:rsidR="00E029D4" w:rsidRPr="009145AF">
        <w:t xml:space="preserve"> a promotion or an increased status at work (</w:t>
      </w:r>
      <w:r w:rsidR="00E029D4">
        <w:t xml:space="preserve">30.2 </w:t>
      </w:r>
      <w:r w:rsidR="00E029D4" w:rsidRPr="009145AF">
        <w:t>per</w:t>
      </w:r>
      <w:r w:rsidR="00E029D4">
        <w:t xml:space="preserve"> </w:t>
      </w:r>
      <w:r w:rsidR="00E029D4" w:rsidRPr="009145AF">
        <w:t>cent)</w:t>
      </w:r>
    </w:p>
    <w:p w:rsidR="00E029D4" w:rsidRPr="009145AF" w:rsidRDefault="00FB5394" w:rsidP="00E029D4">
      <w:pPr>
        <w:pStyle w:val="ListBullet"/>
        <w:spacing w:before="80"/>
      </w:pPr>
      <w:r>
        <w:t>changing</w:t>
      </w:r>
      <w:r w:rsidR="00E029D4" w:rsidRPr="009145AF">
        <w:t xml:space="preserve"> job</w:t>
      </w:r>
      <w:r>
        <w:t>s</w:t>
      </w:r>
      <w:r w:rsidR="00E029D4" w:rsidRPr="009145AF">
        <w:t xml:space="preserve"> or </w:t>
      </w:r>
      <w:r>
        <w:t xml:space="preserve">obtaining </w:t>
      </w:r>
      <w:r w:rsidR="00E029D4" w:rsidRPr="009145AF">
        <w:t>a new job (</w:t>
      </w:r>
      <w:r w:rsidR="00E029D4">
        <w:t xml:space="preserve">17.6 </w:t>
      </w:r>
      <w:r w:rsidR="00E029D4" w:rsidRPr="009145AF">
        <w:t>per</w:t>
      </w:r>
      <w:r w:rsidR="00E029D4">
        <w:t xml:space="preserve"> </w:t>
      </w:r>
      <w:r w:rsidR="00E029D4" w:rsidRPr="009145AF">
        <w:t>cent)</w:t>
      </w:r>
    </w:p>
    <w:p w:rsidR="00E029D4" w:rsidRPr="00EF5A5F" w:rsidRDefault="00FB5394" w:rsidP="00E029D4">
      <w:pPr>
        <w:pStyle w:val="ListBullet"/>
        <w:spacing w:before="80"/>
      </w:pPr>
      <w:r>
        <w:t xml:space="preserve">gaining </w:t>
      </w:r>
      <w:r w:rsidR="00E029D4" w:rsidRPr="009145AF">
        <w:t>the ability to start their own business (</w:t>
      </w:r>
      <w:r w:rsidR="00E029D4">
        <w:t xml:space="preserve">8.3 </w:t>
      </w:r>
      <w:r w:rsidR="00E029D4" w:rsidRPr="009145AF">
        <w:t>per</w:t>
      </w:r>
      <w:r w:rsidR="00E029D4">
        <w:t xml:space="preserve"> </w:t>
      </w:r>
      <w:r w:rsidR="00E029D4" w:rsidRPr="009145AF">
        <w:t xml:space="preserve">cent) </w:t>
      </w:r>
      <w:r w:rsidR="00E029D4" w:rsidRPr="00EF5A5F">
        <w:t>(table 5A.</w:t>
      </w:r>
      <w:r w:rsidR="00E029D4">
        <w:t>54</w:t>
      </w:r>
      <w:r w:rsidR="00E029D4" w:rsidRPr="00EF5A5F">
        <w:t>).</w:t>
      </w:r>
    </w:p>
    <w:p w:rsidR="00FB5394" w:rsidRDefault="00FB5394" w:rsidP="00FB5394">
      <w:pPr>
        <w:pStyle w:val="BodyText"/>
      </w:pPr>
      <w:r>
        <w:t>Nationally in 2014, f</w:t>
      </w:r>
      <w:r w:rsidRPr="00F461CA">
        <w:t xml:space="preserve">or those </w:t>
      </w:r>
      <w:r>
        <w:t xml:space="preserve">VET </w:t>
      </w:r>
      <w:r w:rsidRPr="00F461CA">
        <w:t>graduates who were employed after completing their course and undertook their course for employment</w:t>
      </w:r>
      <w:r>
        <w:noBreakHyphen/>
      </w:r>
      <w:r w:rsidRPr="00F461CA">
        <w:t>related reasons</w:t>
      </w:r>
      <w:r>
        <w:t xml:space="preserve">, 80.2 per cent </w:t>
      </w:r>
      <w:r w:rsidRPr="00F461CA">
        <w:t xml:space="preserve">reported </w:t>
      </w:r>
      <w:r>
        <w:t xml:space="preserve">that the course was ‘highly relevant’ or had ‘some </w:t>
      </w:r>
      <w:r w:rsidRPr="00F461CA">
        <w:t>relevance</w:t>
      </w:r>
      <w:r>
        <w:t>’</w:t>
      </w:r>
      <w:r w:rsidRPr="00F461CA">
        <w:t xml:space="preserve"> to the main job</w:t>
      </w:r>
      <w:r>
        <w:t xml:space="preserve"> (</w:t>
      </w:r>
      <w:r w:rsidRPr="00F461CA">
        <w:t>table 5A.</w:t>
      </w:r>
      <w:r>
        <w:t>53).</w:t>
      </w:r>
    </w:p>
    <w:p w:rsidR="00B24610" w:rsidRDefault="00B24610" w:rsidP="005F14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24610" w:rsidTr="005F14B9">
        <w:tc>
          <w:tcPr>
            <w:tcW w:w="8771" w:type="dxa"/>
            <w:tcBorders>
              <w:top w:val="single" w:sz="6" w:space="0" w:color="78A22F"/>
              <w:left w:val="nil"/>
              <w:bottom w:val="nil"/>
              <w:right w:val="nil"/>
            </w:tcBorders>
            <w:shd w:val="clear" w:color="auto" w:fill="auto"/>
          </w:tcPr>
          <w:p w:rsidR="00B24610" w:rsidRPr="00176D3F" w:rsidRDefault="00B24610" w:rsidP="00FB5394">
            <w:pPr>
              <w:pStyle w:val="FigureTitle"/>
            </w:pPr>
            <w:r w:rsidRPr="00784A05">
              <w:rPr>
                <w:b w:val="0"/>
              </w:rPr>
              <w:t xml:space="preserve">Figure </w:t>
            </w:r>
            <w:bookmarkStart w:id="53" w:name="OLE_LINK21"/>
            <w:r w:rsidR="003A68D1">
              <w:rPr>
                <w:b w:val="0"/>
              </w:rPr>
              <w:t>5.</w:t>
            </w:r>
            <w:r w:rsidR="00111918">
              <w:rPr>
                <w:b w:val="0"/>
                <w:noProof/>
              </w:rPr>
              <w:t>27</w:t>
            </w:r>
            <w:bookmarkEnd w:id="53"/>
            <w:r>
              <w:tab/>
            </w:r>
            <w:r w:rsidRPr="00CC723C">
              <w:t>Proportion of VET graduates who undertook their course for employment</w:t>
            </w:r>
            <w:r w:rsidRPr="00CC723C">
              <w:noBreakHyphen/>
              <w:t>related reasons and who received at least one job</w:t>
            </w:r>
            <w:r w:rsidR="00AD5F7E">
              <w:noBreakHyphen/>
            </w:r>
            <w:r w:rsidRPr="00CC723C">
              <w:t>related benefit from completing the course</w:t>
            </w:r>
            <w:r w:rsidRPr="00CC723C">
              <w:rPr>
                <w:rStyle w:val="NoteLabel"/>
                <w:b/>
              </w:rPr>
              <w:t>a</w:t>
            </w:r>
          </w:p>
        </w:tc>
      </w:tr>
      <w:tr w:rsidR="00B24610" w:rsidTr="005F14B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24610" w:rsidTr="00B24610">
              <w:tc>
                <w:tcPr>
                  <w:tcW w:w="5000" w:type="pct"/>
                  <w:tcBorders>
                    <w:top w:val="nil"/>
                    <w:bottom w:val="nil"/>
                  </w:tcBorders>
                </w:tcPr>
                <w:p w:rsidR="00B24610" w:rsidRDefault="00303FCA" w:rsidP="00B9159E">
                  <w:pPr>
                    <w:pStyle w:val="Figure"/>
                    <w:spacing w:before="60" w:after="60"/>
                  </w:pPr>
                  <w:r>
                    <w:rPr>
                      <w:noProof/>
                    </w:rPr>
                    <w:drawing>
                      <wp:inline distT="0" distB="0" distL="0" distR="0">
                        <wp:extent cx="5389880" cy="2710815"/>
                        <wp:effectExtent l="0" t="0" r="1270" b="0"/>
                        <wp:docPr id="42" name="Picture 42" descr="Figure 5.27 Proportion of VET graduates who undertook their course for employment related reasons and who received at least one job related benefit from completing the cours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B24610" w:rsidRDefault="00B24610" w:rsidP="005F14B9">
            <w:pPr>
              <w:pStyle w:val="Figure"/>
            </w:pPr>
          </w:p>
        </w:tc>
      </w:tr>
      <w:tr w:rsidR="00B24610" w:rsidRPr="00176D3F" w:rsidTr="005F14B9">
        <w:tc>
          <w:tcPr>
            <w:tcW w:w="8771" w:type="dxa"/>
            <w:tcBorders>
              <w:top w:val="nil"/>
              <w:left w:val="nil"/>
              <w:bottom w:val="nil"/>
              <w:right w:val="nil"/>
            </w:tcBorders>
            <w:shd w:val="clear" w:color="auto" w:fill="auto"/>
          </w:tcPr>
          <w:p w:rsidR="00B24610" w:rsidRPr="00176D3F" w:rsidRDefault="00E029D4" w:rsidP="00343DD7">
            <w:pPr>
              <w:pStyle w:val="Note"/>
            </w:pPr>
            <w:r w:rsidRPr="00171E10">
              <w:rPr>
                <w:rStyle w:val="NoteLabel"/>
              </w:rPr>
              <w:t>a</w:t>
            </w:r>
            <w:r w:rsidRPr="00171E10">
              <w:t xml:space="preserve"> </w:t>
            </w:r>
            <w:r w:rsidR="0053766B" w:rsidRPr="006D3797">
              <w:t xml:space="preserve">See </w:t>
            </w:r>
            <w:r w:rsidR="0053766B">
              <w:t>box </w:t>
            </w:r>
            <w:r w:rsidR="003A68D1">
              <w:t>5.15</w:t>
            </w:r>
            <w:r w:rsidR="0053766B">
              <w:t xml:space="preserve"> and table 5A.54 </w:t>
            </w:r>
            <w:r w:rsidR="0053766B" w:rsidRPr="006D3797">
              <w:t>for detailed definitions, footnotes and caveats</w:t>
            </w:r>
            <w:r w:rsidRPr="004B1B81">
              <w:t>.</w:t>
            </w:r>
          </w:p>
        </w:tc>
      </w:tr>
      <w:tr w:rsidR="00B24610" w:rsidRPr="00176D3F" w:rsidTr="005F14B9">
        <w:tc>
          <w:tcPr>
            <w:tcW w:w="8771" w:type="dxa"/>
            <w:tcBorders>
              <w:top w:val="nil"/>
              <w:left w:val="nil"/>
              <w:bottom w:val="nil"/>
              <w:right w:val="nil"/>
            </w:tcBorders>
            <w:shd w:val="clear" w:color="auto" w:fill="auto"/>
          </w:tcPr>
          <w:p w:rsidR="00B24610" w:rsidRPr="00176D3F" w:rsidRDefault="00B24610" w:rsidP="00E029D4">
            <w:pPr>
              <w:pStyle w:val="Source"/>
            </w:pPr>
            <w:r w:rsidRPr="008C1DD2">
              <w:rPr>
                <w:i/>
              </w:rPr>
              <w:t>Source</w:t>
            </w:r>
            <w:r w:rsidRPr="008C1DD2">
              <w:t xml:space="preserve">: NCVER (unpublished) </w:t>
            </w:r>
            <w:r w:rsidRPr="008C1DD2">
              <w:rPr>
                <w:i/>
              </w:rPr>
              <w:t>Student Outcomes Survey</w:t>
            </w:r>
            <w:r w:rsidRPr="008C1DD2">
              <w:t>; table 5A.</w:t>
            </w:r>
            <w:r w:rsidR="00E029D4">
              <w:t>54</w:t>
            </w:r>
            <w:r w:rsidRPr="008C1DD2">
              <w:t>.</w:t>
            </w:r>
          </w:p>
        </w:tc>
      </w:tr>
      <w:tr w:rsidR="00B24610" w:rsidTr="005F14B9">
        <w:tc>
          <w:tcPr>
            <w:tcW w:w="8771" w:type="dxa"/>
            <w:tcBorders>
              <w:top w:val="nil"/>
              <w:left w:val="nil"/>
              <w:bottom w:val="single" w:sz="6" w:space="0" w:color="78A22F"/>
              <w:right w:val="nil"/>
            </w:tcBorders>
            <w:shd w:val="clear" w:color="auto" w:fill="auto"/>
          </w:tcPr>
          <w:p w:rsidR="00B24610" w:rsidRDefault="00B24610" w:rsidP="005F14B9">
            <w:pPr>
              <w:pStyle w:val="Figurespace"/>
            </w:pPr>
          </w:p>
        </w:tc>
      </w:tr>
      <w:tr w:rsidR="00B24610" w:rsidRPr="000863A5" w:rsidTr="005F14B9">
        <w:tc>
          <w:tcPr>
            <w:tcW w:w="8771" w:type="dxa"/>
            <w:tcBorders>
              <w:top w:val="single" w:sz="6" w:space="0" w:color="78A22F"/>
              <w:left w:val="nil"/>
              <w:bottom w:val="nil"/>
              <w:right w:val="nil"/>
            </w:tcBorders>
          </w:tcPr>
          <w:p w:rsidR="00B24610" w:rsidRPr="00626D32" w:rsidRDefault="00B24610" w:rsidP="005F14B9">
            <w:pPr>
              <w:pStyle w:val="BoxSpaceBelow"/>
            </w:pPr>
          </w:p>
        </w:tc>
      </w:tr>
    </w:tbl>
    <w:p w:rsidR="00C57336" w:rsidRPr="00F461CA" w:rsidRDefault="00C57336" w:rsidP="008A255F">
      <w:pPr>
        <w:pStyle w:val="Heading4"/>
      </w:pPr>
      <w:r w:rsidRPr="00F461CA">
        <w:t>Student achievement in VET</w:t>
      </w:r>
    </w:p>
    <w:p w:rsidR="000E398B" w:rsidRDefault="002A1C67" w:rsidP="00F971E0">
      <w:pPr>
        <w:pStyle w:val="BodyText"/>
      </w:pPr>
      <w:r w:rsidRPr="00EF5A5F">
        <w:t xml:space="preserve">‘Student achievement in VET’ is an indicator of </w:t>
      </w:r>
      <w:r w:rsidR="00CE0D1B" w:rsidRPr="00EF5A5F">
        <w:t xml:space="preserve">governments’ objective </w:t>
      </w:r>
      <w:r w:rsidR="008A255F">
        <w:t xml:space="preserve">that </w:t>
      </w:r>
      <w:r w:rsidR="00CE0D1B" w:rsidRPr="00EF5A5F">
        <w:t>students</w:t>
      </w:r>
      <w:r w:rsidR="00594B30">
        <w:t>’</w:t>
      </w:r>
      <w:r w:rsidR="00CE0D1B" w:rsidRPr="00EF5A5F">
        <w:t xml:space="preserve"> </w:t>
      </w:r>
      <w:r w:rsidR="008A255F" w:rsidRPr="00C05D42">
        <w:t>skill levels are increased to meet th</w:t>
      </w:r>
      <w:r w:rsidR="008A255F">
        <w:t>e changing needs of the economy</w:t>
      </w:r>
      <w:r w:rsidR="008A255F" w:rsidRPr="00EF5A5F">
        <w:t xml:space="preserve"> </w:t>
      </w:r>
      <w:r w:rsidR="00E872B2" w:rsidRPr="00EF5A5F">
        <w:t xml:space="preserve">(box </w:t>
      </w:r>
      <w:r w:rsidR="003A68D1">
        <w:t>5.16</w:t>
      </w:r>
      <w:r w:rsidR="00E872B2" w:rsidRPr="00EF5A5F">
        <w:t>)</w:t>
      </w:r>
      <w:r w:rsidRPr="00EF5A5F">
        <w:t>.</w:t>
      </w:r>
    </w:p>
    <w:p w:rsidR="00B24610" w:rsidRDefault="00B2461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24610" w:rsidTr="005F14B9">
        <w:tc>
          <w:tcPr>
            <w:tcW w:w="8771" w:type="dxa"/>
            <w:tcBorders>
              <w:top w:val="single" w:sz="6" w:space="0" w:color="78A22F"/>
              <w:left w:val="nil"/>
              <w:bottom w:val="nil"/>
              <w:right w:val="nil"/>
            </w:tcBorders>
            <w:shd w:val="clear" w:color="auto" w:fill="F2F2F2" w:themeFill="background1" w:themeFillShade="F2"/>
          </w:tcPr>
          <w:p w:rsidR="00B24610" w:rsidRDefault="00B24610" w:rsidP="00B24610">
            <w:pPr>
              <w:pStyle w:val="BoxTitle"/>
            </w:pPr>
            <w:r>
              <w:rPr>
                <w:b w:val="0"/>
              </w:rPr>
              <w:t xml:space="preserve">Box </w:t>
            </w:r>
            <w:bookmarkStart w:id="54" w:name="OLE_LINK39"/>
            <w:r w:rsidR="003A68D1">
              <w:rPr>
                <w:b w:val="0"/>
              </w:rPr>
              <w:t>5.</w:t>
            </w:r>
            <w:r w:rsidR="00111918">
              <w:rPr>
                <w:b w:val="0"/>
                <w:noProof/>
              </w:rPr>
              <w:t>16</w:t>
            </w:r>
            <w:bookmarkEnd w:id="54"/>
            <w:r>
              <w:tab/>
            </w:r>
            <w:r w:rsidRPr="00EF5A5F">
              <w:t>Student achievement in VET</w:t>
            </w:r>
          </w:p>
        </w:tc>
      </w:tr>
      <w:tr w:rsidR="00B24610" w:rsidTr="005F14B9">
        <w:trPr>
          <w:cantSplit/>
        </w:trPr>
        <w:tc>
          <w:tcPr>
            <w:tcW w:w="8771" w:type="dxa"/>
            <w:tcBorders>
              <w:top w:val="nil"/>
              <w:left w:val="nil"/>
              <w:bottom w:val="nil"/>
              <w:right w:val="nil"/>
            </w:tcBorders>
            <w:shd w:val="clear" w:color="auto" w:fill="F2F2F2" w:themeFill="background1" w:themeFillShade="F2"/>
          </w:tcPr>
          <w:p w:rsidR="00B24610" w:rsidRPr="00EF5A5F" w:rsidRDefault="00B24610" w:rsidP="005F14B9">
            <w:pPr>
              <w:pStyle w:val="Box"/>
              <w:spacing w:before="80"/>
            </w:pPr>
            <w:r w:rsidRPr="00EF5A5F">
              <w:t xml:space="preserve">‘Student achievement in VET’ is defined by </w:t>
            </w:r>
            <w:r>
              <w:t>three</w:t>
            </w:r>
            <w:r w:rsidRPr="00EF5A5F">
              <w:t xml:space="preserve"> measures:</w:t>
            </w:r>
          </w:p>
          <w:p w:rsidR="00B24610" w:rsidRPr="003D5EF9" w:rsidRDefault="00B24610" w:rsidP="005F14B9">
            <w:pPr>
              <w:pStyle w:val="BoxListBullet"/>
            </w:pPr>
            <w:r w:rsidRPr="006B72E7">
              <w:t>‘</w:t>
            </w:r>
            <w:r w:rsidR="00FB5394">
              <w:t>l</w:t>
            </w:r>
            <w:r w:rsidRPr="003D5EF9">
              <w:t xml:space="preserve">oad pass rate’ is the ratio of hours attributed to students who gained competencies/passed assessment in an assessable module or unit of competency to all hours of students who were assessed and either passed, failed or withdrew. </w:t>
            </w:r>
            <w:r w:rsidR="00FB5394">
              <w:t>See section 5.5 for more detail</w:t>
            </w:r>
          </w:p>
          <w:p w:rsidR="00B24610" w:rsidRPr="003D5EF9" w:rsidRDefault="00B24610" w:rsidP="005F14B9">
            <w:pPr>
              <w:pStyle w:val="BoxListBullet"/>
            </w:pPr>
            <w:r w:rsidRPr="003D5EF9">
              <w:t>‘</w:t>
            </w:r>
            <w:r w:rsidR="00FB5394">
              <w:t>p</w:t>
            </w:r>
            <w:r w:rsidRPr="003D5EF9">
              <w:t>roportion of graduates with improved education/training status after training’ is the number of VET qualifications completed by students who have completed a course at a higher education level than their previous highest education level a</w:t>
            </w:r>
            <w:r w:rsidR="00C9627C">
              <w:t>chieved (based on AQF), divided</w:t>
            </w:r>
            <w:r w:rsidRPr="003D5EF9">
              <w:t xml:space="preserve"> by the number of VET course </w:t>
            </w:r>
            <w:r w:rsidR="00AA5C03">
              <w:t>completions</w:t>
            </w:r>
          </w:p>
          <w:p w:rsidR="002258A5" w:rsidRDefault="002258A5" w:rsidP="005F14B9">
            <w:pPr>
              <w:pStyle w:val="BoxListBullet"/>
            </w:pPr>
            <w:r>
              <w:t>‘</w:t>
            </w:r>
            <w:r w:rsidR="00FB5394">
              <w:t>e</w:t>
            </w:r>
            <w:r>
              <w:t>stimated qualification completion rate</w:t>
            </w:r>
            <w:r w:rsidR="00B24610" w:rsidRPr="003D5EF9">
              <w:t xml:space="preserve">’ is the number of VET students in a given year who commenced a course and eventually completed </w:t>
            </w:r>
            <w:r w:rsidR="00B24610" w:rsidRPr="002258A5">
              <w:t xml:space="preserve">their course, expressed as a proportion of all course </w:t>
            </w:r>
            <w:r w:rsidR="008A255F">
              <w:t>enrolments in that year</w:t>
            </w:r>
            <w:r>
              <w:t xml:space="preserve">. Qualifications at </w:t>
            </w:r>
            <w:r w:rsidR="008912AD">
              <w:t>AQF C</w:t>
            </w:r>
            <w:r>
              <w:t xml:space="preserve">ertificate </w:t>
            </w:r>
            <w:r w:rsidR="008A255F">
              <w:t>I</w:t>
            </w:r>
            <w:r>
              <w:t xml:space="preserve"> and above are included</w:t>
            </w:r>
            <w:r w:rsidR="00E7163B">
              <w:t>. T</w:t>
            </w:r>
            <w:r w:rsidRPr="002258A5">
              <w:t>he subject load pass rates for students commencing in that year are also included</w:t>
            </w:r>
            <w:r w:rsidR="00E7163B">
              <w:t xml:space="preserve"> —</w:t>
            </w:r>
            <w:r w:rsidRPr="002258A5">
              <w:t xml:space="preserve"> while not all courses are completed</w:t>
            </w:r>
            <w:r>
              <w:t>,</w:t>
            </w:r>
            <w:r w:rsidRPr="002258A5">
              <w:t xml:space="preserve"> subject completions are also valuable.</w:t>
            </w:r>
            <w:r>
              <w:t xml:space="preserve"> More detail on the estimation method is included in box </w:t>
            </w:r>
            <w:r w:rsidR="003A68D1">
              <w:t>5.17</w:t>
            </w:r>
            <w:r>
              <w:t>.</w:t>
            </w:r>
          </w:p>
          <w:p w:rsidR="00B24610" w:rsidRPr="003D5EF9" w:rsidRDefault="00B24610" w:rsidP="005F14B9">
            <w:pPr>
              <w:pStyle w:val="Box"/>
              <w:spacing w:before="80"/>
            </w:pPr>
            <w:r>
              <w:t>For ‘load pass rate’ and ‘p</w:t>
            </w:r>
            <w:r w:rsidRPr="003D5EF9">
              <w:t>roportion of graduates with improved education/training status after training’</w:t>
            </w:r>
            <w:r>
              <w:t>, d</w:t>
            </w:r>
            <w:r w:rsidRPr="003D5EF9">
              <w:t xml:space="preserve">ata are provided for VET target groups (students with disability, students speaking a </w:t>
            </w:r>
            <w:r w:rsidR="00AE1BEE">
              <w:t>LOTE</w:t>
            </w:r>
            <w:r w:rsidRPr="003D5EF9">
              <w:t xml:space="preserve"> at home, students from remote and very remote areas and</w:t>
            </w:r>
            <w:r w:rsidR="00804C04">
              <w:t xml:space="preserve"> Aboriginal and Torres Strait Islander </w:t>
            </w:r>
            <w:r w:rsidRPr="003D5EF9">
              <w:t xml:space="preserve">students). Achievement by VET target groups can also indicate the equity of outcomes for these groups. </w:t>
            </w:r>
          </w:p>
          <w:p w:rsidR="00B24610" w:rsidRPr="003D5EF9" w:rsidRDefault="00B24610" w:rsidP="005F14B9">
            <w:pPr>
              <w:pStyle w:val="Box"/>
              <w:spacing w:before="80"/>
            </w:pPr>
            <w:r w:rsidRPr="003D5EF9">
              <w:t xml:space="preserve">High or increasing load pass rates and </w:t>
            </w:r>
            <w:r w:rsidR="002258A5">
              <w:t>proportions</w:t>
            </w:r>
            <w:r w:rsidRPr="003D5EF9">
              <w:t xml:space="preserve"> of students who commenced and completed indicate that student achievement is high or improving, which is desirable. Care needs to be taken in comparing data across jurisdictions because average module durations vary across jurisdictions. </w:t>
            </w:r>
          </w:p>
          <w:p w:rsidR="00B24610" w:rsidRPr="003D5EF9" w:rsidRDefault="00B24610" w:rsidP="005F14B9">
            <w:pPr>
              <w:pStyle w:val="Box"/>
              <w:spacing w:before="80"/>
            </w:pPr>
            <w:r w:rsidRPr="003D5EF9">
              <w:t xml:space="preserve">Changes in the proportion of graduates with improved education/training status after </w:t>
            </w:r>
            <w:r w:rsidRPr="00B24610">
              <w:t>training may be affected by relatively large changes in enrolments, due to the time lag between course enrolment (the denominator) and qualification completion (the numerator used for deriving the proportion). Care therefore needs to be taken when interpreting changes over time in the proportion</w:t>
            </w:r>
            <w:r w:rsidRPr="003D5EF9">
              <w:t xml:space="preserve"> of graduates with improved education/training status after training.</w:t>
            </w:r>
          </w:p>
          <w:p w:rsidR="00B24610" w:rsidRDefault="00B24610" w:rsidP="005F14B9">
            <w:pPr>
              <w:pStyle w:val="Box"/>
              <w:spacing w:before="80"/>
            </w:pPr>
            <w:r>
              <w:t xml:space="preserve">Data reported for these measures are </w:t>
            </w:r>
          </w:p>
          <w:p w:rsidR="00B24610" w:rsidRPr="009470A0" w:rsidRDefault="00B24610" w:rsidP="005F14B9">
            <w:pPr>
              <w:pStyle w:val="BoxListBullet"/>
            </w:pPr>
            <w:r w:rsidRPr="009470A0">
              <w:t>comparable (subject to caveats) across jurisdictions and over time</w:t>
            </w:r>
          </w:p>
          <w:p w:rsidR="00B24610" w:rsidRPr="003D5EF9" w:rsidRDefault="00B24610" w:rsidP="005F14B9">
            <w:pPr>
              <w:pStyle w:val="BoxListBullet"/>
              <w:rPr>
                <w:b/>
              </w:rPr>
            </w:pPr>
            <w:r w:rsidRPr="009470A0">
              <w:t xml:space="preserve">complete for the current reporting period (subject to caveats). All required </w:t>
            </w:r>
            <w:r w:rsidR="009D4117">
              <w:t>2014</w:t>
            </w:r>
            <w:r>
              <w:t xml:space="preserve"> </w:t>
            </w:r>
            <w:r w:rsidRPr="009470A0">
              <w:t>data are available for all jurisdictions providing the service.</w:t>
            </w:r>
          </w:p>
          <w:p w:rsidR="00B24610" w:rsidRPr="00EF5A5F" w:rsidRDefault="00B24610" w:rsidP="00915131">
            <w:pPr>
              <w:pStyle w:val="Box"/>
              <w:spacing w:before="80"/>
              <w:rPr>
                <w:b/>
              </w:rPr>
            </w:pPr>
            <w:r w:rsidRPr="00EF5A5F">
              <w:t xml:space="preserve">Data quality information for this indicator </w:t>
            </w:r>
            <w:r w:rsidR="006E0D24">
              <w:t>is at www.pc.gov.au</w:t>
            </w:r>
            <w:r w:rsidR="00BA3094">
              <w:t>/rogs/2016</w:t>
            </w:r>
            <w:r w:rsidRPr="00EF5A5F">
              <w:t>.</w:t>
            </w:r>
          </w:p>
        </w:tc>
      </w:tr>
      <w:tr w:rsidR="00B24610" w:rsidTr="005F14B9">
        <w:trPr>
          <w:cantSplit/>
        </w:trPr>
        <w:tc>
          <w:tcPr>
            <w:tcW w:w="8771" w:type="dxa"/>
            <w:tcBorders>
              <w:top w:val="nil"/>
              <w:left w:val="nil"/>
              <w:bottom w:val="single" w:sz="6" w:space="0" w:color="78A22F"/>
              <w:right w:val="nil"/>
            </w:tcBorders>
            <w:shd w:val="clear" w:color="auto" w:fill="F2F2F2" w:themeFill="background1" w:themeFillShade="F2"/>
          </w:tcPr>
          <w:p w:rsidR="00B24610" w:rsidRDefault="00B24610">
            <w:pPr>
              <w:pStyle w:val="Box"/>
              <w:spacing w:before="0" w:line="120" w:lineRule="exact"/>
            </w:pPr>
          </w:p>
        </w:tc>
      </w:tr>
      <w:tr w:rsidR="00B24610" w:rsidRPr="000863A5" w:rsidTr="005F14B9">
        <w:tc>
          <w:tcPr>
            <w:tcW w:w="8771" w:type="dxa"/>
            <w:tcBorders>
              <w:top w:val="single" w:sz="6" w:space="0" w:color="78A22F"/>
              <w:left w:val="nil"/>
              <w:bottom w:val="nil"/>
              <w:right w:val="nil"/>
            </w:tcBorders>
          </w:tcPr>
          <w:p w:rsidR="00B24610" w:rsidRPr="00626D32" w:rsidRDefault="00B24610" w:rsidP="005F14B9">
            <w:pPr>
              <w:pStyle w:val="BoxSpaceBelow"/>
            </w:pPr>
          </w:p>
        </w:tc>
      </w:tr>
    </w:tbl>
    <w:p w:rsidR="00C57336" w:rsidRPr="00444A60" w:rsidRDefault="002A477E" w:rsidP="002A477E">
      <w:pPr>
        <w:pStyle w:val="Heading5"/>
      </w:pPr>
      <w:r>
        <w:t>L</w:t>
      </w:r>
      <w:r w:rsidR="00C57336" w:rsidRPr="00444A60">
        <w:t>oad pass rate</w:t>
      </w:r>
    </w:p>
    <w:p w:rsidR="00780A6C" w:rsidRDefault="00780A6C" w:rsidP="0095094B">
      <w:pPr>
        <w:pStyle w:val="BodyText"/>
      </w:pPr>
      <w:r w:rsidRPr="002F72A4">
        <w:t>Nationally, between 20</w:t>
      </w:r>
      <w:r>
        <w:t>10</w:t>
      </w:r>
      <w:r w:rsidRPr="002F72A4">
        <w:t xml:space="preserve"> and 201</w:t>
      </w:r>
      <w:r>
        <w:t>4</w:t>
      </w:r>
      <w:r w:rsidRPr="002F72A4">
        <w:t xml:space="preserve">, </w:t>
      </w:r>
      <w:r>
        <w:t>the load pass rate</w:t>
      </w:r>
      <w:r w:rsidRPr="002F72A4">
        <w:t xml:space="preserve"> increased for all students by </w:t>
      </w:r>
      <w:r w:rsidR="00322AED">
        <w:t>5.6</w:t>
      </w:r>
      <w:r>
        <w:t> </w:t>
      </w:r>
      <w:r w:rsidRPr="002F72A4">
        <w:t xml:space="preserve">percentage points to </w:t>
      </w:r>
      <w:r>
        <w:t>82.9 </w:t>
      </w:r>
      <w:r w:rsidRPr="002F72A4">
        <w:t>per cent (table</w:t>
      </w:r>
      <w:r>
        <w:t xml:space="preserve"> </w:t>
      </w:r>
      <w:r w:rsidRPr="002F72A4">
        <w:t>5A.</w:t>
      </w:r>
      <w:r w:rsidR="00071FC5">
        <w:t>65</w:t>
      </w:r>
      <w:r w:rsidR="00066FD8">
        <w:t xml:space="preserve"> and figure </w:t>
      </w:r>
      <w:r w:rsidR="003A68D1">
        <w:t>5.28</w:t>
      </w:r>
      <w:r w:rsidRPr="002F72A4">
        <w:t>)</w:t>
      </w:r>
      <w:r w:rsidR="00322AED">
        <w:t>. All jurisdictions reported an increase in the load pass rate over this period.</w:t>
      </w:r>
    </w:p>
    <w:p w:rsidR="00322AED" w:rsidRDefault="00322AED" w:rsidP="00FB5394">
      <w:pPr>
        <w:pStyle w:val="BodyText"/>
        <w:keepNext/>
      </w:pPr>
      <w:r>
        <w:lastRenderedPageBreak/>
        <w:t>Compared to all government funded students i</w:t>
      </w:r>
      <w:r w:rsidR="00C57336" w:rsidRPr="00EF5A5F">
        <w:t xml:space="preserve">n </w:t>
      </w:r>
      <w:r w:rsidR="009B4861">
        <w:t>201</w:t>
      </w:r>
      <w:r w:rsidR="002A477E">
        <w:t>4</w:t>
      </w:r>
      <w:r w:rsidR="00C57336" w:rsidRPr="00EF5A5F">
        <w:t xml:space="preserve">, the load pass rate </w:t>
      </w:r>
      <w:r>
        <w:t>was</w:t>
      </w:r>
      <w:r w:rsidR="006F0021">
        <w:t xml:space="preserve"> lower for</w:t>
      </w:r>
      <w:r>
        <w:t>:</w:t>
      </w:r>
    </w:p>
    <w:p w:rsidR="00322AED" w:rsidRPr="00FB5394" w:rsidRDefault="006F0021" w:rsidP="00322AED">
      <w:pPr>
        <w:pStyle w:val="ListBullet"/>
      </w:pPr>
      <w:r w:rsidRPr="00FB5394">
        <w:t>graduates</w:t>
      </w:r>
      <w:r w:rsidR="00322AED" w:rsidRPr="00FB5394">
        <w:t xml:space="preserve"> with disability </w:t>
      </w:r>
      <w:r w:rsidR="00FB5394" w:rsidRPr="00FB5394">
        <w:t xml:space="preserve">— which </w:t>
      </w:r>
      <w:r w:rsidR="00322AED" w:rsidRPr="00FB5394">
        <w:t xml:space="preserve">increased by </w:t>
      </w:r>
      <w:r w:rsidR="00B9159E" w:rsidRPr="00FB5394">
        <w:t>2.3</w:t>
      </w:r>
      <w:r w:rsidR="00322AED" w:rsidRPr="00FB5394">
        <w:t xml:space="preserve"> percentage points since 2010 to </w:t>
      </w:r>
      <w:r w:rsidR="00B9159E" w:rsidRPr="00FB5394">
        <w:t>73.7</w:t>
      </w:r>
      <w:r w:rsidR="00322AED" w:rsidRPr="00FB5394">
        <w:t xml:space="preserve"> per cent in 2014 (table 5A.</w:t>
      </w:r>
      <w:r w:rsidR="00071FC5" w:rsidRPr="00FB5394">
        <w:t>67</w:t>
      </w:r>
      <w:r w:rsidR="00322AED" w:rsidRPr="00FB5394">
        <w:t>)</w:t>
      </w:r>
    </w:p>
    <w:p w:rsidR="00FB5394" w:rsidRPr="00FB5394" w:rsidRDefault="006F0021" w:rsidP="00322AED">
      <w:pPr>
        <w:pStyle w:val="ListBullet"/>
      </w:pPr>
      <w:r w:rsidRPr="00FB5394">
        <w:t>graduates speaking LOTE at home</w:t>
      </w:r>
      <w:r w:rsidR="00322AED" w:rsidRPr="00FB5394">
        <w:t xml:space="preserve"> </w:t>
      </w:r>
      <w:r w:rsidR="00FB5394" w:rsidRPr="00FB5394">
        <w:t xml:space="preserve">— which </w:t>
      </w:r>
      <w:r w:rsidR="00322AED" w:rsidRPr="00FB5394">
        <w:t xml:space="preserve">increased by </w:t>
      </w:r>
      <w:r w:rsidR="00B9159E" w:rsidRPr="00FB5394">
        <w:t>4.5</w:t>
      </w:r>
      <w:r w:rsidR="00322AED" w:rsidRPr="00FB5394">
        <w:t xml:space="preserve"> percentage points since 2010 to 7</w:t>
      </w:r>
      <w:r w:rsidR="00B9159E" w:rsidRPr="00FB5394">
        <w:t>8.7</w:t>
      </w:r>
      <w:r w:rsidR="00322AED" w:rsidRPr="00FB5394">
        <w:t xml:space="preserve"> per cent in 2014 (table 5A.</w:t>
      </w:r>
      <w:r w:rsidR="00071FC5" w:rsidRPr="00FB5394">
        <w:t>68</w:t>
      </w:r>
      <w:r w:rsidR="00322AED" w:rsidRPr="00FB5394">
        <w:t>)</w:t>
      </w:r>
    </w:p>
    <w:p w:rsidR="00322AED" w:rsidRDefault="006F0021" w:rsidP="00322AED">
      <w:pPr>
        <w:pStyle w:val="ListBullet"/>
      </w:pPr>
      <w:r w:rsidRPr="00FB5394">
        <w:t>Aboriginal and Torres Strait Islander graduate</w:t>
      </w:r>
      <w:r w:rsidR="00FB5394" w:rsidRPr="00FB5394">
        <w:t>s</w:t>
      </w:r>
      <w:r>
        <w:t xml:space="preserve"> </w:t>
      </w:r>
      <w:r w:rsidR="00FB5394">
        <w:t xml:space="preserve">— which </w:t>
      </w:r>
      <w:r w:rsidR="00A246D4" w:rsidRPr="00996E6F">
        <w:t xml:space="preserve">increased by </w:t>
      </w:r>
      <w:r w:rsidR="00B9159E">
        <w:t>8.6</w:t>
      </w:r>
      <w:r w:rsidR="00A246D4" w:rsidRPr="00996E6F">
        <w:t xml:space="preserve"> percentage points </w:t>
      </w:r>
      <w:r w:rsidR="00FB5394">
        <w:t xml:space="preserve">since </w:t>
      </w:r>
      <w:r w:rsidR="00A246D4" w:rsidRPr="00996E6F">
        <w:t>200</w:t>
      </w:r>
      <w:r w:rsidR="00B9159E">
        <w:t>5</w:t>
      </w:r>
      <w:r w:rsidR="00A246D4" w:rsidRPr="00996E6F">
        <w:t>, to 74.</w:t>
      </w:r>
      <w:r w:rsidR="00B9159E">
        <w:t>8</w:t>
      </w:r>
      <w:r w:rsidR="00A246D4" w:rsidRPr="00996E6F">
        <w:t xml:space="preserve"> per cent. This compares with an increase of </w:t>
      </w:r>
      <w:r w:rsidR="00B9159E">
        <w:t>4.4</w:t>
      </w:r>
      <w:r w:rsidR="00A246D4" w:rsidRPr="00996E6F">
        <w:t xml:space="preserve"> percentage points over the same period for non</w:t>
      </w:r>
      <w:r w:rsidR="00A246D4" w:rsidRPr="00996E6F">
        <w:noBreakHyphen/>
        <w:t>Indigenous students (to 83.</w:t>
      </w:r>
      <w:r w:rsidR="00B9159E">
        <w:t>1</w:t>
      </w:r>
      <w:r w:rsidR="00A246D4" w:rsidRPr="00996E6F">
        <w:t xml:space="preserve"> per cent in 201</w:t>
      </w:r>
      <w:r w:rsidR="00105A60">
        <w:t>4</w:t>
      </w:r>
      <w:r w:rsidR="00A246D4" w:rsidRPr="00996E6F">
        <w:t>) (table 5A.</w:t>
      </w:r>
      <w:r w:rsidR="00071FC5">
        <w:t>65</w:t>
      </w:r>
      <w:r w:rsidR="00A246D4" w:rsidRPr="00996E6F">
        <w:t>)</w:t>
      </w:r>
      <w:r w:rsidR="00105A60" w:rsidRPr="00105A60">
        <w:t xml:space="preserve"> </w:t>
      </w:r>
      <w:r w:rsidR="00105A60">
        <w:t xml:space="preserve">(figure </w:t>
      </w:r>
      <w:r w:rsidR="003A68D1">
        <w:t>5.28</w:t>
      </w:r>
      <w:r w:rsidR="00105A60">
        <w:t>).</w:t>
      </w:r>
    </w:p>
    <w:p w:rsidR="00C57336" w:rsidRDefault="00105A60" w:rsidP="0095094B">
      <w:pPr>
        <w:pStyle w:val="BodyText"/>
      </w:pPr>
      <w:r>
        <w:t>By contrast</w:t>
      </w:r>
      <w:r w:rsidR="00A246D4">
        <w:t xml:space="preserve">, the </w:t>
      </w:r>
      <w:r w:rsidR="006F0021">
        <w:t>load pass rate</w:t>
      </w:r>
      <w:r w:rsidR="00C57336" w:rsidRPr="009145AF">
        <w:t xml:space="preserve"> for students from remote and very remote areas </w:t>
      </w:r>
      <w:r w:rsidR="00071FC5">
        <w:t xml:space="preserve">was </w:t>
      </w:r>
      <w:r w:rsidR="006F0021">
        <w:t>8</w:t>
      </w:r>
      <w:r w:rsidR="00B9159E">
        <w:t>3</w:t>
      </w:r>
      <w:r w:rsidR="006F0021">
        <w:t>.</w:t>
      </w:r>
      <w:r w:rsidR="00B9159E">
        <w:t>4</w:t>
      </w:r>
      <w:r w:rsidR="006F0021">
        <w:t> </w:t>
      </w:r>
      <w:r w:rsidR="006F0021" w:rsidRPr="009145AF">
        <w:t>per</w:t>
      </w:r>
      <w:r w:rsidR="00AD031C">
        <w:t> </w:t>
      </w:r>
      <w:r w:rsidR="006F0021" w:rsidRPr="009145AF">
        <w:t>cent</w:t>
      </w:r>
      <w:r w:rsidR="00071FC5">
        <w:t xml:space="preserve">, which </w:t>
      </w:r>
      <w:r w:rsidR="006F0021">
        <w:t xml:space="preserve">was higher compared to the load pass rate for all graduates </w:t>
      </w:r>
      <w:r>
        <w:t xml:space="preserve">in 2014 </w:t>
      </w:r>
      <w:r w:rsidR="006F0021">
        <w:t>(figure</w:t>
      </w:r>
      <w:r w:rsidR="00071FC5">
        <w:t> </w:t>
      </w:r>
      <w:r w:rsidR="003A68D1">
        <w:t>5.28</w:t>
      </w:r>
      <w:r w:rsidR="006F0021">
        <w:t>)</w:t>
      </w:r>
      <w:r w:rsidR="00C57336" w:rsidRPr="009145AF">
        <w:t xml:space="preserve">. </w:t>
      </w:r>
      <w:r w:rsidR="00E35F10" w:rsidRPr="00F74889">
        <w:t>Nationally,</w:t>
      </w:r>
      <w:r w:rsidR="00E35F10">
        <w:t xml:space="preserve"> t</w:t>
      </w:r>
      <w:r>
        <w:t xml:space="preserve">he load pass rate for students from remote and very remote areas has remained higher than all graduates over the past five years </w:t>
      </w:r>
      <w:r w:rsidR="00B9159E">
        <w:t xml:space="preserve">(other than 2011) </w:t>
      </w:r>
      <w:r>
        <w:t>(table</w:t>
      </w:r>
      <w:r w:rsidR="00E35F10">
        <w:t> </w:t>
      </w:r>
      <w:r>
        <w:t>5A.</w:t>
      </w:r>
      <w:r w:rsidR="00071FC5">
        <w:t>66</w:t>
      </w:r>
      <w:r>
        <w:t>).</w:t>
      </w:r>
    </w:p>
    <w:p w:rsidR="00715ADD" w:rsidRDefault="00715ADD" w:rsidP="005F14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ADD" w:rsidTr="005F14B9">
        <w:tc>
          <w:tcPr>
            <w:tcW w:w="8771" w:type="dxa"/>
            <w:tcBorders>
              <w:top w:val="single" w:sz="6" w:space="0" w:color="78A22F"/>
              <w:left w:val="nil"/>
              <w:bottom w:val="nil"/>
              <w:right w:val="nil"/>
            </w:tcBorders>
            <w:shd w:val="clear" w:color="auto" w:fill="auto"/>
          </w:tcPr>
          <w:p w:rsidR="00715ADD" w:rsidRPr="00176D3F" w:rsidRDefault="00715ADD" w:rsidP="00516044">
            <w:pPr>
              <w:pStyle w:val="FigureTitle"/>
            </w:pPr>
            <w:r w:rsidRPr="00784A05">
              <w:rPr>
                <w:b w:val="0"/>
              </w:rPr>
              <w:t xml:space="preserve">Figure </w:t>
            </w:r>
            <w:bookmarkStart w:id="55" w:name="OLE_LINK43"/>
            <w:r w:rsidR="003A68D1">
              <w:rPr>
                <w:b w:val="0"/>
              </w:rPr>
              <w:t>5.</w:t>
            </w:r>
            <w:r w:rsidR="00111918">
              <w:rPr>
                <w:b w:val="0"/>
                <w:noProof/>
              </w:rPr>
              <w:t>28</w:t>
            </w:r>
            <w:bookmarkEnd w:id="55"/>
            <w:r>
              <w:tab/>
            </w:r>
            <w:r w:rsidRPr="00263BA3">
              <w:t>Load pass rates, by target group, 201</w:t>
            </w:r>
            <w:r w:rsidR="00296B8F">
              <w:t>4</w:t>
            </w:r>
            <w:r w:rsidRPr="00263BA3">
              <w:rPr>
                <w:rStyle w:val="NoteLabel"/>
                <w:b/>
              </w:rPr>
              <w:t>a</w:t>
            </w:r>
          </w:p>
        </w:tc>
      </w:tr>
      <w:tr w:rsidR="00715ADD" w:rsidTr="005F14B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15ADD" w:rsidTr="00715ADD">
              <w:tc>
                <w:tcPr>
                  <w:tcW w:w="5000" w:type="pct"/>
                  <w:tcBorders>
                    <w:top w:val="nil"/>
                    <w:bottom w:val="nil"/>
                  </w:tcBorders>
                </w:tcPr>
                <w:p w:rsidR="00715ADD" w:rsidRDefault="00303FCA" w:rsidP="00874672">
                  <w:pPr>
                    <w:pStyle w:val="Figure"/>
                    <w:spacing w:before="60" w:after="60"/>
                  </w:pPr>
                  <w:r>
                    <w:rPr>
                      <w:noProof/>
                    </w:rPr>
                    <w:drawing>
                      <wp:inline distT="0" distB="0" distL="0" distR="0">
                        <wp:extent cx="5389880" cy="2710815"/>
                        <wp:effectExtent l="0" t="0" r="1270" b="0"/>
                        <wp:docPr id="43" name="Picture 43" descr="Figure 5.28 Load pass rates, by target group, 2014&#10; &#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715ADD" w:rsidRDefault="00715ADD" w:rsidP="005F14B9">
            <w:pPr>
              <w:pStyle w:val="Figure"/>
            </w:pPr>
          </w:p>
        </w:tc>
      </w:tr>
      <w:tr w:rsidR="00715ADD" w:rsidRPr="00176D3F" w:rsidTr="005F14B9">
        <w:tc>
          <w:tcPr>
            <w:tcW w:w="8771" w:type="dxa"/>
            <w:tcBorders>
              <w:top w:val="nil"/>
              <w:left w:val="nil"/>
              <w:bottom w:val="nil"/>
              <w:right w:val="nil"/>
            </w:tcBorders>
            <w:shd w:val="clear" w:color="auto" w:fill="auto"/>
          </w:tcPr>
          <w:p w:rsidR="00715ADD" w:rsidRPr="00176D3F" w:rsidRDefault="0053766B" w:rsidP="0053766B">
            <w:pPr>
              <w:pStyle w:val="Note"/>
            </w:pPr>
            <w:r>
              <w:rPr>
                <w:rStyle w:val="NoteLabel"/>
              </w:rPr>
              <w:t>a</w:t>
            </w:r>
            <w:r>
              <w:t xml:space="preserve"> </w:t>
            </w:r>
            <w:r w:rsidRPr="006D3797">
              <w:t xml:space="preserve">See </w:t>
            </w:r>
            <w:r>
              <w:t xml:space="preserve">box </w:t>
            </w:r>
            <w:r w:rsidR="003A68D1">
              <w:t>5.16</w:t>
            </w:r>
            <w:r>
              <w:t xml:space="preserve"> and tables 5A.65–68 </w:t>
            </w:r>
            <w:r w:rsidRPr="006D3797">
              <w:t>for detailed definitions, footnotes and caveats</w:t>
            </w:r>
            <w:r w:rsidR="00071FC5" w:rsidRPr="004B1B81">
              <w:t>.</w:t>
            </w:r>
          </w:p>
        </w:tc>
      </w:tr>
      <w:tr w:rsidR="00715ADD" w:rsidRPr="00176D3F" w:rsidTr="005F14B9">
        <w:tc>
          <w:tcPr>
            <w:tcW w:w="8771" w:type="dxa"/>
            <w:tcBorders>
              <w:top w:val="nil"/>
              <w:left w:val="nil"/>
              <w:bottom w:val="nil"/>
              <w:right w:val="nil"/>
            </w:tcBorders>
            <w:shd w:val="clear" w:color="auto" w:fill="auto"/>
          </w:tcPr>
          <w:p w:rsidR="00715ADD" w:rsidRPr="00176D3F" w:rsidRDefault="00715ADD" w:rsidP="00071FC5">
            <w:pPr>
              <w:pStyle w:val="Source"/>
            </w:pPr>
            <w:r w:rsidRPr="008C1DD2">
              <w:rPr>
                <w:i/>
              </w:rPr>
              <w:t>Source</w:t>
            </w:r>
            <w:r w:rsidRPr="008C1DD2">
              <w:t>: NCVER (unpublished) National VET provider collection; tables 5A.</w:t>
            </w:r>
            <w:r w:rsidR="00071FC5">
              <w:t>65</w:t>
            </w:r>
            <w:r w:rsidRPr="008C1DD2">
              <w:t>–</w:t>
            </w:r>
            <w:r w:rsidR="00071FC5">
              <w:t>68</w:t>
            </w:r>
            <w:r w:rsidRPr="008C1DD2">
              <w:t>.</w:t>
            </w:r>
          </w:p>
        </w:tc>
      </w:tr>
      <w:tr w:rsidR="00715ADD" w:rsidTr="005F14B9">
        <w:tc>
          <w:tcPr>
            <w:tcW w:w="8771" w:type="dxa"/>
            <w:tcBorders>
              <w:top w:val="nil"/>
              <w:left w:val="nil"/>
              <w:bottom w:val="single" w:sz="6" w:space="0" w:color="78A22F"/>
              <w:right w:val="nil"/>
            </w:tcBorders>
            <w:shd w:val="clear" w:color="auto" w:fill="auto"/>
          </w:tcPr>
          <w:p w:rsidR="00715ADD" w:rsidRDefault="00715ADD" w:rsidP="005F14B9">
            <w:pPr>
              <w:pStyle w:val="Figurespace"/>
            </w:pPr>
          </w:p>
        </w:tc>
      </w:tr>
      <w:tr w:rsidR="00715ADD" w:rsidRPr="000863A5" w:rsidTr="005F14B9">
        <w:tc>
          <w:tcPr>
            <w:tcW w:w="8771" w:type="dxa"/>
            <w:tcBorders>
              <w:top w:val="single" w:sz="6" w:space="0" w:color="78A22F"/>
              <w:left w:val="nil"/>
              <w:bottom w:val="nil"/>
              <w:right w:val="nil"/>
            </w:tcBorders>
          </w:tcPr>
          <w:p w:rsidR="00715ADD" w:rsidRPr="00626D32" w:rsidRDefault="00715ADD" w:rsidP="005F14B9">
            <w:pPr>
              <w:pStyle w:val="BoxSpaceBelow"/>
            </w:pPr>
          </w:p>
        </w:tc>
      </w:tr>
    </w:tbl>
    <w:p w:rsidR="00E73103" w:rsidRDefault="00006E79" w:rsidP="008A255F">
      <w:pPr>
        <w:pStyle w:val="Heading5"/>
      </w:pPr>
      <w:r>
        <w:t>G</w:t>
      </w:r>
      <w:r w:rsidR="00E73103" w:rsidRPr="00EA02CF">
        <w:t>raduates with improved education/training status after training</w:t>
      </w:r>
    </w:p>
    <w:p w:rsidR="00CA7BC4" w:rsidRPr="00996E6F" w:rsidRDefault="00071FC5" w:rsidP="00996E6F">
      <w:pPr>
        <w:pStyle w:val="BodyText"/>
      </w:pPr>
      <w:r>
        <w:t>Of all VET graduates that completed an AQF qualification nationally in 2014, 6</w:t>
      </w:r>
      <w:r w:rsidR="00BB7962">
        <w:t>3</w:t>
      </w:r>
      <w:r>
        <w:t>.</w:t>
      </w:r>
      <w:r w:rsidR="00BB7962">
        <w:t>6</w:t>
      </w:r>
      <w:r w:rsidR="00AD031C">
        <w:t> </w:t>
      </w:r>
      <w:r>
        <w:t>per</w:t>
      </w:r>
      <w:r w:rsidR="00AD031C">
        <w:t> </w:t>
      </w:r>
      <w:r>
        <w:t xml:space="preserve">cent did so with a </w:t>
      </w:r>
      <w:r w:rsidR="005923C8" w:rsidRPr="00996E6F">
        <w:t xml:space="preserve">higher </w:t>
      </w:r>
      <w:r>
        <w:t xml:space="preserve">qualification </w:t>
      </w:r>
      <w:r w:rsidR="005923C8" w:rsidRPr="00996E6F">
        <w:t xml:space="preserve">than their previous </w:t>
      </w:r>
      <w:r>
        <w:t xml:space="preserve">highest </w:t>
      </w:r>
      <w:r w:rsidR="00326144">
        <w:t xml:space="preserve">AQF </w:t>
      </w:r>
      <w:r w:rsidR="005923C8" w:rsidRPr="00996E6F">
        <w:t>qualification</w:t>
      </w:r>
      <w:r w:rsidR="00CA7BC4" w:rsidRPr="00996E6F">
        <w:t>.</w:t>
      </w:r>
      <w:r w:rsidR="00915737" w:rsidRPr="00996E6F">
        <w:t xml:space="preserve"> This increased from </w:t>
      </w:r>
      <w:r>
        <w:t>57.8</w:t>
      </w:r>
      <w:r w:rsidR="0096194E" w:rsidRPr="00996E6F">
        <w:t xml:space="preserve"> per </w:t>
      </w:r>
      <w:r w:rsidR="00915737" w:rsidRPr="00996E6F">
        <w:t>cent in 20</w:t>
      </w:r>
      <w:r w:rsidR="00315370">
        <w:t>10</w:t>
      </w:r>
      <w:r w:rsidR="00915737" w:rsidRPr="00996E6F">
        <w:t xml:space="preserve"> (figure </w:t>
      </w:r>
      <w:r w:rsidR="003A68D1">
        <w:t>5.29</w:t>
      </w:r>
      <w:r w:rsidR="00915737" w:rsidRPr="00996E6F">
        <w:t>).</w:t>
      </w:r>
    </w:p>
    <w:p w:rsidR="00715ADD" w:rsidRDefault="00715ADD" w:rsidP="005F14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ADD" w:rsidTr="005F14B9">
        <w:tc>
          <w:tcPr>
            <w:tcW w:w="8771" w:type="dxa"/>
            <w:tcBorders>
              <w:top w:val="single" w:sz="6" w:space="0" w:color="78A22F"/>
              <w:left w:val="nil"/>
              <w:bottom w:val="nil"/>
              <w:right w:val="nil"/>
            </w:tcBorders>
            <w:shd w:val="clear" w:color="auto" w:fill="auto"/>
          </w:tcPr>
          <w:p w:rsidR="00715ADD" w:rsidRPr="00176D3F" w:rsidRDefault="00715ADD" w:rsidP="00516044">
            <w:pPr>
              <w:pStyle w:val="FigureTitle"/>
            </w:pPr>
            <w:r w:rsidRPr="00784A05">
              <w:rPr>
                <w:b w:val="0"/>
              </w:rPr>
              <w:t xml:space="preserve">Figure </w:t>
            </w:r>
            <w:bookmarkStart w:id="56" w:name="OLE_LINK44"/>
            <w:r w:rsidR="003A68D1">
              <w:rPr>
                <w:b w:val="0"/>
              </w:rPr>
              <w:t>5.</w:t>
            </w:r>
            <w:r w:rsidR="00111918">
              <w:rPr>
                <w:b w:val="0"/>
                <w:noProof/>
              </w:rPr>
              <w:t>29</w:t>
            </w:r>
            <w:bookmarkEnd w:id="56"/>
            <w:r>
              <w:tab/>
            </w:r>
            <w:r w:rsidRPr="0073220E">
              <w:t xml:space="preserve">Qualifications completed by students with improved education/training status after training, as a percentage of course </w:t>
            </w:r>
            <w:r w:rsidR="008C495F">
              <w:t>completions</w:t>
            </w:r>
            <w:r w:rsidRPr="0073220E">
              <w:rPr>
                <w:rStyle w:val="NoteLabel"/>
                <w:b/>
              </w:rPr>
              <w:t>a</w:t>
            </w:r>
          </w:p>
        </w:tc>
      </w:tr>
      <w:tr w:rsidR="00715ADD" w:rsidTr="005F14B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15ADD" w:rsidTr="00715ADD">
              <w:tc>
                <w:tcPr>
                  <w:tcW w:w="5000" w:type="pct"/>
                  <w:tcBorders>
                    <w:top w:val="nil"/>
                    <w:bottom w:val="nil"/>
                  </w:tcBorders>
                </w:tcPr>
                <w:p w:rsidR="00715ADD" w:rsidRDefault="00303FCA" w:rsidP="00874672">
                  <w:pPr>
                    <w:pStyle w:val="Figure"/>
                    <w:spacing w:before="60" w:after="60"/>
                  </w:pPr>
                  <w:r>
                    <w:rPr>
                      <w:noProof/>
                    </w:rPr>
                    <w:drawing>
                      <wp:inline distT="0" distB="0" distL="0" distR="0">
                        <wp:extent cx="5389880" cy="2689225"/>
                        <wp:effectExtent l="0" t="0" r="1270" b="0"/>
                        <wp:docPr id="44" name="Picture 44" descr="Figure 5.29 Qualifications completed by students with improved education/training status after training, as a percentage of course completion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89880" cy="2689225"/>
                                </a:xfrm>
                                <a:prstGeom prst="rect">
                                  <a:avLst/>
                                </a:prstGeom>
                                <a:noFill/>
                                <a:ln>
                                  <a:noFill/>
                                </a:ln>
                              </pic:spPr>
                            </pic:pic>
                          </a:graphicData>
                        </a:graphic>
                      </wp:inline>
                    </w:drawing>
                  </w:r>
                </w:p>
              </w:tc>
            </w:tr>
          </w:tbl>
          <w:p w:rsidR="00715ADD" w:rsidRDefault="00715ADD" w:rsidP="005F14B9">
            <w:pPr>
              <w:pStyle w:val="Figure"/>
            </w:pPr>
          </w:p>
        </w:tc>
      </w:tr>
      <w:tr w:rsidR="00715ADD" w:rsidRPr="00176D3F" w:rsidTr="005F14B9">
        <w:tc>
          <w:tcPr>
            <w:tcW w:w="8771" w:type="dxa"/>
            <w:tcBorders>
              <w:top w:val="nil"/>
              <w:left w:val="nil"/>
              <w:bottom w:val="nil"/>
              <w:right w:val="nil"/>
            </w:tcBorders>
            <w:shd w:val="clear" w:color="auto" w:fill="auto"/>
          </w:tcPr>
          <w:p w:rsidR="00715ADD" w:rsidRPr="00176D3F" w:rsidRDefault="0053766B" w:rsidP="0053766B">
            <w:pPr>
              <w:pStyle w:val="Note"/>
            </w:pPr>
            <w:r>
              <w:rPr>
                <w:rStyle w:val="NoteLabel"/>
              </w:rPr>
              <w:t>a</w:t>
            </w:r>
            <w:r>
              <w:t xml:space="preserve"> </w:t>
            </w:r>
            <w:r w:rsidRPr="006D3797">
              <w:t xml:space="preserve">See </w:t>
            </w:r>
            <w:r>
              <w:t xml:space="preserve">box </w:t>
            </w:r>
            <w:r w:rsidR="003A68D1">
              <w:t>5.16</w:t>
            </w:r>
            <w:r>
              <w:t xml:space="preserve"> and table 5A.69 </w:t>
            </w:r>
            <w:r w:rsidRPr="006D3797">
              <w:t>for detailed definitions, footnotes and caveats</w:t>
            </w:r>
            <w:r w:rsidR="00122864" w:rsidRPr="004B1B81">
              <w:t>.</w:t>
            </w:r>
          </w:p>
        </w:tc>
      </w:tr>
      <w:tr w:rsidR="00715ADD" w:rsidRPr="00176D3F" w:rsidTr="005F14B9">
        <w:tc>
          <w:tcPr>
            <w:tcW w:w="8771" w:type="dxa"/>
            <w:tcBorders>
              <w:top w:val="nil"/>
              <w:left w:val="nil"/>
              <w:bottom w:val="nil"/>
              <w:right w:val="nil"/>
            </w:tcBorders>
            <w:shd w:val="clear" w:color="auto" w:fill="auto"/>
          </w:tcPr>
          <w:p w:rsidR="00715ADD" w:rsidRPr="00176D3F" w:rsidRDefault="00715ADD" w:rsidP="00122864">
            <w:pPr>
              <w:pStyle w:val="Source"/>
            </w:pPr>
            <w:r w:rsidRPr="008C1DD2">
              <w:rPr>
                <w:i/>
              </w:rPr>
              <w:t>Source</w:t>
            </w:r>
            <w:r w:rsidRPr="008C1DD2">
              <w:t>: NCVER (unpublished) National VET provider collection; table 5A.</w:t>
            </w:r>
            <w:r w:rsidR="00122864">
              <w:t>69</w:t>
            </w:r>
            <w:r w:rsidR="002F0DE3">
              <w:t>.</w:t>
            </w:r>
          </w:p>
        </w:tc>
      </w:tr>
      <w:tr w:rsidR="00715ADD" w:rsidTr="005F14B9">
        <w:tc>
          <w:tcPr>
            <w:tcW w:w="8771" w:type="dxa"/>
            <w:tcBorders>
              <w:top w:val="nil"/>
              <w:left w:val="nil"/>
              <w:bottom w:val="single" w:sz="6" w:space="0" w:color="78A22F"/>
              <w:right w:val="nil"/>
            </w:tcBorders>
            <w:shd w:val="clear" w:color="auto" w:fill="auto"/>
          </w:tcPr>
          <w:p w:rsidR="00715ADD" w:rsidRDefault="00715ADD" w:rsidP="005F14B9">
            <w:pPr>
              <w:pStyle w:val="Figurespace"/>
            </w:pPr>
          </w:p>
        </w:tc>
      </w:tr>
      <w:tr w:rsidR="00715ADD" w:rsidRPr="000863A5" w:rsidTr="005F14B9">
        <w:tc>
          <w:tcPr>
            <w:tcW w:w="8771" w:type="dxa"/>
            <w:tcBorders>
              <w:top w:val="single" w:sz="6" w:space="0" w:color="78A22F"/>
              <w:left w:val="nil"/>
              <w:bottom w:val="nil"/>
              <w:right w:val="nil"/>
            </w:tcBorders>
          </w:tcPr>
          <w:p w:rsidR="00715ADD" w:rsidRPr="00626D32" w:rsidRDefault="00715ADD" w:rsidP="005F14B9">
            <w:pPr>
              <w:pStyle w:val="BoxSpaceBelow"/>
            </w:pPr>
          </w:p>
        </w:tc>
      </w:tr>
    </w:tbl>
    <w:p w:rsidR="00915737" w:rsidRDefault="00BB7962" w:rsidP="00067E5B">
      <w:pPr>
        <w:pStyle w:val="BodyText"/>
      </w:pPr>
      <w:r>
        <w:t>Across most jurisdictions, a greater proportion of Aboriginal and Torres Strait Islander VET graduates, compared to non</w:t>
      </w:r>
      <w:r>
        <w:noBreakHyphen/>
        <w:t>Indigenous graduates, improved their education/training status after training</w:t>
      </w:r>
      <w:r w:rsidRPr="002F72A4">
        <w:t>.</w:t>
      </w:r>
      <w:r>
        <w:t xml:space="preserve"> </w:t>
      </w:r>
      <w:r w:rsidR="00071FC5">
        <w:t>Of the q</w:t>
      </w:r>
      <w:r w:rsidR="00915737" w:rsidRPr="00EA02CF">
        <w:t xml:space="preserve">ualification </w:t>
      </w:r>
      <w:r w:rsidR="00915737" w:rsidRPr="002F72A4">
        <w:t>completions by</w:t>
      </w:r>
      <w:r w:rsidR="00804C04">
        <w:t xml:space="preserve"> Aboriginal and Torres Strait Islander </w:t>
      </w:r>
      <w:r w:rsidR="00915737" w:rsidRPr="002F72A4">
        <w:t xml:space="preserve">students </w:t>
      </w:r>
      <w:r>
        <w:t>nationally in 2014</w:t>
      </w:r>
      <w:r w:rsidR="00E11474">
        <w:t xml:space="preserve">, </w:t>
      </w:r>
      <w:r>
        <w:t>67.3</w:t>
      </w:r>
      <w:r w:rsidR="00023CAF">
        <w:t xml:space="preserve"> </w:t>
      </w:r>
      <w:r w:rsidR="00915737" w:rsidRPr="002F72A4">
        <w:t xml:space="preserve">per cent </w:t>
      </w:r>
      <w:r>
        <w:t>were at a higher qualification level than previously achieved, compared to 64.3 per cent for non</w:t>
      </w:r>
      <w:r>
        <w:noBreakHyphen/>
        <w:t xml:space="preserve">Indigenous graduates </w:t>
      </w:r>
      <w:r w:rsidR="00915737" w:rsidRPr="002F72A4">
        <w:t>(</w:t>
      </w:r>
      <w:r w:rsidR="00AD031C">
        <w:t>table 5A.69</w:t>
      </w:r>
      <w:r w:rsidR="00915737" w:rsidRPr="002F72A4">
        <w:t xml:space="preserve">). </w:t>
      </w:r>
    </w:p>
    <w:p w:rsidR="00122864" w:rsidRDefault="00122864" w:rsidP="00067E5B">
      <w:pPr>
        <w:pStyle w:val="BodyText"/>
      </w:pPr>
      <w:r>
        <w:t>Nationally in 2014, q</w:t>
      </w:r>
      <w:r w:rsidR="007544EF" w:rsidRPr="00A15A09">
        <w:t xml:space="preserve">ualification completions </w:t>
      </w:r>
      <w:r>
        <w:t>with improved education/</w:t>
      </w:r>
      <w:r w:rsidR="003C7576">
        <w:t xml:space="preserve">training status, as a proportion of all qualification completions </w:t>
      </w:r>
      <w:r>
        <w:t>was:</w:t>
      </w:r>
    </w:p>
    <w:p w:rsidR="003C7576" w:rsidRDefault="003C7576" w:rsidP="001E7398">
      <w:pPr>
        <w:pStyle w:val="ListBullet"/>
      </w:pPr>
      <w:r>
        <w:t xml:space="preserve">63.8 </w:t>
      </w:r>
      <w:r w:rsidRPr="00A15A09">
        <w:t xml:space="preserve">per cent </w:t>
      </w:r>
      <w:r>
        <w:t>for</w:t>
      </w:r>
      <w:r w:rsidR="007544EF" w:rsidRPr="00A15A09">
        <w:t xml:space="preserve"> </w:t>
      </w:r>
      <w:r>
        <w:t>graduates</w:t>
      </w:r>
      <w:r w:rsidR="007544EF" w:rsidRPr="00A15A09">
        <w:t xml:space="preserve"> from remote and very remote areas </w:t>
      </w:r>
      <w:r>
        <w:t>locations</w:t>
      </w:r>
      <w:r w:rsidR="007544EF" w:rsidRPr="00A15A09">
        <w:t xml:space="preserve"> (table 5A.</w:t>
      </w:r>
      <w:r w:rsidR="00122864">
        <w:t>71</w:t>
      </w:r>
      <w:r w:rsidR="007544EF" w:rsidRPr="00A15A09">
        <w:t>)</w:t>
      </w:r>
    </w:p>
    <w:p w:rsidR="001E7398" w:rsidRDefault="003972A1" w:rsidP="001E7398">
      <w:pPr>
        <w:pStyle w:val="ListBullet"/>
      </w:pPr>
      <w:r w:rsidRPr="00F74889">
        <w:t>68.3</w:t>
      </w:r>
      <w:r w:rsidR="003C7576" w:rsidRPr="00F74889">
        <w:t xml:space="preserve"> per cent</w:t>
      </w:r>
      <w:r w:rsidR="003C7576">
        <w:t xml:space="preserve"> for graduates completing an AQF </w:t>
      </w:r>
      <w:r w:rsidR="003C7576" w:rsidRPr="007E62CD">
        <w:t xml:space="preserve">Certificate III or above </w:t>
      </w:r>
      <w:r w:rsidR="001E7398" w:rsidRPr="007E62CD">
        <w:t>(table 5A.</w:t>
      </w:r>
      <w:r w:rsidR="00122864">
        <w:t>73</w:t>
      </w:r>
      <w:r w:rsidR="001E7398" w:rsidRPr="007E62CD">
        <w:t xml:space="preserve">). </w:t>
      </w:r>
    </w:p>
    <w:p w:rsidR="005C2351" w:rsidRDefault="00A95881" w:rsidP="00067E5B">
      <w:pPr>
        <w:pStyle w:val="BodyText"/>
      </w:pPr>
      <w:r w:rsidRPr="00EA02CF">
        <w:t>Tables 5A.</w:t>
      </w:r>
      <w:r w:rsidR="003C7576">
        <w:t>70</w:t>
      </w:r>
      <w:r w:rsidR="001E7398">
        <w:t xml:space="preserve">, </w:t>
      </w:r>
      <w:r w:rsidR="00E67B19" w:rsidRPr="00EA02CF">
        <w:t>5A.</w:t>
      </w:r>
      <w:r w:rsidR="003C7576">
        <w:t>72</w:t>
      </w:r>
      <w:r w:rsidRPr="00EA02CF">
        <w:t xml:space="preserve"> </w:t>
      </w:r>
      <w:r w:rsidR="001E7398">
        <w:t xml:space="preserve">and </w:t>
      </w:r>
      <w:r w:rsidR="001E7398" w:rsidRPr="007E62CD">
        <w:t>5A.</w:t>
      </w:r>
      <w:r w:rsidR="003C7576">
        <w:t>74</w:t>
      </w:r>
      <w:r w:rsidR="001E7398">
        <w:t xml:space="preserve"> </w:t>
      </w:r>
      <w:r w:rsidRPr="00EA02CF">
        <w:t xml:space="preserve">provide additional information </w:t>
      </w:r>
      <w:r w:rsidR="005233A9">
        <w:t>on completions</w:t>
      </w:r>
      <w:r w:rsidRPr="00EA02CF">
        <w:t xml:space="preserve"> for students aged 20</w:t>
      </w:r>
      <w:r w:rsidR="00657E4A">
        <w:t>–</w:t>
      </w:r>
      <w:r w:rsidRPr="00EA02CF">
        <w:t>64 years.</w:t>
      </w:r>
    </w:p>
    <w:p w:rsidR="0085503B" w:rsidRDefault="00B80B19" w:rsidP="00067E5B">
      <w:pPr>
        <w:pStyle w:val="BodyText"/>
        <w:rPr>
          <w:i/>
        </w:rPr>
      </w:pPr>
      <w:r w:rsidRPr="00BD2563">
        <w:t xml:space="preserve">Data on the </w:t>
      </w:r>
      <w:r w:rsidR="00313E74" w:rsidRPr="00BD2563">
        <w:t>‘</w:t>
      </w:r>
      <w:r w:rsidRPr="00BD2563">
        <w:t xml:space="preserve">qualification </w:t>
      </w:r>
      <w:r w:rsidR="00313E74" w:rsidRPr="00BD2563">
        <w:t>completed</w:t>
      </w:r>
      <w:r w:rsidRPr="00BD2563">
        <w:t xml:space="preserve"> at a higher qualification level than previously achieved</w:t>
      </w:r>
      <w:r w:rsidR="00313E74" w:rsidRPr="00BD2563">
        <w:t>, as a percentage of all completions’</w:t>
      </w:r>
      <w:r w:rsidRPr="00BD2563">
        <w:t xml:space="preserve">, should be considered in conjunction with </w:t>
      </w:r>
      <w:r w:rsidR="00313E74" w:rsidRPr="00BD2563">
        <w:t>the measure ‘qualification completed at a higher qualification level</w:t>
      </w:r>
      <w:r w:rsidR="00BD2563" w:rsidRPr="00BD2563">
        <w:t>,</w:t>
      </w:r>
      <w:r w:rsidRPr="00BD2563">
        <w:t xml:space="preserve"> </w:t>
      </w:r>
      <w:r w:rsidR="00313E74" w:rsidRPr="00BD2563">
        <w:t xml:space="preserve">as a proportion off all enrolments’ </w:t>
      </w:r>
      <w:r w:rsidRPr="00BD2563">
        <w:t>(tables 5A.69–74).</w:t>
      </w:r>
      <w:r w:rsidRPr="00F74889">
        <w:t xml:space="preserve"> </w:t>
      </w:r>
      <w:r w:rsidR="00313E74" w:rsidRPr="00F74889">
        <w:t xml:space="preserve">This second measure provides an indication of the </w:t>
      </w:r>
      <w:r w:rsidRPr="00F74889">
        <w:t xml:space="preserve">number of students </w:t>
      </w:r>
      <w:r w:rsidR="00313E74" w:rsidRPr="00F74889">
        <w:t xml:space="preserve">that </w:t>
      </w:r>
      <w:r w:rsidRPr="00F74889">
        <w:t>commence</w:t>
      </w:r>
      <w:r w:rsidR="00313E74" w:rsidRPr="00F74889">
        <w:t>d</w:t>
      </w:r>
      <w:r w:rsidRPr="00F74889">
        <w:t xml:space="preserve"> study but </w:t>
      </w:r>
      <w:r w:rsidR="00BD2563" w:rsidRPr="00F74889">
        <w:t xml:space="preserve">did </w:t>
      </w:r>
      <w:r w:rsidRPr="00F74889">
        <w:t>not complete</w:t>
      </w:r>
      <w:r w:rsidR="00313E74" w:rsidRPr="00F74889">
        <w:t xml:space="preserve">, </w:t>
      </w:r>
      <w:r w:rsidR="00BD2563" w:rsidRPr="00F74889">
        <w:t xml:space="preserve">and therefore did not meet the measure of completing at </w:t>
      </w:r>
      <w:r w:rsidR="00313E74" w:rsidRPr="00F74889">
        <w:t>a higher qualification level</w:t>
      </w:r>
      <w:r w:rsidRPr="00F74889">
        <w:t>.</w:t>
      </w:r>
      <w:r w:rsidR="00410474" w:rsidRPr="00F74889">
        <w:rPr>
          <w:i/>
        </w:rPr>
        <w:t xml:space="preserve"> </w:t>
      </w:r>
    </w:p>
    <w:p w:rsidR="0037378A" w:rsidRPr="00444A60" w:rsidRDefault="00312291" w:rsidP="009012C7">
      <w:pPr>
        <w:pStyle w:val="Heading5"/>
      </w:pPr>
      <w:r>
        <w:lastRenderedPageBreak/>
        <w:t xml:space="preserve">Estimated </w:t>
      </w:r>
      <w:r w:rsidR="00083161">
        <w:t xml:space="preserve">qualification </w:t>
      </w:r>
      <w:r w:rsidR="0090067F">
        <w:t>completion</w:t>
      </w:r>
      <w:r w:rsidR="00AD031C">
        <w:t xml:space="preserve"> rate and </w:t>
      </w:r>
      <w:r w:rsidR="0090067F">
        <w:t xml:space="preserve">subject </w:t>
      </w:r>
      <w:r w:rsidR="0094734F">
        <w:t xml:space="preserve">load </w:t>
      </w:r>
      <w:r>
        <w:t>pass rate</w:t>
      </w:r>
    </w:p>
    <w:p w:rsidR="00083161" w:rsidRPr="00444A60" w:rsidRDefault="00083161" w:rsidP="00A26D57">
      <w:pPr>
        <w:pStyle w:val="BodyText"/>
      </w:pPr>
      <w:r>
        <w:t xml:space="preserve">The estimated </w:t>
      </w:r>
      <w:r w:rsidRPr="00083161">
        <w:t xml:space="preserve">qualification completion </w:t>
      </w:r>
      <w:r>
        <w:t xml:space="preserve">rate </w:t>
      </w:r>
      <w:r w:rsidRPr="00312291">
        <w:t xml:space="preserve">is an estimate </w:t>
      </w:r>
      <w:r w:rsidR="00290FE2" w:rsidRPr="00290FE2">
        <w:t xml:space="preserve">of the percentage of all </w:t>
      </w:r>
      <w:r w:rsidR="00290FE2" w:rsidRPr="00A26D57">
        <w:t>VET qualifications (both government and non</w:t>
      </w:r>
      <w:r w:rsidR="00AD5F7E">
        <w:noBreakHyphen/>
      </w:r>
      <w:r w:rsidR="00290FE2" w:rsidRPr="00A26D57">
        <w:t>government funded)</w:t>
      </w:r>
      <w:r w:rsidR="00290FE2" w:rsidRPr="00290FE2">
        <w:t xml:space="preserve"> at Certificate I </w:t>
      </w:r>
      <w:r w:rsidR="00326144">
        <w:t>or</w:t>
      </w:r>
      <w:r w:rsidR="00290FE2" w:rsidRPr="00290FE2">
        <w:t xml:space="preserve"> above</w:t>
      </w:r>
      <w:r w:rsidR="00290FE2">
        <w:t xml:space="preserve"> </w:t>
      </w:r>
      <w:r w:rsidRPr="00312291">
        <w:t>commenced in a particular year of interest that will eventually be completed</w:t>
      </w:r>
      <w:r>
        <w:t>. The methodology is described in box</w:t>
      </w:r>
      <w:r w:rsidR="009A1C3A">
        <w:t> </w:t>
      </w:r>
      <w:r w:rsidR="003A68D1">
        <w:t>5.17</w:t>
      </w:r>
      <w:r>
        <w:t>.</w:t>
      </w:r>
    </w:p>
    <w:p w:rsidR="00312291" w:rsidRDefault="0031229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12291" w:rsidTr="00312291">
        <w:tc>
          <w:tcPr>
            <w:tcW w:w="8771" w:type="dxa"/>
            <w:tcBorders>
              <w:top w:val="single" w:sz="6" w:space="0" w:color="78A22F"/>
              <w:left w:val="nil"/>
              <w:bottom w:val="nil"/>
              <w:right w:val="nil"/>
            </w:tcBorders>
            <w:shd w:val="clear" w:color="auto" w:fill="F2F2F2"/>
          </w:tcPr>
          <w:p w:rsidR="00312291" w:rsidRDefault="00312291">
            <w:pPr>
              <w:pStyle w:val="BoxTitle"/>
            </w:pPr>
            <w:r>
              <w:rPr>
                <w:b w:val="0"/>
              </w:rPr>
              <w:t xml:space="preserve">Box </w:t>
            </w:r>
            <w:bookmarkStart w:id="57" w:name="OLE_LINK40"/>
            <w:r w:rsidR="003A68D1">
              <w:rPr>
                <w:b w:val="0"/>
              </w:rPr>
              <w:t>5.</w:t>
            </w:r>
            <w:r w:rsidR="00111918">
              <w:rPr>
                <w:b w:val="0"/>
                <w:noProof/>
              </w:rPr>
              <w:t>17</w:t>
            </w:r>
            <w:bookmarkEnd w:id="57"/>
            <w:r>
              <w:tab/>
            </w:r>
            <w:r w:rsidRPr="00312291">
              <w:rPr>
                <w:bCs/>
              </w:rPr>
              <w:t>Estimated qualification completion rate</w:t>
            </w:r>
          </w:p>
        </w:tc>
      </w:tr>
      <w:tr w:rsidR="00312291" w:rsidTr="00312291">
        <w:trPr>
          <w:cantSplit/>
        </w:trPr>
        <w:tc>
          <w:tcPr>
            <w:tcW w:w="8771" w:type="dxa"/>
            <w:tcBorders>
              <w:top w:val="nil"/>
              <w:left w:val="nil"/>
              <w:bottom w:val="nil"/>
              <w:right w:val="nil"/>
            </w:tcBorders>
            <w:shd w:val="clear" w:color="auto" w:fill="F2F2F2"/>
          </w:tcPr>
          <w:p w:rsidR="00312291" w:rsidRPr="00312291" w:rsidRDefault="00312291" w:rsidP="00312291">
            <w:pPr>
              <w:pStyle w:val="Box"/>
            </w:pPr>
            <w:r w:rsidRPr="00312291">
              <w:t>The methodology used to derive th</w:t>
            </w:r>
            <w:r w:rsidR="00657E4A">
              <w:t>e</w:t>
            </w:r>
            <w:r w:rsidRPr="00312291">
              <w:t xml:space="preserve"> estimate</w:t>
            </w:r>
            <w:r w:rsidR="00083161">
              <w:t>d</w:t>
            </w:r>
            <w:r w:rsidRPr="00312291">
              <w:t xml:space="preserve"> </w:t>
            </w:r>
            <w:r w:rsidR="00083161" w:rsidRPr="00083161">
              <w:rPr>
                <w:bCs/>
              </w:rPr>
              <w:t>qualification completion rate</w:t>
            </w:r>
            <w:r w:rsidR="00083161" w:rsidRPr="00083161">
              <w:t xml:space="preserve"> </w:t>
            </w:r>
            <w:r w:rsidRPr="00312291">
              <w:t>involves creating a longitudinal dataset of VET qualification enrolments over a three</w:t>
            </w:r>
            <w:r w:rsidR="00AD5F7E">
              <w:noBreakHyphen/>
            </w:r>
            <w:r w:rsidRPr="00312291">
              <w:t>year period (from one year before the commencing year under consideration to one year after). Students and the qualifications they enrolled in are matched to compl</w:t>
            </w:r>
            <w:r w:rsidR="00657E4A">
              <w:t>etions via a unique identifier</w:t>
            </w:r>
            <w:r w:rsidRPr="00312291">
              <w:t xml:space="preserve"> and the qualification record identifier. For each unique VET qualification enrolment in the longitudinal dataset, variables are set up to indicate the year in which the qualification was commenced, the years in which it had a continuing enrolment, and the year in which it was completed (if it was completed). These indicator variables are then used to determine the probabilities of a qualification enrolment moving from a commencing or continuing status in one year to a completed or dropped</w:t>
            </w:r>
            <w:r w:rsidR="00AD5F7E">
              <w:noBreakHyphen/>
            </w:r>
            <w:r w:rsidRPr="00312291">
              <w:t>out status in the next. Using these probabilities, the techniques of absorbing Markov chain theory are applied to calculate the completion rate of commencing qualification enrolments in each year.</w:t>
            </w:r>
          </w:p>
          <w:p w:rsidR="00312291" w:rsidRDefault="00312291" w:rsidP="00657E4A">
            <w:pPr>
              <w:pStyle w:val="Box"/>
            </w:pPr>
            <w:r w:rsidRPr="00312291">
              <w:t xml:space="preserve">Estimated qualification completion rates </w:t>
            </w:r>
            <w:r w:rsidR="00657E4A">
              <w:t>should</w:t>
            </w:r>
            <w:r w:rsidRPr="00312291">
              <w:t xml:space="preserve"> be interpreted with caution due to data collection and methodological issues in tracking students and the qualifications they enrol in across different years of the National VET Provider Collection. </w:t>
            </w:r>
            <w:r w:rsidR="00657E4A">
              <w:t>In addition,</w:t>
            </w:r>
            <w:r w:rsidRPr="00312291">
              <w:t xml:space="preserve"> not all students intend to complete an entire qualification but </w:t>
            </w:r>
            <w:r w:rsidR="00657E4A">
              <w:t>may</w:t>
            </w:r>
            <w:r w:rsidRPr="00312291">
              <w:t xml:space="preserve"> only wish to complete specific modules or units of competency. The reporting of these students varies across states and territories. In some jurisdictions, students wishing to only complete a specific component of a qualification are required to enrol in that qualification for data collection purposes, whereas in other jurisdictions they are not.</w:t>
            </w:r>
            <w:r>
              <w:t xml:space="preserve"> </w:t>
            </w:r>
          </w:p>
        </w:tc>
      </w:tr>
      <w:tr w:rsidR="00312291" w:rsidTr="00312291">
        <w:trPr>
          <w:cantSplit/>
        </w:trPr>
        <w:tc>
          <w:tcPr>
            <w:tcW w:w="8771" w:type="dxa"/>
            <w:tcBorders>
              <w:top w:val="nil"/>
              <w:left w:val="nil"/>
              <w:bottom w:val="single" w:sz="6" w:space="0" w:color="78A22F"/>
              <w:right w:val="nil"/>
            </w:tcBorders>
            <w:shd w:val="clear" w:color="auto" w:fill="F2F2F2"/>
          </w:tcPr>
          <w:p w:rsidR="00312291" w:rsidRDefault="00312291">
            <w:pPr>
              <w:pStyle w:val="Box"/>
              <w:spacing w:before="0" w:line="120" w:lineRule="exact"/>
            </w:pPr>
          </w:p>
        </w:tc>
      </w:tr>
      <w:tr w:rsidR="00312291" w:rsidRPr="000863A5" w:rsidTr="00312291">
        <w:tc>
          <w:tcPr>
            <w:tcW w:w="8771" w:type="dxa"/>
            <w:tcBorders>
              <w:top w:val="single" w:sz="6" w:space="0" w:color="78A22F"/>
              <w:left w:val="nil"/>
              <w:bottom w:val="nil"/>
              <w:right w:val="nil"/>
            </w:tcBorders>
          </w:tcPr>
          <w:p w:rsidR="00312291" w:rsidRPr="00626D32" w:rsidRDefault="00312291" w:rsidP="00312291">
            <w:pPr>
              <w:pStyle w:val="BoxSpaceBelow"/>
            </w:pPr>
          </w:p>
        </w:tc>
      </w:tr>
    </w:tbl>
    <w:p w:rsidR="00326144" w:rsidRDefault="0037378A" w:rsidP="00083161">
      <w:pPr>
        <w:pStyle w:val="BodyText"/>
        <w:shd w:val="clear" w:color="auto" w:fill="FFFFFF" w:themeFill="background1"/>
      </w:pPr>
      <w:r>
        <w:t>For students who commenced in 201</w:t>
      </w:r>
      <w:r w:rsidR="00BF6AA3">
        <w:t>3</w:t>
      </w:r>
      <w:r w:rsidR="00326144">
        <w:t>:</w:t>
      </w:r>
    </w:p>
    <w:p w:rsidR="00326144" w:rsidRDefault="0037378A" w:rsidP="00C94FD1">
      <w:pPr>
        <w:pStyle w:val="ListBullet"/>
      </w:pPr>
      <w:r>
        <w:t>the estimated qualification completion rate was 3</w:t>
      </w:r>
      <w:r w:rsidR="004E5BC4">
        <w:t>4.0</w:t>
      </w:r>
      <w:r>
        <w:t xml:space="preserve"> per cent nationally,</w:t>
      </w:r>
      <w:r w:rsidR="004E5BC4">
        <w:t xml:space="preserve"> a decrease of 2.0 percentage points</w:t>
      </w:r>
      <w:r>
        <w:t xml:space="preserve"> </w:t>
      </w:r>
      <w:r w:rsidR="004E5BC4">
        <w:t>from</w:t>
      </w:r>
      <w:r w:rsidR="005F2847">
        <w:t xml:space="preserve"> students who commenced in</w:t>
      </w:r>
      <w:r w:rsidR="004E5BC4">
        <w:t xml:space="preserve"> 2012, but an increase from </w:t>
      </w:r>
      <w:r w:rsidR="00AA7E65">
        <w:t xml:space="preserve">the </w:t>
      </w:r>
      <w:r w:rsidR="004E5BC4">
        <w:t xml:space="preserve">qualification completion rate </w:t>
      </w:r>
      <w:r>
        <w:t>for students who commenced their qualification in 200</w:t>
      </w:r>
      <w:r w:rsidR="004E5BC4">
        <w:t>9</w:t>
      </w:r>
      <w:r w:rsidR="00AA7E65">
        <w:t xml:space="preserve"> (32.1 per cent</w:t>
      </w:r>
      <w:r w:rsidR="00326144">
        <w:t>)</w:t>
      </w:r>
    </w:p>
    <w:p w:rsidR="00C94FD1" w:rsidRDefault="00C94FD1" w:rsidP="00C94FD1">
      <w:pPr>
        <w:pStyle w:val="ListBullet"/>
      </w:pPr>
      <w:r>
        <w:t xml:space="preserve">the subject load pass rate was 83.1 per cent nationally compared to 80.9 per cent for students who commenced their qualification in 2009 (figure </w:t>
      </w:r>
      <w:r w:rsidR="003A68D1">
        <w:t>5.30</w:t>
      </w:r>
      <w:r>
        <w:t>).</w:t>
      </w:r>
    </w:p>
    <w:p w:rsidR="0037378A" w:rsidRDefault="0037378A" w:rsidP="0008316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378A" w:rsidTr="00083161">
        <w:tc>
          <w:tcPr>
            <w:tcW w:w="8771" w:type="dxa"/>
            <w:tcBorders>
              <w:top w:val="single" w:sz="6" w:space="0" w:color="78A22F"/>
              <w:left w:val="nil"/>
              <w:bottom w:val="nil"/>
              <w:right w:val="nil"/>
            </w:tcBorders>
            <w:shd w:val="clear" w:color="auto" w:fill="FFFFFF" w:themeFill="background1"/>
          </w:tcPr>
          <w:p w:rsidR="0037378A" w:rsidRPr="00176D3F" w:rsidRDefault="0037378A" w:rsidP="00601ED3">
            <w:pPr>
              <w:pStyle w:val="FigureTitle"/>
            </w:pPr>
            <w:r w:rsidRPr="00083161">
              <w:rPr>
                <w:b w:val="0"/>
              </w:rPr>
              <w:t xml:space="preserve">Figure </w:t>
            </w:r>
            <w:bookmarkStart w:id="58" w:name="OLE_LINK46"/>
            <w:r w:rsidR="003A68D1">
              <w:rPr>
                <w:b w:val="0"/>
              </w:rPr>
              <w:t>5.</w:t>
            </w:r>
            <w:r w:rsidR="00111918">
              <w:rPr>
                <w:b w:val="0"/>
                <w:noProof/>
              </w:rPr>
              <w:t>30</w:t>
            </w:r>
            <w:bookmarkEnd w:id="58"/>
            <w:r w:rsidRPr="00083161">
              <w:tab/>
              <w:t xml:space="preserve">Estimated completion rates </w:t>
            </w:r>
            <w:r w:rsidR="0094734F">
              <w:t xml:space="preserve">and subject load pass rates </w:t>
            </w:r>
            <w:r w:rsidRPr="00083161">
              <w:t>for qualifications at certificate I</w:t>
            </w:r>
            <w:r w:rsidR="00601ED3">
              <w:t xml:space="preserve"> level or </w:t>
            </w:r>
            <w:r w:rsidRPr="00083161">
              <w:t xml:space="preserve">above, commencing </w:t>
            </w:r>
            <w:r w:rsidR="0094734F">
              <w:br/>
            </w:r>
            <w:r w:rsidRPr="00083161">
              <w:t>20</w:t>
            </w:r>
            <w:r w:rsidR="002258A5" w:rsidRPr="00083161">
              <w:t>0</w:t>
            </w:r>
            <w:r w:rsidR="004E5BC4">
              <w:t>9</w:t>
            </w:r>
            <w:r w:rsidRPr="00083161">
              <w:t>–1</w:t>
            </w:r>
            <w:r w:rsidR="004E5BC4">
              <w:t>3</w:t>
            </w:r>
            <w:r w:rsidR="00516044">
              <w:rPr>
                <w:rStyle w:val="NoteLabel"/>
                <w:b/>
              </w:rPr>
              <w:t>a</w:t>
            </w:r>
          </w:p>
        </w:tc>
      </w:tr>
      <w:tr w:rsidR="0037378A" w:rsidTr="00A26D57">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7378A" w:rsidTr="00312291">
              <w:tc>
                <w:tcPr>
                  <w:tcW w:w="5000" w:type="pct"/>
                  <w:tcBorders>
                    <w:top w:val="nil"/>
                    <w:bottom w:val="nil"/>
                  </w:tcBorders>
                </w:tcPr>
                <w:p w:rsidR="005F2847" w:rsidRDefault="00303FCA" w:rsidP="005F2847">
                  <w:pPr>
                    <w:pStyle w:val="Figure"/>
                  </w:pPr>
                  <w:r>
                    <w:rPr>
                      <w:noProof/>
                    </w:rPr>
                    <w:drawing>
                      <wp:inline distT="0" distB="0" distL="0" distR="0">
                        <wp:extent cx="5389880" cy="2140585"/>
                        <wp:effectExtent l="0" t="0" r="1270" b="0"/>
                        <wp:docPr id="45" name="Picture 45" descr="Figure 5.30 Estimated completion rates and subject load pass rates for qualifications at certificate I level or above, commencing &#10;2009–13&#10;&#10;Estimated completion rat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389880" cy="2140585"/>
                                </a:xfrm>
                                <a:prstGeom prst="rect">
                                  <a:avLst/>
                                </a:prstGeom>
                                <a:noFill/>
                                <a:ln>
                                  <a:noFill/>
                                </a:ln>
                              </pic:spPr>
                            </pic:pic>
                          </a:graphicData>
                        </a:graphic>
                      </wp:inline>
                    </w:drawing>
                  </w:r>
                </w:p>
                <w:p w:rsidR="0037378A" w:rsidRDefault="00303FCA" w:rsidP="005F2847">
                  <w:pPr>
                    <w:pStyle w:val="Figure"/>
                    <w:spacing w:after="60"/>
                  </w:pPr>
                  <w:r>
                    <w:rPr>
                      <w:noProof/>
                    </w:rPr>
                    <w:drawing>
                      <wp:inline distT="0" distB="0" distL="0" distR="0">
                        <wp:extent cx="5389880" cy="2334260"/>
                        <wp:effectExtent l="0" t="0" r="1270" b="8890"/>
                        <wp:docPr id="46" name="Picture 46" descr="Figure 5.30 Estimated completion rates and subject load pass rates for qualifications at certificate I level or above, commencing &#10;2009–13&#10;&#10;Subject load pass rat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89880" cy="2334260"/>
                                </a:xfrm>
                                <a:prstGeom prst="rect">
                                  <a:avLst/>
                                </a:prstGeom>
                                <a:noFill/>
                                <a:ln>
                                  <a:noFill/>
                                </a:ln>
                              </pic:spPr>
                            </pic:pic>
                          </a:graphicData>
                        </a:graphic>
                      </wp:inline>
                    </w:drawing>
                  </w:r>
                </w:p>
              </w:tc>
            </w:tr>
          </w:tbl>
          <w:p w:rsidR="0037378A" w:rsidRDefault="0037378A" w:rsidP="00083161">
            <w:pPr>
              <w:pStyle w:val="Figure"/>
            </w:pPr>
          </w:p>
        </w:tc>
      </w:tr>
      <w:tr w:rsidR="0037378A" w:rsidRPr="00176D3F" w:rsidTr="00A26D57">
        <w:tc>
          <w:tcPr>
            <w:tcW w:w="8771" w:type="dxa"/>
            <w:tcBorders>
              <w:top w:val="nil"/>
              <w:left w:val="nil"/>
              <w:bottom w:val="nil"/>
              <w:right w:val="nil"/>
            </w:tcBorders>
            <w:shd w:val="clear" w:color="auto" w:fill="auto"/>
          </w:tcPr>
          <w:p w:rsidR="0037378A" w:rsidRPr="00176D3F" w:rsidRDefault="0053766B" w:rsidP="0053766B">
            <w:pPr>
              <w:pStyle w:val="Note"/>
            </w:pPr>
            <w:r>
              <w:rPr>
                <w:rStyle w:val="NoteLabel"/>
              </w:rPr>
              <w:t>a</w:t>
            </w:r>
            <w:r>
              <w:t xml:space="preserve"> </w:t>
            </w:r>
            <w:r w:rsidRPr="006D3797">
              <w:t>See box</w:t>
            </w:r>
            <w:r>
              <w:t>es</w:t>
            </w:r>
            <w:r w:rsidRPr="006D3797">
              <w:t xml:space="preserve"> </w:t>
            </w:r>
            <w:r w:rsidR="003A68D1">
              <w:t>5.16</w:t>
            </w:r>
            <w:r>
              <w:t xml:space="preserve"> and </w:t>
            </w:r>
            <w:r w:rsidR="003A68D1">
              <w:t>5.17</w:t>
            </w:r>
            <w:r>
              <w:t xml:space="preserve"> and table 5A.75</w:t>
            </w:r>
            <w:r w:rsidRPr="006D3797">
              <w:t xml:space="preserve"> for detailed definitions, footnotes and caveats</w:t>
            </w:r>
            <w:r w:rsidR="00874672" w:rsidRPr="004B1B81">
              <w:t>.</w:t>
            </w:r>
          </w:p>
        </w:tc>
      </w:tr>
      <w:tr w:rsidR="0037378A" w:rsidRPr="00176D3F" w:rsidTr="00312291">
        <w:tc>
          <w:tcPr>
            <w:tcW w:w="8771" w:type="dxa"/>
            <w:tcBorders>
              <w:top w:val="nil"/>
              <w:left w:val="nil"/>
              <w:bottom w:val="nil"/>
              <w:right w:val="nil"/>
            </w:tcBorders>
            <w:shd w:val="clear" w:color="auto" w:fill="auto"/>
          </w:tcPr>
          <w:p w:rsidR="0037378A" w:rsidRPr="00176D3F" w:rsidRDefault="0037378A" w:rsidP="00097492">
            <w:pPr>
              <w:pStyle w:val="Source"/>
            </w:pPr>
            <w:r>
              <w:rPr>
                <w:i/>
              </w:rPr>
              <w:t>Source</w:t>
            </w:r>
            <w:r w:rsidRPr="00167F06">
              <w:t xml:space="preserve">: </w:t>
            </w:r>
            <w:r w:rsidRPr="00E956B8">
              <w:t>NCVER (201</w:t>
            </w:r>
            <w:r w:rsidR="00AA7E65">
              <w:t>5</w:t>
            </w:r>
            <w:r w:rsidR="00097492">
              <w:t>c</w:t>
            </w:r>
            <w:r w:rsidRPr="00E956B8">
              <w:t xml:space="preserve">), </w:t>
            </w:r>
            <w:r w:rsidRPr="00653D2F">
              <w:rPr>
                <w:i/>
              </w:rPr>
              <w:t xml:space="preserve">Australian </w:t>
            </w:r>
            <w:r w:rsidR="00097492" w:rsidRPr="00653D2F">
              <w:rPr>
                <w:i/>
              </w:rPr>
              <w:t>vocational education and training stat</w:t>
            </w:r>
            <w:r w:rsidRPr="00653D2F">
              <w:rPr>
                <w:i/>
              </w:rPr>
              <w:t xml:space="preserve">istics: </w:t>
            </w:r>
            <w:r w:rsidR="00097492" w:rsidRPr="00653D2F">
              <w:rPr>
                <w:i/>
              </w:rPr>
              <w:t xml:space="preserve">the likelihood of completing a </w:t>
            </w:r>
            <w:r w:rsidRPr="00653D2F">
              <w:rPr>
                <w:i/>
              </w:rPr>
              <w:t xml:space="preserve">VET </w:t>
            </w:r>
            <w:r w:rsidR="00097492" w:rsidRPr="00653D2F">
              <w:rPr>
                <w:i/>
              </w:rPr>
              <w:t>qualification</w:t>
            </w:r>
            <w:r w:rsidRPr="00653D2F">
              <w:rPr>
                <w:i/>
              </w:rPr>
              <w:t xml:space="preserve">, </w:t>
            </w:r>
            <w:r>
              <w:t>Adelaide; table 5A.</w:t>
            </w:r>
            <w:r w:rsidR="00C94FD1">
              <w:t>75</w:t>
            </w:r>
            <w:r w:rsidR="002F0DE3">
              <w:t>.</w:t>
            </w:r>
          </w:p>
        </w:tc>
      </w:tr>
      <w:tr w:rsidR="0037378A" w:rsidTr="00312291">
        <w:tc>
          <w:tcPr>
            <w:tcW w:w="8771" w:type="dxa"/>
            <w:tcBorders>
              <w:top w:val="nil"/>
              <w:left w:val="nil"/>
              <w:bottom w:val="single" w:sz="6" w:space="0" w:color="78A22F"/>
              <w:right w:val="nil"/>
            </w:tcBorders>
            <w:shd w:val="clear" w:color="auto" w:fill="auto"/>
          </w:tcPr>
          <w:p w:rsidR="0037378A" w:rsidRDefault="0037378A" w:rsidP="00083161">
            <w:pPr>
              <w:pStyle w:val="Figurespace"/>
            </w:pPr>
          </w:p>
        </w:tc>
      </w:tr>
      <w:tr w:rsidR="0037378A" w:rsidRPr="000863A5" w:rsidTr="00312291">
        <w:tc>
          <w:tcPr>
            <w:tcW w:w="8771" w:type="dxa"/>
            <w:tcBorders>
              <w:top w:val="single" w:sz="6" w:space="0" w:color="78A22F"/>
              <w:left w:val="nil"/>
              <w:bottom w:val="nil"/>
              <w:right w:val="nil"/>
            </w:tcBorders>
          </w:tcPr>
          <w:p w:rsidR="0037378A" w:rsidRPr="00626D32" w:rsidRDefault="0037378A" w:rsidP="00083161">
            <w:pPr>
              <w:pStyle w:val="BoxSpaceBelow"/>
            </w:pPr>
          </w:p>
        </w:tc>
      </w:tr>
    </w:tbl>
    <w:p w:rsidR="00C57336" w:rsidRPr="00EF5A5F" w:rsidRDefault="00C57336" w:rsidP="009012C7">
      <w:pPr>
        <w:pStyle w:val="Heading4"/>
      </w:pPr>
      <w:r w:rsidRPr="00083161">
        <w:t>Student satisfaction with VET</w:t>
      </w:r>
    </w:p>
    <w:p w:rsidR="00C57336" w:rsidRDefault="002F5888" w:rsidP="008912AD">
      <w:pPr>
        <w:pStyle w:val="BodyText"/>
        <w:shd w:val="clear" w:color="auto" w:fill="FFFFFF" w:themeFill="background1"/>
      </w:pPr>
      <w:r w:rsidRPr="00EF5A5F">
        <w:t xml:space="preserve">‘Student satisfaction with VET’ is an indicator of </w:t>
      </w:r>
      <w:r w:rsidR="00206448" w:rsidRPr="00EF5A5F">
        <w:t xml:space="preserve">governments’ objective of enabling </w:t>
      </w:r>
      <w:r w:rsidRPr="00EF5A5F">
        <w:t>students’ satisfact</w:t>
      </w:r>
      <w:r w:rsidR="00206448" w:rsidRPr="00EF5A5F">
        <w:t>ion with their training program</w:t>
      </w:r>
      <w:r w:rsidRPr="00EF5A5F">
        <w:t xml:space="preserve"> </w:t>
      </w:r>
      <w:r w:rsidR="00B51DE7" w:rsidRPr="00EF5A5F">
        <w:t xml:space="preserve">(box </w:t>
      </w:r>
      <w:r w:rsidR="003A68D1">
        <w:t>5.18</w:t>
      </w:r>
      <w:r w:rsidR="00B51DE7" w:rsidRPr="00EF5A5F">
        <w:t xml:space="preserve">). </w:t>
      </w:r>
    </w:p>
    <w:p w:rsidR="00D75F1A" w:rsidRDefault="00D75F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75F1A" w:rsidTr="005F14B9">
        <w:tc>
          <w:tcPr>
            <w:tcW w:w="8771" w:type="dxa"/>
            <w:tcBorders>
              <w:top w:val="single" w:sz="6" w:space="0" w:color="78A22F"/>
              <w:left w:val="nil"/>
              <w:bottom w:val="nil"/>
              <w:right w:val="nil"/>
            </w:tcBorders>
            <w:shd w:val="clear" w:color="auto" w:fill="F2F2F2" w:themeFill="background1" w:themeFillShade="F2"/>
          </w:tcPr>
          <w:p w:rsidR="00D75F1A" w:rsidRDefault="00D75F1A" w:rsidP="00D75F1A">
            <w:pPr>
              <w:pStyle w:val="BoxTitle"/>
            </w:pPr>
            <w:r>
              <w:rPr>
                <w:b w:val="0"/>
              </w:rPr>
              <w:t xml:space="preserve">Box </w:t>
            </w:r>
            <w:bookmarkStart w:id="59" w:name="OLE_LINK47"/>
            <w:r w:rsidR="003A68D1">
              <w:rPr>
                <w:b w:val="0"/>
              </w:rPr>
              <w:t>5.</w:t>
            </w:r>
            <w:r w:rsidR="00111918">
              <w:rPr>
                <w:b w:val="0"/>
                <w:noProof/>
              </w:rPr>
              <w:t>18</w:t>
            </w:r>
            <w:bookmarkEnd w:id="59"/>
            <w:r>
              <w:tab/>
            </w:r>
            <w:r w:rsidRPr="00EF5A5F">
              <w:t>Student satisfaction with VET</w:t>
            </w:r>
          </w:p>
        </w:tc>
      </w:tr>
      <w:tr w:rsidR="00D75F1A" w:rsidTr="005F14B9">
        <w:trPr>
          <w:cantSplit/>
        </w:trPr>
        <w:tc>
          <w:tcPr>
            <w:tcW w:w="8771" w:type="dxa"/>
            <w:tcBorders>
              <w:top w:val="nil"/>
              <w:left w:val="nil"/>
              <w:bottom w:val="nil"/>
              <w:right w:val="nil"/>
            </w:tcBorders>
            <w:shd w:val="clear" w:color="auto" w:fill="F2F2F2" w:themeFill="background1" w:themeFillShade="F2"/>
          </w:tcPr>
          <w:p w:rsidR="00D75F1A" w:rsidRPr="00EF5A5F" w:rsidRDefault="00D75F1A" w:rsidP="005F14B9">
            <w:pPr>
              <w:pStyle w:val="Box"/>
            </w:pPr>
            <w:r w:rsidRPr="00EF5A5F">
              <w:t xml:space="preserve">‘Student satisfaction with VET’ </w:t>
            </w:r>
            <w:r>
              <w:t>has</w:t>
            </w:r>
            <w:r w:rsidRPr="00EF5A5F">
              <w:t xml:space="preserve"> two measures:</w:t>
            </w:r>
          </w:p>
          <w:p w:rsidR="00D75F1A" w:rsidRPr="00EF5A5F" w:rsidRDefault="00D75F1A" w:rsidP="005F14B9">
            <w:pPr>
              <w:pStyle w:val="BoxListBullet"/>
            </w:pPr>
            <w:r w:rsidRPr="00EF5A5F">
              <w:t>‘proportion of students who achieve their main</w:t>
            </w:r>
            <w:r>
              <w:t xml:space="preserve"> reason for doing a VET course’</w:t>
            </w:r>
            <w:r w:rsidR="00601ED3">
              <w:t xml:space="preserve"> is</w:t>
            </w:r>
            <w:r>
              <w:t xml:space="preserve"> </w:t>
            </w:r>
            <w:r w:rsidRPr="00EF5A5F">
              <w:t xml:space="preserve">defined as the proportion of graduates who </w:t>
            </w:r>
            <w:r w:rsidRPr="00D75F1A">
              <w:t>indicate that they achieved or partly achieved their main reason</w:t>
            </w:r>
            <w:r w:rsidRPr="00EF5A5F">
              <w:t xml:space="preserve"> for doing the course</w:t>
            </w:r>
          </w:p>
          <w:p w:rsidR="00D75F1A" w:rsidRPr="00EF5A5F" w:rsidRDefault="00D75F1A" w:rsidP="005F14B9">
            <w:pPr>
              <w:pStyle w:val="BoxListBullet"/>
            </w:pPr>
            <w:r w:rsidRPr="00EF5A5F">
              <w:t>‘proportion of students who were satisfied with the quality of their completed VET course’</w:t>
            </w:r>
            <w:r w:rsidR="00601ED3">
              <w:t xml:space="preserve"> is</w:t>
            </w:r>
            <w:r w:rsidRPr="00EF5A5F">
              <w:t xml:space="preserve"> defined as the proportion of graduates who </w:t>
            </w:r>
            <w:r w:rsidRPr="00D75F1A">
              <w:t>indicate</w:t>
            </w:r>
            <w:r w:rsidR="00601ED3">
              <w:t xml:space="preserve">d </w:t>
            </w:r>
            <w:r w:rsidRPr="00D75F1A">
              <w:t xml:space="preserve">that they were satisfied or very satisfied with their VET training program. </w:t>
            </w:r>
            <w:r w:rsidR="00A62584">
              <w:t xml:space="preserve">This measure is </w:t>
            </w:r>
            <w:r w:rsidRPr="00D75F1A">
              <w:t>also reported according to the students’ identified purpose of study (employment related, further study and/or developmental).</w:t>
            </w:r>
          </w:p>
          <w:p w:rsidR="00D75F1A" w:rsidRPr="00EF5A5F" w:rsidRDefault="00D75F1A" w:rsidP="005F14B9">
            <w:pPr>
              <w:pStyle w:val="Box"/>
            </w:pPr>
            <w:r w:rsidRPr="00EF5A5F">
              <w:t xml:space="preserve">Satisfaction with VET by target groups (students with disability, students speaking a </w:t>
            </w:r>
            <w:r w:rsidR="00AE1BEE">
              <w:t>LOTE</w:t>
            </w:r>
            <w:r w:rsidRPr="00EF5A5F">
              <w:t xml:space="preserve"> at home, students from remote and very remote areas and</w:t>
            </w:r>
            <w:r w:rsidR="00804C04">
              <w:t xml:space="preserve"> Aboriginal and Torres Strait Islander </w:t>
            </w:r>
            <w:r w:rsidRPr="00EF5A5F">
              <w:t>students) can also indicate the equity of outcomes for these groups.</w:t>
            </w:r>
          </w:p>
          <w:p w:rsidR="00D75F1A" w:rsidRPr="00EF5A5F" w:rsidRDefault="00D75F1A" w:rsidP="005F14B9">
            <w:pPr>
              <w:pStyle w:val="Box"/>
            </w:pPr>
            <w:r w:rsidRPr="00EF5A5F">
              <w:t xml:space="preserve">A high or increasing percentage of perceived satisfaction is desirable. </w:t>
            </w:r>
          </w:p>
          <w:p w:rsidR="00D75F1A" w:rsidRDefault="00D75F1A" w:rsidP="005F14B9">
            <w:pPr>
              <w:pStyle w:val="Box"/>
            </w:pPr>
            <w:r>
              <w:t xml:space="preserve">Data </w:t>
            </w:r>
            <w:r w:rsidR="0011740F">
              <w:t>reported for these measures are:</w:t>
            </w:r>
          </w:p>
          <w:p w:rsidR="00D75F1A" w:rsidRDefault="00D75F1A" w:rsidP="005F14B9">
            <w:pPr>
              <w:pStyle w:val="BoxListBullet"/>
            </w:pPr>
            <w:r>
              <w:t>comparable (subject to caveats) across jurisdictions and over time</w:t>
            </w:r>
          </w:p>
          <w:p w:rsidR="00D75F1A" w:rsidRDefault="00D75F1A" w:rsidP="005F14B9">
            <w:pPr>
              <w:pStyle w:val="BoxListBullet"/>
            </w:pPr>
            <w:r>
              <w:t>complete for the current reporting period (subject to caveats). All required 201</w:t>
            </w:r>
            <w:r w:rsidR="005E5D35">
              <w:t>4</w:t>
            </w:r>
            <w:r>
              <w:t xml:space="preserve"> data are available for all jurisdictions providing the service.</w:t>
            </w:r>
          </w:p>
          <w:p w:rsidR="00601ED3" w:rsidRDefault="00601ED3" w:rsidP="00601ED3">
            <w:pPr>
              <w:pStyle w:val="Box"/>
            </w:pPr>
            <w:r w:rsidRPr="00401449">
              <w:t>Data for these measures include 95 per cent confidence intervals (in the form of error bars in figures).</w:t>
            </w:r>
          </w:p>
          <w:p w:rsidR="00D75F1A" w:rsidRPr="00EF5A5F" w:rsidRDefault="00D75F1A" w:rsidP="005E5D35">
            <w:pPr>
              <w:pStyle w:val="Box"/>
            </w:pPr>
            <w:r w:rsidRPr="00EF5A5F">
              <w:t xml:space="preserve">Data quality information for this indicator </w:t>
            </w:r>
            <w:r w:rsidR="006E0D24">
              <w:t>is at www.pc.gov.au/</w:t>
            </w:r>
            <w:r w:rsidRPr="00EF5A5F">
              <w:t>rogs/</w:t>
            </w:r>
            <w:r>
              <w:t>201</w:t>
            </w:r>
            <w:r w:rsidR="005E5D35">
              <w:t>6</w:t>
            </w:r>
            <w:r w:rsidRPr="00EF5A5F">
              <w:t>.</w:t>
            </w:r>
          </w:p>
        </w:tc>
      </w:tr>
      <w:tr w:rsidR="00D75F1A" w:rsidTr="005F14B9">
        <w:trPr>
          <w:cantSplit/>
        </w:trPr>
        <w:tc>
          <w:tcPr>
            <w:tcW w:w="8771" w:type="dxa"/>
            <w:tcBorders>
              <w:top w:val="nil"/>
              <w:left w:val="nil"/>
              <w:bottom w:val="single" w:sz="6" w:space="0" w:color="78A22F"/>
              <w:right w:val="nil"/>
            </w:tcBorders>
            <w:shd w:val="clear" w:color="auto" w:fill="F2F2F2" w:themeFill="background1" w:themeFillShade="F2"/>
          </w:tcPr>
          <w:p w:rsidR="00D75F1A" w:rsidRDefault="00D75F1A">
            <w:pPr>
              <w:pStyle w:val="Box"/>
              <w:spacing w:before="0" w:line="120" w:lineRule="exact"/>
            </w:pPr>
          </w:p>
        </w:tc>
      </w:tr>
      <w:tr w:rsidR="00D75F1A" w:rsidRPr="000863A5" w:rsidTr="005F14B9">
        <w:tc>
          <w:tcPr>
            <w:tcW w:w="8771" w:type="dxa"/>
            <w:tcBorders>
              <w:top w:val="single" w:sz="6" w:space="0" w:color="78A22F"/>
              <w:left w:val="nil"/>
              <w:bottom w:val="nil"/>
              <w:right w:val="nil"/>
            </w:tcBorders>
          </w:tcPr>
          <w:p w:rsidR="00D75F1A" w:rsidRPr="00626D32" w:rsidRDefault="00D75F1A" w:rsidP="005F14B9">
            <w:pPr>
              <w:pStyle w:val="BoxSpaceBelow"/>
            </w:pPr>
          </w:p>
        </w:tc>
      </w:tr>
    </w:tbl>
    <w:p w:rsidR="00C57336" w:rsidRPr="006B78DE" w:rsidRDefault="008A255F" w:rsidP="009012C7">
      <w:pPr>
        <w:pStyle w:val="Heading5"/>
      </w:pPr>
      <w:r>
        <w:t>S</w:t>
      </w:r>
      <w:r w:rsidR="00C57336" w:rsidRPr="006B78DE">
        <w:t>tudents who achieve their main reason for doing a course</w:t>
      </w:r>
    </w:p>
    <w:p w:rsidR="00601ED3" w:rsidRDefault="00601ED3" w:rsidP="00601ED3">
      <w:pPr>
        <w:pStyle w:val="BodyText"/>
      </w:pPr>
      <w:r>
        <w:t>Nationally i</w:t>
      </w:r>
      <w:r w:rsidR="00C57336" w:rsidRPr="00A15A09">
        <w:t xml:space="preserve">n </w:t>
      </w:r>
      <w:r w:rsidR="00EB7654" w:rsidRPr="00A15A09">
        <w:t>201</w:t>
      </w:r>
      <w:r w:rsidR="00E170CF">
        <w:t>4</w:t>
      </w:r>
      <w:r w:rsidR="00C57336" w:rsidRPr="00A15A09">
        <w:t xml:space="preserve">, </w:t>
      </w:r>
      <w:r w:rsidR="00347B09">
        <w:t>8</w:t>
      </w:r>
      <w:r w:rsidR="000545C7">
        <w:t>1.9</w:t>
      </w:r>
      <w:r w:rsidR="0096194E">
        <w:t xml:space="preserve"> </w:t>
      </w:r>
      <w:r w:rsidR="00C57336" w:rsidRPr="00A15A09">
        <w:t>per</w:t>
      </w:r>
      <w:r w:rsidR="0096194E">
        <w:t xml:space="preserve"> </w:t>
      </w:r>
      <w:r w:rsidR="00C57336" w:rsidRPr="00A15A09">
        <w:t xml:space="preserve">cent of </w:t>
      </w:r>
      <w:r w:rsidR="00A85AD7" w:rsidRPr="00A15A09">
        <w:t xml:space="preserve">government funded VET </w:t>
      </w:r>
      <w:r w:rsidR="00C57336" w:rsidRPr="00A15A09">
        <w:t xml:space="preserve">graduates indicated that their course helped </w:t>
      </w:r>
      <w:r w:rsidR="00EA0531" w:rsidRPr="00A15A09">
        <w:t>(</w:t>
      </w:r>
      <w:r w:rsidR="00347B09">
        <w:t>6</w:t>
      </w:r>
      <w:r w:rsidR="000545C7">
        <w:t>7.0</w:t>
      </w:r>
      <w:r w:rsidR="0096194E">
        <w:t xml:space="preserve"> </w:t>
      </w:r>
      <w:r w:rsidR="00EA0531" w:rsidRPr="00A15A09">
        <w:t>per</w:t>
      </w:r>
      <w:r w:rsidR="0096194E">
        <w:t xml:space="preserve"> </w:t>
      </w:r>
      <w:r w:rsidR="00EA0531" w:rsidRPr="00A15A09">
        <w:t xml:space="preserve">cent) </w:t>
      </w:r>
      <w:r w:rsidR="00C57336" w:rsidRPr="00A15A09">
        <w:t xml:space="preserve">or partly helped </w:t>
      </w:r>
      <w:r w:rsidR="00EA0531" w:rsidRPr="00A15A09">
        <w:t>(</w:t>
      </w:r>
      <w:r w:rsidR="000545C7">
        <w:t>14.9</w:t>
      </w:r>
      <w:r w:rsidR="0096194E">
        <w:t xml:space="preserve"> </w:t>
      </w:r>
      <w:r w:rsidR="00EA0531" w:rsidRPr="00A15A09">
        <w:t>per</w:t>
      </w:r>
      <w:r w:rsidR="0096194E">
        <w:t xml:space="preserve"> </w:t>
      </w:r>
      <w:r w:rsidR="00EA0531" w:rsidRPr="00A15A09">
        <w:t xml:space="preserve">cent) </w:t>
      </w:r>
      <w:r w:rsidR="00C57336" w:rsidRPr="00A15A09">
        <w:t xml:space="preserve">them achieve their main reason for doing the course — </w:t>
      </w:r>
      <w:r w:rsidR="000545C7">
        <w:t>a decrease of 2.</w:t>
      </w:r>
      <w:r w:rsidR="00347B09">
        <w:t>5</w:t>
      </w:r>
      <w:r w:rsidR="0096194E">
        <w:t xml:space="preserve"> </w:t>
      </w:r>
      <w:r w:rsidR="00C57336" w:rsidRPr="00A15A09">
        <w:t>pe</w:t>
      </w:r>
      <w:r w:rsidR="00C020A2" w:rsidRPr="00A15A09">
        <w:t>r</w:t>
      </w:r>
      <w:r w:rsidR="000545C7">
        <w:t>centage points since 2010</w:t>
      </w:r>
      <w:r w:rsidR="00233108">
        <w:t xml:space="preserve">. </w:t>
      </w:r>
      <w:r w:rsidR="00C57336" w:rsidRPr="00A15A09">
        <w:t xml:space="preserve">Of </w:t>
      </w:r>
      <w:r w:rsidR="00A62584">
        <w:t>government funded</w:t>
      </w:r>
      <w:r w:rsidR="00C57336" w:rsidRPr="00A15A09">
        <w:t xml:space="preserve"> graduates in </w:t>
      </w:r>
      <w:r w:rsidR="00EB7654" w:rsidRPr="00A15A09">
        <w:t>201</w:t>
      </w:r>
      <w:r w:rsidR="000545C7">
        <w:t>4</w:t>
      </w:r>
      <w:r w:rsidR="00C57336" w:rsidRPr="00A15A09">
        <w:t xml:space="preserve">, </w:t>
      </w:r>
      <w:r w:rsidR="000545C7">
        <w:t>9.</w:t>
      </w:r>
      <w:r w:rsidR="005E5D35">
        <w:t>0</w:t>
      </w:r>
      <w:r w:rsidR="0096194E">
        <w:t xml:space="preserve"> </w:t>
      </w:r>
      <w:r w:rsidR="00C57336" w:rsidRPr="00A15A09">
        <w:t>per</w:t>
      </w:r>
      <w:r w:rsidR="0096194E">
        <w:t xml:space="preserve"> </w:t>
      </w:r>
      <w:r w:rsidR="00C57336" w:rsidRPr="00A15A09">
        <w:t>cent indicated their course did not help them achieve the main reason they</w:t>
      </w:r>
      <w:r w:rsidR="00516781" w:rsidRPr="00A15A09">
        <w:t xml:space="preserve"> did the course, </w:t>
      </w:r>
      <w:r w:rsidR="000545C7">
        <w:t xml:space="preserve">an increase from </w:t>
      </w:r>
      <w:r w:rsidR="005E5D35">
        <w:t>6.5</w:t>
      </w:r>
      <w:r w:rsidR="00347B09">
        <w:t xml:space="preserve"> p</w:t>
      </w:r>
      <w:r w:rsidR="00C57336" w:rsidRPr="00A15A09">
        <w:t xml:space="preserve">er cent in </w:t>
      </w:r>
      <w:r w:rsidR="00EB7654" w:rsidRPr="00A15A09">
        <w:t>20</w:t>
      </w:r>
      <w:r w:rsidR="000545C7">
        <w:t>10</w:t>
      </w:r>
      <w:r w:rsidR="00EB7654" w:rsidRPr="00A15A09">
        <w:t xml:space="preserve"> </w:t>
      </w:r>
      <w:r w:rsidR="00C57336" w:rsidRPr="00A15A09">
        <w:t>(figure</w:t>
      </w:r>
      <w:r w:rsidR="00915131">
        <w:t> </w:t>
      </w:r>
      <w:r w:rsidR="003A68D1">
        <w:t>5.31</w:t>
      </w:r>
      <w:r w:rsidR="00C57336" w:rsidRPr="00A15A09">
        <w:t>).</w:t>
      </w:r>
      <w:r w:rsidRPr="00601ED3">
        <w:t xml:space="preserve"> </w:t>
      </w:r>
    </w:p>
    <w:p w:rsidR="00C57336" w:rsidRDefault="00601ED3" w:rsidP="00D46353">
      <w:pPr>
        <w:pStyle w:val="BodyText"/>
      </w:pPr>
      <w:r w:rsidRPr="00EF5A5F">
        <w:t xml:space="preserve">Nationally in </w:t>
      </w:r>
      <w:r>
        <w:t>2014</w:t>
      </w:r>
      <w:r w:rsidRPr="00EF5A5F">
        <w:t xml:space="preserve">, of the target groups, graduates from remote and very remote areas were the most likely to indicate that the course helped them achieve their main reason for doing the </w:t>
      </w:r>
      <w:r w:rsidRPr="00A15A09">
        <w:t>course (</w:t>
      </w:r>
      <w:r>
        <w:t xml:space="preserve">76.3 </w:t>
      </w:r>
      <w:r w:rsidRPr="00A15A09">
        <w:t>per</w:t>
      </w:r>
      <w:r>
        <w:t xml:space="preserve"> </w:t>
      </w:r>
      <w:r w:rsidRPr="00A15A09">
        <w:t xml:space="preserve">cent), while </w:t>
      </w:r>
      <w:r w:rsidRPr="00EF5A5F">
        <w:t xml:space="preserve">graduates reporting disability were the least likely to do </w:t>
      </w:r>
      <w:r w:rsidRPr="00A15A09">
        <w:t>so (</w:t>
      </w:r>
      <w:r>
        <w:t xml:space="preserve">54.0 </w:t>
      </w:r>
      <w:r w:rsidRPr="00A15A09">
        <w:t>per</w:t>
      </w:r>
      <w:r>
        <w:t xml:space="preserve"> </w:t>
      </w:r>
      <w:r w:rsidRPr="00A15A09">
        <w:t>cent). A</w:t>
      </w:r>
      <w:r>
        <w:t>mongst</w:t>
      </w:r>
      <w:r w:rsidRPr="00A15A09">
        <w:t xml:space="preserve"> </w:t>
      </w:r>
      <w:r>
        <w:t xml:space="preserve">Aboriginal and Torres Strait Islander </w:t>
      </w:r>
      <w:r w:rsidRPr="00EA02CF">
        <w:t>graduates</w:t>
      </w:r>
      <w:r>
        <w:t>,</w:t>
      </w:r>
      <w:r w:rsidRPr="00EA02CF">
        <w:t xml:space="preserve"> </w:t>
      </w:r>
      <w:r>
        <w:t xml:space="preserve">74.3 </w:t>
      </w:r>
      <w:r w:rsidRPr="00A15A09">
        <w:t>per</w:t>
      </w:r>
      <w:r>
        <w:t xml:space="preserve"> cent </w:t>
      </w:r>
      <w:r w:rsidRPr="00EA02CF">
        <w:t>indicated that the course helped them achieve their main reason for doing the course</w:t>
      </w:r>
      <w:r w:rsidRPr="00EF5A5F">
        <w:t xml:space="preserve"> (figure</w:t>
      </w:r>
      <w:r>
        <w:t xml:space="preserve"> </w:t>
      </w:r>
      <w:r w:rsidR="003A68D1">
        <w:t>5.32</w:t>
      </w:r>
      <w:r w:rsidRPr="00EF5A5F">
        <w:t>).</w:t>
      </w:r>
      <w:r>
        <w:t xml:space="preserve"> </w:t>
      </w:r>
    </w:p>
    <w:p w:rsidR="005F14B9" w:rsidRDefault="005F14B9" w:rsidP="005F14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F14B9" w:rsidTr="005F14B9">
        <w:tc>
          <w:tcPr>
            <w:tcW w:w="8771" w:type="dxa"/>
            <w:tcBorders>
              <w:top w:val="single" w:sz="6" w:space="0" w:color="78A22F"/>
              <w:left w:val="nil"/>
              <w:bottom w:val="nil"/>
              <w:right w:val="nil"/>
            </w:tcBorders>
            <w:shd w:val="clear" w:color="auto" w:fill="auto"/>
          </w:tcPr>
          <w:p w:rsidR="005F14B9" w:rsidRPr="00176D3F" w:rsidRDefault="005F14B9" w:rsidP="00601ED3">
            <w:pPr>
              <w:pStyle w:val="FigureTitle"/>
            </w:pPr>
            <w:r w:rsidRPr="00784A05">
              <w:rPr>
                <w:b w:val="0"/>
              </w:rPr>
              <w:t xml:space="preserve">Figure </w:t>
            </w:r>
            <w:bookmarkStart w:id="60" w:name="OLE_LINK48"/>
            <w:r w:rsidR="003A68D1">
              <w:rPr>
                <w:b w:val="0"/>
              </w:rPr>
              <w:t>5.</w:t>
            </w:r>
            <w:r w:rsidR="00111918">
              <w:rPr>
                <w:b w:val="0"/>
                <w:noProof/>
              </w:rPr>
              <w:t>31</w:t>
            </w:r>
            <w:bookmarkEnd w:id="60"/>
            <w:r>
              <w:tab/>
            </w:r>
            <w:r w:rsidRPr="00263BA3">
              <w:t>Proportion of VET graduates who achieved their main reason for doing the course, 20</w:t>
            </w:r>
            <w:r w:rsidR="00B13891">
              <w:t>10–</w:t>
            </w:r>
            <w:r w:rsidRPr="00263BA3">
              <w:t>1</w:t>
            </w:r>
            <w:r w:rsidR="00243596">
              <w:t>4</w:t>
            </w:r>
            <w:r w:rsidRPr="00263BA3">
              <w:rPr>
                <w:rStyle w:val="NoteLabel"/>
                <w:b/>
              </w:rPr>
              <w:t>a</w:t>
            </w:r>
            <w:r w:rsidR="00E565A6">
              <w:rPr>
                <w:rStyle w:val="NoteLabel"/>
                <w:b/>
              </w:rPr>
              <w:t>, b</w:t>
            </w:r>
          </w:p>
        </w:tc>
      </w:tr>
      <w:tr w:rsidR="005F14B9" w:rsidTr="005F14B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F14B9" w:rsidTr="005F14B9">
              <w:tc>
                <w:tcPr>
                  <w:tcW w:w="5000" w:type="pct"/>
                  <w:tcBorders>
                    <w:top w:val="nil"/>
                    <w:bottom w:val="nil"/>
                  </w:tcBorders>
                </w:tcPr>
                <w:p w:rsidR="005F14B9" w:rsidRDefault="00303FCA" w:rsidP="005E5D35">
                  <w:pPr>
                    <w:pStyle w:val="Figure"/>
                    <w:spacing w:before="60" w:after="60"/>
                  </w:pPr>
                  <w:r>
                    <w:rPr>
                      <w:noProof/>
                    </w:rPr>
                    <w:drawing>
                      <wp:inline distT="0" distB="0" distL="0" distR="0">
                        <wp:extent cx="5389880" cy="2872105"/>
                        <wp:effectExtent l="0" t="0" r="1270" b="4445"/>
                        <wp:docPr id="47" name="Picture 47" descr="Figure 5.31 Proportion of VET graduates who achieved their main reason for doing the course, 201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389880" cy="2872105"/>
                                </a:xfrm>
                                <a:prstGeom prst="rect">
                                  <a:avLst/>
                                </a:prstGeom>
                                <a:noFill/>
                                <a:ln>
                                  <a:noFill/>
                                </a:ln>
                              </pic:spPr>
                            </pic:pic>
                          </a:graphicData>
                        </a:graphic>
                      </wp:inline>
                    </w:drawing>
                  </w:r>
                </w:p>
              </w:tc>
            </w:tr>
          </w:tbl>
          <w:p w:rsidR="005F14B9" w:rsidRDefault="005F14B9" w:rsidP="005F14B9">
            <w:pPr>
              <w:pStyle w:val="Figure"/>
            </w:pPr>
          </w:p>
        </w:tc>
      </w:tr>
      <w:tr w:rsidR="005F14B9" w:rsidRPr="00176D3F" w:rsidTr="005F14B9">
        <w:tc>
          <w:tcPr>
            <w:tcW w:w="8771" w:type="dxa"/>
            <w:tcBorders>
              <w:top w:val="nil"/>
              <w:left w:val="nil"/>
              <w:bottom w:val="nil"/>
              <w:right w:val="nil"/>
            </w:tcBorders>
            <w:shd w:val="clear" w:color="auto" w:fill="auto"/>
          </w:tcPr>
          <w:p w:rsidR="005E5D35" w:rsidRPr="005E5D35" w:rsidRDefault="005E5D35" w:rsidP="0053766B">
            <w:pPr>
              <w:pStyle w:val="Note"/>
            </w:pPr>
            <w:r w:rsidRPr="00171E10">
              <w:rPr>
                <w:rStyle w:val="NoteLabel"/>
              </w:rPr>
              <w:t>a</w:t>
            </w:r>
            <w:r w:rsidRPr="00171E10">
              <w:t xml:space="preserve"> </w:t>
            </w:r>
            <w:r w:rsidR="005F14B9" w:rsidRPr="008C1DD2">
              <w:t>The 95 per cent confidence intervals for the percentage estimates are reported in table 5A.</w:t>
            </w:r>
            <w:r>
              <w:t>76</w:t>
            </w:r>
            <w:r w:rsidR="005F14B9" w:rsidRPr="008C1DD2">
              <w:t>.</w:t>
            </w:r>
            <w:r w:rsidR="0053766B">
              <w:t xml:space="preserve"> </w:t>
            </w:r>
            <w:r w:rsidR="0053766B">
              <w:rPr>
                <w:rStyle w:val="NoteLabel"/>
              </w:rPr>
              <w:t>b</w:t>
            </w:r>
            <w:r w:rsidR="0053766B">
              <w:t xml:space="preserve"> </w:t>
            </w:r>
            <w:r w:rsidR="0053766B" w:rsidRPr="006D3797">
              <w:t>See box</w:t>
            </w:r>
            <w:r w:rsidR="0053766B">
              <w:t> </w:t>
            </w:r>
            <w:r w:rsidR="003A68D1">
              <w:t>5.18</w:t>
            </w:r>
            <w:r w:rsidR="0053766B">
              <w:t xml:space="preserve"> and table 5A.76 </w:t>
            </w:r>
            <w:r w:rsidR="0053766B" w:rsidRPr="006D3797">
              <w:t>for detailed definitions, footnotes and caveats</w:t>
            </w:r>
            <w:r w:rsidR="0053766B">
              <w:t>.</w:t>
            </w:r>
          </w:p>
        </w:tc>
      </w:tr>
      <w:tr w:rsidR="005F14B9" w:rsidRPr="00176D3F" w:rsidTr="005F14B9">
        <w:tc>
          <w:tcPr>
            <w:tcW w:w="8771" w:type="dxa"/>
            <w:tcBorders>
              <w:top w:val="nil"/>
              <w:left w:val="nil"/>
              <w:bottom w:val="nil"/>
              <w:right w:val="nil"/>
            </w:tcBorders>
            <w:shd w:val="clear" w:color="auto" w:fill="auto"/>
          </w:tcPr>
          <w:p w:rsidR="005F14B9" w:rsidRPr="00176D3F" w:rsidRDefault="005F14B9" w:rsidP="005D7F02">
            <w:pPr>
              <w:pStyle w:val="Source"/>
            </w:pPr>
            <w:r w:rsidRPr="008C1DD2">
              <w:rPr>
                <w:i/>
              </w:rPr>
              <w:t>Source</w:t>
            </w:r>
            <w:r w:rsidRPr="008C1DD2">
              <w:t xml:space="preserve">: NCVER (unpublished) </w:t>
            </w:r>
            <w:r w:rsidRPr="00BD2563">
              <w:t>Student Outcomes Survey</w:t>
            </w:r>
            <w:r w:rsidRPr="008C1DD2">
              <w:t>; table 5A.</w:t>
            </w:r>
            <w:r w:rsidR="005D7F02">
              <w:t>76</w:t>
            </w:r>
            <w:r w:rsidRPr="008C1DD2">
              <w:t>.</w:t>
            </w:r>
          </w:p>
        </w:tc>
      </w:tr>
      <w:tr w:rsidR="005F14B9" w:rsidTr="005F14B9">
        <w:tc>
          <w:tcPr>
            <w:tcW w:w="8771" w:type="dxa"/>
            <w:tcBorders>
              <w:top w:val="nil"/>
              <w:left w:val="nil"/>
              <w:bottom w:val="single" w:sz="6" w:space="0" w:color="78A22F"/>
              <w:right w:val="nil"/>
            </w:tcBorders>
            <w:shd w:val="clear" w:color="auto" w:fill="auto"/>
          </w:tcPr>
          <w:p w:rsidR="005F14B9" w:rsidRDefault="005F14B9" w:rsidP="005F14B9">
            <w:pPr>
              <w:pStyle w:val="Figurespace"/>
            </w:pPr>
          </w:p>
        </w:tc>
      </w:tr>
      <w:tr w:rsidR="005F14B9" w:rsidRPr="000863A5" w:rsidTr="005F14B9">
        <w:tc>
          <w:tcPr>
            <w:tcW w:w="8771" w:type="dxa"/>
            <w:tcBorders>
              <w:top w:val="single" w:sz="6" w:space="0" w:color="78A22F"/>
              <w:left w:val="nil"/>
              <w:bottom w:val="nil"/>
              <w:right w:val="nil"/>
            </w:tcBorders>
          </w:tcPr>
          <w:p w:rsidR="005F14B9" w:rsidRPr="00626D32" w:rsidRDefault="005F14B9" w:rsidP="005F14B9">
            <w:pPr>
              <w:pStyle w:val="BoxSpaceBelow"/>
            </w:pPr>
          </w:p>
        </w:tc>
      </w:tr>
    </w:tbl>
    <w:p w:rsidR="005F14B9" w:rsidRDefault="005F14B9" w:rsidP="005F14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F14B9" w:rsidTr="005F14B9">
        <w:tc>
          <w:tcPr>
            <w:tcW w:w="8771" w:type="dxa"/>
            <w:tcBorders>
              <w:top w:val="single" w:sz="6" w:space="0" w:color="78A22F"/>
              <w:left w:val="nil"/>
              <w:bottom w:val="nil"/>
              <w:right w:val="nil"/>
            </w:tcBorders>
            <w:shd w:val="clear" w:color="auto" w:fill="auto"/>
          </w:tcPr>
          <w:p w:rsidR="005F14B9" w:rsidRPr="00176D3F" w:rsidRDefault="005F14B9" w:rsidP="00601ED3">
            <w:pPr>
              <w:pStyle w:val="FigureTitle"/>
            </w:pPr>
            <w:r w:rsidRPr="00784A05">
              <w:rPr>
                <w:b w:val="0"/>
              </w:rPr>
              <w:t xml:space="preserve">Figure </w:t>
            </w:r>
            <w:bookmarkStart w:id="61" w:name="OLE_LINK49"/>
            <w:r w:rsidR="003A68D1">
              <w:rPr>
                <w:b w:val="0"/>
              </w:rPr>
              <w:t>5.</w:t>
            </w:r>
            <w:r w:rsidR="00111918">
              <w:rPr>
                <w:b w:val="0"/>
                <w:noProof/>
              </w:rPr>
              <w:t>32</w:t>
            </w:r>
            <w:bookmarkEnd w:id="61"/>
            <w:r>
              <w:tab/>
            </w:r>
            <w:r w:rsidRPr="00612A90">
              <w:t>Proportion of VET graduates who achieved their main reason for doing the course, by target group, 201</w:t>
            </w:r>
            <w:r w:rsidR="000259A7">
              <w:t>4</w:t>
            </w:r>
            <w:r w:rsidR="00601ED3">
              <w:rPr>
                <w:rStyle w:val="NoteLabel"/>
                <w:b/>
              </w:rPr>
              <w:t>a, b</w:t>
            </w:r>
          </w:p>
        </w:tc>
      </w:tr>
      <w:tr w:rsidR="005F14B9" w:rsidTr="005F14B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F14B9" w:rsidTr="00382FC5">
              <w:tc>
                <w:tcPr>
                  <w:tcW w:w="5000" w:type="pct"/>
                  <w:tcBorders>
                    <w:top w:val="nil"/>
                    <w:bottom w:val="nil"/>
                  </w:tcBorders>
                </w:tcPr>
                <w:p w:rsidR="005F14B9" w:rsidRDefault="00303FCA" w:rsidP="005F14B9">
                  <w:pPr>
                    <w:pStyle w:val="Figure"/>
                    <w:spacing w:before="60" w:after="60"/>
                  </w:pPr>
                  <w:r>
                    <w:rPr>
                      <w:noProof/>
                    </w:rPr>
                    <w:drawing>
                      <wp:inline distT="0" distB="0" distL="0" distR="0">
                        <wp:extent cx="5389880" cy="2775585"/>
                        <wp:effectExtent l="0" t="0" r="1270" b="5715"/>
                        <wp:docPr id="48" name="Picture 48" descr="Figure 5.32 Proportion of VET graduates who achieved their main reason for doing the course, by target group,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89880" cy="2775585"/>
                                </a:xfrm>
                                <a:prstGeom prst="rect">
                                  <a:avLst/>
                                </a:prstGeom>
                                <a:noFill/>
                                <a:ln>
                                  <a:noFill/>
                                </a:ln>
                              </pic:spPr>
                            </pic:pic>
                          </a:graphicData>
                        </a:graphic>
                      </wp:inline>
                    </w:drawing>
                  </w:r>
                </w:p>
              </w:tc>
            </w:tr>
          </w:tbl>
          <w:p w:rsidR="005F14B9" w:rsidRDefault="005F14B9" w:rsidP="005F14B9">
            <w:pPr>
              <w:pStyle w:val="Figure"/>
            </w:pPr>
          </w:p>
        </w:tc>
      </w:tr>
      <w:tr w:rsidR="005F14B9" w:rsidRPr="00176D3F" w:rsidTr="005F14B9">
        <w:tc>
          <w:tcPr>
            <w:tcW w:w="8771" w:type="dxa"/>
            <w:tcBorders>
              <w:top w:val="nil"/>
              <w:left w:val="nil"/>
              <w:bottom w:val="nil"/>
              <w:right w:val="nil"/>
            </w:tcBorders>
            <w:shd w:val="clear" w:color="auto" w:fill="auto"/>
          </w:tcPr>
          <w:p w:rsidR="005F14B9" w:rsidRPr="00176D3F" w:rsidRDefault="005D7F02" w:rsidP="009861E8">
            <w:pPr>
              <w:pStyle w:val="Note"/>
            </w:pPr>
            <w:r w:rsidRPr="00171E10">
              <w:rPr>
                <w:rStyle w:val="NoteLabel"/>
              </w:rPr>
              <w:t>a</w:t>
            </w:r>
            <w:r w:rsidRPr="00171E10">
              <w:t xml:space="preserve"> </w:t>
            </w:r>
            <w:r w:rsidR="00B70900" w:rsidRPr="009B6233">
              <w:t xml:space="preserve">There are no remote </w:t>
            </w:r>
            <w:r w:rsidR="00B70900">
              <w:t xml:space="preserve">and very remote data reported for </w:t>
            </w:r>
            <w:r w:rsidR="00B70900" w:rsidRPr="009B6233">
              <w:t xml:space="preserve">Victoria </w:t>
            </w:r>
            <w:r w:rsidR="00B70900">
              <w:t xml:space="preserve">and </w:t>
            </w:r>
            <w:r w:rsidR="00B70900" w:rsidRPr="009B6233">
              <w:t>the ACT.</w:t>
            </w:r>
            <w:r w:rsidRPr="000C682B">
              <w:rPr>
                <w:rStyle w:val="NoteLabel"/>
                <w:shd w:val="clear" w:color="auto" w:fill="FFFFFF" w:themeFill="background1"/>
              </w:rPr>
              <w:t xml:space="preserve"> </w:t>
            </w:r>
            <w:r w:rsidR="009861E8">
              <w:rPr>
                <w:rStyle w:val="NoteLabel"/>
              </w:rPr>
              <w:t>b</w:t>
            </w:r>
            <w:r w:rsidRPr="004B1B81">
              <w:t xml:space="preserve"> </w:t>
            </w:r>
            <w:r w:rsidR="0053766B" w:rsidRPr="006D3797">
              <w:t xml:space="preserve">See box </w:t>
            </w:r>
            <w:r w:rsidR="003A68D1">
              <w:t>5.18</w:t>
            </w:r>
            <w:r w:rsidR="0053766B">
              <w:t xml:space="preserve"> and tables</w:t>
            </w:r>
            <w:r w:rsidR="00DA4D56">
              <w:t> </w:t>
            </w:r>
            <w:r w:rsidR="0053766B" w:rsidRPr="008C1DD2">
              <w:t>5A.</w:t>
            </w:r>
            <w:r w:rsidR="0053766B">
              <w:t>76</w:t>
            </w:r>
            <w:r w:rsidR="0053766B">
              <w:noBreakHyphen/>
              <w:t>77</w:t>
            </w:r>
            <w:r w:rsidR="0053766B" w:rsidRPr="008C1DD2">
              <w:t xml:space="preserve"> and 5A.</w:t>
            </w:r>
            <w:r w:rsidR="0053766B">
              <w:t>82</w:t>
            </w:r>
            <w:r w:rsidR="0053766B" w:rsidRPr="008C1DD2">
              <w:t>–</w:t>
            </w:r>
            <w:r w:rsidR="0053766B">
              <w:t xml:space="preserve">84 </w:t>
            </w:r>
            <w:r w:rsidR="0053766B" w:rsidRPr="006D3797">
              <w:t>for detailed definitions, footnotes and caveats</w:t>
            </w:r>
            <w:r w:rsidRPr="004B1B81">
              <w:t>.</w:t>
            </w:r>
          </w:p>
        </w:tc>
      </w:tr>
      <w:tr w:rsidR="005F14B9" w:rsidRPr="00176D3F" w:rsidTr="005F14B9">
        <w:tc>
          <w:tcPr>
            <w:tcW w:w="8771" w:type="dxa"/>
            <w:tcBorders>
              <w:top w:val="nil"/>
              <w:left w:val="nil"/>
              <w:bottom w:val="nil"/>
              <w:right w:val="nil"/>
            </w:tcBorders>
            <w:shd w:val="clear" w:color="auto" w:fill="auto"/>
          </w:tcPr>
          <w:p w:rsidR="005F14B9" w:rsidRPr="00176D3F" w:rsidRDefault="00C12AD2" w:rsidP="005D7F02">
            <w:pPr>
              <w:pStyle w:val="Source"/>
            </w:pPr>
            <w:r w:rsidRPr="008C1DD2">
              <w:rPr>
                <w:i/>
              </w:rPr>
              <w:t>Source</w:t>
            </w:r>
            <w:r w:rsidRPr="008C1DD2">
              <w:t xml:space="preserve">: NCVER (unpublished) </w:t>
            </w:r>
            <w:r w:rsidRPr="00BD2563">
              <w:t>Student Outcomes Survey</w:t>
            </w:r>
            <w:r w:rsidRPr="008C1DD2">
              <w:t>; tables 5A.</w:t>
            </w:r>
            <w:r w:rsidR="005D7F02">
              <w:t>76</w:t>
            </w:r>
            <w:r w:rsidR="00AD5F7E">
              <w:noBreakHyphen/>
            </w:r>
            <w:r w:rsidR="005D7F02">
              <w:t>77</w:t>
            </w:r>
            <w:r w:rsidRPr="008C1DD2">
              <w:t xml:space="preserve"> and 5A.</w:t>
            </w:r>
            <w:r w:rsidR="005D7F02">
              <w:t>82</w:t>
            </w:r>
            <w:r w:rsidRPr="008C1DD2">
              <w:t>–</w:t>
            </w:r>
            <w:r w:rsidR="005D7F02">
              <w:t>84</w:t>
            </w:r>
            <w:r w:rsidRPr="008C1DD2">
              <w:t>.</w:t>
            </w:r>
          </w:p>
        </w:tc>
      </w:tr>
      <w:tr w:rsidR="005F14B9" w:rsidTr="005F14B9">
        <w:tc>
          <w:tcPr>
            <w:tcW w:w="8771" w:type="dxa"/>
            <w:tcBorders>
              <w:top w:val="nil"/>
              <w:left w:val="nil"/>
              <w:bottom w:val="single" w:sz="6" w:space="0" w:color="78A22F"/>
              <w:right w:val="nil"/>
            </w:tcBorders>
            <w:shd w:val="clear" w:color="auto" w:fill="auto"/>
          </w:tcPr>
          <w:p w:rsidR="005F14B9" w:rsidRDefault="005F14B9" w:rsidP="00601ED3">
            <w:pPr>
              <w:pStyle w:val="Figurespace"/>
              <w:keepNext w:val="0"/>
            </w:pPr>
          </w:p>
        </w:tc>
      </w:tr>
    </w:tbl>
    <w:p w:rsidR="00CA12E6" w:rsidRPr="00EF5A5F" w:rsidRDefault="00CA12E6" w:rsidP="0012147B">
      <w:pPr>
        <w:pStyle w:val="BodyText"/>
        <w:rPr>
          <w:b/>
          <w:noProof/>
        </w:rPr>
      </w:pPr>
      <w:r w:rsidRPr="00EF5A5F">
        <w:rPr>
          <w:noProof/>
        </w:rPr>
        <w:lastRenderedPageBreak/>
        <w:t>Table</w:t>
      </w:r>
      <w:r w:rsidR="00E7521A" w:rsidRPr="00EF5A5F">
        <w:rPr>
          <w:noProof/>
        </w:rPr>
        <w:t>s</w:t>
      </w:r>
      <w:r w:rsidRPr="00EF5A5F">
        <w:rPr>
          <w:noProof/>
        </w:rPr>
        <w:t xml:space="preserve"> </w:t>
      </w:r>
      <w:r w:rsidR="00807E6E" w:rsidRPr="00EF5A5F">
        <w:rPr>
          <w:noProof/>
        </w:rPr>
        <w:t>5A.</w:t>
      </w:r>
      <w:r w:rsidR="005D7F02">
        <w:rPr>
          <w:noProof/>
        </w:rPr>
        <w:t>78</w:t>
      </w:r>
      <w:r w:rsidR="00822B73" w:rsidRPr="00EF5A5F">
        <w:rPr>
          <w:noProof/>
        </w:rPr>
        <w:t>–</w:t>
      </w:r>
      <w:r w:rsidR="005D7F02">
        <w:rPr>
          <w:noProof/>
        </w:rPr>
        <w:t>81</w:t>
      </w:r>
      <w:r w:rsidR="00807E6E" w:rsidRPr="00EF5A5F">
        <w:rPr>
          <w:noProof/>
        </w:rPr>
        <w:t xml:space="preserve"> </w:t>
      </w:r>
      <w:r w:rsidRPr="00EF5A5F">
        <w:rPr>
          <w:noProof/>
        </w:rPr>
        <w:t xml:space="preserve">provide additional information on </w:t>
      </w:r>
      <w:r w:rsidR="003A6FD1" w:rsidRPr="00EF5A5F">
        <w:rPr>
          <w:noProof/>
        </w:rPr>
        <w:t xml:space="preserve">whether the course helped </w:t>
      </w:r>
      <w:r w:rsidR="00807E6E" w:rsidRPr="00EF5A5F">
        <w:rPr>
          <w:noProof/>
        </w:rPr>
        <w:t>non</w:t>
      </w:r>
      <w:r w:rsidR="00A64F4F" w:rsidRPr="00EF5A5F">
        <w:rPr>
          <w:noProof/>
        </w:rPr>
        <w:noBreakHyphen/>
      </w:r>
      <w:r w:rsidR="00807E6E" w:rsidRPr="00EF5A5F">
        <w:rPr>
          <w:noProof/>
        </w:rPr>
        <w:t xml:space="preserve">Indigenous </w:t>
      </w:r>
      <w:r w:rsidR="003A6FD1" w:rsidRPr="00EF5A5F">
        <w:rPr>
          <w:noProof/>
        </w:rPr>
        <w:t>graduates</w:t>
      </w:r>
      <w:r w:rsidR="00B42540" w:rsidRPr="00EF5A5F">
        <w:rPr>
          <w:noProof/>
        </w:rPr>
        <w:t>, g</w:t>
      </w:r>
      <w:r w:rsidR="00807E6E" w:rsidRPr="00EF5A5F">
        <w:rPr>
          <w:noProof/>
        </w:rPr>
        <w:t>raduates</w:t>
      </w:r>
      <w:r w:rsidR="003A6FD1" w:rsidRPr="00EF5A5F">
        <w:rPr>
          <w:noProof/>
        </w:rPr>
        <w:t xml:space="preserve"> from major cities, </w:t>
      </w:r>
      <w:r w:rsidR="00F80F44" w:rsidRPr="00EF5A5F">
        <w:rPr>
          <w:noProof/>
        </w:rPr>
        <w:t xml:space="preserve">from </w:t>
      </w:r>
      <w:r w:rsidR="003A6FD1" w:rsidRPr="00EF5A5F">
        <w:rPr>
          <w:noProof/>
        </w:rPr>
        <w:t xml:space="preserve">inner regional areas and </w:t>
      </w:r>
      <w:r w:rsidR="00F80F44" w:rsidRPr="00EF5A5F">
        <w:rPr>
          <w:noProof/>
        </w:rPr>
        <w:t xml:space="preserve">from </w:t>
      </w:r>
      <w:r w:rsidR="003A6FD1" w:rsidRPr="00EF5A5F">
        <w:rPr>
          <w:noProof/>
        </w:rPr>
        <w:t>outer regional areas</w:t>
      </w:r>
      <w:r w:rsidR="00F80F44" w:rsidRPr="00EF5A5F">
        <w:rPr>
          <w:noProof/>
        </w:rPr>
        <w:t>,</w:t>
      </w:r>
      <w:r w:rsidR="003A6FD1" w:rsidRPr="00EF5A5F">
        <w:rPr>
          <w:noProof/>
        </w:rPr>
        <w:t xml:space="preserve"> achieve their main reason for undertaking training.</w:t>
      </w:r>
    </w:p>
    <w:p w:rsidR="00C57336" w:rsidRPr="00EF5A5F" w:rsidRDefault="008A255F" w:rsidP="009012C7">
      <w:pPr>
        <w:pStyle w:val="Heading5"/>
      </w:pPr>
      <w:r>
        <w:t>S</w:t>
      </w:r>
      <w:r w:rsidR="00C57336" w:rsidRPr="00EF5A5F">
        <w:t xml:space="preserve">tudents who were satisfied with the quality of their completed training </w:t>
      </w:r>
    </w:p>
    <w:p w:rsidR="006D3A8A" w:rsidRPr="00A15A09" w:rsidRDefault="00C57336" w:rsidP="0014685B">
      <w:pPr>
        <w:pStyle w:val="BodyText"/>
      </w:pPr>
      <w:r w:rsidRPr="00A15A09">
        <w:t xml:space="preserve">In </w:t>
      </w:r>
      <w:r w:rsidR="00822B73" w:rsidRPr="00A15A09">
        <w:t>201</w:t>
      </w:r>
      <w:r w:rsidR="000259A7">
        <w:t>4</w:t>
      </w:r>
      <w:r w:rsidRPr="00A15A09">
        <w:t xml:space="preserve">, </w:t>
      </w:r>
      <w:r w:rsidR="00347B09">
        <w:t>87.</w:t>
      </w:r>
      <w:r w:rsidR="000259A7">
        <w:t>6</w:t>
      </w:r>
      <w:r w:rsidR="001812D4">
        <w:t xml:space="preserve"> </w:t>
      </w:r>
      <w:r w:rsidRPr="00A15A09">
        <w:t>per</w:t>
      </w:r>
      <w:r w:rsidR="001812D4">
        <w:t xml:space="preserve"> </w:t>
      </w:r>
      <w:r w:rsidRPr="00A15A09">
        <w:t xml:space="preserve">cent of </w:t>
      </w:r>
      <w:r w:rsidR="00772CC0" w:rsidRPr="00A15A09">
        <w:t xml:space="preserve">all </w:t>
      </w:r>
      <w:r w:rsidR="00A85AD7" w:rsidRPr="00A15A09">
        <w:t xml:space="preserve">government funded VET </w:t>
      </w:r>
      <w:r w:rsidRPr="00A15A09">
        <w:t>graduates nationally indicated that they were satisfied with the quality of t</w:t>
      </w:r>
      <w:r w:rsidR="00C020A2" w:rsidRPr="00A15A09">
        <w:t>heir completed training</w:t>
      </w:r>
      <w:r w:rsidR="001622AA">
        <w:t xml:space="preserve"> </w:t>
      </w:r>
      <w:r w:rsidR="001622AA" w:rsidRPr="003A425B">
        <w:t xml:space="preserve">(figure </w:t>
      </w:r>
      <w:r w:rsidR="003A68D1">
        <w:t>5.33</w:t>
      </w:r>
      <w:r w:rsidR="001622AA" w:rsidRPr="003A425B">
        <w:t>)</w:t>
      </w:r>
      <w:r w:rsidR="001D0328" w:rsidRPr="00A15A09">
        <w:t xml:space="preserve">, representing an increase of </w:t>
      </w:r>
      <w:r w:rsidR="002312FF">
        <w:t>0.</w:t>
      </w:r>
      <w:r w:rsidR="000259A7">
        <w:t>9</w:t>
      </w:r>
      <w:r w:rsidR="001812D4">
        <w:t xml:space="preserve"> </w:t>
      </w:r>
      <w:r w:rsidR="001D0328" w:rsidRPr="00A15A09">
        <w:t xml:space="preserve">percentage points from </w:t>
      </w:r>
      <w:r w:rsidR="002312FF">
        <w:t xml:space="preserve">2005 </w:t>
      </w:r>
      <w:r w:rsidR="005D20B0" w:rsidRPr="00A15A09">
        <w:t>(</w:t>
      </w:r>
      <w:r w:rsidR="004B357D" w:rsidRPr="00A15A09">
        <w:t>table</w:t>
      </w:r>
      <w:r w:rsidR="001812D4">
        <w:t xml:space="preserve"> </w:t>
      </w:r>
      <w:r w:rsidR="004434F7" w:rsidRPr="00A15A09">
        <w:t>5A.</w:t>
      </w:r>
      <w:r w:rsidR="00770610">
        <w:t>85</w:t>
      </w:r>
      <w:r w:rsidR="004434F7" w:rsidRPr="00A15A09">
        <w:t>)</w:t>
      </w:r>
      <w:r w:rsidR="005D20B0" w:rsidRPr="00A15A09">
        <w:t>.</w:t>
      </w:r>
    </w:p>
    <w:p w:rsidR="005D20B0" w:rsidRPr="00EF5A5F" w:rsidRDefault="004434F7" w:rsidP="00817E3B">
      <w:pPr>
        <w:pStyle w:val="BodyText"/>
      </w:pPr>
      <w:r w:rsidRPr="00EF5A5F">
        <w:t>The satisfaction level</w:t>
      </w:r>
      <w:r w:rsidR="004B357D" w:rsidRPr="00EF5A5F">
        <w:t>s</w:t>
      </w:r>
      <w:r w:rsidRPr="00EF5A5F">
        <w:t xml:space="preserve"> across target groups </w:t>
      </w:r>
      <w:r w:rsidR="001D0328" w:rsidRPr="00EF5A5F">
        <w:t xml:space="preserve">in </w:t>
      </w:r>
      <w:r w:rsidR="00822B73">
        <w:t>201</w:t>
      </w:r>
      <w:r w:rsidR="00575B3B">
        <w:t>4</w:t>
      </w:r>
      <w:r w:rsidR="00822B73" w:rsidRPr="00EF5A5F">
        <w:t xml:space="preserve"> </w:t>
      </w:r>
      <w:r w:rsidRPr="00EF5A5F">
        <w:t xml:space="preserve">were </w:t>
      </w:r>
      <w:r w:rsidR="001D0328" w:rsidRPr="00EF5A5F">
        <w:t>as follows</w:t>
      </w:r>
      <w:r w:rsidR="005D20B0" w:rsidRPr="00EF5A5F">
        <w:t>:</w:t>
      </w:r>
      <w:r w:rsidR="009E4E7B" w:rsidRPr="00EF5A5F">
        <w:t xml:space="preserve"> </w:t>
      </w:r>
    </w:p>
    <w:p w:rsidR="00575B3B" w:rsidRPr="003A425B" w:rsidRDefault="00575B3B" w:rsidP="00575B3B">
      <w:pPr>
        <w:pStyle w:val="ListBullet"/>
      </w:pPr>
      <w:r w:rsidRPr="003A425B">
        <w:t>graduates from remote and very remote areas (</w:t>
      </w:r>
      <w:r>
        <w:t xml:space="preserve">89.7 </w:t>
      </w:r>
      <w:r w:rsidRPr="003A425B">
        <w:t>per</w:t>
      </w:r>
      <w:r>
        <w:t xml:space="preserve"> </w:t>
      </w:r>
      <w:r w:rsidRPr="003A425B">
        <w:t>cent)</w:t>
      </w:r>
      <w:r w:rsidR="00CD5C61">
        <w:t xml:space="preserve"> </w:t>
      </w:r>
    </w:p>
    <w:p w:rsidR="00575B3B" w:rsidRDefault="00575B3B" w:rsidP="00575B3B">
      <w:pPr>
        <w:pStyle w:val="ListBullet"/>
      </w:pPr>
      <w:r>
        <w:t xml:space="preserve">Aboriginal and Torres Strait Islander </w:t>
      </w:r>
      <w:r w:rsidRPr="003A425B">
        <w:t>graduates (</w:t>
      </w:r>
      <w:r>
        <w:t xml:space="preserve">90.9 </w:t>
      </w:r>
      <w:r w:rsidRPr="003A425B">
        <w:t>per</w:t>
      </w:r>
      <w:r>
        <w:t xml:space="preserve"> </w:t>
      </w:r>
      <w:r w:rsidRPr="003A425B">
        <w:t>cent)</w:t>
      </w:r>
      <w:r w:rsidR="00174549">
        <w:t xml:space="preserve"> — </w:t>
      </w:r>
      <w:r w:rsidR="00174549" w:rsidRPr="00E735EE">
        <w:t xml:space="preserve">an increase </w:t>
      </w:r>
      <w:r w:rsidR="00174549" w:rsidRPr="00A26D57">
        <w:t xml:space="preserve">of </w:t>
      </w:r>
      <w:r w:rsidR="00174549" w:rsidRPr="00233108">
        <w:t>8.</w:t>
      </w:r>
      <w:r w:rsidR="00174549">
        <w:t>1 </w:t>
      </w:r>
      <w:r w:rsidR="00174549" w:rsidRPr="00233108">
        <w:t>percentage points from 2005</w:t>
      </w:r>
      <w:r w:rsidR="00174549" w:rsidRPr="00E735EE">
        <w:t xml:space="preserve"> </w:t>
      </w:r>
      <w:r w:rsidR="00174549" w:rsidRPr="00233108">
        <w:t>(table 5A.</w:t>
      </w:r>
      <w:r w:rsidR="001622AA">
        <w:t>87</w:t>
      </w:r>
      <w:r w:rsidR="00174549">
        <w:t>)</w:t>
      </w:r>
    </w:p>
    <w:p w:rsidR="00575B3B" w:rsidRPr="003A425B" w:rsidRDefault="00575B3B" w:rsidP="00575B3B">
      <w:pPr>
        <w:pStyle w:val="ListBullet"/>
      </w:pPr>
      <w:r w:rsidRPr="003A425B">
        <w:t xml:space="preserve">graduates speaking a </w:t>
      </w:r>
      <w:r w:rsidR="00AE1BEE">
        <w:t>LOTE</w:t>
      </w:r>
      <w:r w:rsidRPr="003A425B">
        <w:t xml:space="preserve"> at home (</w:t>
      </w:r>
      <w:r>
        <w:t xml:space="preserve">88.9 </w:t>
      </w:r>
      <w:r w:rsidRPr="003A425B">
        <w:t>per</w:t>
      </w:r>
      <w:r>
        <w:t xml:space="preserve"> </w:t>
      </w:r>
      <w:r w:rsidRPr="003A425B">
        <w:t>cent)</w:t>
      </w:r>
    </w:p>
    <w:p w:rsidR="00817E3B" w:rsidRPr="003A425B" w:rsidRDefault="00817E3B" w:rsidP="0012147B">
      <w:pPr>
        <w:pStyle w:val="ListBullet"/>
      </w:pPr>
      <w:r w:rsidRPr="00EF5A5F">
        <w:t xml:space="preserve">graduates with </w:t>
      </w:r>
      <w:r w:rsidRPr="003A425B">
        <w:t>disability (</w:t>
      </w:r>
      <w:r w:rsidR="002312FF">
        <w:t>8</w:t>
      </w:r>
      <w:r w:rsidR="00575B3B">
        <w:t>5.2</w:t>
      </w:r>
      <w:r w:rsidR="001812D4">
        <w:t xml:space="preserve"> </w:t>
      </w:r>
      <w:r w:rsidRPr="003A425B">
        <w:t>per</w:t>
      </w:r>
      <w:r w:rsidR="001812D4">
        <w:t xml:space="preserve"> </w:t>
      </w:r>
      <w:r w:rsidRPr="003A425B">
        <w:t>cent)</w:t>
      </w:r>
      <w:r w:rsidR="00575B3B" w:rsidRPr="00575B3B">
        <w:t xml:space="preserve"> </w:t>
      </w:r>
      <w:r w:rsidR="00575B3B" w:rsidRPr="003A425B">
        <w:t xml:space="preserve">(figure </w:t>
      </w:r>
      <w:r w:rsidR="003A68D1">
        <w:t>5.33</w:t>
      </w:r>
      <w:r w:rsidR="00575B3B" w:rsidRPr="003A425B">
        <w:t>).</w:t>
      </w:r>
    </w:p>
    <w:p w:rsidR="00C12AD2" w:rsidRDefault="00C12AD2" w:rsidP="00804C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12AD2" w:rsidTr="00804C04">
        <w:tc>
          <w:tcPr>
            <w:tcW w:w="8771" w:type="dxa"/>
            <w:tcBorders>
              <w:top w:val="single" w:sz="6" w:space="0" w:color="78A22F"/>
              <w:left w:val="nil"/>
              <w:bottom w:val="nil"/>
              <w:right w:val="nil"/>
            </w:tcBorders>
            <w:shd w:val="clear" w:color="auto" w:fill="auto"/>
          </w:tcPr>
          <w:p w:rsidR="00C12AD2" w:rsidRPr="00176D3F" w:rsidRDefault="00C12AD2" w:rsidP="001622AA">
            <w:pPr>
              <w:pStyle w:val="FigureTitle"/>
            </w:pPr>
            <w:r w:rsidRPr="00784A05">
              <w:rPr>
                <w:b w:val="0"/>
              </w:rPr>
              <w:t xml:space="preserve">Figure </w:t>
            </w:r>
            <w:bookmarkStart w:id="62" w:name="OLE_LINK50"/>
            <w:r w:rsidR="003A68D1">
              <w:rPr>
                <w:b w:val="0"/>
              </w:rPr>
              <w:t>5.</w:t>
            </w:r>
            <w:r w:rsidR="00111918">
              <w:rPr>
                <w:b w:val="0"/>
                <w:noProof/>
              </w:rPr>
              <w:t>33</w:t>
            </w:r>
            <w:bookmarkEnd w:id="62"/>
            <w:r>
              <w:tab/>
            </w:r>
            <w:r w:rsidRPr="00612A90">
              <w:t>Proportion of VET graduates who were satisfied with the quality of their completed course, by target group, 201</w:t>
            </w:r>
            <w:r w:rsidR="00296B8F">
              <w:t>4</w:t>
            </w:r>
            <w:r w:rsidRPr="00612A90">
              <w:rPr>
                <w:rStyle w:val="NoteLabel"/>
                <w:b/>
              </w:rPr>
              <w:t>a, b</w:t>
            </w:r>
          </w:p>
        </w:tc>
      </w:tr>
      <w:tr w:rsidR="00C12AD2"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12AD2" w:rsidTr="00C12AD2">
              <w:tc>
                <w:tcPr>
                  <w:tcW w:w="5000" w:type="pct"/>
                  <w:tcBorders>
                    <w:top w:val="nil"/>
                    <w:bottom w:val="nil"/>
                  </w:tcBorders>
                </w:tcPr>
                <w:p w:rsidR="00C12AD2" w:rsidRDefault="00303FCA" w:rsidP="00804C04">
                  <w:pPr>
                    <w:pStyle w:val="Figure"/>
                    <w:spacing w:before="60" w:after="60"/>
                  </w:pPr>
                  <w:r>
                    <w:rPr>
                      <w:noProof/>
                    </w:rPr>
                    <w:drawing>
                      <wp:inline distT="0" distB="0" distL="0" distR="0">
                        <wp:extent cx="5389880" cy="2775585"/>
                        <wp:effectExtent l="0" t="0" r="1270" b="5715"/>
                        <wp:docPr id="49" name="Picture 49" descr="Figure 5.33 Proportion of VET graduates who were satisfied with the quality of their completed course, by target group,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389880" cy="2775585"/>
                                </a:xfrm>
                                <a:prstGeom prst="rect">
                                  <a:avLst/>
                                </a:prstGeom>
                                <a:noFill/>
                                <a:ln>
                                  <a:noFill/>
                                </a:ln>
                              </pic:spPr>
                            </pic:pic>
                          </a:graphicData>
                        </a:graphic>
                      </wp:inline>
                    </w:drawing>
                  </w:r>
                </w:p>
              </w:tc>
            </w:tr>
          </w:tbl>
          <w:p w:rsidR="00C12AD2" w:rsidRDefault="00C12AD2" w:rsidP="00804C04">
            <w:pPr>
              <w:pStyle w:val="Figure"/>
            </w:pPr>
          </w:p>
        </w:tc>
      </w:tr>
      <w:tr w:rsidR="00C12AD2" w:rsidRPr="00176D3F" w:rsidTr="00804C04">
        <w:tc>
          <w:tcPr>
            <w:tcW w:w="8771" w:type="dxa"/>
            <w:tcBorders>
              <w:top w:val="nil"/>
              <w:left w:val="nil"/>
              <w:bottom w:val="nil"/>
              <w:right w:val="nil"/>
            </w:tcBorders>
            <w:shd w:val="clear" w:color="auto" w:fill="auto"/>
          </w:tcPr>
          <w:p w:rsidR="00C12AD2" w:rsidRPr="00176D3F" w:rsidRDefault="00770610" w:rsidP="009861E8">
            <w:pPr>
              <w:pStyle w:val="Note"/>
            </w:pPr>
            <w:r w:rsidRPr="00171E10">
              <w:rPr>
                <w:rStyle w:val="NoteLabel"/>
              </w:rPr>
              <w:t>a</w:t>
            </w:r>
            <w:r w:rsidRPr="004B1B81">
              <w:t xml:space="preserve"> </w:t>
            </w:r>
            <w:r w:rsidR="00B70900" w:rsidRPr="009B6233">
              <w:t xml:space="preserve">There are no remote </w:t>
            </w:r>
            <w:r w:rsidR="00B70900">
              <w:t xml:space="preserve">and very remote data reported for </w:t>
            </w:r>
            <w:r w:rsidR="00B70900" w:rsidRPr="009B6233">
              <w:t xml:space="preserve">Victoria </w:t>
            </w:r>
            <w:r w:rsidR="00B70900">
              <w:t xml:space="preserve">and </w:t>
            </w:r>
            <w:r w:rsidR="00B70900" w:rsidRPr="009B6233">
              <w:t>the ACT.</w:t>
            </w:r>
            <w:r w:rsidR="00B70900">
              <w:t xml:space="preserve"> </w:t>
            </w:r>
            <w:r w:rsidR="009861E8">
              <w:rPr>
                <w:rStyle w:val="NoteLabel"/>
              </w:rPr>
              <w:t>b</w:t>
            </w:r>
            <w:r w:rsidR="00B70900">
              <w:t xml:space="preserve"> </w:t>
            </w:r>
            <w:r w:rsidR="0053766B" w:rsidRPr="006D3797">
              <w:t xml:space="preserve">See box </w:t>
            </w:r>
            <w:r w:rsidR="003A68D1">
              <w:t>5.18</w:t>
            </w:r>
            <w:r w:rsidR="0053766B">
              <w:t xml:space="preserve"> and tables</w:t>
            </w:r>
            <w:r w:rsidR="00DA4D56">
              <w:t> </w:t>
            </w:r>
            <w:r w:rsidR="0053766B" w:rsidRPr="008C1DD2">
              <w:t>5A.</w:t>
            </w:r>
            <w:r w:rsidR="0053766B">
              <w:t>85</w:t>
            </w:r>
            <w:r w:rsidR="00DA4D56">
              <w:noBreakHyphen/>
            </w:r>
            <w:r w:rsidR="0053766B">
              <w:t>86</w:t>
            </w:r>
            <w:r w:rsidR="0053766B" w:rsidRPr="008C1DD2">
              <w:t xml:space="preserve"> and 5A.</w:t>
            </w:r>
            <w:r w:rsidR="0053766B">
              <w:t>91</w:t>
            </w:r>
            <w:r w:rsidR="0053766B" w:rsidRPr="008C1DD2">
              <w:t>–</w:t>
            </w:r>
            <w:r w:rsidR="0053766B">
              <w:t xml:space="preserve">93 </w:t>
            </w:r>
            <w:r w:rsidR="0053766B" w:rsidRPr="006D3797">
              <w:t xml:space="preserve"> for detailed definitions, footnotes and caveats</w:t>
            </w:r>
            <w:r w:rsidRPr="004B1B81">
              <w:t>.</w:t>
            </w:r>
          </w:p>
        </w:tc>
      </w:tr>
      <w:tr w:rsidR="00C12AD2" w:rsidRPr="00176D3F" w:rsidTr="00804C04">
        <w:tc>
          <w:tcPr>
            <w:tcW w:w="8771" w:type="dxa"/>
            <w:tcBorders>
              <w:top w:val="nil"/>
              <w:left w:val="nil"/>
              <w:bottom w:val="nil"/>
              <w:right w:val="nil"/>
            </w:tcBorders>
            <w:shd w:val="clear" w:color="auto" w:fill="auto"/>
          </w:tcPr>
          <w:p w:rsidR="00C12AD2" w:rsidRPr="00176D3F" w:rsidRDefault="00C12AD2" w:rsidP="00915131">
            <w:pPr>
              <w:pStyle w:val="Source"/>
            </w:pPr>
            <w:r w:rsidRPr="008C1DD2">
              <w:rPr>
                <w:i/>
              </w:rPr>
              <w:t>Source</w:t>
            </w:r>
            <w:r w:rsidRPr="008C1DD2">
              <w:t xml:space="preserve">: NCVER (unpublished) </w:t>
            </w:r>
            <w:r w:rsidRPr="00B67641">
              <w:t>Student Outcomes Survey</w:t>
            </w:r>
            <w:r w:rsidRPr="008C1DD2">
              <w:t xml:space="preserve">; tables </w:t>
            </w:r>
            <w:r w:rsidR="00CE6769" w:rsidRPr="008C1DD2">
              <w:t>5A.</w:t>
            </w:r>
            <w:r w:rsidR="00CE6769">
              <w:t>85</w:t>
            </w:r>
            <w:r w:rsidR="00AD5F7E">
              <w:noBreakHyphen/>
            </w:r>
            <w:r w:rsidR="00CE6769">
              <w:t>86</w:t>
            </w:r>
            <w:r w:rsidR="00CE6769" w:rsidRPr="008C1DD2">
              <w:t xml:space="preserve"> and 5A.</w:t>
            </w:r>
            <w:r w:rsidR="00CE6769">
              <w:t>91</w:t>
            </w:r>
            <w:r w:rsidR="00CE6769" w:rsidRPr="008C1DD2">
              <w:t>–</w:t>
            </w:r>
            <w:r w:rsidR="00CE6769">
              <w:t>93</w:t>
            </w:r>
            <w:r w:rsidRPr="008C1DD2">
              <w:t>.</w:t>
            </w:r>
          </w:p>
        </w:tc>
      </w:tr>
      <w:tr w:rsidR="00C12AD2" w:rsidTr="00804C04">
        <w:tc>
          <w:tcPr>
            <w:tcW w:w="8771" w:type="dxa"/>
            <w:tcBorders>
              <w:top w:val="nil"/>
              <w:left w:val="nil"/>
              <w:bottom w:val="single" w:sz="6" w:space="0" w:color="78A22F"/>
              <w:right w:val="nil"/>
            </w:tcBorders>
            <w:shd w:val="clear" w:color="auto" w:fill="auto"/>
          </w:tcPr>
          <w:p w:rsidR="00C12AD2" w:rsidRDefault="00C12AD2" w:rsidP="00804C04">
            <w:pPr>
              <w:pStyle w:val="Figurespace"/>
            </w:pPr>
          </w:p>
        </w:tc>
      </w:tr>
      <w:tr w:rsidR="00C12AD2" w:rsidRPr="000863A5" w:rsidTr="00804C04">
        <w:tc>
          <w:tcPr>
            <w:tcW w:w="8771" w:type="dxa"/>
            <w:tcBorders>
              <w:top w:val="single" w:sz="6" w:space="0" w:color="78A22F"/>
              <w:left w:val="nil"/>
              <w:bottom w:val="nil"/>
              <w:right w:val="nil"/>
            </w:tcBorders>
          </w:tcPr>
          <w:p w:rsidR="00C12AD2" w:rsidRPr="00626D32" w:rsidRDefault="00C12AD2" w:rsidP="00804C04">
            <w:pPr>
              <w:pStyle w:val="BoxSpaceBelow"/>
            </w:pPr>
          </w:p>
        </w:tc>
      </w:tr>
    </w:tbl>
    <w:p w:rsidR="00972ECF" w:rsidRDefault="00FB3C30" w:rsidP="0012147B">
      <w:pPr>
        <w:pStyle w:val="BodyText"/>
      </w:pPr>
      <w:r w:rsidRPr="00E735EE">
        <w:t>Nationally in 201</w:t>
      </w:r>
      <w:r w:rsidR="00174549">
        <w:t>4</w:t>
      </w:r>
      <w:r w:rsidRPr="00E735EE">
        <w:t xml:space="preserve">, </w:t>
      </w:r>
      <w:r w:rsidR="00B45581" w:rsidRPr="00F74889">
        <w:t>87.</w:t>
      </w:r>
      <w:r w:rsidR="0019020B" w:rsidRPr="00F74889">
        <w:t>6</w:t>
      </w:r>
      <w:r w:rsidR="00B45581" w:rsidRPr="00F74889">
        <w:t xml:space="preserve"> per cent </w:t>
      </w:r>
      <w:r w:rsidR="00CD5C61">
        <w:t xml:space="preserve">of graduates </w:t>
      </w:r>
      <w:r w:rsidRPr="00E735EE">
        <w:t>who had been seeking employment</w:t>
      </w:r>
      <w:r w:rsidR="001622AA">
        <w:noBreakHyphen/>
      </w:r>
      <w:r w:rsidRPr="00E735EE">
        <w:t xml:space="preserve">related outcomes </w:t>
      </w:r>
      <w:r w:rsidR="00B45581">
        <w:t xml:space="preserve">were </w:t>
      </w:r>
      <w:r w:rsidR="00CD5C61">
        <w:t>satisfied with the quality of their completed course</w:t>
      </w:r>
      <w:r w:rsidR="0019020B" w:rsidRPr="00F74889">
        <w:t xml:space="preserve">. This is </w:t>
      </w:r>
      <w:r w:rsidR="004244B8" w:rsidRPr="00F74889">
        <w:t xml:space="preserve">a similar </w:t>
      </w:r>
      <w:r w:rsidR="004244B8" w:rsidRPr="00F74889">
        <w:lastRenderedPageBreak/>
        <w:t xml:space="preserve">outcome </w:t>
      </w:r>
      <w:r w:rsidR="0019020B" w:rsidRPr="00F74889">
        <w:t>to</w:t>
      </w:r>
      <w:r w:rsidR="0019020B">
        <w:t xml:space="preserve"> </w:t>
      </w:r>
      <w:r w:rsidR="00CD5C61">
        <w:t xml:space="preserve">graduates seeking further study outcomes (86.6 per cent satisfied) </w:t>
      </w:r>
      <w:r w:rsidR="00B45581">
        <w:t>and</w:t>
      </w:r>
      <w:r w:rsidR="00CD5C61">
        <w:t xml:space="preserve"> graduates seeking personal development outcomes (88.2 per cent) </w:t>
      </w:r>
      <w:r w:rsidR="00C57336" w:rsidRPr="00EF5A5F">
        <w:t xml:space="preserve">(figure </w:t>
      </w:r>
      <w:r w:rsidR="003A68D1">
        <w:t>5.34</w:t>
      </w:r>
      <w:r w:rsidR="00C57336" w:rsidRPr="00EF5A5F">
        <w:t xml:space="preserve">). </w:t>
      </w:r>
    </w:p>
    <w:p w:rsidR="00C12AD2" w:rsidRDefault="00C12AD2" w:rsidP="00804C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12AD2" w:rsidTr="00804C04">
        <w:tc>
          <w:tcPr>
            <w:tcW w:w="8771" w:type="dxa"/>
            <w:tcBorders>
              <w:top w:val="single" w:sz="6" w:space="0" w:color="78A22F"/>
              <w:left w:val="nil"/>
              <w:bottom w:val="nil"/>
              <w:right w:val="nil"/>
            </w:tcBorders>
            <w:shd w:val="clear" w:color="auto" w:fill="auto"/>
          </w:tcPr>
          <w:p w:rsidR="00C12AD2" w:rsidRPr="00176D3F" w:rsidRDefault="00C12AD2" w:rsidP="001622AA">
            <w:pPr>
              <w:pStyle w:val="FigureTitle"/>
            </w:pPr>
            <w:r w:rsidRPr="00784A05">
              <w:rPr>
                <w:b w:val="0"/>
              </w:rPr>
              <w:t xml:space="preserve">Figure </w:t>
            </w:r>
            <w:bookmarkStart w:id="63" w:name="OLE_LINK60"/>
            <w:r w:rsidR="003A68D1">
              <w:rPr>
                <w:b w:val="0"/>
              </w:rPr>
              <w:t>5.</w:t>
            </w:r>
            <w:r w:rsidR="00111918">
              <w:rPr>
                <w:b w:val="0"/>
                <w:noProof/>
              </w:rPr>
              <w:t>34</w:t>
            </w:r>
            <w:bookmarkEnd w:id="63"/>
            <w:r>
              <w:tab/>
            </w:r>
            <w:r w:rsidRPr="006C44D6">
              <w:t>Proportion of VET graduates who were satisfied with the quality of their completed course, by purpose of study, 201</w:t>
            </w:r>
            <w:r w:rsidR="00B70900">
              <w:t>4</w:t>
            </w:r>
            <w:r w:rsidR="009861E8">
              <w:rPr>
                <w:rStyle w:val="NoteLabel"/>
                <w:b/>
              </w:rPr>
              <w:t>a</w:t>
            </w:r>
          </w:p>
        </w:tc>
      </w:tr>
      <w:tr w:rsidR="00C12AD2"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12AD2" w:rsidTr="00C12AD2">
              <w:tc>
                <w:tcPr>
                  <w:tcW w:w="5000" w:type="pct"/>
                  <w:tcBorders>
                    <w:top w:val="nil"/>
                    <w:bottom w:val="nil"/>
                  </w:tcBorders>
                </w:tcPr>
                <w:p w:rsidR="00C12AD2" w:rsidRDefault="000308A8" w:rsidP="00CE6769">
                  <w:pPr>
                    <w:pStyle w:val="Figure"/>
                    <w:spacing w:before="60" w:after="60"/>
                  </w:pPr>
                  <w:r>
                    <w:rPr>
                      <w:noProof/>
                    </w:rPr>
                    <w:drawing>
                      <wp:inline distT="0" distB="0" distL="0" distR="0">
                        <wp:extent cx="5389880" cy="2710815"/>
                        <wp:effectExtent l="0" t="0" r="1270" b="0"/>
                        <wp:docPr id="50" name="Picture 50" descr="Figure 5.34 Proportion of VET graduates who were satisfied with the quality of their completed course, by purpose of study,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C12AD2" w:rsidRDefault="00C12AD2" w:rsidP="00804C04">
            <w:pPr>
              <w:pStyle w:val="Figure"/>
            </w:pPr>
          </w:p>
        </w:tc>
      </w:tr>
      <w:tr w:rsidR="00C12AD2" w:rsidRPr="00176D3F" w:rsidTr="00804C04">
        <w:tc>
          <w:tcPr>
            <w:tcW w:w="8771" w:type="dxa"/>
            <w:tcBorders>
              <w:top w:val="nil"/>
              <w:left w:val="nil"/>
              <w:bottom w:val="nil"/>
              <w:right w:val="nil"/>
            </w:tcBorders>
            <w:shd w:val="clear" w:color="auto" w:fill="auto"/>
          </w:tcPr>
          <w:p w:rsidR="00C12AD2" w:rsidRPr="00176D3F" w:rsidRDefault="00CE6769" w:rsidP="009861E8">
            <w:pPr>
              <w:pStyle w:val="Note"/>
            </w:pPr>
            <w:r w:rsidRPr="00171E10">
              <w:rPr>
                <w:rStyle w:val="NoteLabel"/>
              </w:rPr>
              <w:t>a</w:t>
            </w:r>
            <w:r w:rsidRPr="00171E10">
              <w:t xml:space="preserve"> </w:t>
            </w:r>
            <w:r w:rsidR="0053766B" w:rsidRPr="006D3797">
              <w:t>See box</w:t>
            </w:r>
            <w:r w:rsidR="0053766B">
              <w:t> </w:t>
            </w:r>
            <w:r w:rsidR="003A68D1">
              <w:t>5.18</w:t>
            </w:r>
            <w:r w:rsidR="0053766B">
              <w:t xml:space="preserve"> and table </w:t>
            </w:r>
            <w:r w:rsidR="0053766B" w:rsidRPr="008C1DD2">
              <w:t>5A.</w:t>
            </w:r>
            <w:r w:rsidR="0053766B">
              <w:t xml:space="preserve">85 </w:t>
            </w:r>
            <w:r w:rsidR="0053766B" w:rsidRPr="006D3797">
              <w:t>for detailed definitions, footnotes and caveats</w:t>
            </w:r>
            <w:r w:rsidRPr="004B1B81">
              <w:t>.</w:t>
            </w:r>
          </w:p>
        </w:tc>
      </w:tr>
      <w:tr w:rsidR="00C12AD2" w:rsidRPr="00176D3F" w:rsidTr="00804C04">
        <w:tc>
          <w:tcPr>
            <w:tcW w:w="8771" w:type="dxa"/>
            <w:tcBorders>
              <w:top w:val="nil"/>
              <w:left w:val="nil"/>
              <w:bottom w:val="nil"/>
              <w:right w:val="nil"/>
            </w:tcBorders>
            <w:shd w:val="clear" w:color="auto" w:fill="auto"/>
          </w:tcPr>
          <w:p w:rsidR="00C12AD2" w:rsidRPr="00176D3F" w:rsidRDefault="00C12AD2" w:rsidP="00CE6769">
            <w:pPr>
              <w:pStyle w:val="Source"/>
            </w:pPr>
            <w:r w:rsidRPr="008C1DD2">
              <w:rPr>
                <w:i/>
              </w:rPr>
              <w:t>Source</w:t>
            </w:r>
            <w:r w:rsidRPr="008C1DD2">
              <w:t xml:space="preserve">: NCVER (unpublished) </w:t>
            </w:r>
            <w:r w:rsidRPr="00B67641">
              <w:t>Student Outcomes Survey</w:t>
            </w:r>
            <w:r w:rsidRPr="008C1DD2">
              <w:t>; table 5A.</w:t>
            </w:r>
            <w:r w:rsidR="00CE6769">
              <w:t>85</w:t>
            </w:r>
            <w:r w:rsidRPr="008C1DD2">
              <w:t>.</w:t>
            </w:r>
          </w:p>
        </w:tc>
      </w:tr>
      <w:tr w:rsidR="00C12AD2" w:rsidTr="00804C04">
        <w:tc>
          <w:tcPr>
            <w:tcW w:w="8771" w:type="dxa"/>
            <w:tcBorders>
              <w:top w:val="nil"/>
              <w:left w:val="nil"/>
              <w:bottom w:val="single" w:sz="6" w:space="0" w:color="78A22F"/>
              <w:right w:val="nil"/>
            </w:tcBorders>
            <w:shd w:val="clear" w:color="auto" w:fill="auto"/>
          </w:tcPr>
          <w:p w:rsidR="00C12AD2" w:rsidRDefault="00C12AD2" w:rsidP="00804C04">
            <w:pPr>
              <w:pStyle w:val="Figurespace"/>
            </w:pPr>
          </w:p>
        </w:tc>
      </w:tr>
      <w:tr w:rsidR="00C12AD2" w:rsidRPr="000863A5" w:rsidTr="00804C04">
        <w:tc>
          <w:tcPr>
            <w:tcW w:w="8771" w:type="dxa"/>
            <w:tcBorders>
              <w:top w:val="single" w:sz="6" w:space="0" w:color="78A22F"/>
              <w:left w:val="nil"/>
              <w:bottom w:val="nil"/>
              <w:right w:val="nil"/>
            </w:tcBorders>
          </w:tcPr>
          <w:p w:rsidR="00C12AD2" w:rsidRPr="00626D32" w:rsidRDefault="00C12AD2" w:rsidP="00804C04">
            <w:pPr>
              <w:pStyle w:val="BoxSpaceBelow"/>
            </w:pPr>
          </w:p>
        </w:tc>
      </w:tr>
    </w:tbl>
    <w:p w:rsidR="00A01757" w:rsidRDefault="0033420F" w:rsidP="00E645BC">
      <w:pPr>
        <w:pStyle w:val="BodyText"/>
      </w:pPr>
      <w:r w:rsidRPr="00E735EE">
        <w:t>Nationally</w:t>
      </w:r>
      <w:r w:rsidR="00525BBE" w:rsidRPr="00E735EE">
        <w:t xml:space="preserve"> in </w:t>
      </w:r>
      <w:r w:rsidR="002842B1" w:rsidRPr="00E735EE">
        <w:t>201</w:t>
      </w:r>
      <w:r w:rsidR="00707F59">
        <w:t>4</w:t>
      </w:r>
      <w:r w:rsidRPr="00E735EE">
        <w:t xml:space="preserve">, </w:t>
      </w:r>
      <w:r w:rsidR="00A01757">
        <w:t xml:space="preserve">the majority </w:t>
      </w:r>
      <w:r w:rsidR="00804C04">
        <w:t xml:space="preserve">Aboriginal and Torres Strait Islander </w:t>
      </w:r>
      <w:r w:rsidR="0056321C" w:rsidRPr="00E735EE">
        <w:t xml:space="preserve">graduates </w:t>
      </w:r>
      <w:r w:rsidR="00A01757">
        <w:t xml:space="preserve">indicated that they </w:t>
      </w:r>
      <w:r w:rsidR="00A01757" w:rsidRPr="00E735EE">
        <w:t>were satisfied</w:t>
      </w:r>
      <w:r w:rsidR="00A01757">
        <w:t xml:space="preserve"> with the quality of their course, where they had been seeking:</w:t>
      </w:r>
    </w:p>
    <w:p w:rsidR="00A01757" w:rsidRDefault="001A1F53" w:rsidP="00A01757">
      <w:pPr>
        <w:pStyle w:val="ListBullet"/>
      </w:pPr>
      <w:r w:rsidRPr="00E735EE">
        <w:t>employment related outcomes</w:t>
      </w:r>
      <w:r w:rsidR="00A01757">
        <w:t xml:space="preserve"> (90.8 </w:t>
      </w:r>
      <w:r w:rsidR="00A01757" w:rsidRPr="00E735EE">
        <w:t>per</w:t>
      </w:r>
      <w:r w:rsidR="00A01757">
        <w:t xml:space="preserve"> </w:t>
      </w:r>
      <w:r w:rsidR="00A01757" w:rsidRPr="00E735EE">
        <w:t>cent</w:t>
      </w:r>
      <w:r w:rsidR="00A01757">
        <w:t xml:space="preserve"> of graduates) </w:t>
      </w:r>
    </w:p>
    <w:p w:rsidR="00A01757" w:rsidRDefault="001A1F53" w:rsidP="00A01757">
      <w:pPr>
        <w:pStyle w:val="ListBullet"/>
      </w:pPr>
      <w:r w:rsidRPr="00E735EE">
        <w:t>further study outcomes</w:t>
      </w:r>
      <w:r w:rsidR="00A01757">
        <w:t xml:space="preserve"> (84.9 per cent) </w:t>
      </w:r>
    </w:p>
    <w:p w:rsidR="001A1F53" w:rsidRDefault="001A1F53" w:rsidP="00A01757">
      <w:pPr>
        <w:pStyle w:val="ListBullet"/>
        <w:rPr>
          <w:shd w:val="clear" w:color="auto" w:fill="FFFF00"/>
        </w:rPr>
      </w:pPr>
      <w:r w:rsidRPr="000C682B">
        <w:rPr>
          <w:shd w:val="clear" w:color="auto" w:fill="FFFFFF" w:themeFill="background1"/>
        </w:rPr>
        <w:t>personal development outcomes</w:t>
      </w:r>
      <w:r w:rsidR="00A01757">
        <w:rPr>
          <w:shd w:val="clear" w:color="auto" w:fill="FFFFFF" w:themeFill="background1"/>
        </w:rPr>
        <w:t xml:space="preserve"> (</w:t>
      </w:r>
      <w:r w:rsidR="00A01757">
        <w:t>84.9 per cent</w:t>
      </w:r>
      <w:r w:rsidR="00A01757">
        <w:rPr>
          <w:shd w:val="clear" w:color="auto" w:fill="FFFFFF" w:themeFill="background1"/>
        </w:rPr>
        <w:t>)</w:t>
      </w:r>
      <w:r w:rsidRPr="000C682B">
        <w:rPr>
          <w:shd w:val="clear" w:color="auto" w:fill="FFFFFF" w:themeFill="background1"/>
        </w:rPr>
        <w:t xml:space="preserve"> (</w:t>
      </w:r>
      <w:r w:rsidR="00294FD0" w:rsidRPr="000C682B">
        <w:rPr>
          <w:shd w:val="clear" w:color="auto" w:fill="FFFFFF" w:themeFill="background1"/>
        </w:rPr>
        <w:t>table 5A.</w:t>
      </w:r>
      <w:r w:rsidR="00CE6769">
        <w:rPr>
          <w:shd w:val="clear" w:color="auto" w:fill="FFFFFF" w:themeFill="background1"/>
        </w:rPr>
        <w:t>86</w:t>
      </w:r>
      <w:r w:rsidRPr="000C682B">
        <w:rPr>
          <w:shd w:val="clear" w:color="auto" w:fill="FFFFFF" w:themeFill="background1"/>
        </w:rPr>
        <w:t>).</w:t>
      </w:r>
    </w:p>
    <w:p w:rsidR="00A842C3" w:rsidRPr="00EF5A5F" w:rsidRDefault="00A842C3" w:rsidP="000A32E5">
      <w:pPr>
        <w:pStyle w:val="BodyText"/>
      </w:pPr>
      <w:r w:rsidRPr="00EF5A5F">
        <w:t>A further</w:t>
      </w:r>
      <w:r w:rsidR="00B57292">
        <w:t xml:space="preserve"> disaggregation by non</w:t>
      </w:r>
      <w:r w:rsidR="00AD5F7E">
        <w:noBreakHyphen/>
      </w:r>
      <w:r w:rsidR="00B57292">
        <w:t>Indigenous</w:t>
      </w:r>
      <w:r w:rsidR="00D80B1E">
        <w:t xml:space="preserve"> graduates</w:t>
      </w:r>
      <w:r w:rsidR="00B57292">
        <w:t xml:space="preserve">, by target groups </w:t>
      </w:r>
      <w:r w:rsidRPr="00EF5A5F">
        <w:t>and by geographical classifications, can be found in attachment tables 5A.</w:t>
      </w:r>
      <w:r w:rsidR="00CE6769">
        <w:t>85</w:t>
      </w:r>
      <w:r w:rsidR="007E21CC" w:rsidRPr="00EF5A5F">
        <w:t>–</w:t>
      </w:r>
      <w:r w:rsidR="00CE6769">
        <w:t>93</w:t>
      </w:r>
      <w:r w:rsidRPr="00EF5A5F">
        <w:t>.</w:t>
      </w:r>
    </w:p>
    <w:p w:rsidR="006F4AC9" w:rsidRPr="00EF5A5F" w:rsidRDefault="006F4AC9" w:rsidP="001622AA">
      <w:pPr>
        <w:pStyle w:val="Heading4"/>
      </w:pPr>
      <w:r>
        <w:t xml:space="preserve">Economy wide outcomes </w:t>
      </w:r>
    </w:p>
    <w:p w:rsidR="00F067CC" w:rsidRDefault="00F067CC" w:rsidP="006F4AC9">
      <w:pPr>
        <w:pStyle w:val="BodyText"/>
      </w:pPr>
      <w:r>
        <w:t>Having a workforce with the necessary skills and training is an important factor in economic outcomes for individual</w:t>
      </w:r>
      <w:r w:rsidR="00DB6045">
        <w:t xml:space="preserve">s and the community as a whole </w:t>
      </w:r>
      <w:r>
        <w:t>(COAG 2012).</w:t>
      </w:r>
    </w:p>
    <w:p w:rsidR="00F067CC" w:rsidRPr="00EF5A5F" w:rsidRDefault="00F067CC" w:rsidP="008B7466">
      <w:pPr>
        <w:pStyle w:val="Heading4"/>
      </w:pPr>
      <w:r w:rsidRPr="00EF5A5F">
        <w:lastRenderedPageBreak/>
        <w:t>Skill profile</w:t>
      </w:r>
    </w:p>
    <w:p w:rsidR="006F4AC9" w:rsidRPr="00EF5A5F" w:rsidRDefault="006F4AC9" w:rsidP="00F067CC">
      <w:pPr>
        <w:pStyle w:val="BodyText"/>
      </w:pPr>
      <w:r w:rsidRPr="00EF5A5F">
        <w:t>‘</w:t>
      </w:r>
      <w:r>
        <w:t xml:space="preserve">Skill profile’ is an indicator of governments’ objective to provide a VET system </w:t>
      </w:r>
      <w:r w:rsidR="00F067CC">
        <w:t>t</w:t>
      </w:r>
      <w:r w:rsidR="00DB6045">
        <w:t>hat</w:t>
      </w:r>
      <w:r w:rsidR="00F067CC">
        <w:t xml:space="preserve"> </w:t>
      </w:r>
      <w:r w:rsidR="00F067CC" w:rsidRPr="00F42E9B">
        <w:t>develop</w:t>
      </w:r>
      <w:r w:rsidR="00DB6045">
        <w:t>s</w:t>
      </w:r>
      <w:r w:rsidR="00F067CC" w:rsidRPr="00F42E9B">
        <w:t xml:space="preserve"> the skills and qualifications needed in the labour market</w:t>
      </w:r>
      <w:r w:rsidR="00DB6045">
        <w:t>, which will</w:t>
      </w:r>
      <w:r w:rsidR="00F067CC" w:rsidRPr="00F42E9B">
        <w:t xml:space="preserve"> contribute to Australia</w:t>
      </w:r>
      <w:r w:rsidR="00AD5F7E">
        <w:t>’</w:t>
      </w:r>
      <w:r w:rsidR="00F067CC" w:rsidRPr="00F42E9B">
        <w:t>s economic future</w:t>
      </w:r>
      <w:r w:rsidR="00F067CC">
        <w:t xml:space="preserve"> </w:t>
      </w:r>
      <w:r w:rsidRPr="00EF5A5F">
        <w:t>(box</w:t>
      </w:r>
      <w:r>
        <w:t> </w:t>
      </w:r>
      <w:r w:rsidR="003A68D1">
        <w:t>5.19</w:t>
      </w:r>
      <w:r w:rsidRPr="00EF5A5F">
        <w:t>).</w:t>
      </w:r>
    </w:p>
    <w:p w:rsidR="006F4AC9" w:rsidRDefault="006F4AC9" w:rsidP="006F4A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F4AC9" w:rsidTr="000914BB">
        <w:tc>
          <w:tcPr>
            <w:tcW w:w="8771" w:type="dxa"/>
            <w:tcBorders>
              <w:top w:val="single" w:sz="6" w:space="0" w:color="78A22F"/>
              <w:left w:val="nil"/>
              <w:bottom w:val="nil"/>
              <w:right w:val="nil"/>
            </w:tcBorders>
            <w:shd w:val="clear" w:color="auto" w:fill="F2F2F2" w:themeFill="background1" w:themeFillShade="F2"/>
          </w:tcPr>
          <w:p w:rsidR="006F4AC9" w:rsidRDefault="006F4AC9" w:rsidP="000914BB">
            <w:pPr>
              <w:pStyle w:val="BoxTitle"/>
            </w:pPr>
            <w:r>
              <w:rPr>
                <w:b w:val="0"/>
              </w:rPr>
              <w:t xml:space="preserve">Box </w:t>
            </w:r>
            <w:bookmarkStart w:id="64" w:name="OLE_LINK41"/>
            <w:r w:rsidR="003A68D1">
              <w:rPr>
                <w:b w:val="0"/>
              </w:rPr>
              <w:t>5.</w:t>
            </w:r>
            <w:r w:rsidR="00111918">
              <w:rPr>
                <w:b w:val="0"/>
                <w:noProof/>
              </w:rPr>
              <w:t>19</w:t>
            </w:r>
            <w:bookmarkEnd w:id="64"/>
            <w:r>
              <w:tab/>
            </w:r>
            <w:r w:rsidRPr="00EF5A5F">
              <w:t>Skill profile</w:t>
            </w:r>
          </w:p>
        </w:tc>
      </w:tr>
      <w:tr w:rsidR="006F4AC9" w:rsidTr="000914BB">
        <w:trPr>
          <w:cantSplit/>
        </w:trPr>
        <w:tc>
          <w:tcPr>
            <w:tcW w:w="8771" w:type="dxa"/>
            <w:tcBorders>
              <w:top w:val="nil"/>
              <w:left w:val="nil"/>
              <w:bottom w:val="nil"/>
              <w:right w:val="nil"/>
            </w:tcBorders>
            <w:shd w:val="clear" w:color="auto" w:fill="F2F2F2" w:themeFill="background1" w:themeFillShade="F2"/>
          </w:tcPr>
          <w:p w:rsidR="00DB6045" w:rsidRDefault="006F4AC9" w:rsidP="000914BB">
            <w:pPr>
              <w:pStyle w:val="Box"/>
            </w:pPr>
            <w:r w:rsidRPr="0014685B">
              <w:t xml:space="preserve">‘Skill profile’ is </w:t>
            </w:r>
            <w:r w:rsidR="00DB6045">
              <w:t>broadly defined as measures showing whether the supply of skills matches industry/economy wide demands for a skilled workforce.</w:t>
            </w:r>
          </w:p>
          <w:p w:rsidR="00DB6045" w:rsidRDefault="00DB6045" w:rsidP="00DB6045">
            <w:pPr>
              <w:pStyle w:val="Box"/>
            </w:pPr>
            <w:r>
              <w:t xml:space="preserve">A broad concept of skill profile encompasses </w:t>
            </w:r>
            <w:r w:rsidR="00594B30">
              <w:t xml:space="preserve">a </w:t>
            </w:r>
            <w:r>
              <w:t>range of issues such as skills shortages, skills mismatches, quality gaps, skill adaptability, skills utilisation,</w:t>
            </w:r>
            <w:r w:rsidR="00B45581">
              <w:t xml:space="preserve"> </w:t>
            </w:r>
            <w:r>
              <w:t>and over skilling.</w:t>
            </w:r>
          </w:p>
          <w:p w:rsidR="006F4AC9" w:rsidRDefault="00DB6045" w:rsidP="00DB6045">
            <w:pPr>
              <w:pStyle w:val="Box"/>
            </w:pPr>
            <w:r w:rsidRPr="00BB5D10">
              <w:t>This indicator has been identified for development and reporting in future.</w:t>
            </w:r>
          </w:p>
        </w:tc>
      </w:tr>
      <w:tr w:rsidR="006F4AC9" w:rsidTr="000914BB">
        <w:trPr>
          <w:cantSplit/>
        </w:trPr>
        <w:tc>
          <w:tcPr>
            <w:tcW w:w="8771" w:type="dxa"/>
            <w:tcBorders>
              <w:top w:val="nil"/>
              <w:left w:val="nil"/>
              <w:bottom w:val="single" w:sz="6" w:space="0" w:color="78A22F"/>
              <w:right w:val="nil"/>
            </w:tcBorders>
            <w:shd w:val="clear" w:color="auto" w:fill="F2F2F2" w:themeFill="background1" w:themeFillShade="F2"/>
          </w:tcPr>
          <w:p w:rsidR="006F4AC9" w:rsidRDefault="006F4AC9" w:rsidP="000914BB">
            <w:pPr>
              <w:pStyle w:val="Box"/>
              <w:spacing w:before="0" w:line="120" w:lineRule="exact"/>
            </w:pPr>
          </w:p>
        </w:tc>
      </w:tr>
      <w:tr w:rsidR="006F4AC9" w:rsidRPr="000863A5" w:rsidTr="000914BB">
        <w:tc>
          <w:tcPr>
            <w:tcW w:w="8771" w:type="dxa"/>
            <w:tcBorders>
              <w:top w:val="single" w:sz="6" w:space="0" w:color="78A22F"/>
              <w:left w:val="nil"/>
              <w:bottom w:val="nil"/>
              <w:right w:val="nil"/>
            </w:tcBorders>
          </w:tcPr>
          <w:p w:rsidR="006F4AC9" w:rsidRPr="00626D32" w:rsidRDefault="006F4AC9" w:rsidP="000914BB">
            <w:pPr>
              <w:pStyle w:val="BoxSpaceBelow"/>
            </w:pPr>
          </w:p>
        </w:tc>
      </w:tr>
    </w:tbl>
    <w:p w:rsidR="00C57336" w:rsidRPr="00EF5A5F" w:rsidRDefault="00C57336" w:rsidP="008B7466">
      <w:pPr>
        <w:pStyle w:val="Heading4"/>
      </w:pPr>
      <w:r w:rsidRPr="008B7466">
        <w:t>Employer</w:t>
      </w:r>
      <w:r w:rsidRPr="00EF5A5F">
        <w:t xml:space="preserve"> outcomes</w:t>
      </w:r>
    </w:p>
    <w:p w:rsidR="008260D6" w:rsidRPr="00EF5A5F" w:rsidRDefault="00C57336" w:rsidP="0014685B">
      <w:pPr>
        <w:pStyle w:val="BodyText"/>
      </w:pPr>
      <w:r w:rsidRPr="00EF5A5F">
        <w:t xml:space="preserve">The biennial </w:t>
      </w:r>
      <w:r w:rsidR="00033A0B" w:rsidRPr="001622AA">
        <w:t>S</w:t>
      </w:r>
      <w:r w:rsidRPr="001622AA">
        <w:t>urvey of Employers’ Use and Views of the VET System</w:t>
      </w:r>
      <w:r w:rsidRPr="00EF5A5F">
        <w:t xml:space="preserve"> </w:t>
      </w:r>
      <w:r w:rsidR="00B845FE" w:rsidRPr="00EF5A5F">
        <w:t>(NCVER </w:t>
      </w:r>
      <w:r w:rsidR="00923F5A">
        <w:t>201</w:t>
      </w:r>
      <w:r w:rsidR="00097492">
        <w:t>5d</w:t>
      </w:r>
      <w:r w:rsidR="00B845FE" w:rsidRPr="00EF5A5F">
        <w:t xml:space="preserve">) </w:t>
      </w:r>
      <w:r w:rsidRPr="00EF5A5F">
        <w:t>captures the extent to which employers make use of, and are satisfied with</w:t>
      </w:r>
      <w:r w:rsidR="0039053B" w:rsidRPr="00EF5A5F">
        <w:t>,</w:t>
      </w:r>
      <w:r w:rsidRPr="00EF5A5F">
        <w:t xml:space="preserve"> aspects of the VET </w:t>
      </w:r>
      <w:r w:rsidRPr="0014685B">
        <w:t xml:space="preserve">system. </w:t>
      </w:r>
      <w:r w:rsidRPr="00EF5A5F">
        <w:t xml:space="preserve">The </w:t>
      </w:r>
      <w:r w:rsidR="00B460BE" w:rsidRPr="00EF5A5F">
        <w:t xml:space="preserve">findings </w:t>
      </w:r>
      <w:r w:rsidRPr="00EF5A5F">
        <w:t>represent the responses of all employers with at least one employee and their training exp</w:t>
      </w:r>
      <w:r w:rsidR="001E2A7F" w:rsidRPr="00EF5A5F">
        <w:t>eriences in the 12 </w:t>
      </w:r>
      <w:r w:rsidRPr="00EF5A5F">
        <w:t xml:space="preserve">months prior to the survey. </w:t>
      </w:r>
    </w:p>
    <w:p w:rsidR="004A6BA4" w:rsidRPr="00EF5A5F" w:rsidRDefault="004A6BA4" w:rsidP="008B7466">
      <w:pPr>
        <w:pStyle w:val="Heading4"/>
      </w:pPr>
      <w:r w:rsidRPr="00EF5A5F">
        <w:t>Employer engagement with VET</w:t>
      </w:r>
    </w:p>
    <w:p w:rsidR="00C57336" w:rsidRDefault="00EA074C" w:rsidP="00C57336">
      <w:pPr>
        <w:pStyle w:val="BodyText"/>
      </w:pPr>
      <w:r w:rsidRPr="00EF5A5F">
        <w:t xml:space="preserve">‘Employer engagement with VET’ is an indicator of governments’ objective that </w:t>
      </w:r>
      <w:r w:rsidR="00AF0E3B">
        <w:t xml:space="preserve">the needs of </w:t>
      </w:r>
      <w:r w:rsidRPr="00EF5A5F">
        <w:t xml:space="preserve">employers and individuals will be </w:t>
      </w:r>
      <w:r w:rsidR="00AF0E3B">
        <w:t>the focus</w:t>
      </w:r>
      <w:r w:rsidRPr="00EF5A5F">
        <w:t xml:space="preserve"> of VET </w:t>
      </w:r>
      <w:r w:rsidR="00C57336" w:rsidRPr="00EF5A5F">
        <w:t>(box</w:t>
      </w:r>
      <w:r w:rsidR="00762441" w:rsidRPr="00EF5A5F">
        <w:t> </w:t>
      </w:r>
      <w:r w:rsidR="003A68D1">
        <w:t>5.20</w:t>
      </w:r>
      <w:r w:rsidR="00C57336" w:rsidRPr="00EF5A5F">
        <w:t>).</w:t>
      </w:r>
    </w:p>
    <w:p w:rsidR="002C60B2" w:rsidRDefault="002C60B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C60B2" w:rsidTr="00804C04">
        <w:tc>
          <w:tcPr>
            <w:tcW w:w="8771" w:type="dxa"/>
            <w:tcBorders>
              <w:top w:val="single" w:sz="6" w:space="0" w:color="78A22F"/>
              <w:left w:val="nil"/>
              <w:bottom w:val="nil"/>
              <w:right w:val="nil"/>
            </w:tcBorders>
            <w:shd w:val="clear" w:color="auto" w:fill="F2F2F2" w:themeFill="background1" w:themeFillShade="F2"/>
          </w:tcPr>
          <w:p w:rsidR="002C60B2" w:rsidRDefault="002C60B2" w:rsidP="002C60B2">
            <w:pPr>
              <w:pStyle w:val="BoxTitle"/>
            </w:pPr>
            <w:r>
              <w:rPr>
                <w:b w:val="0"/>
              </w:rPr>
              <w:t xml:space="preserve">Box </w:t>
            </w:r>
            <w:bookmarkStart w:id="65" w:name="OLE_LINK51"/>
            <w:r w:rsidR="003A68D1">
              <w:rPr>
                <w:b w:val="0"/>
              </w:rPr>
              <w:t>5.</w:t>
            </w:r>
            <w:r w:rsidR="00111918">
              <w:rPr>
                <w:b w:val="0"/>
                <w:noProof/>
              </w:rPr>
              <w:t>20</w:t>
            </w:r>
            <w:bookmarkEnd w:id="65"/>
            <w:r>
              <w:tab/>
            </w:r>
            <w:r w:rsidRPr="00EF5A5F">
              <w:t>Employer engagement with VET</w:t>
            </w:r>
          </w:p>
        </w:tc>
      </w:tr>
      <w:tr w:rsidR="002C60B2" w:rsidTr="00804C04">
        <w:trPr>
          <w:cantSplit/>
        </w:trPr>
        <w:tc>
          <w:tcPr>
            <w:tcW w:w="8771" w:type="dxa"/>
            <w:tcBorders>
              <w:top w:val="nil"/>
              <w:left w:val="nil"/>
              <w:bottom w:val="nil"/>
              <w:right w:val="nil"/>
            </w:tcBorders>
            <w:shd w:val="clear" w:color="auto" w:fill="F2F2F2" w:themeFill="background1" w:themeFillShade="F2"/>
          </w:tcPr>
          <w:p w:rsidR="002C60B2" w:rsidRPr="00EF5A5F" w:rsidRDefault="002C60B2" w:rsidP="00804C04">
            <w:pPr>
              <w:pStyle w:val="Box"/>
            </w:pPr>
            <w:r w:rsidRPr="00EF5A5F">
              <w:t>‘Employer engagement with VET’ is defined as the proportion of Australian employers who in the last twelve months:</w:t>
            </w:r>
          </w:p>
          <w:p w:rsidR="002C60B2" w:rsidRPr="00EF5A5F" w:rsidRDefault="002C60B2" w:rsidP="00804C04">
            <w:pPr>
              <w:pStyle w:val="BoxListBullet"/>
            </w:pPr>
            <w:r w:rsidRPr="00EF5A5F">
              <w:t>had employees undertaking apprenticeships/traineeships</w:t>
            </w:r>
            <w:r>
              <w:t>, or</w:t>
            </w:r>
          </w:p>
          <w:p w:rsidR="002C60B2" w:rsidRPr="00EF5A5F" w:rsidRDefault="002C60B2" w:rsidP="00804C04">
            <w:pPr>
              <w:pStyle w:val="BoxListBullet"/>
            </w:pPr>
            <w:r w:rsidRPr="00EF5A5F">
              <w:t>arranged or provided nationally recognised training (other than apprenticeships /traineeships) for employees</w:t>
            </w:r>
            <w:r>
              <w:t>, or</w:t>
            </w:r>
          </w:p>
          <w:p w:rsidR="002C60B2" w:rsidRPr="00EF5A5F" w:rsidRDefault="002C60B2" w:rsidP="00804C04">
            <w:pPr>
              <w:pStyle w:val="BoxListBullet"/>
            </w:pPr>
            <w:r w:rsidRPr="00EF5A5F">
              <w:t>had employees with formal vocational qualifications</w:t>
            </w:r>
            <w:r>
              <w:t xml:space="preserve"> as a requirement of their job.</w:t>
            </w:r>
          </w:p>
          <w:p w:rsidR="002C60B2" w:rsidRPr="00EF5A5F" w:rsidRDefault="002C60B2" w:rsidP="00804C04">
            <w:pPr>
              <w:pStyle w:val="Box"/>
            </w:pPr>
            <w:r w:rsidRPr="00EF5A5F">
              <w:t>A high or increasing proportion of employers engage</w:t>
            </w:r>
            <w:r w:rsidR="001622AA">
              <w:t>d</w:t>
            </w:r>
            <w:r w:rsidRPr="00EF5A5F">
              <w:t xml:space="preserve"> with </w:t>
            </w:r>
            <w:r w:rsidR="001622AA">
              <w:t>VET is desirable</w:t>
            </w:r>
            <w:r w:rsidRPr="00EF5A5F">
              <w:t>.</w:t>
            </w:r>
          </w:p>
          <w:p w:rsidR="002C60B2" w:rsidRDefault="002C60B2" w:rsidP="00804C04">
            <w:pPr>
              <w:pStyle w:val="Box"/>
            </w:pPr>
            <w:r>
              <w:t xml:space="preserve">Data reported for this measure are </w:t>
            </w:r>
          </w:p>
          <w:p w:rsidR="002C60B2" w:rsidRDefault="002C60B2" w:rsidP="00804C04">
            <w:pPr>
              <w:pStyle w:val="BoxListBullet"/>
            </w:pPr>
            <w:r>
              <w:t>comparable (subject to caveats) across jurisdictions and over time</w:t>
            </w:r>
          </w:p>
          <w:p w:rsidR="002C60B2" w:rsidRDefault="002C60B2" w:rsidP="00804C04">
            <w:pPr>
              <w:pStyle w:val="BoxListBullet"/>
            </w:pPr>
            <w:r>
              <w:t xml:space="preserve">complete for the current reporting period (subject to caveats). </w:t>
            </w:r>
            <w:r w:rsidR="009D4117">
              <w:t>All required 201</w:t>
            </w:r>
            <w:r w:rsidR="00E675BB">
              <w:t>5</w:t>
            </w:r>
            <w:r>
              <w:t xml:space="preserve"> data are available for all jurisdictions providing the service.</w:t>
            </w:r>
          </w:p>
          <w:p w:rsidR="002C60B2" w:rsidRPr="00EF5A5F" w:rsidRDefault="002C60B2" w:rsidP="00E77AE1">
            <w:pPr>
              <w:pStyle w:val="Box"/>
            </w:pPr>
            <w:r w:rsidRPr="00EF5A5F">
              <w:t>Data quality information for this indicator</w:t>
            </w:r>
            <w:r w:rsidR="006E0D24">
              <w:t xml:space="preserve"> is at www.pc.gov.au</w:t>
            </w:r>
            <w:r w:rsidR="00BA3094">
              <w:t>/rogs/2016</w:t>
            </w:r>
            <w:r w:rsidRPr="00EF5A5F">
              <w:t>.</w:t>
            </w:r>
          </w:p>
        </w:tc>
      </w:tr>
      <w:tr w:rsidR="002C60B2" w:rsidTr="00804C04">
        <w:trPr>
          <w:cantSplit/>
        </w:trPr>
        <w:tc>
          <w:tcPr>
            <w:tcW w:w="8771" w:type="dxa"/>
            <w:tcBorders>
              <w:top w:val="nil"/>
              <w:left w:val="nil"/>
              <w:bottom w:val="single" w:sz="6" w:space="0" w:color="78A22F"/>
              <w:right w:val="nil"/>
            </w:tcBorders>
            <w:shd w:val="clear" w:color="auto" w:fill="F2F2F2" w:themeFill="background1" w:themeFillShade="F2"/>
          </w:tcPr>
          <w:p w:rsidR="002C60B2" w:rsidRDefault="002C60B2">
            <w:pPr>
              <w:pStyle w:val="Box"/>
              <w:spacing w:before="0" w:line="120" w:lineRule="exact"/>
            </w:pPr>
          </w:p>
        </w:tc>
      </w:tr>
      <w:tr w:rsidR="002C60B2" w:rsidRPr="000863A5" w:rsidTr="00804C04">
        <w:tc>
          <w:tcPr>
            <w:tcW w:w="8771" w:type="dxa"/>
            <w:tcBorders>
              <w:top w:val="single" w:sz="6" w:space="0" w:color="78A22F"/>
              <w:left w:val="nil"/>
              <w:bottom w:val="nil"/>
              <w:right w:val="nil"/>
            </w:tcBorders>
          </w:tcPr>
          <w:p w:rsidR="002C60B2" w:rsidRPr="00626D32" w:rsidRDefault="002C60B2" w:rsidP="00804C04">
            <w:pPr>
              <w:pStyle w:val="BoxSpaceBelow"/>
            </w:pPr>
          </w:p>
        </w:tc>
      </w:tr>
    </w:tbl>
    <w:p w:rsidR="00B745C2" w:rsidRPr="00EF5A5F" w:rsidRDefault="00B745C2" w:rsidP="00B745C2">
      <w:pPr>
        <w:pStyle w:val="BodyText"/>
      </w:pPr>
      <w:r w:rsidRPr="00EF5A5F">
        <w:lastRenderedPageBreak/>
        <w:t xml:space="preserve">Nationally in </w:t>
      </w:r>
      <w:r w:rsidR="006C0F99">
        <w:t>201</w:t>
      </w:r>
      <w:r w:rsidR="00FC47F6">
        <w:t>5</w:t>
      </w:r>
      <w:r w:rsidRPr="00EF5A5F">
        <w:t>:</w:t>
      </w:r>
    </w:p>
    <w:p w:rsidR="00C57336" w:rsidRPr="00EF5A5F" w:rsidRDefault="00AC1283" w:rsidP="00A26D57">
      <w:pPr>
        <w:pStyle w:val="ListBullet"/>
      </w:pPr>
      <w:r>
        <w:t>2</w:t>
      </w:r>
      <w:r w:rsidR="006F7D72">
        <w:t>4.3</w:t>
      </w:r>
      <w:r w:rsidR="001812D4">
        <w:t xml:space="preserve"> </w:t>
      </w:r>
      <w:r w:rsidR="00B779C6" w:rsidRPr="00EF5A5F">
        <w:t>per</w:t>
      </w:r>
      <w:r w:rsidR="001812D4">
        <w:t xml:space="preserve"> </w:t>
      </w:r>
      <w:r w:rsidR="00B779C6" w:rsidRPr="00EF5A5F">
        <w:t xml:space="preserve">cent </w:t>
      </w:r>
      <w:r w:rsidR="00C57336" w:rsidRPr="00EF5A5F">
        <w:t xml:space="preserve">of employers </w:t>
      </w:r>
      <w:r w:rsidR="00B779C6">
        <w:t xml:space="preserve">reported that they </w:t>
      </w:r>
      <w:r w:rsidR="00F87522" w:rsidRPr="00EF5A5F">
        <w:t xml:space="preserve">were </w:t>
      </w:r>
      <w:r w:rsidR="00C57336" w:rsidRPr="00EF5A5F">
        <w:t xml:space="preserve">engaged with apprenticeships or traineeships in the </w:t>
      </w:r>
      <w:r w:rsidR="00F87522" w:rsidRPr="00EF5A5F">
        <w:t>last</w:t>
      </w:r>
      <w:r w:rsidR="00C57336" w:rsidRPr="00EF5A5F">
        <w:t xml:space="preserve"> </w:t>
      </w:r>
      <w:r w:rsidR="00F87522" w:rsidRPr="00EF5A5F">
        <w:t xml:space="preserve">twelve </w:t>
      </w:r>
      <w:r w:rsidR="00C57336" w:rsidRPr="00EF5A5F">
        <w:t>months</w:t>
      </w:r>
      <w:r w:rsidR="00965643">
        <w:t xml:space="preserve">, a decrease of </w:t>
      </w:r>
      <w:r w:rsidR="006F7D72">
        <w:t>6.0</w:t>
      </w:r>
      <w:r w:rsidR="00965643">
        <w:t xml:space="preserve"> percentage points from 20</w:t>
      </w:r>
      <w:r w:rsidR="006F7D72">
        <w:t>07</w:t>
      </w:r>
      <w:r w:rsidR="00F87522" w:rsidRPr="00EF5A5F">
        <w:t xml:space="preserve"> </w:t>
      </w:r>
      <w:r w:rsidR="00C57336" w:rsidRPr="00EF5A5F">
        <w:t>(figure</w:t>
      </w:r>
      <w:r w:rsidR="001812D4">
        <w:t xml:space="preserve"> </w:t>
      </w:r>
      <w:r w:rsidR="003A68D1">
        <w:t>5.35</w:t>
      </w:r>
      <w:r w:rsidR="00965643">
        <w:t xml:space="preserve"> and table 5A.9</w:t>
      </w:r>
      <w:r w:rsidR="00641E93">
        <w:t>4</w:t>
      </w:r>
      <w:r w:rsidR="00A01757">
        <w:t>)</w:t>
      </w:r>
    </w:p>
    <w:p w:rsidR="00C57336" w:rsidRPr="00EF5A5F" w:rsidRDefault="00965643" w:rsidP="00B67641">
      <w:pPr>
        <w:pStyle w:val="ListBullet"/>
      </w:pPr>
      <w:r>
        <w:t>20.</w:t>
      </w:r>
      <w:r w:rsidR="006F7D72">
        <w:t>6</w:t>
      </w:r>
      <w:r w:rsidR="001812D4">
        <w:t xml:space="preserve"> </w:t>
      </w:r>
      <w:r w:rsidR="00B779C6" w:rsidRPr="00EF5A5F">
        <w:t>per</w:t>
      </w:r>
      <w:r w:rsidR="001812D4">
        <w:t xml:space="preserve"> </w:t>
      </w:r>
      <w:r w:rsidR="00B779C6" w:rsidRPr="00EF5A5F">
        <w:t xml:space="preserve">cent </w:t>
      </w:r>
      <w:r w:rsidR="00C57336" w:rsidRPr="00EF5A5F">
        <w:t xml:space="preserve">of employers </w:t>
      </w:r>
      <w:r w:rsidR="00B779C6">
        <w:t xml:space="preserve">reported that they </w:t>
      </w:r>
      <w:r w:rsidR="00B779C6" w:rsidRPr="00EF5A5F">
        <w:t xml:space="preserve">were </w:t>
      </w:r>
      <w:r w:rsidR="00C57336" w:rsidRPr="00EF5A5F">
        <w:t>engaged with nationally recognised training</w:t>
      </w:r>
      <w:r w:rsidR="004D51FB" w:rsidRPr="00EF5A5F">
        <w:t xml:space="preserve"> in the </w:t>
      </w:r>
      <w:r w:rsidR="00F87522" w:rsidRPr="00EF5A5F">
        <w:t>last twelve</w:t>
      </w:r>
      <w:r w:rsidR="004D51FB" w:rsidRPr="00EF5A5F">
        <w:t xml:space="preserve"> months</w:t>
      </w:r>
      <w:r w:rsidR="00B67641" w:rsidRPr="00F74889">
        <w:t>, similar to 2007</w:t>
      </w:r>
      <w:r w:rsidRPr="00EF5A5F">
        <w:t xml:space="preserve"> </w:t>
      </w:r>
      <w:r w:rsidR="004D51FB" w:rsidRPr="00EF5A5F">
        <w:t>(figure</w:t>
      </w:r>
      <w:r w:rsidR="001812D4">
        <w:t xml:space="preserve"> </w:t>
      </w:r>
      <w:r w:rsidR="003A68D1">
        <w:t>5.35</w:t>
      </w:r>
      <w:r>
        <w:t xml:space="preserve"> and table 5A.9</w:t>
      </w:r>
      <w:r w:rsidR="00641E93">
        <w:t>4</w:t>
      </w:r>
      <w:r w:rsidR="00C57336" w:rsidRPr="00EF5A5F">
        <w:t xml:space="preserve">). </w:t>
      </w:r>
    </w:p>
    <w:p w:rsidR="00C57336" w:rsidRDefault="00965643" w:rsidP="00B67641">
      <w:pPr>
        <w:pStyle w:val="ListBullet"/>
      </w:pPr>
      <w:r>
        <w:t>3</w:t>
      </w:r>
      <w:r w:rsidR="006F7D72">
        <w:t>6.6</w:t>
      </w:r>
      <w:r>
        <w:t> per </w:t>
      </w:r>
      <w:r w:rsidR="00B779C6" w:rsidRPr="00EF5A5F">
        <w:t xml:space="preserve">cent </w:t>
      </w:r>
      <w:r w:rsidR="00C57336" w:rsidRPr="00EF5A5F">
        <w:t xml:space="preserve">of employers </w:t>
      </w:r>
      <w:r w:rsidR="00B779C6">
        <w:t xml:space="preserve">reported that they </w:t>
      </w:r>
      <w:r w:rsidR="00594B30" w:rsidRPr="00F74889">
        <w:t>employed</w:t>
      </w:r>
      <w:r w:rsidR="00C57336" w:rsidRPr="00F74889">
        <w:t xml:space="preserve"> people</w:t>
      </w:r>
      <w:r w:rsidR="00C57336" w:rsidRPr="00EF5A5F">
        <w:t xml:space="preserve"> with a formal vocational qualification as a job requirement</w:t>
      </w:r>
      <w:r w:rsidR="004D51FB" w:rsidRPr="00EF5A5F">
        <w:t xml:space="preserve"> in the last </w:t>
      </w:r>
      <w:r w:rsidR="00F87522" w:rsidRPr="00EF5A5F">
        <w:t xml:space="preserve">twelve </w:t>
      </w:r>
      <w:r w:rsidR="004D51FB" w:rsidRPr="00EF5A5F">
        <w:t>months</w:t>
      </w:r>
      <w:r w:rsidR="00B67641" w:rsidRPr="00F74889">
        <w:t>, similar to 2007</w:t>
      </w:r>
      <w:r w:rsidRPr="00EF5A5F">
        <w:t xml:space="preserve"> </w:t>
      </w:r>
      <w:r w:rsidR="00C57336" w:rsidRPr="00EF5A5F">
        <w:t>(figure</w:t>
      </w:r>
      <w:r w:rsidR="00B67641">
        <w:t> </w:t>
      </w:r>
      <w:r w:rsidR="003A68D1">
        <w:t>5.35</w:t>
      </w:r>
      <w:r w:rsidR="0069218F">
        <w:t xml:space="preserve"> and table 5A.9</w:t>
      </w:r>
      <w:r w:rsidR="00641E93">
        <w:t>4</w:t>
      </w:r>
      <w:r w:rsidR="001622AA">
        <w:t>)</w:t>
      </w:r>
      <w:r w:rsidR="00C57336" w:rsidRPr="00EF5A5F">
        <w:t>.</w:t>
      </w:r>
    </w:p>
    <w:p w:rsidR="001622AA" w:rsidRDefault="001622AA" w:rsidP="001622AA">
      <w:pPr>
        <w:pStyle w:val="BodyText"/>
      </w:pPr>
      <w:r>
        <w:t xml:space="preserve">Table 5A.94 provides additional historical information on employer engagement with VET from 2007 to 2015. </w:t>
      </w:r>
    </w:p>
    <w:p w:rsidR="002C60B2" w:rsidRDefault="002C60B2" w:rsidP="00804C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C60B2" w:rsidTr="00804C04">
        <w:tc>
          <w:tcPr>
            <w:tcW w:w="8771" w:type="dxa"/>
            <w:tcBorders>
              <w:top w:val="single" w:sz="6" w:space="0" w:color="78A22F"/>
              <w:left w:val="nil"/>
              <w:bottom w:val="nil"/>
              <w:right w:val="nil"/>
            </w:tcBorders>
            <w:shd w:val="clear" w:color="auto" w:fill="auto"/>
          </w:tcPr>
          <w:p w:rsidR="002C60B2" w:rsidRPr="00176D3F" w:rsidRDefault="002C60B2" w:rsidP="00641E93">
            <w:pPr>
              <w:pStyle w:val="FigureTitle"/>
            </w:pPr>
            <w:r w:rsidRPr="00784A05">
              <w:rPr>
                <w:b w:val="0"/>
              </w:rPr>
              <w:t xml:space="preserve">Figure </w:t>
            </w:r>
            <w:bookmarkStart w:id="66" w:name="OLE_LINK52"/>
            <w:r w:rsidR="003A68D1">
              <w:rPr>
                <w:b w:val="0"/>
              </w:rPr>
              <w:t>5.</w:t>
            </w:r>
            <w:r w:rsidR="00111918">
              <w:rPr>
                <w:b w:val="0"/>
                <w:noProof/>
              </w:rPr>
              <w:t>35</w:t>
            </w:r>
            <w:bookmarkEnd w:id="66"/>
            <w:r>
              <w:tab/>
            </w:r>
            <w:r w:rsidRPr="00EF5A5F">
              <w:t xml:space="preserve">Proportion of employers who are engaged with aspects of the VET system, </w:t>
            </w:r>
            <w:r>
              <w:t>201</w:t>
            </w:r>
            <w:r w:rsidR="00FC47F6">
              <w:t>5</w:t>
            </w:r>
            <w:r w:rsidRPr="00EF5A5F">
              <w:rPr>
                <w:rStyle w:val="NoteLabel"/>
                <w:b/>
              </w:rPr>
              <w:t>a, b</w:t>
            </w:r>
          </w:p>
        </w:tc>
      </w:tr>
      <w:tr w:rsidR="002C60B2"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C60B2" w:rsidTr="002C60B2">
              <w:tc>
                <w:tcPr>
                  <w:tcW w:w="5000" w:type="pct"/>
                  <w:tcBorders>
                    <w:top w:val="nil"/>
                    <w:bottom w:val="nil"/>
                  </w:tcBorders>
                </w:tcPr>
                <w:p w:rsidR="002C60B2" w:rsidRDefault="000308A8" w:rsidP="00CE6769">
                  <w:pPr>
                    <w:pStyle w:val="Figure"/>
                    <w:spacing w:before="60" w:after="60"/>
                  </w:pPr>
                  <w:r>
                    <w:rPr>
                      <w:noProof/>
                    </w:rPr>
                    <w:drawing>
                      <wp:inline distT="0" distB="0" distL="0" distR="0">
                        <wp:extent cx="5389880" cy="2710815"/>
                        <wp:effectExtent l="0" t="0" r="1270" b="0"/>
                        <wp:docPr id="51" name="Picture 51" descr="Figure 5.35 Proportion of employers who are engaged with aspects of the VET system,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2C60B2" w:rsidRDefault="002C60B2" w:rsidP="00804C04">
            <w:pPr>
              <w:pStyle w:val="Figure"/>
            </w:pPr>
          </w:p>
        </w:tc>
      </w:tr>
      <w:tr w:rsidR="002C60B2" w:rsidRPr="00176D3F" w:rsidTr="00804C04">
        <w:tc>
          <w:tcPr>
            <w:tcW w:w="8771" w:type="dxa"/>
            <w:tcBorders>
              <w:top w:val="nil"/>
              <w:left w:val="nil"/>
              <w:bottom w:val="nil"/>
              <w:right w:val="nil"/>
            </w:tcBorders>
            <w:shd w:val="clear" w:color="auto" w:fill="auto"/>
          </w:tcPr>
          <w:p w:rsidR="002C60B2" w:rsidRPr="00176D3F" w:rsidRDefault="00641E93" w:rsidP="0053766B">
            <w:pPr>
              <w:pStyle w:val="Note"/>
            </w:pPr>
            <w:r w:rsidRPr="00171E10">
              <w:rPr>
                <w:rStyle w:val="NoteLabel"/>
              </w:rPr>
              <w:t>a</w:t>
            </w:r>
            <w:r w:rsidRPr="00171E10">
              <w:t xml:space="preserve"> </w:t>
            </w:r>
            <w:r>
              <w:t>E</w:t>
            </w:r>
            <w:r w:rsidRPr="00171E10">
              <w:t xml:space="preserve">rror bars represent the 95 per cent confidence interval associated </w:t>
            </w:r>
            <w:r w:rsidRPr="000C682B">
              <w:rPr>
                <w:shd w:val="clear" w:color="auto" w:fill="FFFFFF" w:themeFill="background1"/>
              </w:rPr>
              <w:t>with each point estimate.</w:t>
            </w:r>
            <w:r w:rsidRPr="000C682B">
              <w:rPr>
                <w:rStyle w:val="NoteLabel"/>
                <w:shd w:val="clear" w:color="auto" w:fill="FFFFFF" w:themeFill="background1"/>
              </w:rPr>
              <w:t xml:space="preserve"> </w:t>
            </w:r>
            <w:r>
              <w:rPr>
                <w:rStyle w:val="NoteLabel"/>
              </w:rPr>
              <w:t>b</w:t>
            </w:r>
            <w:r w:rsidRPr="004B1B81">
              <w:t xml:space="preserve"> </w:t>
            </w:r>
            <w:r w:rsidR="0053766B" w:rsidRPr="006D3797">
              <w:t>See box</w:t>
            </w:r>
            <w:r w:rsidR="0053766B">
              <w:t> </w:t>
            </w:r>
            <w:r w:rsidR="003A68D1">
              <w:t>5.20</w:t>
            </w:r>
            <w:r w:rsidR="0053766B">
              <w:t xml:space="preserve"> and table </w:t>
            </w:r>
            <w:r w:rsidR="0053766B" w:rsidRPr="008C1DD2">
              <w:t>5A.</w:t>
            </w:r>
            <w:r w:rsidR="0053766B">
              <w:t xml:space="preserve">94 </w:t>
            </w:r>
            <w:r w:rsidR="0053766B" w:rsidRPr="006D3797">
              <w:t>for detailed definitions, footnotes and caveats</w:t>
            </w:r>
            <w:r w:rsidRPr="004B1B81">
              <w:t>.</w:t>
            </w:r>
          </w:p>
        </w:tc>
      </w:tr>
      <w:tr w:rsidR="002C60B2" w:rsidRPr="00176D3F" w:rsidTr="00804C04">
        <w:tc>
          <w:tcPr>
            <w:tcW w:w="8771" w:type="dxa"/>
            <w:tcBorders>
              <w:top w:val="nil"/>
              <w:left w:val="nil"/>
              <w:bottom w:val="nil"/>
              <w:right w:val="nil"/>
            </w:tcBorders>
            <w:shd w:val="clear" w:color="auto" w:fill="auto"/>
          </w:tcPr>
          <w:p w:rsidR="002C60B2" w:rsidRPr="00176D3F" w:rsidRDefault="002C60B2" w:rsidP="00641E93">
            <w:pPr>
              <w:pStyle w:val="Source"/>
            </w:pPr>
            <w:r w:rsidRPr="00EF5A5F">
              <w:rPr>
                <w:i/>
              </w:rPr>
              <w:t>Source</w:t>
            </w:r>
            <w:r w:rsidRPr="00EF5A5F">
              <w:t xml:space="preserve">: NCVER (unpublished) </w:t>
            </w:r>
            <w:r w:rsidRPr="00B67641">
              <w:t>Survey of Employers’ Use and Views of the VET System</w:t>
            </w:r>
            <w:r w:rsidRPr="00EF5A5F">
              <w:t>; table 5A.</w:t>
            </w:r>
            <w:r w:rsidR="00915131">
              <w:t>9</w:t>
            </w:r>
            <w:r w:rsidR="00641E93">
              <w:t>4</w:t>
            </w:r>
            <w:r w:rsidRPr="00EF5A5F">
              <w:t>.</w:t>
            </w:r>
          </w:p>
        </w:tc>
      </w:tr>
      <w:tr w:rsidR="002C60B2" w:rsidTr="00804C04">
        <w:tc>
          <w:tcPr>
            <w:tcW w:w="8771" w:type="dxa"/>
            <w:tcBorders>
              <w:top w:val="nil"/>
              <w:left w:val="nil"/>
              <w:bottom w:val="single" w:sz="6" w:space="0" w:color="78A22F"/>
              <w:right w:val="nil"/>
            </w:tcBorders>
            <w:shd w:val="clear" w:color="auto" w:fill="auto"/>
          </w:tcPr>
          <w:p w:rsidR="002C60B2" w:rsidRDefault="002C60B2" w:rsidP="00804C04">
            <w:pPr>
              <w:pStyle w:val="Figurespace"/>
            </w:pPr>
          </w:p>
        </w:tc>
      </w:tr>
      <w:tr w:rsidR="002C60B2" w:rsidRPr="000863A5" w:rsidTr="00804C04">
        <w:tc>
          <w:tcPr>
            <w:tcW w:w="8771" w:type="dxa"/>
            <w:tcBorders>
              <w:top w:val="single" w:sz="6" w:space="0" w:color="78A22F"/>
              <w:left w:val="nil"/>
              <w:bottom w:val="nil"/>
              <w:right w:val="nil"/>
            </w:tcBorders>
          </w:tcPr>
          <w:p w:rsidR="002C60B2" w:rsidRPr="00626D32" w:rsidRDefault="002C60B2" w:rsidP="00804C04">
            <w:pPr>
              <w:pStyle w:val="BoxSpaceBelow"/>
            </w:pPr>
          </w:p>
        </w:tc>
      </w:tr>
    </w:tbl>
    <w:p w:rsidR="004A6BA4" w:rsidRPr="00EF5A5F" w:rsidRDefault="004A6BA4" w:rsidP="008A255F">
      <w:pPr>
        <w:pStyle w:val="Heading4"/>
      </w:pPr>
      <w:r w:rsidRPr="00EF5A5F">
        <w:t>Employer satisfaction with VET</w:t>
      </w:r>
    </w:p>
    <w:p w:rsidR="00C57336" w:rsidRDefault="000B28F2" w:rsidP="00C57336">
      <w:pPr>
        <w:pStyle w:val="BodyText"/>
      </w:pPr>
      <w:r w:rsidRPr="00EF5A5F">
        <w:t>‘Employer satisfaction with VET’ is an indicator of governments’ objective that industry will have a highly skilled workforce to support strong pe</w:t>
      </w:r>
      <w:r w:rsidR="00AC2902" w:rsidRPr="00EF5A5F">
        <w:t>rformance in the global economy</w:t>
      </w:r>
      <w:r w:rsidRPr="00EF5A5F">
        <w:t xml:space="preserve"> </w:t>
      </w:r>
      <w:r w:rsidR="00C57336" w:rsidRPr="00EF5A5F">
        <w:t>(box</w:t>
      </w:r>
      <w:r w:rsidR="00FB203B">
        <w:t xml:space="preserve"> </w:t>
      </w:r>
      <w:r w:rsidR="003A68D1">
        <w:t>5.21</w:t>
      </w:r>
      <w:r w:rsidR="00C57336" w:rsidRPr="00EF5A5F">
        <w:t>).</w:t>
      </w:r>
    </w:p>
    <w:p w:rsidR="00E91C2A" w:rsidRDefault="00E91C2A" w:rsidP="00C57336">
      <w:pPr>
        <w:pStyle w:val="BodyText"/>
      </w:pPr>
      <w:r w:rsidRPr="00EF5A5F">
        <w:t xml:space="preserve">The </w:t>
      </w:r>
      <w:r w:rsidRPr="001622AA">
        <w:t>Survey of Employers’ Use and Views</w:t>
      </w:r>
      <w:r w:rsidRPr="00EF5A5F">
        <w:t xml:space="preserve"> includes employers</w:t>
      </w:r>
      <w:r>
        <w:t>’</w:t>
      </w:r>
      <w:r w:rsidRPr="00EF5A5F">
        <w:t xml:space="preserve"> satisfaction with ‘formal vocational qualifications as a job requirement’ where their employees in that category may </w:t>
      </w:r>
      <w:r w:rsidRPr="00EF5A5F">
        <w:lastRenderedPageBreak/>
        <w:t>have completed their required ‘formal vocational qualifications’ prior to the last 12 months (that is, earlier than the survey period), and irrespective of the timing, the training may have been provided by a non</w:t>
      </w:r>
      <w:r w:rsidR="00AD5F7E">
        <w:noBreakHyphen/>
      </w:r>
      <w:r w:rsidRPr="00EF5A5F">
        <w:t xml:space="preserve">VET provider. This presents a different scope to </w:t>
      </w:r>
      <w:r>
        <w:t xml:space="preserve">the rest of </w:t>
      </w:r>
      <w:r w:rsidRPr="00EF5A5F">
        <w:t xml:space="preserve">this Report, which aims to report </w:t>
      </w:r>
      <w:r w:rsidRPr="000C682B">
        <w:rPr>
          <w:shd w:val="clear" w:color="auto" w:fill="FFFFFF" w:themeFill="background1"/>
        </w:rPr>
        <w:t xml:space="preserve">data relating to government funded VET programs for specific reporting periods. </w:t>
      </w:r>
    </w:p>
    <w:p w:rsidR="00E77AE1" w:rsidRDefault="00E77AE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7AE1" w:rsidTr="000212AC">
        <w:tc>
          <w:tcPr>
            <w:tcW w:w="8771" w:type="dxa"/>
            <w:tcBorders>
              <w:top w:val="single" w:sz="6" w:space="0" w:color="78A22F"/>
              <w:left w:val="nil"/>
              <w:bottom w:val="nil"/>
              <w:right w:val="nil"/>
            </w:tcBorders>
            <w:shd w:val="clear" w:color="auto" w:fill="F2F2F2"/>
          </w:tcPr>
          <w:p w:rsidR="00E77AE1" w:rsidRDefault="00E77AE1">
            <w:pPr>
              <w:pStyle w:val="BoxTitle"/>
            </w:pPr>
            <w:r>
              <w:rPr>
                <w:b w:val="0"/>
              </w:rPr>
              <w:t xml:space="preserve">Box </w:t>
            </w:r>
            <w:bookmarkStart w:id="67" w:name="OLE_LINK61"/>
            <w:r w:rsidR="003A68D1">
              <w:rPr>
                <w:b w:val="0"/>
              </w:rPr>
              <w:t>5.</w:t>
            </w:r>
            <w:r w:rsidR="00111918">
              <w:rPr>
                <w:b w:val="0"/>
                <w:noProof/>
              </w:rPr>
              <w:t>21</w:t>
            </w:r>
            <w:bookmarkEnd w:id="67"/>
            <w:r>
              <w:tab/>
            </w:r>
            <w:r w:rsidRPr="00EF5A5F">
              <w:t>Employer satisfaction with VET</w:t>
            </w:r>
          </w:p>
        </w:tc>
      </w:tr>
      <w:tr w:rsidR="00E77AE1" w:rsidTr="000212AC">
        <w:trPr>
          <w:cantSplit/>
        </w:trPr>
        <w:tc>
          <w:tcPr>
            <w:tcW w:w="8771" w:type="dxa"/>
            <w:tcBorders>
              <w:top w:val="nil"/>
              <w:left w:val="nil"/>
              <w:bottom w:val="nil"/>
              <w:right w:val="nil"/>
            </w:tcBorders>
            <w:shd w:val="clear" w:color="auto" w:fill="F2F2F2"/>
          </w:tcPr>
          <w:p w:rsidR="00E77AE1" w:rsidRPr="00E77AE1" w:rsidRDefault="00E77AE1" w:rsidP="00E77AE1">
            <w:pPr>
              <w:pStyle w:val="Box"/>
            </w:pPr>
            <w:r w:rsidRPr="00E77AE1">
              <w:t xml:space="preserve">‘Employer satisfaction with VET’ is defined as the proportion of Australian employers who engaged in an aspect of VET, and who are satisfied with VET in meeting the skill needs of their workforce. </w:t>
            </w:r>
          </w:p>
          <w:p w:rsidR="00E77AE1" w:rsidRPr="00E77AE1" w:rsidRDefault="00E77AE1" w:rsidP="00E77AE1">
            <w:pPr>
              <w:pStyle w:val="Box"/>
            </w:pPr>
            <w:r w:rsidRPr="00E77AE1">
              <w:t>A high or increasing proportion of employers who are satisfied with VET in meeting the skill needs of their workforce is desirable.</w:t>
            </w:r>
          </w:p>
          <w:p w:rsidR="00E77AE1" w:rsidRPr="00E77AE1" w:rsidRDefault="00E77AE1" w:rsidP="00E77AE1">
            <w:pPr>
              <w:pStyle w:val="Box"/>
            </w:pPr>
            <w:r w:rsidRPr="00E77AE1">
              <w:t xml:space="preserve">Data reported for this indicator are </w:t>
            </w:r>
          </w:p>
          <w:p w:rsidR="00E77AE1" w:rsidRPr="00E77AE1" w:rsidRDefault="00E77AE1" w:rsidP="00E77AE1">
            <w:pPr>
              <w:pStyle w:val="Box"/>
              <w:numPr>
                <w:ilvl w:val="0"/>
                <w:numId w:val="6"/>
              </w:numPr>
            </w:pPr>
            <w:r w:rsidRPr="00E77AE1">
              <w:t>comparable (subject to caveats) across jurisdictions and over time</w:t>
            </w:r>
          </w:p>
          <w:p w:rsidR="00E77AE1" w:rsidRPr="00E77AE1" w:rsidRDefault="00E77AE1" w:rsidP="00E77AE1">
            <w:pPr>
              <w:pStyle w:val="Box"/>
              <w:numPr>
                <w:ilvl w:val="0"/>
                <w:numId w:val="6"/>
              </w:numPr>
            </w:pPr>
            <w:r w:rsidRPr="00E77AE1">
              <w:t xml:space="preserve">complete for the current reporting period (subject to caveats). </w:t>
            </w:r>
            <w:r w:rsidR="009D4117">
              <w:t>All required 201</w:t>
            </w:r>
            <w:r w:rsidR="00E675BB">
              <w:t>5</w:t>
            </w:r>
            <w:r w:rsidRPr="00E77AE1">
              <w:t xml:space="preserve"> data are available for all jurisdictions providing the service.</w:t>
            </w:r>
          </w:p>
          <w:p w:rsidR="00E77AE1" w:rsidRDefault="00E77AE1" w:rsidP="00E77AE1">
            <w:pPr>
              <w:pStyle w:val="Box"/>
            </w:pPr>
            <w:r w:rsidRPr="00E77AE1">
              <w:t>Data quality information for this indicator</w:t>
            </w:r>
            <w:r w:rsidR="006E0D24">
              <w:t xml:space="preserve"> is at www.pc.gov.au</w:t>
            </w:r>
            <w:r w:rsidR="00BA3094">
              <w:t>/rogs/2016</w:t>
            </w:r>
            <w:r w:rsidRPr="00E77AE1">
              <w:t>.</w:t>
            </w:r>
          </w:p>
        </w:tc>
      </w:tr>
      <w:tr w:rsidR="00E77AE1" w:rsidTr="000212AC">
        <w:trPr>
          <w:cantSplit/>
        </w:trPr>
        <w:tc>
          <w:tcPr>
            <w:tcW w:w="8771" w:type="dxa"/>
            <w:tcBorders>
              <w:top w:val="nil"/>
              <w:left w:val="nil"/>
              <w:bottom w:val="single" w:sz="6" w:space="0" w:color="78A22F"/>
              <w:right w:val="nil"/>
            </w:tcBorders>
            <w:shd w:val="clear" w:color="auto" w:fill="F2F2F2"/>
          </w:tcPr>
          <w:p w:rsidR="00E77AE1" w:rsidRDefault="00E77AE1">
            <w:pPr>
              <w:pStyle w:val="Box"/>
              <w:spacing w:before="0" w:line="120" w:lineRule="exact"/>
            </w:pPr>
          </w:p>
        </w:tc>
      </w:tr>
      <w:tr w:rsidR="00E77AE1" w:rsidRPr="000863A5" w:rsidTr="000212AC">
        <w:tc>
          <w:tcPr>
            <w:tcW w:w="8771" w:type="dxa"/>
            <w:tcBorders>
              <w:top w:val="single" w:sz="6" w:space="0" w:color="78A22F"/>
              <w:left w:val="nil"/>
              <w:bottom w:val="nil"/>
              <w:right w:val="nil"/>
            </w:tcBorders>
          </w:tcPr>
          <w:p w:rsidR="00E77AE1" w:rsidRPr="00626D32" w:rsidRDefault="00E77AE1" w:rsidP="000212AC">
            <w:pPr>
              <w:pStyle w:val="BoxSpaceBelow"/>
            </w:pPr>
          </w:p>
        </w:tc>
      </w:tr>
    </w:tbl>
    <w:p w:rsidR="00713391" w:rsidRPr="00EF5A5F" w:rsidRDefault="00C57336" w:rsidP="00C57336">
      <w:pPr>
        <w:pStyle w:val="BodyText"/>
      </w:pPr>
      <w:r w:rsidRPr="00EF5A5F">
        <w:t>Nationally</w:t>
      </w:r>
      <w:r w:rsidR="00713391" w:rsidRPr="00EF5A5F">
        <w:t xml:space="preserve"> in </w:t>
      </w:r>
      <w:r w:rsidR="00490181">
        <w:t>201</w:t>
      </w:r>
      <w:r w:rsidR="00641E93">
        <w:t>5</w:t>
      </w:r>
      <w:r w:rsidR="00713391" w:rsidRPr="00EF5A5F">
        <w:t>:</w:t>
      </w:r>
    </w:p>
    <w:p w:rsidR="00C57336" w:rsidRPr="00EF5A5F" w:rsidRDefault="00056391" w:rsidP="00F74889">
      <w:pPr>
        <w:pStyle w:val="ListBullet"/>
      </w:pPr>
      <w:r>
        <w:t>81.7</w:t>
      </w:r>
      <w:r w:rsidR="00FB203B">
        <w:t xml:space="preserve"> </w:t>
      </w:r>
      <w:r w:rsidR="00C57336" w:rsidRPr="00EF5A5F">
        <w:t>per</w:t>
      </w:r>
      <w:r w:rsidR="00FB203B">
        <w:t xml:space="preserve"> </w:t>
      </w:r>
      <w:r w:rsidR="00C57336" w:rsidRPr="00EF5A5F">
        <w:t>cent of employers engaged with apprenticeships or traineeships were satisfied with VET as a way of providing employees with skills required for the job (figure</w:t>
      </w:r>
      <w:r w:rsidR="004D51FB" w:rsidRPr="00EF5A5F">
        <w:t> </w:t>
      </w:r>
      <w:r w:rsidR="003A68D1">
        <w:t>5.36</w:t>
      </w:r>
      <w:r w:rsidR="00C57336" w:rsidRPr="00EF5A5F">
        <w:t>)</w:t>
      </w:r>
      <w:r w:rsidR="00F136FC" w:rsidRPr="00EF5A5F">
        <w:t xml:space="preserve"> </w:t>
      </w:r>
    </w:p>
    <w:p w:rsidR="00C57336" w:rsidRPr="00EF5A5F" w:rsidRDefault="00056391" w:rsidP="00F74889">
      <w:pPr>
        <w:pStyle w:val="ListBullet"/>
      </w:pPr>
      <w:r>
        <w:t>84.0</w:t>
      </w:r>
      <w:r w:rsidR="00FB203B">
        <w:t xml:space="preserve"> </w:t>
      </w:r>
      <w:r w:rsidR="00C57336" w:rsidRPr="00EF5A5F">
        <w:t>per</w:t>
      </w:r>
      <w:r w:rsidR="00FB203B">
        <w:t xml:space="preserve"> </w:t>
      </w:r>
      <w:r w:rsidR="00C57336" w:rsidRPr="00EF5A5F">
        <w:t>cent of employers who arranged or provided nationally recognised trainin</w:t>
      </w:r>
      <w:r w:rsidR="004D51FB" w:rsidRPr="00EF5A5F">
        <w:t>g to employees over the past 12</w:t>
      </w:r>
      <w:r w:rsidR="00FB203B">
        <w:t xml:space="preserve"> </w:t>
      </w:r>
      <w:r w:rsidR="00C57336" w:rsidRPr="00EF5A5F">
        <w:t>months were satisfied with nationally recognised training as a way of providing employees with skil</w:t>
      </w:r>
      <w:r w:rsidR="004D51FB" w:rsidRPr="00EF5A5F">
        <w:t>ls required for the job (figure</w:t>
      </w:r>
      <w:r w:rsidR="00FB203B">
        <w:t xml:space="preserve"> </w:t>
      </w:r>
      <w:r w:rsidR="003A68D1">
        <w:t>5.36</w:t>
      </w:r>
      <w:r w:rsidR="003F1B02">
        <w:t>)</w:t>
      </w:r>
      <w:r w:rsidR="000B28F2" w:rsidRPr="00EF5A5F">
        <w:t xml:space="preserve"> </w:t>
      </w:r>
    </w:p>
    <w:p w:rsidR="00C57336" w:rsidRPr="00EF5A5F" w:rsidRDefault="00056391" w:rsidP="00F74889">
      <w:pPr>
        <w:pStyle w:val="ListBullet"/>
      </w:pPr>
      <w:r>
        <w:t>76.2</w:t>
      </w:r>
      <w:r w:rsidR="00FB203B">
        <w:t xml:space="preserve"> </w:t>
      </w:r>
      <w:r w:rsidR="00C57336" w:rsidRPr="00EF5A5F">
        <w:t>per</w:t>
      </w:r>
      <w:r w:rsidR="00FB203B">
        <w:t xml:space="preserve"> </w:t>
      </w:r>
      <w:r w:rsidR="00C57336" w:rsidRPr="00EF5A5F">
        <w:t>cent of employers who had employees in the last 12</w:t>
      </w:r>
      <w:r w:rsidR="00FB203B">
        <w:t xml:space="preserve"> </w:t>
      </w:r>
      <w:r w:rsidR="00C57336" w:rsidRPr="00EF5A5F">
        <w:t xml:space="preserve">months with a formal vocational qualification that was a requirement of their job were satisfied with formal vocational requirements as </w:t>
      </w:r>
      <w:r w:rsidR="00E133FA" w:rsidRPr="00EF5A5F">
        <w:t xml:space="preserve">a way of meeting </w:t>
      </w:r>
      <w:r w:rsidR="00137754" w:rsidRPr="00EF5A5F">
        <w:t xml:space="preserve">their </w:t>
      </w:r>
      <w:r w:rsidR="004C2E63" w:rsidRPr="00EF5A5F">
        <w:t>skill</w:t>
      </w:r>
      <w:r w:rsidR="00E133FA" w:rsidRPr="00EF5A5F">
        <w:t xml:space="preserve"> </w:t>
      </w:r>
      <w:r w:rsidR="00A948CD" w:rsidRPr="00EF5A5F">
        <w:t xml:space="preserve">needs </w:t>
      </w:r>
      <w:r w:rsidR="004C2E63" w:rsidRPr="00EF5A5F">
        <w:t xml:space="preserve">for the job </w:t>
      </w:r>
      <w:r w:rsidR="00E133FA" w:rsidRPr="00EF5A5F">
        <w:t>(figure</w:t>
      </w:r>
      <w:r w:rsidR="00FB203B">
        <w:t xml:space="preserve"> </w:t>
      </w:r>
      <w:r w:rsidR="003A68D1">
        <w:t>5.36</w:t>
      </w:r>
      <w:r w:rsidR="003F1B02">
        <w:t>)</w:t>
      </w:r>
      <w:r w:rsidR="00071B10" w:rsidRPr="00EF5A5F">
        <w:t>.</w:t>
      </w:r>
    </w:p>
    <w:p w:rsidR="001622AA" w:rsidRDefault="001622AA" w:rsidP="001622AA">
      <w:pPr>
        <w:pStyle w:val="BodyText"/>
      </w:pPr>
      <w:r>
        <w:t>Table 5A.95 provides additional historical information on employer satisfaction with VET from 2007 to 2015.</w:t>
      </w:r>
      <w:r w:rsidRPr="008E4B7F">
        <w:t xml:space="preserve"> </w:t>
      </w:r>
      <w:r>
        <w:t>Data for years prior to 2015 have been revised.</w:t>
      </w:r>
    </w:p>
    <w:p w:rsidR="002C60B2" w:rsidRDefault="002C60B2" w:rsidP="00804C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C60B2" w:rsidTr="00804C04">
        <w:tc>
          <w:tcPr>
            <w:tcW w:w="8771" w:type="dxa"/>
            <w:tcBorders>
              <w:top w:val="single" w:sz="6" w:space="0" w:color="78A22F"/>
              <w:left w:val="nil"/>
              <w:bottom w:val="nil"/>
              <w:right w:val="nil"/>
            </w:tcBorders>
            <w:shd w:val="clear" w:color="auto" w:fill="auto"/>
          </w:tcPr>
          <w:p w:rsidR="002C60B2" w:rsidRPr="00176D3F" w:rsidRDefault="002C60B2" w:rsidP="00516044">
            <w:pPr>
              <w:pStyle w:val="FigureTitle"/>
            </w:pPr>
            <w:r w:rsidRPr="00784A05">
              <w:rPr>
                <w:b w:val="0"/>
              </w:rPr>
              <w:t xml:space="preserve">Figure </w:t>
            </w:r>
            <w:bookmarkStart w:id="68" w:name="OLE_LINK53"/>
            <w:r w:rsidR="003A68D1">
              <w:rPr>
                <w:b w:val="0"/>
              </w:rPr>
              <w:t>5.</w:t>
            </w:r>
            <w:r w:rsidR="00111918">
              <w:rPr>
                <w:b w:val="0"/>
                <w:noProof/>
              </w:rPr>
              <w:t>36</w:t>
            </w:r>
            <w:bookmarkEnd w:id="68"/>
            <w:r>
              <w:tab/>
            </w:r>
            <w:r w:rsidRPr="00EF5A5F">
              <w:t xml:space="preserve">Proportion of employers who engaged with an aspect of the VET system and are satisfied with VET as a way of meeting their skill needs, </w:t>
            </w:r>
            <w:r>
              <w:t>201</w:t>
            </w:r>
            <w:r w:rsidR="00A16B93">
              <w:t>5</w:t>
            </w:r>
            <w:r w:rsidRPr="00EF5A5F">
              <w:rPr>
                <w:rStyle w:val="NoteLabel"/>
                <w:b/>
              </w:rPr>
              <w:t>a</w:t>
            </w:r>
            <w:r>
              <w:rPr>
                <w:rStyle w:val="NoteLabel"/>
                <w:b/>
              </w:rPr>
              <w:t>, b</w:t>
            </w:r>
          </w:p>
        </w:tc>
      </w:tr>
      <w:tr w:rsidR="002C60B2"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C60B2" w:rsidTr="002C60B2">
              <w:tc>
                <w:tcPr>
                  <w:tcW w:w="5000" w:type="pct"/>
                  <w:tcBorders>
                    <w:top w:val="nil"/>
                    <w:bottom w:val="nil"/>
                  </w:tcBorders>
                </w:tcPr>
                <w:p w:rsidR="002C60B2" w:rsidRDefault="000308A8" w:rsidP="00804C04">
                  <w:pPr>
                    <w:pStyle w:val="Figure"/>
                    <w:spacing w:before="60" w:after="60"/>
                  </w:pPr>
                  <w:r>
                    <w:rPr>
                      <w:noProof/>
                    </w:rPr>
                    <w:drawing>
                      <wp:inline distT="0" distB="0" distL="0" distR="0">
                        <wp:extent cx="5389880" cy="2710815"/>
                        <wp:effectExtent l="0" t="0" r="1270" b="0"/>
                        <wp:docPr id="52" name="Picture 52" descr="Figure 5.36 Proportion of employers who engaged with an aspect of the VET system and are satisfied with VET as a way of meeting their skill needs,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2C60B2" w:rsidRDefault="002C60B2" w:rsidP="00804C04">
            <w:pPr>
              <w:pStyle w:val="Figure"/>
            </w:pPr>
          </w:p>
        </w:tc>
      </w:tr>
      <w:tr w:rsidR="002C60B2" w:rsidRPr="00176D3F" w:rsidTr="00804C04">
        <w:tc>
          <w:tcPr>
            <w:tcW w:w="8771" w:type="dxa"/>
            <w:tcBorders>
              <w:top w:val="nil"/>
              <w:left w:val="nil"/>
              <w:bottom w:val="nil"/>
              <w:right w:val="nil"/>
            </w:tcBorders>
            <w:shd w:val="clear" w:color="auto" w:fill="auto"/>
          </w:tcPr>
          <w:p w:rsidR="002C60B2" w:rsidRPr="00176D3F" w:rsidRDefault="00641E93" w:rsidP="0053766B">
            <w:pPr>
              <w:pStyle w:val="Note"/>
            </w:pPr>
            <w:r w:rsidRPr="00171E10">
              <w:rPr>
                <w:rStyle w:val="NoteLabel"/>
              </w:rPr>
              <w:t>a</w:t>
            </w:r>
            <w:r w:rsidRPr="00171E10">
              <w:t xml:space="preserve"> </w:t>
            </w:r>
            <w:r>
              <w:t>E</w:t>
            </w:r>
            <w:r w:rsidRPr="00171E10">
              <w:t xml:space="preserve">rror bars represent the 95 per cent confidence interval associated </w:t>
            </w:r>
            <w:r w:rsidRPr="000C682B">
              <w:rPr>
                <w:shd w:val="clear" w:color="auto" w:fill="FFFFFF" w:themeFill="background1"/>
              </w:rPr>
              <w:t>with each point estimate.</w:t>
            </w:r>
            <w:r w:rsidRPr="000C682B">
              <w:rPr>
                <w:rStyle w:val="NoteLabel"/>
                <w:shd w:val="clear" w:color="auto" w:fill="FFFFFF" w:themeFill="background1"/>
              </w:rPr>
              <w:t xml:space="preserve"> </w:t>
            </w:r>
            <w:r>
              <w:rPr>
                <w:rStyle w:val="NoteLabel"/>
              </w:rPr>
              <w:t>b</w:t>
            </w:r>
            <w:r w:rsidRPr="004B1B81">
              <w:t xml:space="preserve"> </w:t>
            </w:r>
            <w:r w:rsidR="0053766B" w:rsidRPr="006D3797">
              <w:t>See box</w:t>
            </w:r>
            <w:r w:rsidR="0053766B">
              <w:t> </w:t>
            </w:r>
            <w:r w:rsidR="003A68D1">
              <w:t>5.21</w:t>
            </w:r>
            <w:r w:rsidR="0053766B">
              <w:t xml:space="preserve"> and table </w:t>
            </w:r>
            <w:r w:rsidR="0053766B" w:rsidRPr="008C1DD2">
              <w:t>5A.</w:t>
            </w:r>
            <w:r w:rsidR="0053766B">
              <w:t>95</w:t>
            </w:r>
            <w:r w:rsidR="0053766B" w:rsidRPr="006D3797">
              <w:t xml:space="preserve"> for detailed definitions, footnotes and caveats</w:t>
            </w:r>
            <w:r w:rsidRPr="004B1B81">
              <w:t>.</w:t>
            </w:r>
          </w:p>
        </w:tc>
      </w:tr>
      <w:tr w:rsidR="002C60B2" w:rsidRPr="00176D3F" w:rsidTr="00804C04">
        <w:tc>
          <w:tcPr>
            <w:tcW w:w="8771" w:type="dxa"/>
            <w:tcBorders>
              <w:top w:val="nil"/>
              <w:left w:val="nil"/>
              <w:bottom w:val="nil"/>
              <w:right w:val="nil"/>
            </w:tcBorders>
            <w:shd w:val="clear" w:color="auto" w:fill="auto"/>
          </w:tcPr>
          <w:p w:rsidR="002C60B2" w:rsidRPr="00176D3F" w:rsidRDefault="002C60B2" w:rsidP="00641E93">
            <w:pPr>
              <w:pStyle w:val="Source"/>
            </w:pPr>
            <w:r w:rsidRPr="00EF5A5F">
              <w:rPr>
                <w:i/>
              </w:rPr>
              <w:t>Source</w:t>
            </w:r>
            <w:r w:rsidRPr="00EF5A5F">
              <w:t xml:space="preserve">: NCVER (unpublished) </w:t>
            </w:r>
            <w:r w:rsidRPr="00B67641">
              <w:t>Survey of Employers’ Use and Views of the VET System</w:t>
            </w:r>
            <w:r w:rsidRPr="00EF5A5F">
              <w:t>; table 5A.</w:t>
            </w:r>
            <w:r>
              <w:t>9</w:t>
            </w:r>
            <w:r w:rsidR="00641E93">
              <w:t>5</w:t>
            </w:r>
            <w:r w:rsidRPr="00EF5A5F">
              <w:t>.</w:t>
            </w:r>
          </w:p>
        </w:tc>
      </w:tr>
      <w:tr w:rsidR="002C60B2" w:rsidTr="00804C04">
        <w:tc>
          <w:tcPr>
            <w:tcW w:w="8771" w:type="dxa"/>
            <w:tcBorders>
              <w:top w:val="nil"/>
              <w:left w:val="nil"/>
              <w:bottom w:val="single" w:sz="6" w:space="0" w:color="78A22F"/>
              <w:right w:val="nil"/>
            </w:tcBorders>
            <w:shd w:val="clear" w:color="auto" w:fill="auto"/>
          </w:tcPr>
          <w:p w:rsidR="002C60B2" w:rsidRDefault="002C60B2" w:rsidP="00804C04">
            <w:pPr>
              <w:pStyle w:val="Figurespace"/>
            </w:pPr>
          </w:p>
        </w:tc>
      </w:tr>
      <w:tr w:rsidR="002C60B2" w:rsidRPr="000863A5" w:rsidTr="00804C04">
        <w:tc>
          <w:tcPr>
            <w:tcW w:w="8771" w:type="dxa"/>
            <w:tcBorders>
              <w:top w:val="single" w:sz="6" w:space="0" w:color="78A22F"/>
              <w:left w:val="nil"/>
              <w:bottom w:val="nil"/>
              <w:right w:val="nil"/>
            </w:tcBorders>
          </w:tcPr>
          <w:p w:rsidR="002C60B2" w:rsidRPr="00626D32" w:rsidRDefault="002C60B2" w:rsidP="00804C04">
            <w:pPr>
              <w:pStyle w:val="BoxSpaceBelow"/>
            </w:pPr>
          </w:p>
        </w:tc>
      </w:tr>
    </w:tbl>
    <w:p w:rsidR="00C57336" w:rsidRPr="00EF5A5F" w:rsidRDefault="003A68D1" w:rsidP="00281C53">
      <w:pPr>
        <w:pStyle w:val="Heading2"/>
      </w:pPr>
      <w:bookmarkStart w:id="69" w:name="_Toc341279242"/>
      <w:bookmarkStart w:id="70" w:name="_Toc429558952"/>
      <w:r>
        <w:t>5.</w:t>
      </w:r>
      <w:r w:rsidR="00111918">
        <w:rPr>
          <w:noProof/>
        </w:rPr>
        <w:t>4</w:t>
      </w:r>
      <w:r w:rsidR="00D660C5">
        <w:tab/>
      </w:r>
      <w:r w:rsidR="00C57336" w:rsidRPr="00EF5A5F">
        <w:t>Future directions in performance reporting</w:t>
      </w:r>
      <w:bookmarkEnd w:id="69"/>
      <w:bookmarkEnd w:id="70"/>
    </w:p>
    <w:p w:rsidR="00FC252D" w:rsidRPr="00EF5A5F" w:rsidRDefault="00FC252D" w:rsidP="00C57336">
      <w:pPr>
        <w:pStyle w:val="BodyText"/>
      </w:pPr>
      <w:r w:rsidRPr="00EF5A5F">
        <w:t xml:space="preserve">Aspects of </w:t>
      </w:r>
      <w:r w:rsidR="008C7339" w:rsidRPr="00EF5A5F">
        <w:t xml:space="preserve">some </w:t>
      </w:r>
      <w:r w:rsidRPr="00EF5A5F">
        <w:t xml:space="preserve">VET indicators are not yet fully developed or comparable, </w:t>
      </w:r>
      <w:r w:rsidR="0039053B" w:rsidRPr="00EF5A5F">
        <w:t xml:space="preserve">and </w:t>
      </w:r>
      <w:r w:rsidR="00BC4C0A" w:rsidRPr="00EF5A5F">
        <w:t xml:space="preserve">developments </w:t>
      </w:r>
      <w:r w:rsidRPr="00EF5A5F">
        <w:t xml:space="preserve">for future </w:t>
      </w:r>
      <w:r w:rsidR="00BC4C0A" w:rsidRPr="00EF5A5F">
        <w:t>r</w:t>
      </w:r>
      <w:r w:rsidR="0039053B" w:rsidRPr="00EF5A5F">
        <w:t xml:space="preserve">eports </w:t>
      </w:r>
      <w:r w:rsidRPr="00EF5A5F">
        <w:t>include:</w:t>
      </w:r>
    </w:p>
    <w:p w:rsidR="00D07B22" w:rsidRPr="00EF5A5F" w:rsidRDefault="00707F59" w:rsidP="00FC252D">
      <w:pPr>
        <w:pStyle w:val="ListBullet"/>
      </w:pPr>
      <w:r>
        <w:t xml:space="preserve">identifying </w:t>
      </w:r>
      <w:r w:rsidR="00380414">
        <w:t>measures for the ‘skill profile’ i</w:t>
      </w:r>
      <w:r w:rsidR="00C57336" w:rsidRPr="00EF5A5F">
        <w:t>ndicator</w:t>
      </w:r>
    </w:p>
    <w:p w:rsidR="00A16B93" w:rsidRPr="00EF5A5F" w:rsidRDefault="00A16B93" w:rsidP="00A16B93">
      <w:pPr>
        <w:pStyle w:val="ListBullet"/>
      </w:pPr>
      <w:r>
        <w:t xml:space="preserve">incorporating data on Total VET Activity </w:t>
      </w:r>
    </w:p>
    <w:p w:rsidR="00641E93" w:rsidRDefault="00380414" w:rsidP="005E2807">
      <w:pPr>
        <w:pStyle w:val="ListBullet"/>
      </w:pPr>
      <w:r>
        <w:t xml:space="preserve">using data from the </w:t>
      </w:r>
      <w:r w:rsidRPr="00034BDF">
        <w:t>Unique Student Identifier</w:t>
      </w:r>
      <w:r>
        <w:t xml:space="preserve"> to improve reporting on the </w:t>
      </w:r>
      <w:r w:rsidR="003F1B02">
        <w:t>measure</w:t>
      </w:r>
      <w:r>
        <w:t xml:space="preserve"> ‘e</w:t>
      </w:r>
      <w:r w:rsidRPr="00034BDF">
        <w:t>stimated qualification completion rate and subject pass rate</w:t>
      </w:r>
      <w:r>
        <w:t>’ within the outcome indicator ‘</w:t>
      </w:r>
      <w:r w:rsidRPr="0090681D">
        <w:t>Student achievement in VET’</w:t>
      </w:r>
      <w:r w:rsidR="00A16B93">
        <w:t>.</w:t>
      </w:r>
    </w:p>
    <w:p w:rsidR="00C57336" w:rsidRPr="00EA6B27" w:rsidRDefault="003A68D1" w:rsidP="00641E93">
      <w:pPr>
        <w:pStyle w:val="Heading2"/>
      </w:pPr>
      <w:bookmarkStart w:id="71" w:name="_Toc341279244"/>
      <w:bookmarkStart w:id="72" w:name="_Toc429558953"/>
      <w:r>
        <w:lastRenderedPageBreak/>
        <w:t>5.</w:t>
      </w:r>
      <w:r w:rsidR="00111918">
        <w:rPr>
          <w:noProof/>
        </w:rPr>
        <w:t>5</w:t>
      </w:r>
      <w:r w:rsidR="00D660C5">
        <w:tab/>
      </w:r>
      <w:r w:rsidR="00C57336" w:rsidRPr="00EA6B27">
        <w:t xml:space="preserve">Definitions of key </w:t>
      </w:r>
      <w:r w:rsidR="00C57336" w:rsidRPr="00641E93">
        <w:t>terms</w:t>
      </w:r>
      <w:bookmarkEnd w:id="71"/>
      <w:bookmarkEnd w:id="72"/>
    </w:p>
    <w:p w:rsidR="004F3A94" w:rsidRPr="00EF5A5F" w:rsidRDefault="004F3A94" w:rsidP="004F3A94">
      <w:pPr>
        <w:pStyle w:val="BoxSpace"/>
      </w:pPr>
    </w:p>
    <w:tbl>
      <w:tblPr>
        <w:tblW w:w="0" w:type="auto"/>
        <w:tblInd w:w="108" w:type="dxa"/>
        <w:tblCellMar>
          <w:left w:w="57" w:type="dxa"/>
          <w:right w:w="57" w:type="dxa"/>
        </w:tblCellMar>
        <w:tblLook w:val="01E0" w:firstRow="1" w:lastRow="1" w:firstColumn="1" w:lastColumn="1" w:noHBand="0" w:noVBand="0"/>
      </w:tblPr>
      <w:tblGrid>
        <w:gridCol w:w="1843"/>
        <w:gridCol w:w="6905"/>
        <w:gridCol w:w="41"/>
      </w:tblGrid>
      <w:tr w:rsidR="00DE4470" w:rsidRPr="00EF5A5F" w:rsidTr="00A16B93">
        <w:trPr>
          <w:cantSplit/>
        </w:trPr>
        <w:tc>
          <w:tcPr>
            <w:tcW w:w="1843" w:type="dxa"/>
          </w:tcPr>
          <w:p w:rsidR="00DE4470" w:rsidRPr="00EF5A5F" w:rsidRDefault="00DE4470" w:rsidP="009861E8">
            <w:pPr>
              <w:pStyle w:val="TableBodyText"/>
              <w:spacing w:before="60" w:after="60"/>
              <w:ind w:left="34" w:right="0"/>
              <w:jc w:val="left"/>
              <w:rPr>
                <w:b/>
              </w:rPr>
            </w:pPr>
            <w:r w:rsidRPr="00EF5A5F">
              <w:rPr>
                <w:b/>
              </w:rPr>
              <w:t>Adult and community education providers</w:t>
            </w:r>
          </w:p>
        </w:tc>
        <w:tc>
          <w:tcPr>
            <w:tcW w:w="6946" w:type="dxa"/>
            <w:gridSpan w:val="2"/>
          </w:tcPr>
          <w:p w:rsidR="00DE4470" w:rsidRPr="00EF5A5F" w:rsidRDefault="00DE4470" w:rsidP="002823E6">
            <w:pPr>
              <w:pStyle w:val="TableBodyText"/>
              <w:keepNext w:val="0"/>
              <w:spacing w:before="60" w:after="60"/>
              <w:ind w:right="0"/>
              <w:jc w:val="left"/>
            </w:pPr>
            <w:r w:rsidRPr="00EF5A5F">
              <w:t xml:space="preserve">Organisations </w:t>
            </w:r>
            <w:r w:rsidR="000C7F1C" w:rsidRPr="00EF5A5F">
              <w:t>that</w:t>
            </w:r>
            <w:r w:rsidRPr="00EF5A5F">
              <w:t xml:space="preserve"> deliver community</w:t>
            </w:r>
            <w:r w:rsidR="00AD5F7E">
              <w:noBreakHyphen/>
            </w:r>
            <w:r w:rsidRPr="00EF5A5F">
              <w:t>based adult education and training intended principally, including general, vocational, basic and community education, and recreation, leisure and personal enrichment programs.</w:t>
            </w:r>
          </w:p>
        </w:tc>
      </w:tr>
      <w:tr w:rsidR="00D34C36" w:rsidRPr="00EF5A5F" w:rsidTr="00A16B93">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Annual hours</w:t>
            </w:r>
          </w:p>
        </w:tc>
        <w:tc>
          <w:tcPr>
            <w:tcW w:w="6946" w:type="dxa"/>
            <w:gridSpan w:val="2"/>
          </w:tcPr>
          <w:p w:rsidR="00D34C36" w:rsidRPr="00EF5A5F" w:rsidRDefault="00D34C36" w:rsidP="00A16B93">
            <w:pPr>
              <w:pStyle w:val="TableBodyText"/>
              <w:keepNext w:val="0"/>
              <w:spacing w:before="60" w:after="60"/>
              <w:ind w:right="0"/>
              <w:jc w:val="left"/>
            </w:pPr>
            <w:r w:rsidRPr="00EF5A5F">
              <w:t>The total hours of delivery based on the standard nominal hour value for each subject undertaken. These represent the hours of supervised training under a traditional delivery strategy</w:t>
            </w:r>
            <w:r w:rsidR="004043CD" w:rsidRPr="00EF5A5F">
              <w:t>. Annual hours are adjusted to account for invalid module enrolments.</w:t>
            </w:r>
          </w:p>
        </w:tc>
      </w:tr>
      <w:tr w:rsidR="002823E6" w:rsidRPr="00CD50C4" w:rsidTr="00F74889">
        <w:tblPrEx>
          <w:tblLook w:val="0000" w:firstRow="0" w:lastRow="0" w:firstColumn="0" w:lastColumn="0" w:noHBand="0" w:noVBand="0"/>
        </w:tblPrEx>
        <w:trPr>
          <w:cantSplit/>
        </w:trPr>
        <w:tc>
          <w:tcPr>
            <w:tcW w:w="1843" w:type="dxa"/>
            <w:shd w:val="clear" w:color="auto" w:fill="auto"/>
          </w:tcPr>
          <w:p w:rsidR="002823E6" w:rsidRPr="00CD50C4" w:rsidRDefault="002823E6" w:rsidP="00D22DD3">
            <w:pPr>
              <w:pStyle w:val="TableBodyText"/>
              <w:keepNext w:val="0"/>
              <w:spacing w:before="60" w:after="60"/>
              <w:ind w:left="34" w:right="0"/>
              <w:jc w:val="left"/>
              <w:rPr>
                <w:b/>
              </w:rPr>
            </w:pPr>
            <w:r>
              <w:rPr>
                <w:b/>
              </w:rPr>
              <w:t>Australian Qualifications Framework (AQF)</w:t>
            </w:r>
          </w:p>
        </w:tc>
        <w:tc>
          <w:tcPr>
            <w:tcW w:w="6946" w:type="dxa"/>
            <w:gridSpan w:val="2"/>
            <w:shd w:val="clear" w:color="auto" w:fill="auto"/>
          </w:tcPr>
          <w:p w:rsidR="002823E6" w:rsidRPr="0041035E" w:rsidRDefault="002823E6" w:rsidP="00A16B93">
            <w:pPr>
              <w:pStyle w:val="TableBodyText"/>
              <w:keepNext w:val="0"/>
              <w:spacing w:before="60" w:after="60"/>
              <w:ind w:right="0"/>
              <w:jc w:val="left"/>
            </w:pPr>
            <w:r w:rsidRPr="002823E6">
              <w:t>The national policy for regulated qualifications in Australian education and training. It incorporates the qualifications from each education and training sector into a single comprehensive national qualifications framework. The AQF was introduced in 1995 to underpin the national system of qualifications, encompassing higher education, VET and schools.</w:t>
            </w:r>
          </w:p>
        </w:tc>
      </w:tr>
      <w:tr w:rsidR="0000489F" w:rsidRPr="00CD50C4" w:rsidTr="00A16B93">
        <w:tblPrEx>
          <w:tblLook w:val="0000" w:firstRow="0" w:lastRow="0" w:firstColumn="0" w:lastColumn="0" w:noHBand="0" w:noVBand="0"/>
        </w:tblPrEx>
        <w:trPr>
          <w:cantSplit/>
        </w:trPr>
        <w:tc>
          <w:tcPr>
            <w:tcW w:w="1843" w:type="dxa"/>
            <w:shd w:val="clear" w:color="auto" w:fill="auto"/>
          </w:tcPr>
          <w:p w:rsidR="0000489F" w:rsidRPr="00CD50C4" w:rsidRDefault="0000489F" w:rsidP="00D22DD3">
            <w:pPr>
              <w:pStyle w:val="TableBodyText"/>
              <w:keepNext w:val="0"/>
              <w:spacing w:before="60" w:after="60"/>
              <w:ind w:left="34" w:right="0"/>
              <w:jc w:val="left"/>
              <w:rPr>
                <w:b/>
              </w:rPr>
            </w:pPr>
            <w:r w:rsidRPr="00CD50C4">
              <w:rPr>
                <w:b/>
              </w:rPr>
              <w:t>Comparability</w:t>
            </w:r>
          </w:p>
        </w:tc>
        <w:tc>
          <w:tcPr>
            <w:tcW w:w="6946" w:type="dxa"/>
            <w:gridSpan w:val="2"/>
            <w:shd w:val="clear" w:color="auto" w:fill="auto"/>
          </w:tcPr>
          <w:p w:rsidR="0000489F" w:rsidRPr="00CD50C4" w:rsidRDefault="0041035E" w:rsidP="00A16B93">
            <w:pPr>
              <w:pStyle w:val="TableBodyText"/>
              <w:keepNext w:val="0"/>
              <w:spacing w:before="60" w:after="60"/>
              <w:ind w:right="0"/>
              <w:jc w:val="left"/>
            </w:pPr>
            <w:r w:rsidRPr="0041035E">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00489F" w:rsidRPr="00CD50C4" w:rsidTr="00A16B93">
        <w:tblPrEx>
          <w:tblLook w:val="0000" w:firstRow="0" w:lastRow="0" w:firstColumn="0" w:lastColumn="0" w:noHBand="0" w:noVBand="0"/>
        </w:tblPrEx>
        <w:trPr>
          <w:cantSplit/>
        </w:trPr>
        <w:tc>
          <w:tcPr>
            <w:tcW w:w="1843" w:type="dxa"/>
            <w:shd w:val="clear" w:color="auto" w:fill="auto"/>
          </w:tcPr>
          <w:p w:rsidR="0000489F" w:rsidRPr="00CD50C4" w:rsidRDefault="0000489F" w:rsidP="00D22DD3">
            <w:pPr>
              <w:pStyle w:val="TableBodyText"/>
              <w:keepNext w:val="0"/>
              <w:spacing w:before="60" w:after="60"/>
              <w:ind w:left="34" w:right="0"/>
              <w:jc w:val="left"/>
              <w:rPr>
                <w:b/>
              </w:rPr>
            </w:pPr>
            <w:r w:rsidRPr="00CD50C4">
              <w:rPr>
                <w:b/>
              </w:rPr>
              <w:t>Completeness</w:t>
            </w:r>
          </w:p>
        </w:tc>
        <w:tc>
          <w:tcPr>
            <w:tcW w:w="6946" w:type="dxa"/>
            <w:gridSpan w:val="2"/>
            <w:shd w:val="clear" w:color="auto" w:fill="auto"/>
          </w:tcPr>
          <w:p w:rsidR="0000489F" w:rsidRPr="00CD50C4" w:rsidRDefault="0041035E" w:rsidP="00A16B93">
            <w:pPr>
              <w:pStyle w:val="TableBodyText"/>
              <w:keepNext w:val="0"/>
              <w:spacing w:before="60" w:after="60"/>
              <w:ind w:right="0"/>
              <w:jc w:val="left"/>
            </w:pPr>
            <w:r w:rsidRPr="0041035E">
              <w:t>Data are considered complete if all required data are available for all jurisdictions that provide the service.</w:t>
            </w:r>
          </w:p>
        </w:tc>
      </w:tr>
      <w:tr w:rsidR="00D34C36" w:rsidRPr="00EF5A5F" w:rsidTr="00A16B93">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Completions</w:t>
            </w:r>
          </w:p>
        </w:tc>
        <w:tc>
          <w:tcPr>
            <w:tcW w:w="6946" w:type="dxa"/>
            <w:gridSpan w:val="2"/>
          </w:tcPr>
          <w:p w:rsidR="00D34C36" w:rsidRPr="00EF5A5F" w:rsidRDefault="00D34C36" w:rsidP="00A16B93">
            <w:pPr>
              <w:pStyle w:val="TableBodyText"/>
              <w:keepNext w:val="0"/>
              <w:spacing w:before="60" w:after="60"/>
              <w:ind w:right="0"/>
              <w:jc w:val="left"/>
            </w:pPr>
            <w:r w:rsidRPr="00EF5A5F">
              <w:t>Fulfilment of all of the requirements of a course enrolment or module enrolment. Completion of a qualification or course is indicated by acknowledging eligibility for a qualification (whether or not the student physically received the acknowledgment).</w:t>
            </w:r>
          </w:p>
          <w:p w:rsidR="00DA20A2" w:rsidRPr="00EF5A5F" w:rsidRDefault="00E562E7" w:rsidP="00DE4B50">
            <w:pPr>
              <w:pStyle w:val="TableBodyText"/>
              <w:keepNext w:val="0"/>
              <w:spacing w:before="60" w:after="60"/>
              <w:ind w:right="0"/>
              <w:jc w:val="left"/>
            </w:pPr>
            <w:r w:rsidRPr="0014685B">
              <w:t xml:space="preserve">Data on qualifications completed includes both government and </w:t>
            </w:r>
            <w:r w:rsidR="00565A39" w:rsidRPr="0014685B">
              <w:br/>
            </w:r>
            <w:r w:rsidRPr="0014685B">
              <w:t>non</w:t>
            </w:r>
            <w:r w:rsidR="00AD5F7E">
              <w:noBreakHyphen/>
            </w:r>
            <w:r w:rsidRPr="0014685B">
              <w:t>government funded VET students attending TAFE, and only government funded students from private providers</w:t>
            </w:r>
            <w:r w:rsidR="00DE4B50">
              <w:t>.</w:t>
            </w:r>
            <w:r w:rsidR="00DA20A2" w:rsidRPr="00EF5A5F">
              <w:t xml:space="preserve"> This differs to other </w:t>
            </w:r>
            <w:r w:rsidRPr="00EF5A5F">
              <w:t>data under the outcome indicator ‘</w:t>
            </w:r>
            <w:r w:rsidR="00DA20A2" w:rsidRPr="00EF5A5F">
              <w:t>skill profile</w:t>
            </w:r>
            <w:r w:rsidR="00AD5F7E">
              <w:t>’</w:t>
            </w:r>
            <w:r w:rsidRPr="00EF5A5F">
              <w:t xml:space="preserve">, </w:t>
            </w:r>
            <w:r w:rsidR="00DA20A2" w:rsidRPr="00EF5A5F">
              <w:t xml:space="preserve">such as data for units of competency and modules </w:t>
            </w:r>
            <w:r w:rsidR="00033A0B" w:rsidRPr="00EF5A5F">
              <w:t>completed</w:t>
            </w:r>
            <w:r w:rsidR="00DA20A2" w:rsidRPr="00EF5A5F">
              <w:t>, which are reported for government</w:t>
            </w:r>
            <w:r w:rsidR="00AD5F7E">
              <w:noBreakHyphen/>
            </w:r>
            <w:r w:rsidR="00DA20A2" w:rsidRPr="00EF5A5F">
              <w:t>funded students only (in keeping with the scope of the VET chapter focusing on government</w:t>
            </w:r>
            <w:r w:rsidR="00AD5F7E">
              <w:noBreakHyphen/>
            </w:r>
            <w:r w:rsidR="00DA20A2" w:rsidRPr="00EF5A5F">
              <w:t>funded activity). This is due to a limitation of the data, that does not enable correct disaggregation of completions by funding source.</w:t>
            </w:r>
          </w:p>
        </w:tc>
      </w:tr>
      <w:tr w:rsidR="00D34C36" w:rsidRPr="00EF5A5F" w:rsidTr="00A16B93">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Course</w:t>
            </w:r>
          </w:p>
        </w:tc>
        <w:tc>
          <w:tcPr>
            <w:tcW w:w="6946" w:type="dxa"/>
            <w:gridSpan w:val="2"/>
          </w:tcPr>
          <w:p w:rsidR="00D34C36" w:rsidRPr="00EF5A5F" w:rsidRDefault="00D34C36" w:rsidP="00A16B93">
            <w:pPr>
              <w:pStyle w:val="TableBodyText"/>
              <w:keepNext w:val="0"/>
              <w:spacing w:before="60" w:after="60"/>
              <w:ind w:right="0"/>
              <w:jc w:val="left"/>
            </w:pPr>
            <w:r w:rsidRPr="00EF5A5F">
              <w:t>A structured program of study that leads to the acquisition of identified competencies and includes assessment leading to a qualification.</w:t>
            </w:r>
          </w:p>
        </w:tc>
      </w:tr>
      <w:tr w:rsidR="00D34C36" w:rsidRPr="00EF5A5F" w:rsidTr="00A16B93">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Course mix weight</w:t>
            </w:r>
          </w:p>
        </w:tc>
        <w:tc>
          <w:tcPr>
            <w:tcW w:w="6946" w:type="dxa"/>
            <w:gridSpan w:val="2"/>
          </w:tcPr>
          <w:p w:rsidR="00E63198" w:rsidRPr="00EF5A5F" w:rsidRDefault="00A97788" w:rsidP="00A16B93">
            <w:pPr>
              <w:pStyle w:val="TableBodyText"/>
              <w:keepNext w:val="0"/>
              <w:spacing w:before="60" w:after="60"/>
              <w:ind w:right="0"/>
              <w:jc w:val="left"/>
            </w:pPr>
            <w:r w:rsidRPr="00A97788">
              <w:t xml:space="preserve">Expenditure per annual hour is weighted to recognise the different proportions of relatively more expensive and less expensive training programs </w:t>
            </w:r>
            <w:r w:rsidRPr="009F0F4A">
              <w:t xml:space="preserve">which occur across jurisdictions. One method of calculating these course mix weights applies to all years in this Report. Under this method, cost relativities by subject field of education are applied to tabulations of annual hours by subject field of education and state/territory. </w:t>
            </w:r>
            <w:r w:rsidR="00E63198" w:rsidRPr="009F0F4A">
              <w:t>A course mix weighting greater than 1.000 indicates</w:t>
            </w:r>
            <w:r w:rsidR="00E63198" w:rsidRPr="00EF5A5F">
              <w:t xml:space="preserve"> that the </w:t>
            </w:r>
            <w:r w:rsidR="00B1111A" w:rsidRPr="00EF5A5F">
              <w:t>S</w:t>
            </w:r>
            <w:r w:rsidR="00E63198" w:rsidRPr="00EF5A5F">
              <w:t xml:space="preserve">tate or </w:t>
            </w:r>
            <w:r w:rsidR="00B1111A" w:rsidRPr="00EF5A5F">
              <w:t>T</w:t>
            </w:r>
            <w:r w:rsidR="00E63198" w:rsidRPr="00EF5A5F">
              <w:t xml:space="preserve">erritory is offering relatively more expensive programs </w:t>
            </w:r>
            <w:r w:rsidR="00E5210A" w:rsidRPr="00EF5A5F">
              <w:t>compared with</w:t>
            </w:r>
            <w:r w:rsidR="00E63198" w:rsidRPr="00EF5A5F">
              <w:t xml:space="preserve"> the national profile.</w:t>
            </w:r>
          </w:p>
        </w:tc>
      </w:tr>
      <w:tr w:rsidR="00EA6B27" w:rsidRPr="00EF5A5F" w:rsidTr="00A16B93">
        <w:trPr>
          <w:cantSplit/>
        </w:trPr>
        <w:tc>
          <w:tcPr>
            <w:tcW w:w="1843" w:type="dxa"/>
          </w:tcPr>
          <w:p w:rsidR="00EA6B27" w:rsidRPr="00EF5A5F" w:rsidRDefault="00EA6B27" w:rsidP="00A16B93">
            <w:pPr>
              <w:pStyle w:val="TableBodyText"/>
              <w:keepNext w:val="0"/>
              <w:spacing w:before="60" w:after="60"/>
              <w:ind w:left="34"/>
              <w:jc w:val="left"/>
              <w:rPr>
                <w:b/>
              </w:rPr>
            </w:pPr>
            <w:r w:rsidRPr="00EF5A5F">
              <w:rPr>
                <w:b/>
              </w:rPr>
              <w:t>Employer engagement with VET</w:t>
            </w:r>
          </w:p>
        </w:tc>
        <w:tc>
          <w:tcPr>
            <w:tcW w:w="6946" w:type="dxa"/>
            <w:gridSpan w:val="2"/>
          </w:tcPr>
          <w:p w:rsidR="00EA6B27" w:rsidRPr="00EF5A5F" w:rsidRDefault="00EA6B27" w:rsidP="00A16B93">
            <w:pPr>
              <w:pStyle w:val="TableBodyText"/>
              <w:keepNext w:val="0"/>
              <w:spacing w:before="60" w:after="60"/>
              <w:ind w:right="0"/>
              <w:jc w:val="left"/>
            </w:pPr>
            <w:r w:rsidRPr="00EF5A5F">
              <w:t xml:space="preserve">The proportion of Australian employers who in the last 12 months had employees undertaking apprenticeships/traineeships (now referred to as Australian Apprenticeships), </w:t>
            </w:r>
            <w:r>
              <w:t xml:space="preserve">or </w:t>
            </w:r>
            <w:r w:rsidRPr="00EF5A5F">
              <w:t>arranged or provided nationally recognised training (other than apprenticeships</w:t>
            </w:r>
            <w:r>
              <w:t xml:space="preserve"> </w:t>
            </w:r>
            <w:r w:rsidRPr="00EF5A5F">
              <w:t>/traineeships) for employees, or had employees with formal vocational qualification as a requirement of their job.</w:t>
            </w:r>
          </w:p>
        </w:tc>
      </w:tr>
      <w:tr w:rsidR="00D34C36" w:rsidRPr="00EF5A5F" w:rsidTr="00A16B93">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Employer satisfaction with VET</w:t>
            </w:r>
          </w:p>
        </w:tc>
        <w:tc>
          <w:tcPr>
            <w:tcW w:w="6946" w:type="dxa"/>
            <w:gridSpan w:val="2"/>
          </w:tcPr>
          <w:p w:rsidR="00D34C36" w:rsidRPr="00EF5A5F" w:rsidRDefault="00D34C36" w:rsidP="00A16B93">
            <w:pPr>
              <w:pStyle w:val="TableBodyText"/>
              <w:keepNext w:val="0"/>
              <w:spacing w:before="60" w:after="60"/>
              <w:ind w:right="34"/>
              <w:jc w:val="left"/>
            </w:pPr>
            <w:r w:rsidRPr="00EF5A5F">
              <w:t xml:space="preserve">The proportion of Australian employers who </w:t>
            </w:r>
            <w:r w:rsidR="0072272E">
              <w:t xml:space="preserve">engaged in an aspect of VET, and who were </w:t>
            </w:r>
            <w:r w:rsidRPr="00EF5A5F">
              <w:t>satisfied with VET in meeting the skill needs of their workforce. The components of satisfaction with the VET system are satisfaction with apprentices/trainees, nationally recognised training</w:t>
            </w:r>
            <w:r w:rsidR="000C7F1C" w:rsidRPr="00EF5A5F">
              <w:t>,</w:t>
            </w:r>
            <w:r w:rsidRPr="00EF5A5F">
              <w:t xml:space="preserve"> and formal vocational qualifications as a job requirement. Satisfaction is measured on a 5 point scale, ‘satisfied’ includes employers who were satisfied or very satisfied and ‘dissatisfied’ includes employers who were dissatisfied or very dissatisfied.</w:t>
            </w:r>
          </w:p>
        </w:tc>
      </w:tr>
      <w:tr w:rsidR="00D34C36" w:rsidRPr="00EF5A5F" w:rsidTr="00A16B93">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lastRenderedPageBreak/>
              <w:t>Enrolment</w:t>
            </w:r>
          </w:p>
        </w:tc>
        <w:tc>
          <w:tcPr>
            <w:tcW w:w="6946" w:type="dxa"/>
            <w:gridSpan w:val="2"/>
          </w:tcPr>
          <w:p w:rsidR="00F758BD" w:rsidRPr="00EF5A5F" w:rsidRDefault="00D34C36" w:rsidP="00A16B93">
            <w:pPr>
              <w:pStyle w:val="TableBodyText"/>
              <w:keepNext w:val="0"/>
              <w:spacing w:before="60" w:after="60"/>
              <w:ind w:right="34"/>
              <w:jc w:val="left"/>
            </w:pPr>
            <w:r w:rsidRPr="00EF5A5F">
              <w:t>The registration of a student at a training organisation’s delivery location for the purpose of undertaking a program of study. The enrolment is considered valid only if the student has undertaken enrolment procedures, met their fee obligations, and has engaged in learning activity regardless of the mode of delivery.</w:t>
            </w:r>
            <w:r w:rsidR="00F758BD" w:rsidRPr="00EF5A5F">
              <w:t xml:space="preserve"> </w:t>
            </w:r>
          </w:p>
          <w:p w:rsidR="00E51F0B" w:rsidRPr="00EF5A5F" w:rsidRDefault="00F758BD" w:rsidP="00A16B93">
            <w:pPr>
              <w:pStyle w:val="TableBodyText"/>
              <w:keepNext w:val="0"/>
              <w:spacing w:before="60" w:after="60"/>
              <w:ind w:right="34"/>
              <w:jc w:val="left"/>
            </w:pPr>
            <w:r w:rsidRPr="00EF5A5F">
              <w:t>A VET student may be enrolled in more than one VET training program, and therefore there are more ‘enrolments’ in the VET system than ‘students’. This may be of importance if comparing VET data in this chapter with other VET data.</w:t>
            </w:r>
          </w:p>
        </w:tc>
      </w:tr>
      <w:tr w:rsidR="00D34C36" w:rsidRPr="00EF5A5F" w:rsidTr="00A16B93">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Fee</w:t>
            </w:r>
            <w:r w:rsidR="00AD5F7E">
              <w:rPr>
                <w:b/>
              </w:rPr>
              <w:noBreakHyphen/>
            </w:r>
            <w:r w:rsidRPr="00EF5A5F">
              <w:rPr>
                <w:b/>
              </w:rPr>
              <w:t>for</w:t>
            </w:r>
            <w:r w:rsidR="00AD5F7E">
              <w:rPr>
                <w:b/>
              </w:rPr>
              <w:noBreakHyphen/>
            </w:r>
            <w:r w:rsidRPr="00EF5A5F">
              <w:rPr>
                <w:b/>
              </w:rPr>
              <w:t>service activity</w:t>
            </w:r>
          </w:p>
        </w:tc>
        <w:tc>
          <w:tcPr>
            <w:tcW w:w="6946" w:type="dxa"/>
            <w:gridSpan w:val="2"/>
          </w:tcPr>
          <w:p w:rsidR="00D34C36" w:rsidRPr="00EF5A5F" w:rsidRDefault="00D34C36" w:rsidP="00A16B93">
            <w:pPr>
              <w:pStyle w:val="TableBodyText"/>
              <w:keepNext w:val="0"/>
              <w:spacing w:before="60" w:after="60"/>
              <w:ind w:right="34"/>
              <w:jc w:val="left"/>
            </w:pPr>
            <w:r w:rsidRPr="00EF5A5F">
              <w:t>Training for which most or all of the cost is borne by the student or a person or organisation on behalf of the student.</w:t>
            </w:r>
          </w:p>
        </w:tc>
      </w:tr>
      <w:tr w:rsidR="00D34C36" w:rsidRPr="00EF5A5F" w:rsidTr="00A16B93">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Government funded VET students</w:t>
            </w:r>
          </w:p>
        </w:tc>
        <w:tc>
          <w:tcPr>
            <w:tcW w:w="6946" w:type="dxa"/>
            <w:gridSpan w:val="2"/>
          </w:tcPr>
          <w:p w:rsidR="00CB1385" w:rsidRPr="00293967" w:rsidRDefault="00CB1385" w:rsidP="00A16B93">
            <w:pPr>
              <w:spacing w:before="60" w:after="60"/>
              <w:ind w:right="34"/>
              <w:rPr>
                <w:rFonts w:ascii="Arial" w:hAnsi="Arial"/>
                <w:sz w:val="18"/>
                <w:szCs w:val="18"/>
              </w:rPr>
            </w:pPr>
            <w:r w:rsidRPr="00293967">
              <w:rPr>
                <w:rFonts w:ascii="Arial" w:hAnsi="Arial"/>
                <w:sz w:val="18"/>
                <w:szCs w:val="18"/>
              </w:rPr>
              <w:t>VET students who are funded under Commonwealth and State recurrent, Commonwealth specific and State specific funding. This includes activity funded under the NASWD, and excludes students participating in VET programs delivered in schools (where the delivery was undertaken by schools) or who undertook ‘recreation, leisure or personal enrichment’ education programs. Fee for</w:t>
            </w:r>
            <w:r w:rsidR="00AD5F7E">
              <w:rPr>
                <w:rFonts w:ascii="Arial" w:hAnsi="Arial"/>
                <w:sz w:val="18"/>
                <w:szCs w:val="18"/>
              </w:rPr>
              <w:noBreakHyphen/>
            </w:r>
            <w:r w:rsidRPr="00293967">
              <w:rPr>
                <w:rFonts w:ascii="Arial" w:hAnsi="Arial"/>
                <w:sz w:val="18"/>
                <w:szCs w:val="18"/>
              </w:rPr>
              <w:t>service by private providers, delivery undertaken at overseas campuses of Australian VET institutions, and credit transfer are also excluded.</w:t>
            </w:r>
          </w:p>
        </w:tc>
      </w:tr>
      <w:tr w:rsidR="00D34C36" w:rsidRPr="00EF5A5F" w:rsidTr="00A16B93">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Government recurrent expenditure per annual hour</w:t>
            </w:r>
          </w:p>
        </w:tc>
        <w:tc>
          <w:tcPr>
            <w:tcW w:w="6946" w:type="dxa"/>
            <w:gridSpan w:val="2"/>
          </w:tcPr>
          <w:p w:rsidR="00D34C36" w:rsidRPr="00EF5A5F" w:rsidRDefault="00D34C36" w:rsidP="00A16B93">
            <w:pPr>
              <w:pStyle w:val="TableBodyText"/>
              <w:keepNext w:val="0"/>
              <w:spacing w:before="60" w:after="60"/>
              <w:ind w:right="34"/>
              <w:jc w:val="left"/>
            </w:pPr>
            <w:r w:rsidRPr="00EF5A5F">
              <w:t xml:space="preserve">Government recurrent expenditure </w:t>
            </w:r>
            <w:r w:rsidR="00C06854" w:rsidRPr="00EF5A5F">
              <w:t>divided by</w:t>
            </w:r>
            <w:r w:rsidRPr="00EF5A5F">
              <w:t xml:space="preserve"> </w:t>
            </w:r>
            <w:r w:rsidR="00D60801" w:rsidRPr="00EF5A5F">
              <w:t xml:space="preserve">the number of </w:t>
            </w:r>
            <w:r w:rsidRPr="00EF5A5F">
              <w:t>government funded annual hours</w:t>
            </w:r>
            <w:r w:rsidR="00C06854" w:rsidRPr="00EF5A5F">
              <w:t xml:space="preserve"> (adjusted for invalid enrolment rates)</w:t>
            </w:r>
            <w:r w:rsidRPr="00EF5A5F">
              <w:t>. Expenditure is adjusted for course mix weight.</w:t>
            </w:r>
          </w:p>
        </w:tc>
      </w:tr>
      <w:tr w:rsidR="00D34C36" w:rsidRPr="00EF5A5F" w:rsidTr="00A16B93">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Government recurrent expenditure per load pass</w:t>
            </w:r>
          </w:p>
        </w:tc>
        <w:tc>
          <w:tcPr>
            <w:tcW w:w="6946" w:type="dxa"/>
            <w:gridSpan w:val="2"/>
          </w:tcPr>
          <w:p w:rsidR="00D34C36" w:rsidRPr="00EF5A5F" w:rsidRDefault="00D60801" w:rsidP="00A16B93">
            <w:pPr>
              <w:pStyle w:val="TableBodyText"/>
              <w:keepNext w:val="0"/>
              <w:spacing w:before="60" w:after="60"/>
              <w:ind w:right="34"/>
              <w:jc w:val="left"/>
            </w:pPr>
            <w:r w:rsidRPr="00EF5A5F">
              <w:t>G</w:t>
            </w:r>
            <w:r w:rsidR="00D34C36" w:rsidRPr="00EF5A5F">
              <w:t xml:space="preserve">overnment recurrent expenditure divided by the number of hours successfully completed from assessable </w:t>
            </w:r>
            <w:r w:rsidR="00D4658A" w:rsidRPr="00EF5A5F">
              <w:t xml:space="preserve">government funded </w:t>
            </w:r>
            <w:r w:rsidR="00D34C36" w:rsidRPr="00EF5A5F">
              <w:t xml:space="preserve">enrolments of modules and units of competency achieved/passed and </w:t>
            </w:r>
            <w:r w:rsidR="00AE2629">
              <w:t>recognition of prior learning</w:t>
            </w:r>
            <w:r w:rsidR="00D34C36" w:rsidRPr="00EF5A5F">
              <w:t>.</w:t>
            </w:r>
          </w:p>
        </w:tc>
      </w:tr>
      <w:tr w:rsidR="00D34C36" w:rsidRPr="00EF5A5F" w:rsidTr="00A16B93">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Graduate</w:t>
            </w:r>
          </w:p>
        </w:tc>
        <w:tc>
          <w:tcPr>
            <w:tcW w:w="6946" w:type="dxa"/>
            <w:gridSpan w:val="2"/>
          </w:tcPr>
          <w:p w:rsidR="00D34C36" w:rsidRPr="00EF5A5F" w:rsidRDefault="00D34C36" w:rsidP="00A16B93">
            <w:pPr>
              <w:pStyle w:val="TableBodyText"/>
              <w:keepNext w:val="0"/>
              <w:spacing w:before="60" w:after="60"/>
              <w:ind w:right="34"/>
              <w:jc w:val="left"/>
            </w:pPr>
            <w:r w:rsidRPr="00EF5A5F">
              <w:t>A person who has completed a VET program.</w:t>
            </w:r>
          </w:p>
        </w:tc>
      </w:tr>
      <w:tr w:rsidR="00D34C36" w:rsidRPr="00EF5A5F" w:rsidTr="00A16B93">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Graduates’ main reason for undertaking a VET course</w:t>
            </w:r>
          </w:p>
        </w:tc>
        <w:tc>
          <w:tcPr>
            <w:tcW w:w="6946" w:type="dxa"/>
            <w:gridSpan w:val="2"/>
          </w:tcPr>
          <w:p w:rsidR="00D34C36" w:rsidRPr="00EF5A5F" w:rsidRDefault="00D34C36" w:rsidP="00A16B93">
            <w:pPr>
              <w:pStyle w:val="TableBodyText"/>
              <w:keepNext w:val="0"/>
              <w:spacing w:before="60" w:after="60"/>
              <w:ind w:right="34"/>
              <w:jc w:val="left"/>
            </w:pPr>
            <w:r w:rsidRPr="00EF5A5F">
              <w:t>Eithe</w:t>
            </w:r>
            <w:r w:rsidR="00D60801" w:rsidRPr="00EF5A5F">
              <w:t>r seeking an employment–</w:t>
            </w:r>
            <w:r w:rsidRPr="00EF5A5F">
              <w:t>related outcome (to get a job, to try for a different career, to meet job requirements, to get extra job skills), seeking a further study outcome (to get into another course) or seeking a personal development outcome (for personal interest, for other reasons).</w:t>
            </w:r>
          </w:p>
        </w:tc>
      </w:tr>
      <w:tr w:rsidR="00EA6B27" w:rsidRPr="00EF5A5F" w:rsidTr="00A16B93">
        <w:trPr>
          <w:cantSplit/>
        </w:trPr>
        <w:tc>
          <w:tcPr>
            <w:tcW w:w="1843" w:type="dxa"/>
          </w:tcPr>
          <w:p w:rsidR="00EA6B27" w:rsidRPr="00EF5A5F" w:rsidRDefault="00EA6B27" w:rsidP="00A16B93">
            <w:pPr>
              <w:pStyle w:val="TableBodyText"/>
              <w:keepNext w:val="0"/>
              <w:spacing w:before="60" w:after="60"/>
              <w:ind w:left="34"/>
              <w:jc w:val="left"/>
              <w:rPr>
                <w:b/>
              </w:rPr>
            </w:pPr>
            <w:r w:rsidRPr="00EF5A5F">
              <w:rPr>
                <w:b/>
              </w:rPr>
              <w:t xml:space="preserve">Language </w:t>
            </w:r>
            <w:r>
              <w:rPr>
                <w:b/>
              </w:rPr>
              <w:t xml:space="preserve">other than English (LOTE) </w:t>
            </w:r>
            <w:r w:rsidRPr="00EF5A5F">
              <w:rPr>
                <w:b/>
              </w:rPr>
              <w:t>spoken at home</w:t>
            </w:r>
          </w:p>
        </w:tc>
        <w:tc>
          <w:tcPr>
            <w:tcW w:w="6946" w:type="dxa"/>
            <w:gridSpan w:val="2"/>
          </w:tcPr>
          <w:p w:rsidR="00EA6B27" w:rsidRPr="00EF5A5F" w:rsidRDefault="00EA6B27" w:rsidP="00A16B93">
            <w:pPr>
              <w:pStyle w:val="TableBodyText"/>
              <w:keepNext w:val="0"/>
              <w:spacing w:before="60" w:after="60"/>
              <w:ind w:right="34"/>
              <w:jc w:val="left"/>
            </w:pPr>
            <w:r w:rsidRPr="00EF5A5F">
              <w:t>Students speaking a language other than English at home are those who self</w:t>
            </w:r>
            <w:r w:rsidR="00AD5F7E">
              <w:noBreakHyphen/>
            </w:r>
            <w:r w:rsidRPr="00EF5A5F">
              <w:t>identify on their enrolment form that they speak a language other than English at home.</w:t>
            </w:r>
          </w:p>
        </w:tc>
      </w:tr>
      <w:tr w:rsidR="00EA6B27" w:rsidRPr="00EF5A5F" w:rsidTr="00A16B93">
        <w:trPr>
          <w:cantSplit/>
        </w:trPr>
        <w:tc>
          <w:tcPr>
            <w:tcW w:w="1843" w:type="dxa"/>
          </w:tcPr>
          <w:p w:rsidR="00EA6B27" w:rsidRPr="00EF5A5F" w:rsidRDefault="00EA6B27" w:rsidP="00A16B93">
            <w:pPr>
              <w:pStyle w:val="TableBodyText"/>
              <w:keepNext w:val="0"/>
              <w:spacing w:before="60" w:after="60"/>
              <w:ind w:left="34"/>
              <w:jc w:val="left"/>
              <w:rPr>
                <w:b/>
              </w:rPr>
            </w:pPr>
            <w:r w:rsidRPr="00EF5A5F">
              <w:rPr>
                <w:b/>
              </w:rPr>
              <w:t>Load pass rate</w:t>
            </w:r>
          </w:p>
        </w:tc>
        <w:tc>
          <w:tcPr>
            <w:tcW w:w="6946" w:type="dxa"/>
            <w:gridSpan w:val="2"/>
          </w:tcPr>
          <w:p w:rsidR="00EA6B27" w:rsidRPr="00EF5A5F" w:rsidRDefault="00EA6B27" w:rsidP="00A16B93">
            <w:pPr>
              <w:pStyle w:val="TableBodyText"/>
              <w:keepNext w:val="0"/>
              <w:spacing w:before="60" w:after="60"/>
              <w:ind w:right="34"/>
              <w:jc w:val="left"/>
            </w:pPr>
            <w:r w:rsidRPr="00EF5A5F">
              <w:t xml:space="preserve">The ratio of hours attributed to students who gained competencies/passed assessment in an assessable module or unit of competency to the hours of all students who were assessed and either passed, failed or withdrew. Load pass rate is calculated as the total competency achieved/passed and </w:t>
            </w:r>
            <w:r w:rsidR="00AE2629">
              <w:t>recognition of prior learning</w:t>
            </w:r>
            <w:r w:rsidRPr="00EF5A5F">
              <w:t xml:space="preserve"> divided by the total competency achieved/passed, </w:t>
            </w:r>
            <w:r w:rsidR="00AE2629">
              <w:t>recognition of prior learning</w:t>
            </w:r>
            <w:r w:rsidRPr="00EF5A5F">
              <w:t>, competency not achieved/failed and withdrawn.</w:t>
            </w:r>
          </w:p>
        </w:tc>
      </w:tr>
      <w:tr w:rsidR="00D34C36" w:rsidRPr="00EF5A5F" w:rsidTr="00A16B93">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Module</w:t>
            </w:r>
          </w:p>
        </w:tc>
        <w:tc>
          <w:tcPr>
            <w:tcW w:w="6946" w:type="dxa"/>
            <w:gridSpan w:val="2"/>
          </w:tcPr>
          <w:p w:rsidR="00D34C36" w:rsidRPr="00EF5A5F" w:rsidRDefault="00D34C36" w:rsidP="00A16B93">
            <w:pPr>
              <w:pStyle w:val="TableBodyText"/>
              <w:keepNext w:val="0"/>
              <w:spacing w:before="60" w:after="60"/>
              <w:ind w:right="34"/>
              <w:jc w:val="left"/>
            </w:pPr>
            <w:r w:rsidRPr="00EF5A5F">
              <w:t>A unit of training in which a student can enrol and be assessed.</w:t>
            </w:r>
          </w:p>
        </w:tc>
      </w:tr>
      <w:tr w:rsidR="00D34C36" w:rsidRPr="00EF5A5F" w:rsidTr="00A16B93">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Private provider</w:t>
            </w:r>
          </w:p>
        </w:tc>
        <w:tc>
          <w:tcPr>
            <w:tcW w:w="6946" w:type="dxa"/>
            <w:gridSpan w:val="2"/>
          </w:tcPr>
          <w:p w:rsidR="00D34C36" w:rsidRPr="00EF5A5F" w:rsidRDefault="00D34C36" w:rsidP="00891291">
            <w:pPr>
              <w:pStyle w:val="TableBodyText"/>
              <w:keepNext w:val="0"/>
              <w:spacing w:before="60" w:after="60"/>
              <w:ind w:right="34"/>
              <w:jc w:val="left"/>
            </w:pPr>
            <w:r w:rsidRPr="00EF5A5F">
              <w:t>A commercial organisation that provides training</w:t>
            </w:r>
            <w:r w:rsidR="006A51DB" w:rsidRPr="00EF5A5F">
              <w:t>.</w:t>
            </w:r>
          </w:p>
        </w:tc>
      </w:tr>
      <w:tr w:rsidR="008E2391" w:rsidRPr="00EF5A5F" w:rsidTr="00A16B93">
        <w:trPr>
          <w:cantSplit/>
        </w:trPr>
        <w:tc>
          <w:tcPr>
            <w:tcW w:w="1843" w:type="dxa"/>
          </w:tcPr>
          <w:p w:rsidR="00DF02DD" w:rsidRPr="00EF5A5F" w:rsidRDefault="008E2391" w:rsidP="00AE2629">
            <w:pPr>
              <w:pStyle w:val="TableBodyText"/>
              <w:keepNext w:val="0"/>
              <w:spacing w:before="60" w:after="60"/>
              <w:ind w:left="34"/>
              <w:jc w:val="left"/>
              <w:rPr>
                <w:b/>
                <w:u w:val="single"/>
              </w:rPr>
            </w:pPr>
            <w:r w:rsidRPr="00EF5A5F">
              <w:rPr>
                <w:b/>
              </w:rPr>
              <w:t xml:space="preserve">Qualification Equivalents </w:t>
            </w:r>
          </w:p>
        </w:tc>
        <w:tc>
          <w:tcPr>
            <w:tcW w:w="6946" w:type="dxa"/>
            <w:gridSpan w:val="2"/>
          </w:tcPr>
          <w:p w:rsidR="00A97788" w:rsidRDefault="00A97788" w:rsidP="00A16B93">
            <w:pPr>
              <w:pStyle w:val="TableBodyText"/>
              <w:keepNext w:val="0"/>
              <w:spacing w:before="60" w:after="60"/>
              <w:ind w:right="34"/>
              <w:jc w:val="left"/>
            </w:pPr>
            <w:r w:rsidRPr="00A97788">
              <w:t>Qualification Equivalents is a measure of the quantum of training relative to the effort required to fully complete a VET qualification.</w:t>
            </w:r>
          </w:p>
          <w:p w:rsidR="008E2391" w:rsidRPr="00EF5A5F" w:rsidRDefault="008E2391" w:rsidP="00A16B93">
            <w:pPr>
              <w:pStyle w:val="TableBodyText"/>
              <w:keepNext w:val="0"/>
              <w:spacing w:before="60" w:after="60"/>
              <w:ind w:right="34"/>
              <w:jc w:val="left"/>
            </w:pPr>
            <w:r w:rsidRPr="009F0F4A">
              <w:t>QE expresses</w:t>
            </w:r>
            <w:r w:rsidRPr="00EF5A5F">
              <w:t xml:space="preserve"> skill outputs in terms of equivalent qualifications within each AQF level and </w:t>
            </w:r>
            <w:r w:rsidR="00B0608E" w:rsidRPr="00EF5A5F">
              <w:t>f</w:t>
            </w:r>
            <w:r w:rsidRPr="00EF5A5F">
              <w:t xml:space="preserve">ield of </w:t>
            </w:r>
            <w:r w:rsidR="00B0608E" w:rsidRPr="00EF5A5F">
              <w:t>e</w:t>
            </w:r>
            <w:r w:rsidRPr="00EF5A5F">
              <w:t>ducation. QEs are based on the training activity (annual hours) associated with completions of modules and units of competency, divided by an agreed value of training activity representing a qualification.</w:t>
            </w:r>
          </w:p>
          <w:p w:rsidR="00D13903" w:rsidRPr="00EF5A5F" w:rsidRDefault="00BD0457" w:rsidP="00A16B93">
            <w:pPr>
              <w:pStyle w:val="TableBodyText"/>
              <w:keepNext w:val="0"/>
              <w:spacing w:before="60" w:after="60"/>
              <w:ind w:right="34"/>
              <w:jc w:val="left"/>
            </w:pPr>
            <w:r w:rsidRPr="00EF5A5F">
              <w:t>All courses have a nominal hour value reported as part of the national VET provider collection. This value provides a guide to the amount of activity that is required to complete the qualifications. These courses are classified by Australian Standard Clas</w:t>
            </w:r>
            <w:r w:rsidR="00AE2629">
              <w:t xml:space="preserve">sification of Education </w:t>
            </w:r>
            <w:r w:rsidRPr="00EF5A5F">
              <w:t>field of education and qualification level.</w:t>
            </w:r>
            <w:r w:rsidR="00C11C53" w:rsidRPr="00EF5A5F">
              <w:t xml:space="preserve"> </w:t>
            </w:r>
            <w:r w:rsidR="00D13903" w:rsidRPr="00EF5A5F">
              <w:t xml:space="preserve">For example, the median hours associated with a course in the field of education Food, Hospitality and Personal Services at </w:t>
            </w:r>
            <w:r w:rsidR="00EE045F" w:rsidRPr="00EF5A5F">
              <w:t>d</w:t>
            </w:r>
            <w:r w:rsidR="00D13903" w:rsidRPr="00EF5A5F">
              <w:t>iploma level for 2005 was 1660 hours. The number of hours successfully completed in modules and units of competency from these courses was 353 052. These 353 052 nominal hours represent 213 equivalent diploma qualifications.</w:t>
            </w:r>
          </w:p>
        </w:tc>
      </w:tr>
      <w:tr w:rsidR="00D34C36" w:rsidRPr="00EF5A5F" w:rsidTr="00A16B93">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lastRenderedPageBreak/>
              <w:t>Real</w:t>
            </w:r>
          </w:p>
        </w:tc>
        <w:tc>
          <w:tcPr>
            <w:tcW w:w="6946" w:type="dxa"/>
            <w:gridSpan w:val="2"/>
          </w:tcPr>
          <w:p w:rsidR="00D34C36" w:rsidRPr="00EF5A5F" w:rsidRDefault="00D34C36" w:rsidP="00A16B93">
            <w:pPr>
              <w:pStyle w:val="TableBodyText"/>
              <w:keepNext w:val="0"/>
              <w:spacing w:before="60" w:after="60"/>
              <w:ind w:right="34"/>
              <w:jc w:val="left"/>
            </w:pPr>
            <w:r w:rsidRPr="00EF5A5F">
              <w:t>Actual expenditure/funding/assets adjusted for changes in prices. Adjustments are made using the GDP chain price deflator and expressed in terms of final year prices.</w:t>
            </w:r>
          </w:p>
        </w:tc>
      </w:tr>
      <w:tr w:rsidR="00D34C36" w:rsidRPr="00EF5A5F" w:rsidTr="00F74889">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Recognition of prior learning</w:t>
            </w:r>
            <w:r w:rsidR="00AE2629">
              <w:rPr>
                <w:b/>
              </w:rPr>
              <w:t xml:space="preserve"> </w:t>
            </w:r>
          </w:p>
        </w:tc>
        <w:tc>
          <w:tcPr>
            <w:tcW w:w="6946" w:type="dxa"/>
            <w:gridSpan w:val="2"/>
            <w:shd w:val="clear" w:color="auto" w:fill="auto"/>
          </w:tcPr>
          <w:p w:rsidR="00891291" w:rsidRPr="00EF5A5F" w:rsidRDefault="00AE2629" w:rsidP="00A16B93">
            <w:pPr>
              <w:pStyle w:val="TableBodyText"/>
              <w:keepNext w:val="0"/>
              <w:spacing w:before="60" w:after="60"/>
              <w:ind w:right="34"/>
              <w:jc w:val="left"/>
            </w:pPr>
            <w:r>
              <w:t>recognition of prior learning</w:t>
            </w:r>
            <w:r w:rsidR="00891291">
              <w:t xml:space="preserve"> is an assessment process through which students may gain formal recognition for skills and knowledge acquired through previous training, work or life experience. </w:t>
            </w:r>
            <w:r>
              <w:t>recognition of prior learning</w:t>
            </w:r>
            <w:r w:rsidR="00891291">
              <w:t xml:space="preserve"> may be used to grant status or credit in a subject or module. It can lead to a full qualification in the VET sector.</w:t>
            </w:r>
          </w:p>
        </w:tc>
      </w:tr>
      <w:tr w:rsidR="00D34C36" w:rsidRPr="00EF5A5F" w:rsidTr="00F74889">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Recurrent funding</w:t>
            </w:r>
          </w:p>
        </w:tc>
        <w:tc>
          <w:tcPr>
            <w:tcW w:w="6946" w:type="dxa"/>
            <w:gridSpan w:val="2"/>
            <w:shd w:val="clear" w:color="auto" w:fill="auto"/>
          </w:tcPr>
          <w:p w:rsidR="00D34C36" w:rsidRPr="00EF5A5F" w:rsidRDefault="00D34C36" w:rsidP="00A16B93">
            <w:pPr>
              <w:pStyle w:val="TableBodyText"/>
              <w:keepNext w:val="0"/>
              <w:spacing w:before="60" w:after="60"/>
              <w:ind w:right="34"/>
              <w:jc w:val="left"/>
            </w:pPr>
            <w:r w:rsidRPr="00EF5A5F">
              <w:t>Funding provided by the Australian, State and Territory governments to cover operating costs, salaries and rent.</w:t>
            </w:r>
          </w:p>
        </w:tc>
      </w:tr>
      <w:tr w:rsidR="00D34C36" w:rsidRPr="00EF5A5F" w:rsidTr="00F74889">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Registered training organisation</w:t>
            </w:r>
            <w:r w:rsidR="000C7F1C" w:rsidRPr="00EF5A5F">
              <w:rPr>
                <w:b/>
              </w:rPr>
              <w:t xml:space="preserve"> (RTO)</w:t>
            </w:r>
          </w:p>
        </w:tc>
        <w:tc>
          <w:tcPr>
            <w:tcW w:w="6946" w:type="dxa"/>
            <w:gridSpan w:val="2"/>
            <w:shd w:val="clear" w:color="auto" w:fill="auto"/>
          </w:tcPr>
          <w:p w:rsidR="00891291" w:rsidRDefault="00891291" w:rsidP="00A16B93">
            <w:pPr>
              <w:pStyle w:val="TableBodyText"/>
              <w:keepNext w:val="0"/>
              <w:spacing w:before="60" w:after="60"/>
              <w:ind w:right="34"/>
              <w:jc w:val="left"/>
            </w:pPr>
            <w:r w:rsidRPr="00F74889">
              <w:t xml:space="preserve">RTOs are organisations registered by ASQA, the Victorian Registration Quality Authority (Victoria) or the Training Accreditation Council (WA) to deliver training and/or conduct assessment and issue nationally recognised qualifications in accordance with the AQF. </w:t>
            </w:r>
          </w:p>
          <w:p w:rsidR="00376460" w:rsidRPr="00EF5A5F" w:rsidRDefault="00D34C36" w:rsidP="00A16B93">
            <w:pPr>
              <w:pStyle w:val="TableBodyText"/>
              <w:keepNext w:val="0"/>
              <w:spacing w:before="60" w:after="60"/>
              <w:ind w:right="34"/>
              <w:jc w:val="left"/>
            </w:pPr>
            <w:r w:rsidRPr="00EF5A5F">
              <w:t>RTOs include TAFE colleges and institutes, adult and community education providers, private providers, community organisations, schools, higher education institutions, commercial and enterprise training providers, industry bodies and other organisations meeting the registration requirements.</w:t>
            </w:r>
          </w:p>
        </w:tc>
      </w:tr>
      <w:tr w:rsidR="00376460" w:rsidRPr="00EF5A5F" w:rsidTr="00F74889">
        <w:trPr>
          <w:cantSplit/>
        </w:trPr>
        <w:tc>
          <w:tcPr>
            <w:tcW w:w="1843" w:type="dxa"/>
            <w:shd w:val="clear" w:color="auto" w:fill="FFFFFF" w:themeFill="background1"/>
          </w:tcPr>
          <w:p w:rsidR="00376460" w:rsidRPr="00EF5A5F" w:rsidRDefault="00376460" w:rsidP="00A16B93">
            <w:pPr>
              <w:pStyle w:val="TableBodyText"/>
              <w:keepNext w:val="0"/>
              <w:spacing w:before="60" w:after="60"/>
              <w:ind w:left="34"/>
              <w:jc w:val="left"/>
              <w:rPr>
                <w:b/>
              </w:rPr>
            </w:pPr>
            <w:r>
              <w:rPr>
                <w:b/>
              </w:rPr>
              <w:t>Remoteness</w:t>
            </w:r>
          </w:p>
        </w:tc>
        <w:tc>
          <w:tcPr>
            <w:tcW w:w="6946" w:type="dxa"/>
            <w:gridSpan w:val="2"/>
            <w:shd w:val="clear" w:color="auto" w:fill="auto"/>
          </w:tcPr>
          <w:p w:rsidR="00376460" w:rsidRPr="00EF5A5F" w:rsidRDefault="00376460" w:rsidP="00AE2629">
            <w:pPr>
              <w:pStyle w:val="TableBodyText"/>
              <w:keepNext w:val="0"/>
              <w:spacing w:before="60" w:after="60"/>
              <w:ind w:right="34"/>
              <w:jc w:val="left"/>
            </w:pPr>
            <w:r>
              <w:t xml:space="preserve">Remoteness is described using ARIA+, which is </w:t>
            </w:r>
            <w:r w:rsidRPr="00376460">
              <w:t>published as a 1 kilometre grid or matrix that covers the whole of Australia</w:t>
            </w:r>
            <w:r>
              <w:t xml:space="preserve">. </w:t>
            </w:r>
            <w:r w:rsidRPr="00376460">
              <w:t>The ABS calculated the arithmetic mean ARIA+ values for each Census Collection Districts that formed the base level of the Remoteness Structure.</w:t>
            </w:r>
          </w:p>
        </w:tc>
      </w:tr>
      <w:tr w:rsidR="00D34C36" w:rsidRPr="00EF5A5F" w:rsidTr="00F74889">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TAFE</w:t>
            </w:r>
          </w:p>
        </w:tc>
        <w:tc>
          <w:tcPr>
            <w:tcW w:w="6946" w:type="dxa"/>
            <w:gridSpan w:val="2"/>
            <w:shd w:val="clear" w:color="auto" w:fill="auto"/>
          </w:tcPr>
          <w:p w:rsidR="00D34C36" w:rsidRPr="00EF5A5F" w:rsidRDefault="00D34C36" w:rsidP="00A16B93">
            <w:pPr>
              <w:pStyle w:val="TableBodyText"/>
              <w:keepNext w:val="0"/>
              <w:spacing w:before="60" w:after="60"/>
              <w:ind w:right="34"/>
              <w:jc w:val="left"/>
            </w:pPr>
            <w:r w:rsidRPr="00EF5A5F">
              <w:t>Technical and further education colleges and institutes, which are the primary providers of government funded VET.</w:t>
            </w:r>
          </w:p>
        </w:tc>
      </w:tr>
      <w:tr w:rsidR="00D34C36" w:rsidRPr="00EF5A5F" w:rsidTr="00F74889">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Training packages</w:t>
            </w:r>
          </w:p>
        </w:tc>
        <w:tc>
          <w:tcPr>
            <w:tcW w:w="6946" w:type="dxa"/>
            <w:gridSpan w:val="2"/>
            <w:shd w:val="clear" w:color="auto" w:fill="auto"/>
          </w:tcPr>
          <w:p w:rsidR="00891291" w:rsidRDefault="00891291" w:rsidP="00891291">
            <w:pPr>
              <w:pStyle w:val="TableBodyText"/>
              <w:spacing w:before="60" w:after="60"/>
              <w:ind w:right="34"/>
              <w:jc w:val="left"/>
            </w:pPr>
            <w:r>
              <w:t>A training package is a nationally endorsed, integrated package consisting of: units of competency, assessment requirements, AQF qualifications and credit arrangements, and one or more quality assured companion volumes. The optional companion volumes can include support materials such as learning strategies, assessment resources or professional development materials for trainers.</w:t>
            </w:r>
          </w:p>
          <w:p w:rsidR="00891291" w:rsidRPr="00EF5A5F" w:rsidRDefault="00891291" w:rsidP="00891291">
            <w:pPr>
              <w:pStyle w:val="TableBodyText"/>
              <w:keepNext w:val="0"/>
              <w:spacing w:before="60" w:after="60"/>
              <w:ind w:right="34"/>
              <w:jc w:val="left"/>
            </w:pPr>
            <w:r>
              <w:t>Training packages specify the skills and knowledge required to perform effectively in the workplace. They are developed in consultation with industry to meet the training needs of an industry or group of industries</w:t>
            </w:r>
          </w:p>
        </w:tc>
      </w:tr>
      <w:tr w:rsidR="00D34C36" w:rsidRPr="00EF5A5F" w:rsidTr="00F74889">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Unit of competency</w:t>
            </w:r>
          </w:p>
        </w:tc>
        <w:tc>
          <w:tcPr>
            <w:tcW w:w="6946" w:type="dxa"/>
            <w:gridSpan w:val="2"/>
            <w:shd w:val="clear" w:color="auto" w:fill="auto"/>
          </w:tcPr>
          <w:p w:rsidR="00D34C36" w:rsidRPr="00EF5A5F" w:rsidRDefault="00D34C36" w:rsidP="00A16B93">
            <w:pPr>
              <w:pStyle w:val="TableBodyText"/>
              <w:keepNext w:val="0"/>
              <w:spacing w:before="60" w:after="60"/>
              <w:ind w:right="34"/>
              <w:jc w:val="left"/>
            </w:pPr>
            <w:r w:rsidRPr="00EF5A5F">
              <w:t xml:space="preserve">A unit of competency is the smallest component </w:t>
            </w:r>
            <w:r w:rsidR="00E629A5" w:rsidRPr="00EF5A5F">
              <w:t>of a VET program that</w:t>
            </w:r>
            <w:r w:rsidRPr="00EF5A5F">
              <w:t xml:space="preserve"> can be assessed and recognised in the VET system for collection purposes.</w:t>
            </w:r>
          </w:p>
        </w:tc>
      </w:tr>
      <w:tr w:rsidR="003F412D" w:rsidRPr="00EF5A5F" w:rsidTr="00F74889">
        <w:trPr>
          <w:gridAfter w:val="1"/>
          <w:wAfter w:w="41" w:type="dxa"/>
          <w:cantSplit/>
        </w:trPr>
        <w:tc>
          <w:tcPr>
            <w:tcW w:w="1843" w:type="dxa"/>
          </w:tcPr>
          <w:p w:rsidR="003F412D" w:rsidRPr="00EF5A5F" w:rsidRDefault="003F412D" w:rsidP="00A16B93">
            <w:pPr>
              <w:pStyle w:val="TableBodyText"/>
              <w:keepNext w:val="0"/>
              <w:spacing w:before="60" w:after="60"/>
              <w:ind w:left="34"/>
              <w:jc w:val="left"/>
              <w:rPr>
                <w:b/>
              </w:rPr>
            </w:pPr>
            <w:r w:rsidRPr="00EF5A5F">
              <w:rPr>
                <w:b/>
              </w:rPr>
              <w:t>User cost of capital per annual hour</w:t>
            </w:r>
          </w:p>
        </w:tc>
        <w:tc>
          <w:tcPr>
            <w:tcW w:w="6905" w:type="dxa"/>
            <w:shd w:val="clear" w:color="auto" w:fill="auto"/>
          </w:tcPr>
          <w:p w:rsidR="007000E7" w:rsidRPr="00EF5A5F" w:rsidRDefault="007000E7" w:rsidP="00A16B93">
            <w:pPr>
              <w:pStyle w:val="TableBodyText"/>
              <w:keepNext w:val="0"/>
              <w:spacing w:before="60" w:after="60"/>
              <w:ind w:right="34"/>
              <w:jc w:val="left"/>
            </w:pPr>
            <w:r w:rsidRPr="00EF5A5F">
              <w:t>User cost of capital (which is the opportunity cost of funds tied up in the capital used to deliver services, calculated as 8 per cent of the total value of the physical non</w:t>
            </w:r>
            <w:r w:rsidR="00AD5F7E">
              <w:noBreakHyphen/>
            </w:r>
            <w:r w:rsidRPr="00EF5A5F">
              <w:t>current assets) divided by government funded annual hours and course mix weight</w:t>
            </w:r>
            <w:r w:rsidR="0091113B">
              <w:t>.</w:t>
            </w:r>
          </w:p>
        </w:tc>
      </w:tr>
      <w:tr w:rsidR="003F412D" w:rsidRPr="00EF5A5F" w:rsidTr="00F74889">
        <w:trPr>
          <w:gridAfter w:val="1"/>
          <w:wAfter w:w="41" w:type="dxa"/>
          <w:cantSplit/>
        </w:trPr>
        <w:tc>
          <w:tcPr>
            <w:tcW w:w="1843" w:type="dxa"/>
          </w:tcPr>
          <w:p w:rsidR="003F412D" w:rsidRPr="00EF5A5F" w:rsidRDefault="003F412D" w:rsidP="00A16B93">
            <w:pPr>
              <w:pStyle w:val="TableBodyText"/>
              <w:keepNext w:val="0"/>
              <w:spacing w:before="60" w:after="60"/>
              <w:ind w:left="34"/>
              <w:jc w:val="left"/>
              <w:rPr>
                <w:b/>
              </w:rPr>
            </w:pPr>
            <w:r w:rsidRPr="00EF5A5F">
              <w:rPr>
                <w:b/>
              </w:rPr>
              <w:t>User cost of capital per load pass</w:t>
            </w:r>
          </w:p>
        </w:tc>
        <w:tc>
          <w:tcPr>
            <w:tcW w:w="6905" w:type="dxa"/>
            <w:shd w:val="clear" w:color="auto" w:fill="auto"/>
          </w:tcPr>
          <w:p w:rsidR="003F412D" w:rsidRPr="00EF5A5F" w:rsidRDefault="007000E7" w:rsidP="00A16B93">
            <w:pPr>
              <w:pStyle w:val="TableBodyText"/>
              <w:keepNext w:val="0"/>
              <w:spacing w:before="60" w:after="60"/>
              <w:ind w:right="34"/>
              <w:jc w:val="left"/>
            </w:pPr>
            <w:r w:rsidRPr="00EF5A5F">
              <w:t>User cost of capital (which is the opportunity cost of funds tied up in the capital used to deliver services, calculated as 8 per cent of the total value of the physical non</w:t>
            </w:r>
            <w:r w:rsidR="00AD5F7E">
              <w:noBreakHyphen/>
            </w:r>
            <w:r w:rsidRPr="00EF5A5F">
              <w:t xml:space="preserve">current assets) </w:t>
            </w:r>
            <w:r w:rsidR="003F412D" w:rsidRPr="00EF5A5F">
              <w:t xml:space="preserve">divided by successfully completed </w:t>
            </w:r>
            <w:r w:rsidR="00E63198" w:rsidRPr="00EF5A5F">
              <w:t xml:space="preserve">government funded </w:t>
            </w:r>
            <w:r w:rsidR="003F412D" w:rsidRPr="00EF5A5F">
              <w:t>VET modules or units of competency.</w:t>
            </w:r>
          </w:p>
        </w:tc>
      </w:tr>
      <w:tr w:rsidR="003E7885" w:rsidRPr="00EF5A5F" w:rsidTr="00F74889">
        <w:trPr>
          <w:cantSplit/>
        </w:trPr>
        <w:tc>
          <w:tcPr>
            <w:tcW w:w="1843" w:type="dxa"/>
            <w:shd w:val="clear" w:color="auto" w:fill="auto"/>
          </w:tcPr>
          <w:p w:rsidR="003E7885" w:rsidRPr="00EF5A5F" w:rsidRDefault="003E7885" w:rsidP="00A16B93">
            <w:pPr>
              <w:pStyle w:val="TableBodyText"/>
              <w:keepNext w:val="0"/>
              <w:spacing w:before="60" w:after="60"/>
              <w:ind w:left="34"/>
              <w:jc w:val="left"/>
              <w:rPr>
                <w:b/>
              </w:rPr>
            </w:pPr>
            <w:r w:rsidRPr="003E7885">
              <w:rPr>
                <w:b/>
              </w:rPr>
              <w:t>VET FEE</w:t>
            </w:r>
            <w:r w:rsidR="00AD5F7E">
              <w:rPr>
                <w:b/>
              </w:rPr>
              <w:noBreakHyphen/>
            </w:r>
            <w:r w:rsidRPr="003E7885">
              <w:rPr>
                <w:b/>
              </w:rPr>
              <w:t>HELP</w:t>
            </w:r>
          </w:p>
        </w:tc>
        <w:tc>
          <w:tcPr>
            <w:tcW w:w="6946" w:type="dxa"/>
            <w:gridSpan w:val="2"/>
            <w:shd w:val="clear" w:color="auto" w:fill="auto"/>
          </w:tcPr>
          <w:p w:rsidR="003E7885" w:rsidRDefault="003E7885" w:rsidP="00A16B93">
            <w:pPr>
              <w:pStyle w:val="TableBodyText"/>
              <w:keepNext w:val="0"/>
              <w:spacing w:before="60" w:after="60"/>
              <w:ind w:right="34"/>
              <w:jc w:val="left"/>
            </w:pPr>
            <w:r w:rsidRPr="003E7885">
              <w:t>The Australian Government administers the Higher Education Loan Programme (HELP) to assist students with the cost of their tuition. As an extension of the higher education FEE</w:t>
            </w:r>
            <w:r w:rsidR="00AD5F7E">
              <w:noBreakHyphen/>
            </w:r>
            <w:r w:rsidRPr="003E7885">
              <w:t>HELP arrangements, VET FEE</w:t>
            </w:r>
            <w:r w:rsidR="00AD5F7E">
              <w:noBreakHyphen/>
            </w:r>
            <w:r w:rsidRPr="003E7885">
              <w:t>HELP is an income contingent loan scheme for students undertaking certain VET courses of study (diploma, advanced diploma, graduate diploma and graduate certificate courses) with an approved VET provider. It was first introduced in 2009.</w:t>
            </w:r>
          </w:p>
          <w:p w:rsidR="008A2602" w:rsidRPr="00EF5A5F" w:rsidRDefault="008A2602" w:rsidP="008A2602">
            <w:pPr>
              <w:pStyle w:val="TableBodyText"/>
              <w:keepNext w:val="0"/>
              <w:spacing w:before="60" w:after="60"/>
              <w:ind w:right="34"/>
              <w:jc w:val="left"/>
            </w:pPr>
            <w:r w:rsidRPr="003F7B67">
              <w:rPr>
                <w:rFonts w:eastAsia="Calibri"/>
              </w:rPr>
              <w:t>A trial to extend VET FEE</w:t>
            </w:r>
            <w:r w:rsidR="00AD5F7E">
              <w:rPr>
                <w:rFonts w:eastAsia="Calibri"/>
              </w:rPr>
              <w:noBreakHyphen/>
            </w:r>
            <w:r w:rsidRPr="003F7B67">
              <w:rPr>
                <w:rFonts w:eastAsia="Calibri"/>
              </w:rPr>
              <w:t>HELP income contingent loans to certain subsidised certificate IV qualifications commenced on 13 January 2014 and will continue until 31</w:t>
            </w:r>
            <w:r>
              <w:rPr>
                <w:rFonts w:eastAsia="Calibri"/>
              </w:rPr>
              <w:t> </w:t>
            </w:r>
            <w:r w:rsidRPr="003F7B67">
              <w:rPr>
                <w:rFonts w:eastAsia="Calibri"/>
              </w:rPr>
              <w:t>December 2016.</w:t>
            </w:r>
          </w:p>
        </w:tc>
      </w:tr>
      <w:tr w:rsidR="00D34C36" w:rsidRPr="00EF5A5F" w:rsidTr="00A16B93">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lastRenderedPageBreak/>
              <w:t>VET participation</w:t>
            </w:r>
          </w:p>
        </w:tc>
        <w:tc>
          <w:tcPr>
            <w:tcW w:w="6946" w:type="dxa"/>
            <w:gridSpan w:val="2"/>
          </w:tcPr>
          <w:p w:rsidR="00F758BD" w:rsidRPr="00EF5A5F" w:rsidRDefault="00D34C36" w:rsidP="00A16B93">
            <w:pPr>
              <w:pStyle w:val="TableBodyText"/>
              <w:keepNext w:val="0"/>
              <w:spacing w:before="60" w:after="60"/>
              <w:ind w:right="34"/>
              <w:jc w:val="left"/>
            </w:pPr>
            <w:r w:rsidRPr="00EF5A5F">
              <w:t xml:space="preserve">VET student participation data presented in this Report refer only to VET students who were funded </w:t>
            </w:r>
            <w:r w:rsidRPr="0014685B">
              <w:t>by government expenditure</w:t>
            </w:r>
            <w:r w:rsidRPr="00EF5A5F">
              <w:t xml:space="preserve"> and </w:t>
            </w:r>
            <w:r w:rsidR="00002875">
              <w:t xml:space="preserve">were engaged in training </w:t>
            </w:r>
            <w:r w:rsidRPr="00EF5A5F">
              <w:t>delivered by TAFE and other government providers (including multi</w:t>
            </w:r>
            <w:r w:rsidR="00AD5F7E">
              <w:noBreakHyphen/>
            </w:r>
            <w:r w:rsidRPr="00EF5A5F">
              <w:t>sector higher education institutions), registered community providers and registered private providers. They do not include students who participated in VET programs delivered in schools (where the delivery was undertaken by schools) or undertook ‘recreation, leisure or personal enrichment’ education programs. Fee</w:t>
            </w:r>
            <w:r w:rsidR="00AD5F7E">
              <w:noBreakHyphen/>
            </w:r>
            <w:r w:rsidRPr="00EF5A5F">
              <w:t>for</w:t>
            </w:r>
            <w:r w:rsidR="00AD5F7E">
              <w:noBreakHyphen/>
            </w:r>
            <w:r w:rsidRPr="00EF5A5F">
              <w:t>service by private providers</w:t>
            </w:r>
            <w:r w:rsidR="006A51DB" w:rsidRPr="00EF5A5F">
              <w:t>,</w:t>
            </w:r>
            <w:r w:rsidRPr="00EF5A5F">
              <w:t xml:space="preserve"> delivery undertaken at overseas campuses of Australian VET institutions</w:t>
            </w:r>
            <w:r w:rsidR="006A51DB" w:rsidRPr="00EF5A5F">
              <w:t>,</w:t>
            </w:r>
            <w:r w:rsidRPr="00EF5A5F">
              <w:t xml:space="preserve"> and credit transfer are also excluded.</w:t>
            </w:r>
            <w:r w:rsidR="00F758BD" w:rsidRPr="00EF5A5F">
              <w:t xml:space="preserve"> </w:t>
            </w:r>
          </w:p>
          <w:p w:rsidR="00744EE9" w:rsidRPr="00EF5A5F" w:rsidRDefault="00F758BD" w:rsidP="00A16B93">
            <w:pPr>
              <w:pStyle w:val="TableBodyText"/>
              <w:keepNext w:val="0"/>
              <w:spacing w:before="60" w:after="60"/>
              <w:ind w:right="34"/>
              <w:jc w:val="left"/>
            </w:pPr>
            <w:r w:rsidRPr="00EF5A5F">
              <w:t>A VET student may be enrolled in more than one VET training program, and therefore there are more ‘enrolments’ in the VET system than ‘students’. This distinction between ‘student’ numbers and the number of ‘enrolments’ (or ‘student enrolments’) may be of importance if comparing VET data in this chapter with other VET data.</w:t>
            </w:r>
          </w:p>
        </w:tc>
      </w:tr>
      <w:tr w:rsidR="00D34C36" w:rsidRPr="00EF5A5F" w:rsidTr="00A16B93">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VET program</w:t>
            </w:r>
          </w:p>
        </w:tc>
        <w:tc>
          <w:tcPr>
            <w:tcW w:w="6946" w:type="dxa"/>
            <w:gridSpan w:val="2"/>
          </w:tcPr>
          <w:p w:rsidR="00D34C36" w:rsidRPr="00EF5A5F" w:rsidRDefault="00D34C36" w:rsidP="00002875">
            <w:pPr>
              <w:pStyle w:val="TableBodyText"/>
              <w:keepNext w:val="0"/>
              <w:spacing w:before="60" w:after="60"/>
              <w:ind w:right="34"/>
              <w:jc w:val="left"/>
            </w:pPr>
            <w:r w:rsidRPr="00EF5A5F">
              <w:t xml:space="preserve">A course or module offered by a training organisation in which students may enrol </w:t>
            </w:r>
            <w:r w:rsidR="00002875">
              <w:t xml:space="preserve">to develop </w:t>
            </w:r>
            <w:r w:rsidRPr="00EF5A5F">
              <w:t>people work</w:t>
            </w:r>
            <w:r w:rsidR="00AD5F7E">
              <w:noBreakHyphen/>
            </w:r>
            <w:r w:rsidRPr="00EF5A5F">
              <w:t>related knowledge and skills.</w:t>
            </w:r>
          </w:p>
        </w:tc>
      </w:tr>
      <w:tr w:rsidR="00D34C36" w:rsidRPr="00EF5A5F" w:rsidTr="00A16B93">
        <w:trPr>
          <w:cantSplit/>
        </w:trPr>
        <w:tc>
          <w:tcPr>
            <w:tcW w:w="1843" w:type="dxa"/>
          </w:tcPr>
          <w:p w:rsidR="00D34C36" w:rsidRPr="00EF5A5F" w:rsidRDefault="00D34C36" w:rsidP="00A16B93">
            <w:pPr>
              <w:pStyle w:val="TableBodyText"/>
              <w:keepNext w:val="0"/>
              <w:spacing w:before="60" w:after="60"/>
              <w:ind w:left="34"/>
              <w:jc w:val="left"/>
              <w:rPr>
                <w:b/>
              </w:rPr>
            </w:pPr>
            <w:r w:rsidRPr="00EF5A5F">
              <w:rPr>
                <w:b/>
              </w:rPr>
              <w:t>Whether the VET course helped graduates achieve their main reason for doing the course</w:t>
            </w:r>
          </w:p>
        </w:tc>
        <w:tc>
          <w:tcPr>
            <w:tcW w:w="6946" w:type="dxa"/>
            <w:gridSpan w:val="2"/>
          </w:tcPr>
          <w:p w:rsidR="00D34C36" w:rsidRPr="00EF5A5F" w:rsidRDefault="00D34C36" w:rsidP="00A16B93">
            <w:pPr>
              <w:pStyle w:val="TableBodyText"/>
              <w:keepNext w:val="0"/>
              <w:spacing w:before="60" w:after="60"/>
              <w:ind w:right="34"/>
              <w:jc w:val="left"/>
            </w:pPr>
            <w:r w:rsidRPr="00EF5A5F">
              <w:t>Whether ‘the course helped’, ‘the course partly helped’, ‘the course did not help’ or the graduates ‘cannot say’.</w:t>
            </w:r>
          </w:p>
        </w:tc>
      </w:tr>
    </w:tbl>
    <w:p w:rsidR="00C57336" w:rsidRPr="00EF5A5F" w:rsidRDefault="003A68D1" w:rsidP="00281C53">
      <w:pPr>
        <w:pStyle w:val="Heading2"/>
      </w:pPr>
      <w:bookmarkStart w:id="73" w:name="_Toc341279245"/>
      <w:bookmarkStart w:id="74" w:name="_Toc429558954"/>
      <w:r>
        <w:t>5.</w:t>
      </w:r>
      <w:r w:rsidR="00111918">
        <w:rPr>
          <w:noProof/>
        </w:rPr>
        <w:t>6</w:t>
      </w:r>
      <w:r w:rsidR="00D660C5">
        <w:tab/>
      </w:r>
      <w:r w:rsidR="009A5AEF" w:rsidRPr="00EF5A5F">
        <w:t>List of a</w:t>
      </w:r>
      <w:r w:rsidR="00C57336" w:rsidRPr="00EF5A5F">
        <w:t>ttachment tables</w:t>
      </w:r>
      <w:bookmarkEnd w:id="73"/>
      <w:bookmarkEnd w:id="74"/>
    </w:p>
    <w:p w:rsidR="00E33319" w:rsidRDefault="00ED09E4" w:rsidP="00E33319">
      <w:pPr>
        <w:pStyle w:val="BodyText"/>
        <w:spacing w:after="120"/>
      </w:pPr>
      <w:r w:rsidRPr="00EF5A5F">
        <w:t xml:space="preserve">Attachment tables are identified in references throughout this </w:t>
      </w:r>
      <w:r w:rsidR="00034A56" w:rsidRPr="00EF5A5F">
        <w:t>chapter</w:t>
      </w:r>
      <w:r w:rsidRPr="00EF5A5F">
        <w:t xml:space="preserve"> by a ‘</w:t>
      </w:r>
      <w:r w:rsidR="00001DB0" w:rsidRPr="00EF5A5F">
        <w:t>5</w:t>
      </w:r>
      <w:r w:rsidRPr="00EF5A5F">
        <w:t xml:space="preserve">A’ </w:t>
      </w:r>
      <w:r w:rsidR="00B10143">
        <w:t>prefix</w:t>
      </w:r>
      <w:r w:rsidR="00B10143" w:rsidRPr="00EF5A5F">
        <w:t xml:space="preserve"> </w:t>
      </w:r>
      <w:r w:rsidRPr="00EF5A5F">
        <w:t>(for example, table 5A.</w:t>
      </w:r>
      <w:r w:rsidR="00C32878">
        <w:t>1</w:t>
      </w:r>
      <w:r w:rsidRPr="00EF5A5F">
        <w:t xml:space="preserve">). </w:t>
      </w:r>
      <w:r w:rsidR="003F6103" w:rsidRPr="00EF5A5F">
        <w:t>Attachment tables are a</w:t>
      </w:r>
      <w:r w:rsidR="00F71F6F">
        <w:t xml:space="preserve">vailable on the </w:t>
      </w:r>
      <w:r w:rsidR="00E33319" w:rsidRPr="008B3751">
        <w:t>Review website (</w:t>
      </w:r>
      <w:r w:rsidR="00B67641" w:rsidRPr="00B67641">
        <w:t>www.pc.gov.au/rogs/2016</w:t>
      </w:r>
      <w:r w:rsidR="00E33319" w:rsidRPr="008B3751">
        <w:t>).</w:t>
      </w:r>
    </w:p>
    <w:p w:rsidR="009861E8" w:rsidRPr="008B3751" w:rsidRDefault="009861E8" w:rsidP="009861E8">
      <w:pPr>
        <w:pStyle w:val="BoxSpaceAbove"/>
      </w:pPr>
    </w:p>
    <w:tbl>
      <w:tblPr>
        <w:tblW w:w="8860" w:type="dxa"/>
        <w:tblInd w:w="108" w:type="dxa"/>
        <w:tblLook w:val="04A0" w:firstRow="1" w:lastRow="0" w:firstColumn="1" w:lastColumn="0" w:noHBand="0" w:noVBand="1"/>
      </w:tblPr>
      <w:tblGrid>
        <w:gridCol w:w="1456"/>
        <w:gridCol w:w="7404"/>
      </w:tblGrid>
      <w:tr w:rsidR="00A16B93" w:rsidRPr="00255954"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5A.1</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Government real recurrent expenditure (2014 dollars) ($ million)</w:t>
            </w:r>
            <w:r w:rsidR="00AD5F7E">
              <w:t xml:space="preserve"> </w:t>
            </w:r>
          </w:p>
        </w:tc>
      </w:tr>
      <w:tr w:rsidR="00A16B93" w:rsidRPr="00255954" w:rsidTr="00A16B93">
        <w:trPr>
          <w:trHeight w:val="564"/>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5A.2</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Government real recurrent expenditure (2014 dollars) ($ per person aged 15–64 years)</w:t>
            </w:r>
            <w:r w:rsidR="00AD5F7E">
              <w:t xml:space="preserve"> </w:t>
            </w:r>
          </w:p>
        </w:tc>
      </w:tr>
      <w:tr w:rsidR="00A16B93" w:rsidRPr="00255954"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5A.3</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VET activity, 2014</w:t>
            </w:r>
            <w:r w:rsidR="00AD5F7E">
              <w:t xml:space="preserve"> </w:t>
            </w:r>
          </w:p>
        </w:tc>
      </w:tr>
      <w:tr w:rsidR="00A16B93" w:rsidRPr="00255954"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5A.4</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Government funded VET activity, 2014</w:t>
            </w:r>
            <w:r w:rsidR="00AD5F7E">
              <w:t xml:space="preserve"> </w:t>
            </w:r>
          </w:p>
        </w:tc>
      </w:tr>
      <w:tr w:rsidR="00A16B93" w:rsidRPr="00255954"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5A.5</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VET students, all ages, by course level</w:t>
            </w:r>
            <w:r w:rsidR="00AD5F7E">
              <w:t xml:space="preserve"> </w:t>
            </w:r>
          </w:p>
        </w:tc>
      </w:tr>
      <w:tr w:rsidR="00A16B93" w:rsidRPr="00255954"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5A.6</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AQF VET enrolments, all students</w:t>
            </w:r>
            <w:r w:rsidR="00AD5F7E">
              <w:t xml:space="preserve"> </w:t>
            </w:r>
          </w:p>
        </w:tc>
      </w:tr>
      <w:tr w:rsidR="00A16B93" w:rsidRPr="00255954"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5A.7</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AQF VET enrolments, students aged 20–64 years</w:t>
            </w:r>
            <w:r w:rsidR="00AD5F7E">
              <w:t xml:space="preserve"> </w:t>
            </w:r>
          </w:p>
        </w:tc>
      </w:tr>
      <w:tr w:rsidR="00A16B93" w:rsidRPr="00255954" w:rsidTr="00DE288F">
        <w:trPr>
          <w:trHeight w:val="567"/>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5A.8</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Real net assets of public VET providers per person aged 15–64 years (2014 dollars) ($ per person)</w:t>
            </w:r>
            <w:r w:rsidR="00AD5F7E">
              <w:t xml:space="preserve"> </w:t>
            </w:r>
          </w:p>
        </w:tc>
      </w:tr>
      <w:tr w:rsidR="00A16B93" w:rsidRPr="00255954"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5A.9</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Government payments to non</w:t>
            </w:r>
            <w:r w:rsidR="00AD5F7E">
              <w:noBreakHyphen/>
            </w:r>
            <w:r>
              <w:t>TAFE providers for VET delivery</w:t>
            </w:r>
            <w:r w:rsidR="00AD5F7E">
              <w:t xml:space="preserve"> </w:t>
            </w:r>
          </w:p>
        </w:tc>
      </w:tr>
      <w:tr w:rsidR="00A16B93" w:rsidRPr="00255954"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5A.10</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Allocation of government real funds for VET (2014 dollars)</w:t>
            </w:r>
            <w:r w:rsidR="00AD5F7E">
              <w:t xml:space="preserve"> </w:t>
            </w:r>
          </w:p>
        </w:tc>
      </w:tr>
      <w:tr w:rsidR="00A16B93" w:rsidRPr="00255954"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5A.11</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VET participation by age group</w:t>
            </w:r>
            <w:r w:rsidR="00AD5F7E">
              <w:t xml:space="preserve"> </w:t>
            </w:r>
          </w:p>
        </w:tc>
      </w:tr>
      <w:tr w:rsidR="00A16B93" w:rsidRPr="00255954"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5A.12</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VET participation by target age group and Indigenous status</w:t>
            </w:r>
            <w:r w:rsidR="00AD5F7E">
              <w:t xml:space="preserve"> </w:t>
            </w:r>
          </w:p>
        </w:tc>
      </w:tr>
      <w:tr w:rsidR="00A16B93" w:rsidRPr="00255954"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5A.13</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VET participation of people aged 15–64 years, by sex</w:t>
            </w:r>
            <w:r w:rsidR="00AD5F7E">
              <w:t xml:space="preserve"> </w:t>
            </w:r>
          </w:p>
        </w:tc>
      </w:tr>
      <w:tr w:rsidR="00A16B93" w:rsidRPr="00255954"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5A.14</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VET participation, all ages, by region</w:t>
            </w:r>
            <w:r w:rsidR="00AD5F7E">
              <w:t xml:space="preserve"> </w:t>
            </w:r>
          </w:p>
        </w:tc>
      </w:tr>
      <w:tr w:rsidR="00A16B93" w:rsidRPr="00255954"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lastRenderedPageBreak/>
              <w:t>Table 5A.15</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VET students, all ages, by disability status (per cent)</w:t>
            </w:r>
            <w:r w:rsidR="00AD5F7E">
              <w:t xml:space="preserve"> </w:t>
            </w:r>
          </w:p>
        </w:tc>
      </w:tr>
      <w:tr w:rsidR="00A16B93" w:rsidRPr="00255954"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5A.16</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VET students, all ages, by language spoken at home (per cent)</w:t>
            </w:r>
            <w:r w:rsidR="00AD5F7E">
              <w:t xml:space="preserve"> </w:t>
            </w:r>
          </w:p>
        </w:tc>
      </w:tr>
      <w:tr w:rsidR="00A16B93" w:rsidRPr="00255954"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5A.17</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VET participation, all ages, by language spoken at home</w:t>
            </w:r>
            <w:r w:rsidR="00AD5F7E">
              <w:t xml:space="preserve"> </w:t>
            </w:r>
          </w:p>
        </w:tc>
      </w:tr>
      <w:tr w:rsidR="00A16B93" w:rsidRPr="00255954"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5A.18</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VET participation by Indigenous status (per cent)</w:t>
            </w:r>
            <w:r w:rsidR="00AD5F7E">
              <w:t xml:space="preserve"> </w:t>
            </w:r>
          </w:p>
        </w:tc>
      </w:tr>
      <w:tr w:rsidR="00A16B93" w:rsidRPr="00255954" w:rsidTr="00DE288F">
        <w:trPr>
          <w:trHeight w:val="567"/>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5A.19</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VET participation in Certificate III and above, by target age group and Indigenous status</w:t>
            </w:r>
            <w:r w:rsidR="00AD5F7E">
              <w:t xml:space="preserve"> </w:t>
            </w:r>
          </w:p>
        </w:tc>
      </w:tr>
      <w:tr w:rsidR="00A16B93" w:rsidRPr="00255954" w:rsidTr="00DE288F">
        <w:trPr>
          <w:trHeight w:val="567"/>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5A.20</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VET participation in diploma and above, by target age group and Indigenous status</w:t>
            </w:r>
            <w:r w:rsidR="00AD5F7E">
              <w:t xml:space="preserve"> </w:t>
            </w:r>
          </w:p>
        </w:tc>
      </w:tr>
      <w:tr w:rsidR="00A16B93" w:rsidRPr="00255954"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5A.21</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Number of VET qualifications completed by students, by region (</w:t>
            </w:r>
            <w:r w:rsidR="00AD5F7E">
              <w:t>‘</w:t>
            </w:r>
            <w:r>
              <w:t>000)</w:t>
            </w:r>
            <w:r w:rsidR="00AD5F7E">
              <w:t xml:space="preserve"> </w:t>
            </w:r>
          </w:p>
        </w:tc>
      </w:tr>
      <w:tr w:rsidR="00A16B93" w:rsidRPr="00255954"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5A.22</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Number of VET qualifications completed by students, by disability status (</w:t>
            </w:r>
            <w:r w:rsidR="00AD5F7E">
              <w:t>‘</w:t>
            </w:r>
            <w:r>
              <w:t>000)</w:t>
            </w:r>
            <w:r w:rsidR="00AD5F7E">
              <w:t xml:space="preserve"> </w:t>
            </w:r>
          </w:p>
        </w:tc>
      </w:tr>
      <w:tr w:rsidR="00A16B93" w:rsidRPr="00255954" w:rsidTr="00DE288F">
        <w:trPr>
          <w:trHeight w:val="567"/>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5A.23</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Number of VET qualifications completed by students, by language spoken at home (</w:t>
            </w:r>
            <w:r w:rsidR="00AD5F7E">
              <w:t>‘</w:t>
            </w:r>
            <w:r>
              <w:t>000)</w:t>
            </w:r>
            <w:r w:rsidR="00AD5F7E">
              <w:t xml:space="preserve"> </w:t>
            </w:r>
          </w:p>
        </w:tc>
      </w:tr>
      <w:tr w:rsidR="00A16B93" w:rsidRPr="00255954"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5A.24</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VET qualifications completed by students, by course level</w:t>
            </w:r>
            <w:r w:rsidR="00AD5F7E">
              <w:t xml:space="preserve"> </w:t>
            </w:r>
          </w:p>
        </w:tc>
      </w:tr>
      <w:tr w:rsidR="00A16B93" w:rsidRPr="00561E7D" w:rsidTr="00DE288F">
        <w:trPr>
          <w:trHeight w:val="567"/>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5A.25</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VET qualifications completed by students, by course level and Indigenous status — all ages</w:t>
            </w:r>
            <w:r w:rsidR="00AD5F7E">
              <w:t xml:space="preserve"> </w:t>
            </w:r>
          </w:p>
        </w:tc>
      </w:tr>
      <w:tr w:rsidR="00A16B93" w:rsidRPr="00561E7D" w:rsidTr="00DE288F">
        <w:trPr>
          <w:trHeight w:val="567"/>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5A.26</w:t>
            </w:r>
          </w:p>
        </w:tc>
        <w:tc>
          <w:tcPr>
            <w:tcW w:w="7404" w:type="dxa"/>
            <w:tcBorders>
              <w:top w:val="nil"/>
              <w:left w:val="nil"/>
              <w:bottom w:val="nil"/>
              <w:right w:val="nil"/>
            </w:tcBorders>
            <w:shd w:val="clear" w:color="auto" w:fill="auto"/>
          </w:tcPr>
          <w:p w:rsidR="00A16B93" w:rsidRDefault="00A16B93" w:rsidP="003B73E6">
            <w:pPr>
              <w:pStyle w:val="Box"/>
              <w:spacing w:before="0" w:after="80"/>
            </w:pPr>
            <w:r>
              <w:t>VET qualifications completed by students, by course level and Indigenous status — students aged 18–24 years</w:t>
            </w:r>
            <w:r w:rsidR="00AD5F7E">
              <w:t xml:space="preserve"> </w:t>
            </w:r>
          </w:p>
        </w:tc>
      </w:tr>
      <w:tr w:rsidR="00A16B93" w:rsidRPr="00561E7D" w:rsidTr="00DE288F">
        <w:trPr>
          <w:trHeight w:val="567"/>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5A.27</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VET qualifications completed by students, by course level and Indigenous status — students aged 20–64 years</w:t>
            </w:r>
            <w:r w:rsidR="00AD5F7E">
              <w:t xml:space="preserve"> </w:t>
            </w:r>
          </w:p>
        </w:tc>
      </w:tr>
      <w:tr w:rsidR="00A16B93" w:rsidRPr="00561E7D" w:rsidTr="00DE288F">
        <w:trPr>
          <w:trHeight w:val="567"/>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5A.28</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VET qualifications completed by students, by course level and Indigenous status — students aged 15–64 years</w:t>
            </w:r>
            <w:r w:rsidR="00AD5F7E">
              <w:t xml:space="preserve"> </w:t>
            </w:r>
          </w:p>
        </w:tc>
      </w:tr>
      <w:tr w:rsidR="00A16B93" w:rsidRPr="00561E7D"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5A.29</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 xml:space="preserve">Qualification Equivalents, by course level and Indigenous status </w:t>
            </w:r>
          </w:p>
        </w:tc>
      </w:tr>
      <w:tr w:rsidR="00A16B93" w:rsidRPr="00561E7D"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5A.30</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Number of units of competency and modules completed, by regions (</w:t>
            </w:r>
            <w:r w:rsidR="00AD5F7E">
              <w:t>‘</w:t>
            </w:r>
            <w:r>
              <w:t>000)</w:t>
            </w:r>
            <w:r w:rsidR="00AD5F7E">
              <w:t xml:space="preserve"> </w:t>
            </w:r>
          </w:p>
        </w:tc>
      </w:tr>
      <w:tr w:rsidR="00A16B93" w:rsidRPr="00561E7D" w:rsidTr="00DE288F">
        <w:trPr>
          <w:trHeight w:val="567"/>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5A.31</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Number of units of competency and modules completed, by disability status (</w:t>
            </w:r>
            <w:r w:rsidR="00AD5F7E">
              <w:t>‘</w:t>
            </w:r>
            <w:r>
              <w:t>000)</w:t>
            </w:r>
            <w:r w:rsidR="00AD5F7E">
              <w:t xml:space="preserve"> </w:t>
            </w:r>
          </w:p>
        </w:tc>
      </w:tr>
      <w:tr w:rsidR="00A16B93" w:rsidRPr="00561E7D" w:rsidTr="00DE288F">
        <w:trPr>
          <w:trHeight w:val="567"/>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5A.32</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Number of units of competency and modules completed, by language spoken at home (</w:t>
            </w:r>
            <w:r w:rsidR="00AD5F7E">
              <w:t>‘</w:t>
            </w:r>
            <w:r>
              <w:t>000)</w:t>
            </w:r>
            <w:r w:rsidR="00AD5F7E">
              <w:t xml:space="preserve"> </w:t>
            </w:r>
          </w:p>
        </w:tc>
      </w:tr>
      <w:tr w:rsidR="00A16B93" w:rsidRPr="00561E7D"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5A.33</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 xml:space="preserve">Number of units of competency and modules completed, by Indigenous status </w:t>
            </w:r>
          </w:p>
        </w:tc>
      </w:tr>
      <w:tr w:rsidR="00A16B93" w:rsidRPr="00561E7D" w:rsidTr="00DE288F">
        <w:trPr>
          <w:trHeight w:val="567"/>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5A.34</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Government real recurrent expenditure per annual hour (2014 dollars) ($ per hour)</w:t>
            </w:r>
            <w:r w:rsidR="00AD5F7E">
              <w:t xml:space="preserve"> </w:t>
            </w:r>
          </w:p>
        </w:tc>
      </w:tr>
      <w:tr w:rsidR="00A16B93" w:rsidRPr="00561E7D" w:rsidTr="00DE288F">
        <w:trPr>
          <w:trHeight w:val="567"/>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5A.35</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Government real recurrent expenditure per hour of government funded load pass, (2014 dollars) ($ per hour)</w:t>
            </w:r>
            <w:r w:rsidR="00AD5F7E">
              <w:t xml:space="preserve"> </w:t>
            </w:r>
          </w:p>
        </w:tc>
      </w:tr>
      <w:tr w:rsidR="00A16B93" w:rsidRPr="00561E7D"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5A.36</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Value of physical non</w:t>
            </w:r>
            <w:r w:rsidR="00AD5F7E">
              <w:noBreakHyphen/>
            </w:r>
            <w:r>
              <w:t xml:space="preserve">current assets and user cost of capital, 2014 </w:t>
            </w:r>
          </w:p>
        </w:tc>
      </w:tr>
      <w:tr w:rsidR="00A16B93" w:rsidRPr="00561E7D"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5A.37</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Government real user cost of capital (2014 dollars) ($ million)</w:t>
            </w:r>
            <w:r w:rsidR="00AD5F7E">
              <w:t xml:space="preserve"> </w:t>
            </w:r>
          </w:p>
        </w:tc>
      </w:tr>
      <w:tr w:rsidR="00A16B93" w:rsidRPr="00561E7D" w:rsidTr="00DE288F">
        <w:trPr>
          <w:trHeight w:val="369"/>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5A.38</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Total government costs per annual hour ($ per hour) (2014 dollars)</w:t>
            </w:r>
          </w:p>
        </w:tc>
      </w:tr>
      <w:tr w:rsidR="00A16B93" w:rsidRPr="00561E7D" w:rsidTr="00DE288F">
        <w:trPr>
          <w:trHeight w:val="567"/>
        </w:trPr>
        <w:tc>
          <w:tcPr>
            <w:tcW w:w="1456" w:type="dxa"/>
            <w:tcBorders>
              <w:top w:val="nil"/>
              <w:left w:val="nil"/>
              <w:bottom w:val="nil"/>
              <w:right w:val="nil"/>
            </w:tcBorders>
            <w:shd w:val="clear" w:color="auto" w:fill="auto"/>
            <w:noWrap/>
          </w:tcPr>
          <w:p w:rsidR="00A16B93" w:rsidRPr="003B73E6" w:rsidRDefault="00A16B93" w:rsidP="003B73E6">
            <w:pPr>
              <w:pStyle w:val="Box"/>
              <w:keepNext w:val="0"/>
              <w:spacing w:before="0" w:after="80"/>
              <w:rPr>
                <w:b/>
              </w:rPr>
            </w:pPr>
            <w:r w:rsidRPr="003B73E6">
              <w:rPr>
                <w:b/>
              </w:rPr>
              <w:t>Table 5A.39</w:t>
            </w:r>
          </w:p>
        </w:tc>
        <w:tc>
          <w:tcPr>
            <w:tcW w:w="7404" w:type="dxa"/>
            <w:tcBorders>
              <w:top w:val="nil"/>
              <w:left w:val="nil"/>
              <w:bottom w:val="nil"/>
              <w:right w:val="nil"/>
            </w:tcBorders>
            <w:shd w:val="clear" w:color="auto" w:fill="auto"/>
          </w:tcPr>
          <w:p w:rsidR="00A16B93" w:rsidRDefault="00A16B93" w:rsidP="003B73E6">
            <w:pPr>
              <w:pStyle w:val="Box"/>
              <w:keepNext w:val="0"/>
              <w:spacing w:before="0" w:after="80"/>
            </w:pPr>
            <w:r>
              <w:t>Total government costs per hour of government funded load pass ($ per hour) (2014 dollars)</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5A.40</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VET graduates in employment and/or continued on to further study after completing a course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5A.41</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Aboriginal and Torres Strait Islander government funded VET graduates in employment and/or continued on to further study after completing a course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lastRenderedPageBreak/>
              <w:t>Table 5A.42</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non</w:t>
            </w:r>
            <w:r w:rsidR="00AD5F7E">
              <w:noBreakHyphen/>
            </w:r>
            <w:r>
              <w:t>Indigenous VET graduates in employment and/or continued on to further study after completing a course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5A.43</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VET graduates from major cities in employment and/or continued on to further study after completing a course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5A.44</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VET graduates from inner regional areas in employment and/or continued on to further study after completing a course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5A.45</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VET graduates from outer regional areas in employment and/or continued on to further study after completing a course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5A.46</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VET graduates from remote and very remote areas in employment and/or continued on to further study after completing a course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5A.47</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VET graduates reporting disability in employment and/or continued on to further study after completing a course (per cent)</w:t>
            </w:r>
            <w:r w:rsidR="00AD5F7E">
              <w:t xml:space="preserve"> </w:t>
            </w:r>
          </w:p>
        </w:tc>
      </w:tr>
      <w:tr w:rsidR="00DE288F" w:rsidRPr="00561E7D" w:rsidTr="00DE288F">
        <w:trPr>
          <w:cantSplit/>
          <w:trHeight w:val="765"/>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5A.48</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VET graduates speaking a language other than English at home in employment and/or continued on to further study after completing a course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5A.49</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Labour force status after the course of VET graduates who were unemployed prior to the course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5A.50</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Labour force status after the course of Aboriginal and Torres Strait Islander VET graduates who were unemployed prior to the course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5A.51</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Labour force status after the course of non</w:t>
            </w:r>
            <w:r w:rsidR="00AD5F7E">
              <w:noBreakHyphen/>
            </w:r>
            <w:r>
              <w:t>Indigenous VET graduates who were unemployed prior to the course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5A.52</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Labour force status after the course of VET graduates who were employed prior to the course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5A.53</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VET graduates employed after their course who undertook their course for employment related reasons, relevance of course to main job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5A.54</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VET graduates who undertook their course for employment related reasons, by job related benefits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5A.55</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Aboriginal and Torres Strait Islander VET graduates who undertook their course for employment related reasons, by job related benefits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5A.56</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VET graduates who improved their employment circumstances after training,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5A.57</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VET graduates who improved their employment circumstances after training,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5A.58</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Aboriginal and Torres Strait Islander VET graduates who improved their employment circumstances after training,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5A.59</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non</w:t>
            </w:r>
            <w:r w:rsidR="00AD5F7E">
              <w:noBreakHyphen/>
            </w:r>
            <w:r>
              <w:t>Indigenous VET graduates who improved their employment circumstances after training,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5A.60</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VET graduates who improved their employment circumstances after training, by Indigenous status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5A.61</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w:t>
            </w:r>
            <w:r w:rsidR="00AD5F7E">
              <w:t xml:space="preserve"> </w:t>
            </w:r>
            <w:r>
              <w:t>VET graduates who improved their employment circumstances after training, (per cent) by remoteness</w:t>
            </w:r>
            <w:r w:rsidR="00AD5F7E">
              <w:t xml:space="preserve"> </w:t>
            </w:r>
            <w:r>
              <w:t>(ARIA)</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5A.62</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VET graduates aged 20–64 years who improved their employment circumstances after training, by Indigenous status (per cent)</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5A.63</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graduates with improved employment status after training (completed study only), by level</w:t>
            </w:r>
            <w:r w:rsidR="00AD5F7E">
              <w:t xml:space="preserve"> </w:t>
            </w:r>
          </w:p>
        </w:tc>
      </w:tr>
      <w:tr w:rsidR="00DE288F" w:rsidRPr="00561E7D" w:rsidTr="00DE288F">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lastRenderedPageBreak/>
              <w:t>Table 5A.64</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graduates aged 20–64 years with improved employment status after training (completed study only), by level</w:t>
            </w:r>
            <w:r w:rsidR="00AD5F7E">
              <w:t xml:space="preserve"> </w:t>
            </w:r>
          </w:p>
        </w:tc>
      </w:tr>
      <w:tr w:rsidR="00DE288F" w:rsidRPr="00561E7D" w:rsidTr="000802A5">
        <w:trPr>
          <w:trHeight w:val="369"/>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5A.65</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Load pass rates by Indigenous status (per cent)</w:t>
            </w:r>
            <w:r w:rsidR="00AD5F7E">
              <w:t xml:space="preserve"> </w:t>
            </w:r>
          </w:p>
        </w:tc>
      </w:tr>
      <w:tr w:rsidR="00DE288F" w:rsidRPr="00561E7D" w:rsidTr="000802A5">
        <w:trPr>
          <w:trHeight w:val="369"/>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5A.66</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Load pass rates by region (per cent)</w:t>
            </w:r>
            <w:r w:rsidR="00AD5F7E">
              <w:t xml:space="preserve"> </w:t>
            </w:r>
          </w:p>
        </w:tc>
      </w:tr>
      <w:tr w:rsidR="00DE288F" w:rsidRPr="00561E7D" w:rsidTr="000802A5">
        <w:trPr>
          <w:trHeight w:val="369"/>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5A.67</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Load pass rates by disability status (per cent)</w:t>
            </w:r>
            <w:r w:rsidR="00AD5F7E">
              <w:t xml:space="preserve"> </w:t>
            </w:r>
          </w:p>
        </w:tc>
      </w:tr>
      <w:tr w:rsidR="00DE288F" w:rsidRPr="00561E7D" w:rsidTr="000802A5">
        <w:trPr>
          <w:trHeight w:val="369"/>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5A.68</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Load pass rates by language spoken at home (per cent)</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5A.69</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VET qualification completions with improved education/training status after training, by Indigenous status, all students</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5A.70</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VET qualification completions with improved education/training status after training, by Indigenous status, students aged 20–64 years</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5A.71</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VET qualification completions with improved education/training status after training, by remoteness (ARIA), all students</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5A.72</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VET qualification completions with improved education/training status after training, by remoteness (ARIA), students aged aged 20–64 years</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5A.73</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VET qualification completions with improved education/training status after training, AQF Certificate III</w:t>
            </w:r>
            <w:r w:rsidR="00AD5F7E">
              <w:t xml:space="preserve"> </w:t>
            </w:r>
            <w:r>
              <w:t>or above only, all students</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5A.74</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VET qualification completions with improved education/training status after training, AQF Certificate III</w:t>
            </w:r>
            <w:r w:rsidR="00AD5F7E">
              <w:t xml:space="preserve"> </w:t>
            </w:r>
            <w:r>
              <w:t>or above only, students aged 20–64 years</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5A.75</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Estimated completion rates and load pass rates for qualifications at certificate I and above, commencing 2009–13</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5A.76</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Whether course helped graduates achieve their main reason for undertaking training, all graduates</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5A.77</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Whether course helped graduates achieve their main reason for under taking training, Aboriginal and Torres Strait Islander graduates</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5A.78</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Whether course helped graduates achieve their main reason for undertaking training, non</w:t>
            </w:r>
            <w:r w:rsidR="00AD5F7E">
              <w:noBreakHyphen/>
            </w:r>
            <w:r>
              <w:t>Indigenous graduates</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5A.79</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Whether course helped graduates achieve their main reason for undertaking training, graduates from major cities</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5A.80</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Whether course helped graduates achieve their main reason for undertaking training, graduates from inner regional areas</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5A.81</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Whether course helped graduates achieve their main reason for undertaking training, graduates from outer regional areas</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5A.82</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Whether course helped graduates achieve their main reason for undertaking training, graduates from remote and very remote areas</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5A.83</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Whether course helped graduates achieve their main reason for undertaking training, graduates reporting disability</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5A.84</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Whether course helped graduates achieve their main reason for undertaking training, graduates speaking a language other than English at home</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5A.85</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all graduates who were satisfied with the quality of their completed course, by purpose of study</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5A.86</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Aboriginal and Torres Strait Islander graduates who were satisfied with the quality of their completed course, by purpose of study</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5A.87</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non</w:t>
            </w:r>
            <w:r w:rsidR="00AD5F7E">
              <w:noBreakHyphen/>
            </w:r>
            <w:r>
              <w:t>Indigenous graduates who were satisfied with the quality of their completed course, by purpose of study</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lastRenderedPageBreak/>
              <w:t>Table 5A.88</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graduates from major cities who were satisfied with the quality of their completed course, by purpose of study</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5A.89</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graduates from inner regional areas who were satisfied with the quality of their completed course, by purpose of study</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5A.90</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graduates from outer regional areas who were satisfied with the quality of their completed course, by purpose of study</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5A.91</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graduates from remote and very remote areas who were satisfied with the quality of their completed course, by purpose of study</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5A.92</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graduates reporting disability who were satisfied with the quality of their completed course, by purpose of study</w:t>
            </w:r>
            <w:r w:rsidR="00AD5F7E">
              <w:t xml:space="preserve"> </w:t>
            </w:r>
          </w:p>
        </w:tc>
      </w:tr>
      <w:tr w:rsidR="00DE288F" w:rsidRPr="00561E7D" w:rsidTr="000802A5">
        <w:trPr>
          <w:trHeight w:val="567"/>
        </w:trPr>
        <w:tc>
          <w:tcPr>
            <w:tcW w:w="1456" w:type="dxa"/>
            <w:tcBorders>
              <w:top w:val="nil"/>
              <w:left w:val="nil"/>
              <w:bottom w:val="nil"/>
              <w:right w:val="nil"/>
            </w:tcBorders>
            <w:shd w:val="clear" w:color="auto" w:fill="auto"/>
            <w:noWrap/>
          </w:tcPr>
          <w:p w:rsidR="00DE288F" w:rsidRPr="003B73E6" w:rsidRDefault="00DE288F" w:rsidP="003B73E6">
            <w:pPr>
              <w:pStyle w:val="Box"/>
              <w:keepNext w:val="0"/>
              <w:spacing w:before="0" w:after="80"/>
              <w:rPr>
                <w:b/>
              </w:rPr>
            </w:pPr>
            <w:r w:rsidRPr="003B73E6">
              <w:rPr>
                <w:b/>
              </w:rPr>
              <w:t>Table 5A.93</w:t>
            </w:r>
          </w:p>
        </w:tc>
        <w:tc>
          <w:tcPr>
            <w:tcW w:w="7404" w:type="dxa"/>
            <w:tcBorders>
              <w:top w:val="nil"/>
              <w:left w:val="nil"/>
              <w:bottom w:val="nil"/>
              <w:right w:val="nil"/>
            </w:tcBorders>
            <w:shd w:val="clear" w:color="auto" w:fill="auto"/>
          </w:tcPr>
          <w:p w:rsidR="00DE288F" w:rsidRDefault="00DE288F" w:rsidP="003B73E6">
            <w:pPr>
              <w:pStyle w:val="Box"/>
              <w:keepNext w:val="0"/>
              <w:spacing w:before="0" w:after="80"/>
            </w:pPr>
            <w:r>
              <w:t>Proportion of graduates speaking a language other than English at home who were satisfied with the quality of their completed course, by purpose of study</w:t>
            </w:r>
            <w:r w:rsidR="00AD5F7E">
              <w:t xml:space="preserve"> </w:t>
            </w:r>
          </w:p>
        </w:tc>
      </w:tr>
      <w:tr w:rsidR="000802A5" w:rsidRPr="00561E7D" w:rsidTr="000802A5">
        <w:trPr>
          <w:trHeight w:val="369"/>
        </w:trPr>
        <w:tc>
          <w:tcPr>
            <w:tcW w:w="1456" w:type="dxa"/>
            <w:tcBorders>
              <w:top w:val="nil"/>
              <w:left w:val="nil"/>
              <w:bottom w:val="nil"/>
              <w:right w:val="nil"/>
            </w:tcBorders>
            <w:shd w:val="clear" w:color="auto" w:fill="auto"/>
            <w:noWrap/>
          </w:tcPr>
          <w:p w:rsidR="000802A5" w:rsidRPr="003B73E6" w:rsidRDefault="000802A5" w:rsidP="003B73E6">
            <w:pPr>
              <w:pStyle w:val="Box"/>
              <w:keepNext w:val="0"/>
              <w:spacing w:before="0" w:after="80"/>
              <w:rPr>
                <w:b/>
              </w:rPr>
            </w:pPr>
            <w:r w:rsidRPr="003B73E6">
              <w:rPr>
                <w:b/>
              </w:rPr>
              <w:t>Table 5A.94</w:t>
            </w:r>
          </w:p>
        </w:tc>
        <w:tc>
          <w:tcPr>
            <w:tcW w:w="7404" w:type="dxa"/>
            <w:tcBorders>
              <w:top w:val="nil"/>
              <w:left w:val="nil"/>
              <w:bottom w:val="nil"/>
              <w:right w:val="nil"/>
            </w:tcBorders>
            <w:shd w:val="clear" w:color="auto" w:fill="auto"/>
          </w:tcPr>
          <w:p w:rsidR="000802A5" w:rsidRDefault="000802A5" w:rsidP="003B73E6">
            <w:pPr>
              <w:pStyle w:val="Box"/>
              <w:keepNext w:val="0"/>
              <w:spacing w:before="0" w:after="80"/>
            </w:pPr>
            <w:r>
              <w:t>Employer engagement with VET (per cent)</w:t>
            </w:r>
            <w:r w:rsidR="00AD5F7E">
              <w:t xml:space="preserve"> </w:t>
            </w:r>
          </w:p>
        </w:tc>
      </w:tr>
      <w:tr w:rsidR="000802A5" w:rsidRPr="00561E7D" w:rsidTr="000802A5">
        <w:trPr>
          <w:trHeight w:val="369"/>
        </w:trPr>
        <w:tc>
          <w:tcPr>
            <w:tcW w:w="1456" w:type="dxa"/>
            <w:tcBorders>
              <w:top w:val="nil"/>
              <w:left w:val="nil"/>
              <w:bottom w:val="nil"/>
              <w:right w:val="nil"/>
            </w:tcBorders>
            <w:shd w:val="clear" w:color="auto" w:fill="auto"/>
            <w:noWrap/>
          </w:tcPr>
          <w:p w:rsidR="000802A5" w:rsidRPr="003B73E6" w:rsidRDefault="000802A5" w:rsidP="003B73E6">
            <w:pPr>
              <w:pStyle w:val="Box"/>
              <w:keepNext w:val="0"/>
              <w:spacing w:before="0" w:after="80"/>
              <w:rPr>
                <w:b/>
              </w:rPr>
            </w:pPr>
            <w:r w:rsidRPr="003B73E6">
              <w:rPr>
                <w:b/>
              </w:rPr>
              <w:t>Table 5A.95</w:t>
            </w:r>
          </w:p>
        </w:tc>
        <w:tc>
          <w:tcPr>
            <w:tcW w:w="7404" w:type="dxa"/>
            <w:tcBorders>
              <w:top w:val="nil"/>
              <w:left w:val="nil"/>
              <w:bottom w:val="nil"/>
              <w:right w:val="nil"/>
            </w:tcBorders>
            <w:shd w:val="clear" w:color="auto" w:fill="auto"/>
          </w:tcPr>
          <w:p w:rsidR="000802A5" w:rsidRDefault="000802A5" w:rsidP="003B73E6">
            <w:pPr>
              <w:pStyle w:val="Box"/>
              <w:keepNext w:val="0"/>
              <w:spacing w:before="0" w:after="80"/>
            </w:pPr>
            <w:r>
              <w:t>Employer satisfaction with VET</w:t>
            </w:r>
            <w:r w:rsidR="00AD5F7E">
              <w:t xml:space="preserve"> </w:t>
            </w:r>
            <w:r>
              <w:t>(per cent)</w:t>
            </w:r>
            <w:r w:rsidR="00AD5F7E">
              <w:t xml:space="preserve"> </w:t>
            </w:r>
          </w:p>
        </w:tc>
      </w:tr>
      <w:tr w:rsidR="003903D1" w:rsidRPr="00561E7D" w:rsidTr="000802A5">
        <w:trPr>
          <w:trHeight w:val="369"/>
        </w:trPr>
        <w:tc>
          <w:tcPr>
            <w:tcW w:w="1456" w:type="dxa"/>
            <w:tcBorders>
              <w:top w:val="nil"/>
              <w:left w:val="nil"/>
              <w:bottom w:val="nil"/>
              <w:right w:val="nil"/>
            </w:tcBorders>
            <w:shd w:val="clear" w:color="auto" w:fill="auto"/>
            <w:noWrap/>
          </w:tcPr>
          <w:p w:rsidR="003903D1" w:rsidRPr="003B73E6" w:rsidRDefault="003903D1" w:rsidP="001F3301">
            <w:pPr>
              <w:pStyle w:val="Box"/>
              <w:keepNext w:val="0"/>
              <w:spacing w:before="0" w:after="80"/>
              <w:rPr>
                <w:b/>
              </w:rPr>
            </w:pPr>
            <w:r w:rsidRPr="003B73E6">
              <w:rPr>
                <w:b/>
              </w:rPr>
              <w:t>Table 5A.9</w:t>
            </w:r>
            <w:r w:rsidR="001F3301">
              <w:rPr>
                <w:b/>
              </w:rPr>
              <w:t>6</w:t>
            </w:r>
          </w:p>
        </w:tc>
        <w:tc>
          <w:tcPr>
            <w:tcW w:w="7404" w:type="dxa"/>
            <w:tcBorders>
              <w:top w:val="nil"/>
              <w:left w:val="nil"/>
              <w:bottom w:val="nil"/>
              <w:right w:val="nil"/>
            </w:tcBorders>
            <w:shd w:val="clear" w:color="auto" w:fill="auto"/>
          </w:tcPr>
          <w:p w:rsidR="003903D1" w:rsidRDefault="003903D1" w:rsidP="003B73E6">
            <w:pPr>
              <w:pStyle w:val="Box"/>
              <w:keepNext w:val="0"/>
              <w:spacing w:before="0" w:after="80"/>
            </w:pPr>
            <w:r>
              <w:t>Gross Domestic Product chain price deflator (index)</w:t>
            </w:r>
          </w:p>
        </w:tc>
      </w:tr>
      <w:tr w:rsidR="003903D1" w:rsidRPr="00561E7D" w:rsidTr="000802A5">
        <w:trPr>
          <w:trHeight w:val="369"/>
        </w:trPr>
        <w:tc>
          <w:tcPr>
            <w:tcW w:w="1456" w:type="dxa"/>
            <w:tcBorders>
              <w:top w:val="nil"/>
              <w:left w:val="nil"/>
              <w:bottom w:val="nil"/>
              <w:right w:val="nil"/>
            </w:tcBorders>
            <w:shd w:val="clear" w:color="auto" w:fill="auto"/>
            <w:noWrap/>
          </w:tcPr>
          <w:p w:rsidR="003903D1" w:rsidRPr="003B73E6" w:rsidRDefault="003903D1" w:rsidP="001F3301">
            <w:pPr>
              <w:pStyle w:val="Box"/>
              <w:keepNext w:val="0"/>
              <w:spacing w:before="0" w:after="80"/>
              <w:rPr>
                <w:b/>
              </w:rPr>
            </w:pPr>
            <w:r w:rsidRPr="003B73E6">
              <w:rPr>
                <w:b/>
              </w:rPr>
              <w:t>Table 5A.9</w:t>
            </w:r>
            <w:r w:rsidR="001F3301">
              <w:rPr>
                <w:b/>
              </w:rPr>
              <w:t>7</w:t>
            </w:r>
          </w:p>
        </w:tc>
        <w:tc>
          <w:tcPr>
            <w:tcW w:w="7404" w:type="dxa"/>
            <w:tcBorders>
              <w:top w:val="nil"/>
              <w:left w:val="nil"/>
              <w:bottom w:val="nil"/>
              <w:right w:val="nil"/>
            </w:tcBorders>
            <w:shd w:val="clear" w:color="auto" w:fill="auto"/>
          </w:tcPr>
          <w:p w:rsidR="003903D1" w:rsidRDefault="003903D1" w:rsidP="003B73E6">
            <w:pPr>
              <w:pStyle w:val="Box"/>
              <w:keepNext w:val="0"/>
              <w:spacing w:before="0" w:after="80"/>
            </w:pPr>
            <w:r>
              <w:t>Explanatory notes to the National VET provider collection</w:t>
            </w:r>
          </w:p>
        </w:tc>
      </w:tr>
    </w:tbl>
    <w:p w:rsidR="00C57336" w:rsidRPr="00EF5A5F" w:rsidRDefault="003A68D1" w:rsidP="00281C53">
      <w:pPr>
        <w:pStyle w:val="Heading2"/>
      </w:pPr>
      <w:bookmarkStart w:id="75" w:name="_Toc341279246"/>
      <w:bookmarkStart w:id="76" w:name="_Toc429558955"/>
      <w:r>
        <w:t>5.</w:t>
      </w:r>
      <w:r w:rsidR="00111918">
        <w:rPr>
          <w:noProof/>
        </w:rPr>
        <w:t>7</w:t>
      </w:r>
      <w:r w:rsidR="00D660C5">
        <w:tab/>
      </w:r>
      <w:r w:rsidR="00C57336" w:rsidRPr="00EF5A5F">
        <w:t>References</w:t>
      </w:r>
      <w:bookmarkEnd w:id="75"/>
      <w:bookmarkEnd w:id="76"/>
    </w:p>
    <w:p w:rsidR="008E0E6E" w:rsidRDefault="00C57336" w:rsidP="00441728">
      <w:pPr>
        <w:pStyle w:val="Reference"/>
      </w:pPr>
      <w:r w:rsidRPr="00C15F4D">
        <w:t xml:space="preserve">ABS (Australian Bureau of </w:t>
      </w:r>
      <w:r w:rsidRPr="00441728">
        <w:t>Statistics</w:t>
      </w:r>
      <w:r w:rsidRPr="00C15F4D">
        <w:t xml:space="preserve">) </w:t>
      </w:r>
      <w:r w:rsidR="008E0E6E" w:rsidRPr="00EF5A5F">
        <w:t>201</w:t>
      </w:r>
      <w:r w:rsidR="008E0E6E">
        <w:t>3</w:t>
      </w:r>
      <w:r w:rsidR="008E0E6E" w:rsidRPr="00EF5A5F">
        <w:t xml:space="preserve">, </w:t>
      </w:r>
      <w:r w:rsidR="008E0E6E" w:rsidRPr="00EF5A5F">
        <w:rPr>
          <w:i/>
        </w:rPr>
        <w:t>Disability, Ageing and Carers Australia: Summary of Findings 20</w:t>
      </w:r>
      <w:r w:rsidR="008E0E6E">
        <w:rPr>
          <w:i/>
        </w:rPr>
        <w:t>12</w:t>
      </w:r>
      <w:r w:rsidR="008E0E6E" w:rsidRPr="00EF5A5F">
        <w:t>, Cat. no. 4430.0, Canberra.</w:t>
      </w:r>
    </w:p>
    <w:p w:rsidR="008E0E6E" w:rsidRDefault="007A35FA" w:rsidP="008E0E6E">
      <w:pPr>
        <w:pStyle w:val="Reference"/>
      </w:pPr>
      <w:r w:rsidRPr="00EF5A5F">
        <w:rPr>
          <w:rStyle w:val="ReferenceChar"/>
        </w:rPr>
        <w:t xml:space="preserve">—— </w:t>
      </w:r>
      <w:r w:rsidR="008E0E6E" w:rsidRPr="00C15F4D">
        <w:t xml:space="preserve">2012, </w:t>
      </w:r>
      <w:r w:rsidR="008E0E6E" w:rsidRPr="00C15F4D">
        <w:rPr>
          <w:i/>
        </w:rPr>
        <w:t>2011 Census of Population and Housing, Australia, States and Territories, Expanded Communi</w:t>
      </w:r>
      <w:r w:rsidR="008E0E6E">
        <w:rPr>
          <w:i/>
        </w:rPr>
        <w:t xml:space="preserve">ty Profile, Table X05 </w:t>
      </w:r>
      <w:r w:rsidR="00AD5F7E">
        <w:rPr>
          <w:i/>
        </w:rPr>
        <w:noBreakHyphen/>
      </w:r>
      <w:r w:rsidR="008E0E6E" w:rsidRPr="00C15F4D">
        <w:rPr>
          <w:i/>
        </w:rPr>
        <w:t xml:space="preserve"> Language spoken at home by proficiency in spoken English/language by sex, </w:t>
      </w:r>
      <w:r w:rsidR="008E0E6E" w:rsidRPr="008E0E6E">
        <w:t>Cat. no. 2005.0, Canberra.</w:t>
      </w:r>
      <w:r w:rsidR="008E0E6E" w:rsidRPr="00C15F4D">
        <w:rPr>
          <w:i/>
        </w:rPr>
        <w:t xml:space="preserve"> </w:t>
      </w:r>
    </w:p>
    <w:p w:rsidR="0053299A" w:rsidRDefault="0053299A" w:rsidP="0014685B">
      <w:pPr>
        <w:pStyle w:val="Reference"/>
      </w:pPr>
      <w:r>
        <w:t>ASQA (</w:t>
      </w:r>
      <w:r w:rsidRPr="0053299A">
        <w:t>Australian Skills Quality Authority</w:t>
      </w:r>
      <w:r>
        <w:t xml:space="preserve">) 2015, </w:t>
      </w:r>
      <w:r w:rsidR="00B03C63" w:rsidRPr="00B03C63">
        <w:rPr>
          <w:i/>
        </w:rPr>
        <w:t>Australian Skills Quality Authority Annual Report 2013–14</w:t>
      </w:r>
      <w:r>
        <w:t>, Canberra, viewed 13 August 2015, &lt;</w:t>
      </w:r>
      <w:r w:rsidR="00B03C63" w:rsidRPr="00B03C63">
        <w:t>http://www.asqa.gov.au/news-and-publications/publications/annual-reports.html</w:t>
      </w:r>
      <w:r>
        <w:t>&gt;.</w:t>
      </w:r>
    </w:p>
    <w:p w:rsidR="001B62F2" w:rsidRDefault="001B62F2" w:rsidP="0014685B">
      <w:pPr>
        <w:pStyle w:val="Reference"/>
      </w:pPr>
      <w:r>
        <w:t xml:space="preserve">Australian Government 2015, </w:t>
      </w:r>
      <w:r w:rsidR="00827B7D" w:rsidRPr="00827B7D">
        <w:rPr>
          <w:i/>
        </w:rPr>
        <w:t>Australian Apprenticeship Support Network</w:t>
      </w:r>
      <w:r>
        <w:t>, Canberra, viewed 13 August 2015 &lt;</w:t>
      </w:r>
      <w:r w:rsidRPr="001B62F2">
        <w:t>www.australianapprenticeships.gov.au/</w:t>
      </w:r>
      <w:r w:rsidR="006161E9" w:rsidRPr="006161E9">
        <w:t>australian-apprenticeship-support-network</w:t>
      </w:r>
      <w:r>
        <w:t>&gt;.</w:t>
      </w:r>
    </w:p>
    <w:p w:rsidR="00EC562F" w:rsidRPr="001B62F2" w:rsidRDefault="00EC562F" w:rsidP="0014685B">
      <w:pPr>
        <w:pStyle w:val="Reference"/>
      </w:pPr>
      <w:r>
        <w:t xml:space="preserve">AQF (Australian Qualifications Framework) 2015, </w:t>
      </w:r>
      <w:r>
        <w:rPr>
          <w:i/>
        </w:rPr>
        <w:t>Current arrangements,</w:t>
      </w:r>
      <w:r>
        <w:t xml:space="preserve"> Canberra, viewed 13 August 2015 &lt;www.aqf.edu.au/contacting-aqf&gt;.</w:t>
      </w:r>
    </w:p>
    <w:p w:rsidR="009D52C9" w:rsidRDefault="00106CB7" w:rsidP="0014685B">
      <w:pPr>
        <w:pStyle w:val="Reference"/>
        <w:rPr>
          <w:rStyle w:val="ReferenceChar"/>
        </w:rPr>
      </w:pPr>
      <w:r w:rsidRPr="00EF5A5F">
        <w:t>COAG (Council of Australian Governments</w:t>
      </w:r>
      <w:r w:rsidRPr="009D604A">
        <w:t xml:space="preserve">) </w:t>
      </w:r>
      <w:r w:rsidR="004D5C3D" w:rsidRPr="009D604A">
        <w:t>2012</w:t>
      </w:r>
      <w:r w:rsidR="008A63EF">
        <w:t>a</w:t>
      </w:r>
      <w:r w:rsidR="009D52C9" w:rsidRPr="009D604A">
        <w:t xml:space="preserve">, </w:t>
      </w:r>
      <w:r w:rsidR="004D5C3D" w:rsidRPr="009D604A">
        <w:rPr>
          <w:i/>
        </w:rPr>
        <w:t>National Agreement for Skills and Workforce Development</w:t>
      </w:r>
      <w:r w:rsidR="004D5C3D" w:rsidRPr="009D604A">
        <w:t xml:space="preserve">, </w:t>
      </w:r>
      <w:r w:rsidR="00FA3825">
        <w:t>view</w:t>
      </w:r>
      <w:r w:rsidR="00FA3825" w:rsidRPr="009D604A">
        <w:t>ed 20 December</w:t>
      </w:r>
      <w:r w:rsidR="00FA3825">
        <w:rPr>
          <w:rStyle w:val="ReferenceChar"/>
        </w:rPr>
        <w:t> </w:t>
      </w:r>
      <w:r w:rsidR="00FA3825" w:rsidRPr="0014685B">
        <w:rPr>
          <w:rStyle w:val="ReferenceChar"/>
        </w:rPr>
        <w:t>201</w:t>
      </w:r>
      <w:r w:rsidR="00FA3825">
        <w:rPr>
          <w:rStyle w:val="ReferenceChar"/>
        </w:rPr>
        <w:t>2 &lt;</w:t>
      </w:r>
      <w:r w:rsidR="00E70BD2" w:rsidRPr="00E70BD2">
        <w:t>www.federalfinancialrelations.</w:t>
      </w:r>
      <w:r w:rsidR="00FA3825">
        <w:br/>
      </w:r>
      <w:r w:rsidR="00E70BD2" w:rsidRPr="00E70BD2">
        <w:t>gov.au/content/national_</w:t>
      </w:r>
      <w:r w:rsidR="00E70BD2">
        <w:t xml:space="preserve"> </w:t>
      </w:r>
      <w:r w:rsidR="00E70BD2" w:rsidRPr="00E70BD2">
        <w:t>agreements.aspx</w:t>
      </w:r>
      <w:r w:rsidR="00FA3825">
        <w:t>&gt;</w:t>
      </w:r>
      <w:r w:rsidR="004D5C3D" w:rsidRPr="00EF5A5F">
        <w:rPr>
          <w:rStyle w:val="ReferenceChar"/>
        </w:rPr>
        <w:t>.</w:t>
      </w:r>
    </w:p>
    <w:p w:rsidR="008A63EF" w:rsidRDefault="00441728" w:rsidP="0014685B">
      <w:pPr>
        <w:pStyle w:val="Reference"/>
      </w:pPr>
      <w:r>
        <w:rPr>
          <w:rStyle w:val="ReferenceChar"/>
        </w:rPr>
        <w:t>——</w:t>
      </w:r>
      <w:r w:rsidR="008A63EF">
        <w:rPr>
          <w:rStyle w:val="ReferenceChar"/>
        </w:rPr>
        <w:t xml:space="preserve"> 2012b, </w:t>
      </w:r>
      <w:r w:rsidR="008A63EF" w:rsidRPr="008A63EF">
        <w:rPr>
          <w:rStyle w:val="ReferenceChar"/>
          <w:i/>
        </w:rPr>
        <w:t>National Partnership Agreement on Skills Reform</w:t>
      </w:r>
      <w:r w:rsidR="008A63EF">
        <w:rPr>
          <w:rStyle w:val="ReferenceChar"/>
        </w:rPr>
        <w:t xml:space="preserve">, viewed 18 August 2015, </w:t>
      </w:r>
      <w:r w:rsidR="008A63EF">
        <w:t>&lt;</w:t>
      </w:r>
      <w:r w:rsidR="008A63EF" w:rsidRPr="008A63EF">
        <w:t>www.federalfinancialrelations.gov.au/content/npa/skills.aspx</w:t>
      </w:r>
      <w:r w:rsidR="008A63EF">
        <w:t>&gt;</w:t>
      </w:r>
      <w:r w:rsidR="00062941">
        <w:t>.</w:t>
      </w:r>
    </w:p>
    <w:p w:rsidR="00441728" w:rsidRDefault="00BE6883" w:rsidP="00441728">
      <w:pPr>
        <w:pStyle w:val="Reference"/>
      </w:pPr>
      <w:r>
        <w:t xml:space="preserve">DET (Department of Education and Training) </w:t>
      </w:r>
      <w:r w:rsidR="00441728">
        <w:t>2015</w:t>
      </w:r>
      <w:r w:rsidR="003079FB">
        <w:t>a</w:t>
      </w:r>
      <w:r w:rsidR="00441728">
        <w:t xml:space="preserve">, </w:t>
      </w:r>
      <w:r w:rsidR="00441728" w:rsidRPr="00810A59">
        <w:rPr>
          <w:i/>
        </w:rPr>
        <w:t>Trade Training Centres In Schools Program: Independent Review 2014</w:t>
      </w:r>
      <w:r w:rsidR="00441728">
        <w:t>, Canberra, view</w:t>
      </w:r>
      <w:r w:rsidR="00E6025D">
        <w:t>ed</w:t>
      </w:r>
      <w:r w:rsidR="00441728">
        <w:t xml:space="preserve"> 17 August 2015, &lt;</w:t>
      </w:r>
      <w:r w:rsidR="00441728" w:rsidRPr="00810A59">
        <w:t>education.gov.au/trade-training-centres-schools-program</w:t>
      </w:r>
      <w:r w:rsidR="00441728">
        <w:t>&gt;.</w:t>
      </w:r>
    </w:p>
    <w:p w:rsidR="003079FB" w:rsidRPr="003079FB" w:rsidRDefault="003079FB" w:rsidP="00441728">
      <w:pPr>
        <w:pStyle w:val="Reference"/>
      </w:pPr>
      <w:r>
        <w:lastRenderedPageBreak/>
        <w:t xml:space="preserve">—— 2015b, </w:t>
      </w:r>
      <w:r>
        <w:rPr>
          <w:i/>
        </w:rPr>
        <w:t>VET FEE-HELP Statistical Report</w:t>
      </w:r>
      <w:r>
        <w:t>, Canberra, viewed 1 October 2015, &lt;education.gov.au/vet-fee-help-statistics&gt;.</w:t>
      </w:r>
    </w:p>
    <w:p w:rsidR="00BE6883" w:rsidRDefault="00441728" w:rsidP="00FA54E9">
      <w:pPr>
        <w:pStyle w:val="Reference"/>
      </w:pPr>
      <w:r>
        <w:t xml:space="preserve">—— </w:t>
      </w:r>
      <w:r w:rsidR="00BE6883">
        <w:t>201</w:t>
      </w:r>
      <w:r w:rsidR="00582252">
        <w:t>4</w:t>
      </w:r>
      <w:r w:rsidR="00BE6883">
        <w:t xml:space="preserve">, </w:t>
      </w:r>
      <w:r w:rsidR="00BE6883" w:rsidRPr="00582252">
        <w:rPr>
          <w:i/>
        </w:rPr>
        <w:t>The VET Reform Vision</w:t>
      </w:r>
      <w:r w:rsidR="00582252">
        <w:t xml:space="preserve">, Canberra, </w:t>
      </w:r>
      <w:r w:rsidR="00582252" w:rsidRPr="00582252">
        <w:t xml:space="preserve">viewed </w:t>
      </w:r>
      <w:r w:rsidR="00582252">
        <w:t>13 August 2015</w:t>
      </w:r>
      <w:r w:rsidR="00582252" w:rsidRPr="00582252">
        <w:t>,</w:t>
      </w:r>
      <w:r w:rsidR="00582252">
        <w:t xml:space="preserve"> &lt;</w:t>
      </w:r>
      <w:r w:rsidR="00582252" w:rsidRPr="00582252">
        <w:t>www.vetreform.industry.gov.au/vet-reform-vision</w:t>
      </w:r>
      <w:r w:rsidR="00582252">
        <w:t>&gt;.</w:t>
      </w:r>
    </w:p>
    <w:p w:rsidR="00582252" w:rsidRPr="00582252" w:rsidRDefault="00582252" w:rsidP="00FA54E9">
      <w:pPr>
        <w:pStyle w:val="Reference"/>
      </w:pPr>
      <w:r>
        <w:t xml:space="preserve">DIS (Department of Industry and Science) 2015, </w:t>
      </w:r>
      <w:r w:rsidRPr="00582252">
        <w:rPr>
          <w:i/>
        </w:rPr>
        <w:t>Council of Australian Governments (COAG) Industry and Skills Council</w:t>
      </w:r>
      <w:r>
        <w:t>, Canberra, &lt;</w:t>
      </w:r>
      <w:r w:rsidRPr="00582252">
        <w:t>www.industry.gov.au/AboutUs/</w:t>
      </w:r>
      <w:r>
        <w:br/>
      </w:r>
      <w:r w:rsidRPr="00582252">
        <w:t>Pages/COAG-Industry-and-Skills-Council.aspx</w:t>
      </w:r>
      <w:r>
        <w:t>&gt;</w:t>
      </w:r>
      <w:r w:rsidR="00062941">
        <w:t>.</w:t>
      </w:r>
    </w:p>
    <w:p w:rsidR="00DC28BB" w:rsidRDefault="006561F7" w:rsidP="00DC28BB">
      <w:pPr>
        <w:pStyle w:val="Reference"/>
      </w:pPr>
      <w:r>
        <w:t>ESA (</w:t>
      </w:r>
      <w:r w:rsidR="00DC28BB" w:rsidRPr="00DC28BB">
        <w:t>Education Services Australia</w:t>
      </w:r>
      <w:r>
        <w:t>)</w:t>
      </w:r>
      <w:r w:rsidR="00DC28BB" w:rsidRPr="00DC28BB">
        <w:t xml:space="preserve"> 2014</w:t>
      </w:r>
      <w:r w:rsidR="00DC28BB">
        <w:t xml:space="preserve">, </w:t>
      </w:r>
      <w:r w:rsidR="00DC28BB" w:rsidRPr="00DC28BB">
        <w:rPr>
          <w:i/>
        </w:rPr>
        <w:t>Preparing Secondary Students for Work</w:t>
      </w:r>
      <w:r w:rsidR="00DC28BB">
        <w:t>, Melbourne, view 9 September 2015 &lt;</w:t>
      </w:r>
      <w:r w:rsidR="00DC28BB" w:rsidRPr="00DC28BB">
        <w:t>http://cica.org.au/wp-content/uploads/Preparing-Secondary-Students-for-Work.pdf</w:t>
      </w:r>
      <w:r w:rsidR="00DC28BB">
        <w:t>&gt;.</w:t>
      </w:r>
    </w:p>
    <w:p w:rsidR="00E6025D" w:rsidRPr="00E6025D" w:rsidRDefault="00E6025D" w:rsidP="00FA54E9">
      <w:pPr>
        <w:pStyle w:val="Reference"/>
      </w:pPr>
      <w:r>
        <w:t xml:space="preserve">ISC (Industry Skills Councils) 2015, viewed 1 October 2015, </w:t>
      </w:r>
      <w:r>
        <w:rPr>
          <w:i/>
        </w:rPr>
        <w:t>About Industry Skills Councils</w:t>
      </w:r>
      <w:r>
        <w:t>, &lt;</w:t>
      </w:r>
      <w:r w:rsidRPr="00E6025D">
        <w:t>www.isc.org.au/about/</w:t>
      </w:r>
      <w:r>
        <w:t>&gt;.</w:t>
      </w:r>
    </w:p>
    <w:p w:rsidR="00062941" w:rsidRPr="00062941" w:rsidRDefault="00C57336" w:rsidP="00FA54E9">
      <w:pPr>
        <w:pStyle w:val="Reference"/>
      </w:pPr>
      <w:r w:rsidRPr="00EF5A5F">
        <w:t xml:space="preserve">NCVER (National Centre for Vocational Education Research) </w:t>
      </w:r>
      <w:r w:rsidR="00062941">
        <w:t>— 2015</w:t>
      </w:r>
      <w:r w:rsidR="006561F7">
        <w:t>a</w:t>
      </w:r>
      <w:r w:rsidR="00062941">
        <w:t xml:space="preserve">, </w:t>
      </w:r>
      <w:r w:rsidR="00062941">
        <w:rPr>
          <w:i/>
        </w:rPr>
        <w:t>Getting to know NCVER: A guide to our information resources</w:t>
      </w:r>
      <w:r w:rsidR="00062941">
        <w:t>, Adelaide, viewed 25 August 2015 &lt;</w:t>
      </w:r>
      <w:r w:rsidR="00062941" w:rsidRPr="00062941">
        <w:t>www.ncver.edu.au/wps/wcm/connect/f00da3b6-86bf-4a0e-90d3-34d835b1dd57/</w:t>
      </w:r>
      <w:r w:rsidR="006561F7">
        <w:br/>
      </w:r>
      <w:r w:rsidR="00062941" w:rsidRPr="00062941">
        <w:t>Getting-to-know-NCVER.pdf?MOD=AJPERES</w:t>
      </w:r>
      <w:r w:rsidR="00062941">
        <w:t>&gt;.</w:t>
      </w:r>
    </w:p>
    <w:p w:rsidR="00FA54E9" w:rsidRDefault="00062941" w:rsidP="00FA54E9">
      <w:pPr>
        <w:pStyle w:val="Reference"/>
      </w:pPr>
      <w:r>
        <w:t>——</w:t>
      </w:r>
      <w:r w:rsidR="006561F7">
        <w:t> </w:t>
      </w:r>
      <w:r w:rsidR="00FA54E9">
        <w:t>201</w:t>
      </w:r>
      <w:r w:rsidR="006561F7">
        <w:t>5</w:t>
      </w:r>
      <w:r w:rsidR="00097492">
        <w:t>b</w:t>
      </w:r>
      <w:r w:rsidR="00FA54E9">
        <w:t xml:space="preserve">, </w:t>
      </w:r>
      <w:r w:rsidR="00EA7E08">
        <w:rPr>
          <w:i/>
        </w:rPr>
        <w:t xml:space="preserve">Australian vocational education and training statistics: </w:t>
      </w:r>
      <w:r w:rsidR="006561F7">
        <w:rPr>
          <w:i/>
        </w:rPr>
        <w:t xml:space="preserve">Government-funded students and courses </w:t>
      </w:r>
      <w:r w:rsidR="00FA54E9" w:rsidRPr="00FA54E9">
        <w:rPr>
          <w:i/>
        </w:rPr>
        <w:t>201</w:t>
      </w:r>
      <w:r w:rsidR="006561F7">
        <w:rPr>
          <w:i/>
        </w:rPr>
        <w:t>4</w:t>
      </w:r>
      <w:r w:rsidR="00FA54E9">
        <w:t>, Adelaide.</w:t>
      </w:r>
    </w:p>
    <w:p w:rsidR="00097492" w:rsidRDefault="00097492" w:rsidP="00097492">
      <w:pPr>
        <w:pStyle w:val="Reference"/>
      </w:pPr>
      <w:r>
        <w:t>—— </w:t>
      </w:r>
      <w:r w:rsidRPr="00F8406F">
        <w:t>201</w:t>
      </w:r>
      <w:r>
        <w:t>5c</w:t>
      </w:r>
      <w:r w:rsidRPr="00F8406F">
        <w:t xml:space="preserve">, </w:t>
      </w:r>
      <w:r w:rsidRPr="00F8406F">
        <w:rPr>
          <w:i/>
        </w:rPr>
        <w:t>Australian vocational education and training statistics: the likelihood of completing a VET qualification, 2009–1</w:t>
      </w:r>
      <w:r>
        <w:rPr>
          <w:i/>
        </w:rPr>
        <w:t>3</w:t>
      </w:r>
      <w:r w:rsidRPr="00F8406F">
        <w:t>, Adelaide.</w:t>
      </w:r>
    </w:p>
    <w:p w:rsidR="00097492" w:rsidRDefault="00097492" w:rsidP="00097492">
      <w:pPr>
        <w:pStyle w:val="Reference"/>
      </w:pPr>
      <w:r>
        <w:t>—— 2015d</w:t>
      </w:r>
      <w:r w:rsidRPr="00EF5A5F">
        <w:t xml:space="preserve">, </w:t>
      </w:r>
      <w:r w:rsidRPr="00F8406F">
        <w:rPr>
          <w:i/>
        </w:rPr>
        <w:t xml:space="preserve">Australian vocational education and training statistics: </w:t>
      </w:r>
      <w:r w:rsidRPr="00EF5A5F">
        <w:rPr>
          <w:i/>
        </w:rPr>
        <w:t>Employers’ use and views of the VET system 20</w:t>
      </w:r>
      <w:r>
        <w:rPr>
          <w:i/>
        </w:rPr>
        <w:t>15</w:t>
      </w:r>
      <w:r w:rsidRPr="00EF5A5F">
        <w:t>, Adelaide</w:t>
      </w:r>
      <w:r>
        <w:t>.</w:t>
      </w:r>
    </w:p>
    <w:p w:rsidR="00EA7E08" w:rsidRDefault="00EA7E08" w:rsidP="00EA7E08">
      <w:pPr>
        <w:pStyle w:val="Reference"/>
      </w:pPr>
      <w:r>
        <w:t xml:space="preserve">—— 2014, </w:t>
      </w:r>
      <w:r>
        <w:rPr>
          <w:i/>
        </w:rPr>
        <w:t>Australian vocational education and training statistics: Student outcomes </w:t>
      </w:r>
      <w:r w:rsidRPr="00FA54E9">
        <w:rPr>
          <w:i/>
        </w:rPr>
        <w:t>201</w:t>
      </w:r>
      <w:r>
        <w:rPr>
          <w:i/>
        </w:rPr>
        <w:t>4</w:t>
      </w:r>
      <w:r>
        <w:t>, Adelaide.</w:t>
      </w:r>
    </w:p>
    <w:p w:rsidR="00091207" w:rsidRPr="00091207" w:rsidRDefault="00091207" w:rsidP="00091207">
      <w:pPr>
        <w:pStyle w:val="Reference"/>
        <w:rPr>
          <w:i/>
        </w:rPr>
      </w:pPr>
      <w:r w:rsidRPr="00091207">
        <w:t xml:space="preserve">PM&amp;C (Department of Prime Minister and Cabinet) 2014, </w:t>
      </w:r>
      <w:r w:rsidRPr="00091207">
        <w:rPr>
          <w:i/>
        </w:rPr>
        <w:t>Roles and responsibilities in education, Part B: Vocational Education And Training And Higher Education</w:t>
      </w:r>
      <w:r w:rsidRPr="00091207">
        <w:t>, Reform of Federation White Issues Paper 4, Canberra.</w:t>
      </w:r>
    </w:p>
    <w:p w:rsidR="00383496" w:rsidRPr="00EF5A5F" w:rsidRDefault="00383496" w:rsidP="00293967">
      <w:pPr>
        <w:pStyle w:val="Reference"/>
      </w:pPr>
    </w:p>
    <w:sectPr w:rsidR="00383496" w:rsidRPr="00EF5A5F" w:rsidSect="007A0815">
      <w:headerReference w:type="even" r:id="rId61"/>
      <w:headerReference w:type="default" r:id="rId62"/>
      <w:footerReference w:type="even" r:id="rId63"/>
      <w:footerReference w:type="default" r:id="rId64"/>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FCA" w:rsidRDefault="00303FCA">
      <w:r>
        <w:separator/>
      </w:r>
    </w:p>
  </w:endnote>
  <w:endnote w:type="continuationSeparator" w:id="0">
    <w:p w:rsidR="00303FCA" w:rsidRDefault="00303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03FCA" w:rsidTr="00B56B5F">
      <w:trPr>
        <w:trHeight w:hRule="exact" w:val="567"/>
      </w:trPr>
      <w:tc>
        <w:tcPr>
          <w:tcW w:w="510" w:type="dxa"/>
        </w:tcPr>
        <w:p w:rsidR="00303FCA" w:rsidRPr="00A24443" w:rsidRDefault="00303FCA" w:rsidP="00B56B5F">
          <w:pPr>
            <w:pStyle w:val="Footer"/>
            <w:tabs>
              <w:tab w:val="left" w:pos="0"/>
            </w:tabs>
            <w:ind w:right="0"/>
            <w:rPr>
              <w:rStyle w:val="PageNumber"/>
              <w:caps w:val="0"/>
            </w:rPr>
          </w:pPr>
          <w:r>
            <w:rPr>
              <w:rStyle w:val="PageNumber"/>
              <w:caps w:val="0"/>
            </w:rPr>
            <w:t>5.</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929C5">
            <w:rPr>
              <w:rStyle w:val="PageNumber"/>
              <w:caps w:val="0"/>
              <w:noProof/>
            </w:rPr>
            <w:t>68</w:t>
          </w:r>
          <w:r w:rsidRPr="00A24443">
            <w:rPr>
              <w:rStyle w:val="PageNumber"/>
              <w:caps w:val="0"/>
            </w:rPr>
            <w:fldChar w:fldCharType="end"/>
          </w:r>
        </w:p>
      </w:tc>
      <w:tc>
        <w:tcPr>
          <w:tcW w:w="7767" w:type="dxa"/>
        </w:tcPr>
        <w:p w:rsidR="00303FCA" w:rsidRPr="0013739A" w:rsidRDefault="00303FCA" w:rsidP="007A0815">
          <w:pPr>
            <w:pStyle w:val="Footer"/>
            <w:rPr>
              <w:rFonts w:cs="Arial"/>
            </w:rPr>
          </w:pPr>
          <w:r>
            <w:rPr>
              <w:rFonts w:cs="Arial"/>
            </w:rPr>
            <w:t>Report on Government Services 2016</w:t>
          </w:r>
          <w:bookmarkStart w:id="77" w:name="DraftReportEven"/>
          <w:bookmarkEnd w:id="77"/>
        </w:p>
      </w:tc>
      <w:tc>
        <w:tcPr>
          <w:tcW w:w="510" w:type="dxa"/>
        </w:tcPr>
        <w:p w:rsidR="00303FCA" w:rsidRDefault="00303FCA" w:rsidP="00B56B5F">
          <w:pPr>
            <w:pStyle w:val="Footer"/>
          </w:pPr>
        </w:p>
      </w:tc>
    </w:tr>
  </w:tbl>
  <w:p w:rsidR="00303FCA" w:rsidRDefault="00303FCA" w:rsidP="00B56B5F">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03FCA" w:rsidTr="00B56B5F">
      <w:trPr>
        <w:trHeight w:hRule="exact" w:val="567"/>
      </w:trPr>
      <w:tc>
        <w:tcPr>
          <w:tcW w:w="510" w:type="dxa"/>
        </w:tcPr>
        <w:p w:rsidR="00303FCA" w:rsidRDefault="00303FCA">
          <w:pPr>
            <w:pStyle w:val="Footer"/>
            <w:ind w:right="360" w:firstLine="360"/>
          </w:pPr>
        </w:p>
      </w:tc>
      <w:tc>
        <w:tcPr>
          <w:tcW w:w="7767" w:type="dxa"/>
        </w:tcPr>
        <w:p w:rsidR="00303FCA" w:rsidRPr="00BA5B14" w:rsidRDefault="00303FCA" w:rsidP="00B56B5F">
          <w:pPr>
            <w:pStyle w:val="Footer"/>
            <w:jc w:val="right"/>
            <w:rPr>
              <w:rFonts w:cs="Arial"/>
            </w:rPr>
          </w:pPr>
          <w:r>
            <w:rPr>
              <w:rFonts w:cs="Arial"/>
            </w:rPr>
            <w:t>Vocational education and training</w:t>
          </w:r>
          <w:bookmarkStart w:id="78" w:name="begin"/>
          <w:bookmarkEnd w:id="78"/>
        </w:p>
      </w:tc>
      <w:tc>
        <w:tcPr>
          <w:tcW w:w="510" w:type="dxa"/>
        </w:tcPr>
        <w:p w:rsidR="00303FCA" w:rsidRPr="00A24443" w:rsidRDefault="00303FCA">
          <w:pPr>
            <w:pStyle w:val="Footer"/>
            <w:jc w:val="right"/>
            <w:rPr>
              <w:caps w:val="0"/>
            </w:rPr>
          </w:pPr>
          <w:r>
            <w:rPr>
              <w:rStyle w:val="PageNumber"/>
              <w:caps w:val="0"/>
            </w:rPr>
            <w:t>5.</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929C5">
            <w:rPr>
              <w:rStyle w:val="PageNumber"/>
              <w:caps w:val="0"/>
              <w:noProof/>
            </w:rPr>
            <w:t>1</w:t>
          </w:r>
          <w:r w:rsidRPr="00A24443">
            <w:rPr>
              <w:rStyle w:val="PageNumber"/>
              <w:caps w:val="0"/>
            </w:rPr>
            <w:fldChar w:fldCharType="end"/>
          </w:r>
        </w:p>
      </w:tc>
    </w:tr>
  </w:tbl>
  <w:p w:rsidR="00303FCA" w:rsidRDefault="00303FC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FCA" w:rsidRDefault="00303FCA">
      <w:r>
        <w:separator/>
      </w:r>
    </w:p>
  </w:footnote>
  <w:footnote w:type="continuationSeparator" w:id="0">
    <w:p w:rsidR="00303FCA" w:rsidRDefault="00303F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03FCA" w:rsidRPr="00E01A05">
      <w:tc>
        <w:tcPr>
          <w:tcW w:w="2155" w:type="dxa"/>
          <w:tcBorders>
            <w:top w:val="single" w:sz="24" w:space="0" w:color="auto"/>
          </w:tcBorders>
        </w:tcPr>
        <w:p w:rsidR="00303FCA" w:rsidRPr="00E01A05" w:rsidRDefault="00303FCA">
          <w:pPr>
            <w:pStyle w:val="HeaderEven"/>
          </w:pPr>
        </w:p>
      </w:tc>
      <w:tc>
        <w:tcPr>
          <w:tcW w:w="6634" w:type="dxa"/>
          <w:tcBorders>
            <w:top w:val="single" w:sz="6" w:space="0" w:color="auto"/>
          </w:tcBorders>
        </w:tcPr>
        <w:p w:rsidR="00303FCA" w:rsidRPr="00E01A05" w:rsidRDefault="00303FCA" w:rsidP="0071338F">
          <w:pPr>
            <w:pStyle w:val="HeaderEven"/>
            <w:jc w:val="right"/>
          </w:pPr>
        </w:p>
      </w:tc>
    </w:tr>
  </w:tbl>
  <w:p w:rsidR="00303FCA" w:rsidRPr="00061388" w:rsidRDefault="00303FCA">
    <w:pPr>
      <w:pStyle w:val="HeaderEnd"/>
      <w:rPr>
        <w:color w:val="0000FF"/>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03FCA" w:rsidRPr="00E01A05">
      <w:tc>
        <w:tcPr>
          <w:tcW w:w="6634" w:type="dxa"/>
          <w:tcBorders>
            <w:top w:val="single" w:sz="6" w:space="0" w:color="auto"/>
          </w:tcBorders>
        </w:tcPr>
        <w:p w:rsidR="00303FCA" w:rsidRPr="00E01A05" w:rsidRDefault="00303FCA" w:rsidP="009A1C3A">
          <w:pPr>
            <w:pStyle w:val="HeaderOdd"/>
          </w:pPr>
        </w:p>
      </w:tc>
      <w:tc>
        <w:tcPr>
          <w:tcW w:w="2155" w:type="dxa"/>
          <w:tcBorders>
            <w:top w:val="single" w:sz="24" w:space="0" w:color="auto"/>
          </w:tcBorders>
        </w:tcPr>
        <w:p w:rsidR="00303FCA" w:rsidRPr="00E01A05" w:rsidRDefault="00303FCA">
          <w:pPr>
            <w:pStyle w:val="HeaderOdd"/>
          </w:pPr>
        </w:p>
      </w:tc>
    </w:tr>
  </w:tbl>
  <w:p w:rsidR="00303FCA" w:rsidRPr="00061388" w:rsidRDefault="00303FCA">
    <w:pPr>
      <w:pStyle w:val="HeaderEnd"/>
      <w:rPr>
        <w:color w:val="0000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509606D"/>
    <w:multiLevelType w:val="hybridMultilevel"/>
    <w:tmpl w:val="65A6FA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B8823CA"/>
    <w:multiLevelType w:val="hybridMultilevel"/>
    <w:tmpl w:val="82F0CFFE"/>
    <w:lvl w:ilvl="0" w:tplc="7054B5E4">
      <w:start w:val="1"/>
      <w:numFmt w:val="bullet"/>
      <w:lvlText w:val="●"/>
      <w:lvlJc w:val="left"/>
      <w:pPr>
        <w:ind w:left="720" w:hanging="360"/>
      </w:pPr>
      <w:rPr>
        <w:rFonts w:ascii="Times New Roman" w:hAnsi="Times New Roman" w:cs="Times New Roman"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14634391"/>
    <w:multiLevelType w:val="multilevel"/>
    <w:tmpl w:val="B4BE7C38"/>
    <w:lvl w:ilvl="0">
      <w:start w:val="5"/>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1CD85103"/>
    <w:multiLevelType w:val="multilevel"/>
    <w:tmpl w:val="254E8602"/>
    <w:lvl w:ilvl="0">
      <w:start w:val="5"/>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6">
    <w:nsid w:val="46AF6778"/>
    <w:multiLevelType w:val="hybridMultilevel"/>
    <w:tmpl w:val="65E0BC2C"/>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C674247"/>
    <w:multiLevelType w:val="multilevel"/>
    <w:tmpl w:val="76B0D578"/>
    <w:lvl w:ilvl="0">
      <w:start w:val="5"/>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1">
    <w:nsid w:val="55015BCC"/>
    <w:multiLevelType w:val="hybridMultilevel"/>
    <w:tmpl w:val="D4FA39A6"/>
    <w:lvl w:ilvl="0" w:tplc="BD5E5A96">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3">
    <w:nsid w:val="57504F04"/>
    <w:multiLevelType w:val="hybridMultilevel"/>
    <w:tmpl w:val="05D4035C"/>
    <w:lvl w:ilvl="0" w:tplc="7054B5E4">
      <w:start w:val="1"/>
      <w:numFmt w:val="bullet"/>
      <w:lvlText w:val="●"/>
      <w:lvlJc w:val="left"/>
      <w:pPr>
        <w:ind w:left="720" w:hanging="360"/>
      </w:pPr>
      <w:rPr>
        <w:rFonts w:ascii="Times New Roman" w:hAnsi="Times New Roman" w:cs="Times New Roman"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5">
    <w:nsid w:val="5DFA7A21"/>
    <w:multiLevelType w:val="multilevel"/>
    <w:tmpl w:val="14567720"/>
    <w:lvl w:ilvl="0">
      <w:start w:val="5"/>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8">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31">
    <w:nsid w:val="7BFB21C6"/>
    <w:multiLevelType w:val="multilevel"/>
    <w:tmpl w:val="2BCCC082"/>
    <w:lvl w:ilvl="0">
      <w:start w:val="5"/>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27"/>
  </w:num>
  <w:num w:numId="2">
    <w:abstractNumId w:val="3"/>
  </w:num>
  <w:num w:numId="3">
    <w:abstractNumId w:val="5"/>
  </w:num>
  <w:num w:numId="4">
    <w:abstractNumId w:val="9"/>
  </w:num>
  <w:num w:numId="5">
    <w:abstractNumId w:val="19"/>
  </w:num>
  <w:num w:numId="6">
    <w:abstractNumId w:val="15"/>
  </w:num>
  <w:num w:numId="7">
    <w:abstractNumId w:val="29"/>
  </w:num>
  <w:num w:numId="8">
    <w:abstractNumId w:val="30"/>
  </w:num>
  <w:num w:numId="9">
    <w:abstractNumId w:val="13"/>
  </w:num>
  <w:num w:numId="10">
    <w:abstractNumId w:val="20"/>
  </w:num>
  <w:num w:numId="11">
    <w:abstractNumId w:val="22"/>
  </w:num>
  <w:num w:numId="12">
    <w:abstractNumId w:val="2"/>
  </w:num>
  <w:num w:numId="13">
    <w:abstractNumId w:val="8"/>
  </w:num>
  <w:num w:numId="14">
    <w:abstractNumId w:val="7"/>
  </w:num>
  <w:num w:numId="15">
    <w:abstractNumId w:val="14"/>
  </w:num>
  <w:num w:numId="16">
    <w:abstractNumId w:val="17"/>
  </w:num>
  <w:num w:numId="17">
    <w:abstractNumId w:val="24"/>
  </w:num>
  <w:num w:numId="18">
    <w:abstractNumId w:val="26"/>
  </w:num>
  <w:num w:numId="19">
    <w:abstractNumId w:val="10"/>
  </w:num>
  <w:num w:numId="20">
    <w:abstractNumId w:val="28"/>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18"/>
  </w:num>
  <w:num w:numId="24">
    <w:abstractNumId w:val="15"/>
  </w:num>
  <w:num w:numId="25">
    <w:abstractNumId w:val="12"/>
  </w:num>
  <w:num w:numId="26">
    <w:abstractNumId w:val="11"/>
  </w:num>
  <w:num w:numId="27">
    <w:abstractNumId w:val="25"/>
  </w:num>
  <w:num w:numId="28">
    <w:abstractNumId w:val="31"/>
  </w:num>
  <w:num w:numId="29">
    <w:abstractNumId w:val="23"/>
  </w:num>
  <w:num w:numId="30">
    <w:abstractNumId w:val="6"/>
  </w:num>
  <w:num w:numId="31">
    <w:abstractNumId w:val="15"/>
  </w:num>
  <w:num w:numId="32">
    <w:abstractNumId w:val="15"/>
  </w:num>
  <w:num w:numId="33">
    <w:abstractNumId w:val="15"/>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4"/>
  </w:num>
  <w:num w:numId="37">
    <w:abstractNumId w:val="16"/>
  </w:num>
  <w:num w:numId="38">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mirrorMargins/>
  <w:activeWritingStyle w:appName="MSWord" w:lang="en-AU" w:vendorID="8" w:dllVersion="513" w:checkStyle="1"/>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164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VOCATIONAL EDUCATION AND TRAINING"/>
    <w:docVar w:name="ShortReportTitle" w:val="REPORT ON GOVERNMENT SERVICES 2015"/>
    <w:docVar w:name="SideNote" w:val="1"/>
    <w:docVar w:name="UseShortChapter" w:val="0"/>
    <w:docVar w:name="UseShortReport" w:val="0"/>
  </w:docVars>
  <w:rsids>
    <w:rsidRoot w:val="00260968"/>
    <w:rsid w:val="00000312"/>
    <w:rsid w:val="0000069A"/>
    <w:rsid w:val="00000709"/>
    <w:rsid w:val="00000CB0"/>
    <w:rsid w:val="00000F1C"/>
    <w:rsid w:val="0000144F"/>
    <w:rsid w:val="000019A7"/>
    <w:rsid w:val="00001D47"/>
    <w:rsid w:val="00001DB0"/>
    <w:rsid w:val="00002875"/>
    <w:rsid w:val="00003604"/>
    <w:rsid w:val="00003696"/>
    <w:rsid w:val="00003905"/>
    <w:rsid w:val="00003951"/>
    <w:rsid w:val="00003BBA"/>
    <w:rsid w:val="00003F4F"/>
    <w:rsid w:val="000040CE"/>
    <w:rsid w:val="00004607"/>
    <w:rsid w:val="0000489F"/>
    <w:rsid w:val="00004931"/>
    <w:rsid w:val="000058E6"/>
    <w:rsid w:val="00005AE2"/>
    <w:rsid w:val="00006171"/>
    <w:rsid w:val="00006640"/>
    <w:rsid w:val="00006E79"/>
    <w:rsid w:val="0000717C"/>
    <w:rsid w:val="0000751B"/>
    <w:rsid w:val="00007AE0"/>
    <w:rsid w:val="000100D1"/>
    <w:rsid w:val="00010D5F"/>
    <w:rsid w:val="00010DB9"/>
    <w:rsid w:val="00010FDC"/>
    <w:rsid w:val="000117AD"/>
    <w:rsid w:val="00011966"/>
    <w:rsid w:val="00011DAE"/>
    <w:rsid w:val="00011F1A"/>
    <w:rsid w:val="000126FF"/>
    <w:rsid w:val="0001291F"/>
    <w:rsid w:val="00012B5D"/>
    <w:rsid w:val="00013586"/>
    <w:rsid w:val="000136C1"/>
    <w:rsid w:val="000137A4"/>
    <w:rsid w:val="00013FBD"/>
    <w:rsid w:val="00014134"/>
    <w:rsid w:val="0001465A"/>
    <w:rsid w:val="00014736"/>
    <w:rsid w:val="00014887"/>
    <w:rsid w:val="00014E9C"/>
    <w:rsid w:val="00015651"/>
    <w:rsid w:val="0001583B"/>
    <w:rsid w:val="00016925"/>
    <w:rsid w:val="00016E6C"/>
    <w:rsid w:val="00017220"/>
    <w:rsid w:val="00017903"/>
    <w:rsid w:val="00017E1A"/>
    <w:rsid w:val="00020268"/>
    <w:rsid w:val="000206DE"/>
    <w:rsid w:val="00020A5A"/>
    <w:rsid w:val="00020B41"/>
    <w:rsid w:val="00020F96"/>
    <w:rsid w:val="000212AC"/>
    <w:rsid w:val="0002179D"/>
    <w:rsid w:val="00021D35"/>
    <w:rsid w:val="00022F9E"/>
    <w:rsid w:val="00023CAF"/>
    <w:rsid w:val="00023DE3"/>
    <w:rsid w:val="00024C02"/>
    <w:rsid w:val="00025073"/>
    <w:rsid w:val="000254A5"/>
    <w:rsid w:val="00025594"/>
    <w:rsid w:val="00025617"/>
    <w:rsid w:val="000259A7"/>
    <w:rsid w:val="00025F5F"/>
    <w:rsid w:val="00026592"/>
    <w:rsid w:val="00026E6F"/>
    <w:rsid w:val="0002794C"/>
    <w:rsid w:val="0003011D"/>
    <w:rsid w:val="000304B1"/>
    <w:rsid w:val="000308A8"/>
    <w:rsid w:val="00030C08"/>
    <w:rsid w:val="00030EE2"/>
    <w:rsid w:val="00031297"/>
    <w:rsid w:val="000317EE"/>
    <w:rsid w:val="00032B1E"/>
    <w:rsid w:val="00032D47"/>
    <w:rsid w:val="0003308F"/>
    <w:rsid w:val="00033A0B"/>
    <w:rsid w:val="000347C1"/>
    <w:rsid w:val="00034A56"/>
    <w:rsid w:val="00034BDF"/>
    <w:rsid w:val="000354E2"/>
    <w:rsid w:val="00035620"/>
    <w:rsid w:val="00035A8E"/>
    <w:rsid w:val="00035D2D"/>
    <w:rsid w:val="0003640D"/>
    <w:rsid w:val="00036973"/>
    <w:rsid w:val="00036D60"/>
    <w:rsid w:val="00037932"/>
    <w:rsid w:val="00037CBC"/>
    <w:rsid w:val="00040061"/>
    <w:rsid w:val="0004044B"/>
    <w:rsid w:val="0004052A"/>
    <w:rsid w:val="00040CBD"/>
    <w:rsid w:val="00040CE6"/>
    <w:rsid w:val="00040DCF"/>
    <w:rsid w:val="00040E4E"/>
    <w:rsid w:val="00040EAC"/>
    <w:rsid w:val="00041A5B"/>
    <w:rsid w:val="000420D1"/>
    <w:rsid w:val="00042343"/>
    <w:rsid w:val="00042725"/>
    <w:rsid w:val="00042870"/>
    <w:rsid w:val="00042A66"/>
    <w:rsid w:val="00042C6D"/>
    <w:rsid w:val="00042E27"/>
    <w:rsid w:val="00042FB1"/>
    <w:rsid w:val="000430D0"/>
    <w:rsid w:val="0004313A"/>
    <w:rsid w:val="000438B3"/>
    <w:rsid w:val="00044872"/>
    <w:rsid w:val="0004538F"/>
    <w:rsid w:val="000457C4"/>
    <w:rsid w:val="00045B74"/>
    <w:rsid w:val="000468DE"/>
    <w:rsid w:val="00046D9F"/>
    <w:rsid w:val="0004792C"/>
    <w:rsid w:val="00047D07"/>
    <w:rsid w:val="00047F11"/>
    <w:rsid w:val="00050248"/>
    <w:rsid w:val="00050CDF"/>
    <w:rsid w:val="000513F6"/>
    <w:rsid w:val="00051930"/>
    <w:rsid w:val="000519B8"/>
    <w:rsid w:val="00051FEA"/>
    <w:rsid w:val="00052704"/>
    <w:rsid w:val="00052BE3"/>
    <w:rsid w:val="0005301F"/>
    <w:rsid w:val="000543C4"/>
    <w:rsid w:val="000545C7"/>
    <w:rsid w:val="0005591D"/>
    <w:rsid w:val="00056391"/>
    <w:rsid w:val="00056430"/>
    <w:rsid w:val="000567DE"/>
    <w:rsid w:val="00056DA7"/>
    <w:rsid w:val="000576D2"/>
    <w:rsid w:val="00057A11"/>
    <w:rsid w:val="0006000D"/>
    <w:rsid w:val="000602D0"/>
    <w:rsid w:val="000609E4"/>
    <w:rsid w:val="00060A4F"/>
    <w:rsid w:val="00060F17"/>
    <w:rsid w:val="00061388"/>
    <w:rsid w:val="00061391"/>
    <w:rsid w:val="00061E36"/>
    <w:rsid w:val="000620F3"/>
    <w:rsid w:val="00062754"/>
    <w:rsid w:val="00062941"/>
    <w:rsid w:val="000634E3"/>
    <w:rsid w:val="00063721"/>
    <w:rsid w:val="00063F1A"/>
    <w:rsid w:val="000641BB"/>
    <w:rsid w:val="00064240"/>
    <w:rsid w:val="00064324"/>
    <w:rsid w:val="0006468F"/>
    <w:rsid w:val="000652BC"/>
    <w:rsid w:val="000652E3"/>
    <w:rsid w:val="00066632"/>
    <w:rsid w:val="000668DD"/>
    <w:rsid w:val="00066F27"/>
    <w:rsid w:val="00066FD8"/>
    <w:rsid w:val="000672CF"/>
    <w:rsid w:val="000675D6"/>
    <w:rsid w:val="00067834"/>
    <w:rsid w:val="0006789C"/>
    <w:rsid w:val="00067E5B"/>
    <w:rsid w:val="00067FC9"/>
    <w:rsid w:val="00070462"/>
    <w:rsid w:val="00071702"/>
    <w:rsid w:val="00071718"/>
    <w:rsid w:val="00071B10"/>
    <w:rsid w:val="00071BD6"/>
    <w:rsid w:val="00071C95"/>
    <w:rsid w:val="00071FC5"/>
    <w:rsid w:val="00072078"/>
    <w:rsid w:val="00072410"/>
    <w:rsid w:val="00072703"/>
    <w:rsid w:val="0007274E"/>
    <w:rsid w:val="000732C9"/>
    <w:rsid w:val="0007335C"/>
    <w:rsid w:val="00073813"/>
    <w:rsid w:val="00073C18"/>
    <w:rsid w:val="000740B1"/>
    <w:rsid w:val="00075444"/>
    <w:rsid w:val="0007623E"/>
    <w:rsid w:val="0007665E"/>
    <w:rsid w:val="000767BC"/>
    <w:rsid w:val="00076F48"/>
    <w:rsid w:val="00077C7E"/>
    <w:rsid w:val="000802A5"/>
    <w:rsid w:val="00080676"/>
    <w:rsid w:val="00080748"/>
    <w:rsid w:val="00081BD0"/>
    <w:rsid w:val="00081EAA"/>
    <w:rsid w:val="00081EE0"/>
    <w:rsid w:val="00082023"/>
    <w:rsid w:val="00082225"/>
    <w:rsid w:val="00083161"/>
    <w:rsid w:val="000831D4"/>
    <w:rsid w:val="000836A4"/>
    <w:rsid w:val="00083F00"/>
    <w:rsid w:val="00083F48"/>
    <w:rsid w:val="00084325"/>
    <w:rsid w:val="00084466"/>
    <w:rsid w:val="00085222"/>
    <w:rsid w:val="0008539C"/>
    <w:rsid w:val="0008596E"/>
    <w:rsid w:val="000863DD"/>
    <w:rsid w:val="00086708"/>
    <w:rsid w:val="00086D1F"/>
    <w:rsid w:val="000871EF"/>
    <w:rsid w:val="000872F1"/>
    <w:rsid w:val="00087FEA"/>
    <w:rsid w:val="00090130"/>
    <w:rsid w:val="00090EC7"/>
    <w:rsid w:val="00090F21"/>
    <w:rsid w:val="00091207"/>
    <w:rsid w:val="000914BB"/>
    <w:rsid w:val="00091CBF"/>
    <w:rsid w:val="00092420"/>
    <w:rsid w:val="000924C9"/>
    <w:rsid w:val="000928EA"/>
    <w:rsid w:val="00093D6E"/>
    <w:rsid w:val="000942ED"/>
    <w:rsid w:val="000943EF"/>
    <w:rsid w:val="00094FB7"/>
    <w:rsid w:val="000955BA"/>
    <w:rsid w:val="00095B5B"/>
    <w:rsid w:val="00095CAA"/>
    <w:rsid w:val="000963B4"/>
    <w:rsid w:val="000964DF"/>
    <w:rsid w:val="000964EE"/>
    <w:rsid w:val="0009650F"/>
    <w:rsid w:val="00096BAC"/>
    <w:rsid w:val="000970A5"/>
    <w:rsid w:val="00097277"/>
    <w:rsid w:val="00097492"/>
    <w:rsid w:val="00097AE9"/>
    <w:rsid w:val="000A089B"/>
    <w:rsid w:val="000A0913"/>
    <w:rsid w:val="000A0E7C"/>
    <w:rsid w:val="000A127B"/>
    <w:rsid w:val="000A16E5"/>
    <w:rsid w:val="000A173D"/>
    <w:rsid w:val="000A1D3D"/>
    <w:rsid w:val="000A1D9A"/>
    <w:rsid w:val="000A22BE"/>
    <w:rsid w:val="000A2948"/>
    <w:rsid w:val="000A2BBE"/>
    <w:rsid w:val="000A3181"/>
    <w:rsid w:val="000A32E5"/>
    <w:rsid w:val="000A32F1"/>
    <w:rsid w:val="000A3951"/>
    <w:rsid w:val="000A3BDE"/>
    <w:rsid w:val="000A3BFA"/>
    <w:rsid w:val="000A4259"/>
    <w:rsid w:val="000A45EB"/>
    <w:rsid w:val="000A486A"/>
    <w:rsid w:val="000A5261"/>
    <w:rsid w:val="000A5B6F"/>
    <w:rsid w:val="000A5CAA"/>
    <w:rsid w:val="000A601C"/>
    <w:rsid w:val="000A6644"/>
    <w:rsid w:val="000A6A10"/>
    <w:rsid w:val="000A6B52"/>
    <w:rsid w:val="000A7C13"/>
    <w:rsid w:val="000A7DBA"/>
    <w:rsid w:val="000B0372"/>
    <w:rsid w:val="000B065D"/>
    <w:rsid w:val="000B0787"/>
    <w:rsid w:val="000B0F3C"/>
    <w:rsid w:val="000B0F7F"/>
    <w:rsid w:val="000B14CE"/>
    <w:rsid w:val="000B1E09"/>
    <w:rsid w:val="000B2691"/>
    <w:rsid w:val="000B28F2"/>
    <w:rsid w:val="000B298D"/>
    <w:rsid w:val="000B3410"/>
    <w:rsid w:val="000B3AEE"/>
    <w:rsid w:val="000B3F9C"/>
    <w:rsid w:val="000B51EB"/>
    <w:rsid w:val="000B6694"/>
    <w:rsid w:val="000B6CE4"/>
    <w:rsid w:val="000B76AB"/>
    <w:rsid w:val="000B7981"/>
    <w:rsid w:val="000B7A53"/>
    <w:rsid w:val="000C043D"/>
    <w:rsid w:val="000C05EE"/>
    <w:rsid w:val="000C0D1D"/>
    <w:rsid w:val="000C1156"/>
    <w:rsid w:val="000C122B"/>
    <w:rsid w:val="000C17D9"/>
    <w:rsid w:val="000C1C75"/>
    <w:rsid w:val="000C1D9E"/>
    <w:rsid w:val="000C215C"/>
    <w:rsid w:val="000C29B1"/>
    <w:rsid w:val="000C3BF5"/>
    <w:rsid w:val="000C3CF4"/>
    <w:rsid w:val="000C4780"/>
    <w:rsid w:val="000C47B5"/>
    <w:rsid w:val="000C48EE"/>
    <w:rsid w:val="000C49C8"/>
    <w:rsid w:val="000C4F11"/>
    <w:rsid w:val="000C590E"/>
    <w:rsid w:val="000C623B"/>
    <w:rsid w:val="000C682B"/>
    <w:rsid w:val="000C70A3"/>
    <w:rsid w:val="000C725A"/>
    <w:rsid w:val="000C7349"/>
    <w:rsid w:val="000C780D"/>
    <w:rsid w:val="000C7B12"/>
    <w:rsid w:val="000C7C06"/>
    <w:rsid w:val="000C7C2D"/>
    <w:rsid w:val="000C7F1C"/>
    <w:rsid w:val="000D02C6"/>
    <w:rsid w:val="000D0F42"/>
    <w:rsid w:val="000D11F5"/>
    <w:rsid w:val="000D1385"/>
    <w:rsid w:val="000D1630"/>
    <w:rsid w:val="000D1C47"/>
    <w:rsid w:val="000D228D"/>
    <w:rsid w:val="000D22F2"/>
    <w:rsid w:val="000D2802"/>
    <w:rsid w:val="000D309A"/>
    <w:rsid w:val="000D41E2"/>
    <w:rsid w:val="000D4578"/>
    <w:rsid w:val="000D462B"/>
    <w:rsid w:val="000D514D"/>
    <w:rsid w:val="000D5388"/>
    <w:rsid w:val="000D55ED"/>
    <w:rsid w:val="000D5868"/>
    <w:rsid w:val="000D5BE9"/>
    <w:rsid w:val="000D63DB"/>
    <w:rsid w:val="000D68FC"/>
    <w:rsid w:val="000D6B78"/>
    <w:rsid w:val="000D6BBB"/>
    <w:rsid w:val="000D7078"/>
    <w:rsid w:val="000D7FF8"/>
    <w:rsid w:val="000E026D"/>
    <w:rsid w:val="000E061F"/>
    <w:rsid w:val="000E0803"/>
    <w:rsid w:val="000E0E98"/>
    <w:rsid w:val="000E13F2"/>
    <w:rsid w:val="000E14BD"/>
    <w:rsid w:val="000E19E9"/>
    <w:rsid w:val="000E1B12"/>
    <w:rsid w:val="000E1D98"/>
    <w:rsid w:val="000E1F12"/>
    <w:rsid w:val="000E1F3F"/>
    <w:rsid w:val="000E214B"/>
    <w:rsid w:val="000E2531"/>
    <w:rsid w:val="000E2547"/>
    <w:rsid w:val="000E2F60"/>
    <w:rsid w:val="000E3766"/>
    <w:rsid w:val="000E398B"/>
    <w:rsid w:val="000E3CF0"/>
    <w:rsid w:val="000E41A1"/>
    <w:rsid w:val="000E49DF"/>
    <w:rsid w:val="000E4B05"/>
    <w:rsid w:val="000E50C7"/>
    <w:rsid w:val="000E53B7"/>
    <w:rsid w:val="000E5A0B"/>
    <w:rsid w:val="000E602C"/>
    <w:rsid w:val="000E628F"/>
    <w:rsid w:val="000E6798"/>
    <w:rsid w:val="000E6B6E"/>
    <w:rsid w:val="000E6DE2"/>
    <w:rsid w:val="000E6EC9"/>
    <w:rsid w:val="000E74B6"/>
    <w:rsid w:val="000E7546"/>
    <w:rsid w:val="000E777D"/>
    <w:rsid w:val="000E7F82"/>
    <w:rsid w:val="000E7F98"/>
    <w:rsid w:val="000F0398"/>
    <w:rsid w:val="000F03DC"/>
    <w:rsid w:val="000F0D6E"/>
    <w:rsid w:val="000F127B"/>
    <w:rsid w:val="000F15B5"/>
    <w:rsid w:val="000F1D6C"/>
    <w:rsid w:val="000F2658"/>
    <w:rsid w:val="000F2910"/>
    <w:rsid w:val="000F2B14"/>
    <w:rsid w:val="000F3824"/>
    <w:rsid w:val="000F390C"/>
    <w:rsid w:val="000F3BF4"/>
    <w:rsid w:val="000F434A"/>
    <w:rsid w:val="000F4799"/>
    <w:rsid w:val="000F4C41"/>
    <w:rsid w:val="000F5309"/>
    <w:rsid w:val="000F5550"/>
    <w:rsid w:val="000F6376"/>
    <w:rsid w:val="000F6913"/>
    <w:rsid w:val="000F6D72"/>
    <w:rsid w:val="000F6EB6"/>
    <w:rsid w:val="000F7134"/>
    <w:rsid w:val="000F742A"/>
    <w:rsid w:val="000F7C26"/>
    <w:rsid w:val="000F7DCC"/>
    <w:rsid w:val="000F7FD3"/>
    <w:rsid w:val="001005B6"/>
    <w:rsid w:val="00100647"/>
    <w:rsid w:val="001007CB"/>
    <w:rsid w:val="00100935"/>
    <w:rsid w:val="00100A14"/>
    <w:rsid w:val="00100F31"/>
    <w:rsid w:val="001012DF"/>
    <w:rsid w:val="001014BF"/>
    <w:rsid w:val="00101550"/>
    <w:rsid w:val="0010226E"/>
    <w:rsid w:val="00102487"/>
    <w:rsid w:val="001024A5"/>
    <w:rsid w:val="001033D0"/>
    <w:rsid w:val="0010386B"/>
    <w:rsid w:val="00103DEE"/>
    <w:rsid w:val="001055D0"/>
    <w:rsid w:val="001056EA"/>
    <w:rsid w:val="00105A60"/>
    <w:rsid w:val="00105AD9"/>
    <w:rsid w:val="001060F3"/>
    <w:rsid w:val="00106CB7"/>
    <w:rsid w:val="00106D66"/>
    <w:rsid w:val="00106E94"/>
    <w:rsid w:val="00107405"/>
    <w:rsid w:val="00107825"/>
    <w:rsid w:val="00107AFA"/>
    <w:rsid w:val="001106F6"/>
    <w:rsid w:val="00110835"/>
    <w:rsid w:val="00110AF6"/>
    <w:rsid w:val="00110C13"/>
    <w:rsid w:val="00110E9A"/>
    <w:rsid w:val="001117F2"/>
    <w:rsid w:val="00111918"/>
    <w:rsid w:val="00111EE9"/>
    <w:rsid w:val="00112149"/>
    <w:rsid w:val="00112304"/>
    <w:rsid w:val="00112585"/>
    <w:rsid w:val="0011289D"/>
    <w:rsid w:val="00112967"/>
    <w:rsid w:val="00113607"/>
    <w:rsid w:val="00113689"/>
    <w:rsid w:val="001147A6"/>
    <w:rsid w:val="00114CD0"/>
    <w:rsid w:val="00114FE2"/>
    <w:rsid w:val="00115304"/>
    <w:rsid w:val="00115498"/>
    <w:rsid w:val="00116071"/>
    <w:rsid w:val="001163DF"/>
    <w:rsid w:val="001172E8"/>
    <w:rsid w:val="0011740F"/>
    <w:rsid w:val="00117777"/>
    <w:rsid w:val="00117AF4"/>
    <w:rsid w:val="00117CD5"/>
    <w:rsid w:val="0012002A"/>
    <w:rsid w:val="00120335"/>
    <w:rsid w:val="001205BB"/>
    <w:rsid w:val="00120B01"/>
    <w:rsid w:val="00120E55"/>
    <w:rsid w:val="0012103B"/>
    <w:rsid w:val="0012127E"/>
    <w:rsid w:val="0012147B"/>
    <w:rsid w:val="0012157F"/>
    <w:rsid w:val="00121C75"/>
    <w:rsid w:val="00121EBF"/>
    <w:rsid w:val="00121FE9"/>
    <w:rsid w:val="00122864"/>
    <w:rsid w:val="00122F21"/>
    <w:rsid w:val="00123ADD"/>
    <w:rsid w:val="00123B3D"/>
    <w:rsid w:val="00123D29"/>
    <w:rsid w:val="0012454C"/>
    <w:rsid w:val="00124BAC"/>
    <w:rsid w:val="00124DBD"/>
    <w:rsid w:val="00124F57"/>
    <w:rsid w:val="001252EF"/>
    <w:rsid w:val="00125645"/>
    <w:rsid w:val="00125867"/>
    <w:rsid w:val="001258FF"/>
    <w:rsid w:val="0012610B"/>
    <w:rsid w:val="001261E7"/>
    <w:rsid w:val="0012678E"/>
    <w:rsid w:val="001271EA"/>
    <w:rsid w:val="0012769F"/>
    <w:rsid w:val="0012776E"/>
    <w:rsid w:val="00127AB8"/>
    <w:rsid w:val="00130113"/>
    <w:rsid w:val="00130440"/>
    <w:rsid w:val="00130D7A"/>
    <w:rsid w:val="0013166D"/>
    <w:rsid w:val="00131D28"/>
    <w:rsid w:val="0013232B"/>
    <w:rsid w:val="00132C7E"/>
    <w:rsid w:val="00132DB2"/>
    <w:rsid w:val="00132E20"/>
    <w:rsid w:val="001334A1"/>
    <w:rsid w:val="00134483"/>
    <w:rsid w:val="00134A00"/>
    <w:rsid w:val="00134E5B"/>
    <w:rsid w:val="001355AB"/>
    <w:rsid w:val="00136524"/>
    <w:rsid w:val="00136AD8"/>
    <w:rsid w:val="00136D72"/>
    <w:rsid w:val="00137623"/>
    <w:rsid w:val="00137754"/>
    <w:rsid w:val="00137F60"/>
    <w:rsid w:val="00140228"/>
    <w:rsid w:val="00140B19"/>
    <w:rsid w:val="00140D58"/>
    <w:rsid w:val="0014100F"/>
    <w:rsid w:val="0014151B"/>
    <w:rsid w:val="001419E7"/>
    <w:rsid w:val="00142303"/>
    <w:rsid w:val="00142638"/>
    <w:rsid w:val="001431E1"/>
    <w:rsid w:val="001431E9"/>
    <w:rsid w:val="00143433"/>
    <w:rsid w:val="00143F81"/>
    <w:rsid w:val="001441FB"/>
    <w:rsid w:val="00144292"/>
    <w:rsid w:val="00144425"/>
    <w:rsid w:val="001446ED"/>
    <w:rsid w:val="00144F41"/>
    <w:rsid w:val="00144FD1"/>
    <w:rsid w:val="00145422"/>
    <w:rsid w:val="00145970"/>
    <w:rsid w:val="00145B24"/>
    <w:rsid w:val="001460EE"/>
    <w:rsid w:val="00146411"/>
    <w:rsid w:val="001467FA"/>
    <w:rsid w:val="00146834"/>
    <w:rsid w:val="0014685B"/>
    <w:rsid w:val="00146F37"/>
    <w:rsid w:val="00147691"/>
    <w:rsid w:val="001477DB"/>
    <w:rsid w:val="00147C1A"/>
    <w:rsid w:val="001508A9"/>
    <w:rsid w:val="00151061"/>
    <w:rsid w:val="00151210"/>
    <w:rsid w:val="001516A2"/>
    <w:rsid w:val="00151FB4"/>
    <w:rsid w:val="001521A4"/>
    <w:rsid w:val="0015233E"/>
    <w:rsid w:val="001527CE"/>
    <w:rsid w:val="00153196"/>
    <w:rsid w:val="00154102"/>
    <w:rsid w:val="00154528"/>
    <w:rsid w:val="00154792"/>
    <w:rsid w:val="00154911"/>
    <w:rsid w:val="00154C8C"/>
    <w:rsid w:val="00154D20"/>
    <w:rsid w:val="00155253"/>
    <w:rsid w:val="0015552C"/>
    <w:rsid w:val="00155BAF"/>
    <w:rsid w:val="00155EF9"/>
    <w:rsid w:val="00155F55"/>
    <w:rsid w:val="001565E4"/>
    <w:rsid w:val="00157620"/>
    <w:rsid w:val="00157F63"/>
    <w:rsid w:val="00160852"/>
    <w:rsid w:val="00160A3B"/>
    <w:rsid w:val="00160A52"/>
    <w:rsid w:val="001611BE"/>
    <w:rsid w:val="001611E3"/>
    <w:rsid w:val="001613E3"/>
    <w:rsid w:val="001615E7"/>
    <w:rsid w:val="00161741"/>
    <w:rsid w:val="0016221C"/>
    <w:rsid w:val="001622AA"/>
    <w:rsid w:val="00162792"/>
    <w:rsid w:val="00162F3C"/>
    <w:rsid w:val="001630F6"/>
    <w:rsid w:val="0016328C"/>
    <w:rsid w:val="0016342E"/>
    <w:rsid w:val="00163F44"/>
    <w:rsid w:val="00164168"/>
    <w:rsid w:val="0016459D"/>
    <w:rsid w:val="00164896"/>
    <w:rsid w:val="001648F6"/>
    <w:rsid w:val="00164DDC"/>
    <w:rsid w:val="00164E5F"/>
    <w:rsid w:val="00164E87"/>
    <w:rsid w:val="00165B8D"/>
    <w:rsid w:val="00165F0A"/>
    <w:rsid w:val="00165F6E"/>
    <w:rsid w:val="001664C0"/>
    <w:rsid w:val="00167611"/>
    <w:rsid w:val="00170077"/>
    <w:rsid w:val="00170293"/>
    <w:rsid w:val="00170869"/>
    <w:rsid w:val="0017088D"/>
    <w:rsid w:val="00170E40"/>
    <w:rsid w:val="001714DB"/>
    <w:rsid w:val="0017185D"/>
    <w:rsid w:val="00171AE4"/>
    <w:rsid w:val="00171D95"/>
    <w:rsid w:val="00171E10"/>
    <w:rsid w:val="00172143"/>
    <w:rsid w:val="00172B6C"/>
    <w:rsid w:val="00172EFC"/>
    <w:rsid w:val="001735ED"/>
    <w:rsid w:val="00173ADE"/>
    <w:rsid w:val="00173B7E"/>
    <w:rsid w:val="00174142"/>
    <w:rsid w:val="00174549"/>
    <w:rsid w:val="00174584"/>
    <w:rsid w:val="00174BDD"/>
    <w:rsid w:val="00174F58"/>
    <w:rsid w:val="0017580D"/>
    <w:rsid w:val="00176039"/>
    <w:rsid w:val="001763EF"/>
    <w:rsid w:val="00176652"/>
    <w:rsid w:val="00176B2C"/>
    <w:rsid w:val="0017761A"/>
    <w:rsid w:val="00177BBD"/>
    <w:rsid w:val="0018017E"/>
    <w:rsid w:val="001803EF"/>
    <w:rsid w:val="001805AA"/>
    <w:rsid w:val="00180664"/>
    <w:rsid w:val="001806CC"/>
    <w:rsid w:val="00180A1D"/>
    <w:rsid w:val="00180B31"/>
    <w:rsid w:val="0018104F"/>
    <w:rsid w:val="001810D2"/>
    <w:rsid w:val="001812D4"/>
    <w:rsid w:val="001815C7"/>
    <w:rsid w:val="001816A5"/>
    <w:rsid w:val="00181969"/>
    <w:rsid w:val="00181AA8"/>
    <w:rsid w:val="001820CB"/>
    <w:rsid w:val="0018231A"/>
    <w:rsid w:val="0018255C"/>
    <w:rsid w:val="0018277A"/>
    <w:rsid w:val="001836FE"/>
    <w:rsid w:val="001838B0"/>
    <w:rsid w:val="00183977"/>
    <w:rsid w:val="00183ADF"/>
    <w:rsid w:val="00183D06"/>
    <w:rsid w:val="0018428E"/>
    <w:rsid w:val="001847E6"/>
    <w:rsid w:val="00184BEB"/>
    <w:rsid w:val="00184F4A"/>
    <w:rsid w:val="00185C3C"/>
    <w:rsid w:val="00186950"/>
    <w:rsid w:val="00186D6A"/>
    <w:rsid w:val="0018734F"/>
    <w:rsid w:val="00187962"/>
    <w:rsid w:val="00187FF2"/>
    <w:rsid w:val="0019020B"/>
    <w:rsid w:val="00190546"/>
    <w:rsid w:val="001915FF"/>
    <w:rsid w:val="00191922"/>
    <w:rsid w:val="00191A0C"/>
    <w:rsid w:val="00191ACF"/>
    <w:rsid w:val="001920FB"/>
    <w:rsid w:val="00192403"/>
    <w:rsid w:val="0019278C"/>
    <w:rsid w:val="0019343C"/>
    <w:rsid w:val="001934BC"/>
    <w:rsid w:val="00193559"/>
    <w:rsid w:val="00193B22"/>
    <w:rsid w:val="00193EE6"/>
    <w:rsid w:val="00194035"/>
    <w:rsid w:val="001943B2"/>
    <w:rsid w:val="001946F6"/>
    <w:rsid w:val="0019486C"/>
    <w:rsid w:val="00195897"/>
    <w:rsid w:val="00195BA6"/>
    <w:rsid w:val="00195CF6"/>
    <w:rsid w:val="0019679D"/>
    <w:rsid w:val="00197152"/>
    <w:rsid w:val="00197A91"/>
    <w:rsid w:val="00197B39"/>
    <w:rsid w:val="00197C0A"/>
    <w:rsid w:val="00197F89"/>
    <w:rsid w:val="001A00BE"/>
    <w:rsid w:val="001A0BC6"/>
    <w:rsid w:val="001A1065"/>
    <w:rsid w:val="001A123C"/>
    <w:rsid w:val="001A12E0"/>
    <w:rsid w:val="001A16DD"/>
    <w:rsid w:val="001A1B30"/>
    <w:rsid w:val="001A1F53"/>
    <w:rsid w:val="001A22EA"/>
    <w:rsid w:val="001A27B1"/>
    <w:rsid w:val="001A28BB"/>
    <w:rsid w:val="001A28D9"/>
    <w:rsid w:val="001A32C2"/>
    <w:rsid w:val="001A42BA"/>
    <w:rsid w:val="001A4D94"/>
    <w:rsid w:val="001A4F63"/>
    <w:rsid w:val="001A50DF"/>
    <w:rsid w:val="001A5134"/>
    <w:rsid w:val="001A5364"/>
    <w:rsid w:val="001A591A"/>
    <w:rsid w:val="001A5B92"/>
    <w:rsid w:val="001A6196"/>
    <w:rsid w:val="001A65D3"/>
    <w:rsid w:val="001A6AA0"/>
    <w:rsid w:val="001A6BB0"/>
    <w:rsid w:val="001A70A8"/>
    <w:rsid w:val="001A72D5"/>
    <w:rsid w:val="001A7691"/>
    <w:rsid w:val="001A7C01"/>
    <w:rsid w:val="001A7DF1"/>
    <w:rsid w:val="001A7F6F"/>
    <w:rsid w:val="001B02E2"/>
    <w:rsid w:val="001B0C5E"/>
    <w:rsid w:val="001B0D2F"/>
    <w:rsid w:val="001B1670"/>
    <w:rsid w:val="001B1759"/>
    <w:rsid w:val="001B1E1F"/>
    <w:rsid w:val="001B2213"/>
    <w:rsid w:val="001B23AB"/>
    <w:rsid w:val="001B2666"/>
    <w:rsid w:val="001B271B"/>
    <w:rsid w:val="001B2925"/>
    <w:rsid w:val="001B293C"/>
    <w:rsid w:val="001B2B48"/>
    <w:rsid w:val="001B2BB8"/>
    <w:rsid w:val="001B32CD"/>
    <w:rsid w:val="001B3566"/>
    <w:rsid w:val="001B3BAD"/>
    <w:rsid w:val="001B4F65"/>
    <w:rsid w:val="001B5673"/>
    <w:rsid w:val="001B57C2"/>
    <w:rsid w:val="001B5815"/>
    <w:rsid w:val="001B5855"/>
    <w:rsid w:val="001B5E46"/>
    <w:rsid w:val="001B60BA"/>
    <w:rsid w:val="001B62F2"/>
    <w:rsid w:val="001B663E"/>
    <w:rsid w:val="001B742A"/>
    <w:rsid w:val="001B7550"/>
    <w:rsid w:val="001B7B5C"/>
    <w:rsid w:val="001B7BFD"/>
    <w:rsid w:val="001B7E71"/>
    <w:rsid w:val="001C00B3"/>
    <w:rsid w:val="001C011C"/>
    <w:rsid w:val="001C0F08"/>
    <w:rsid w:val="001C0F0F"/>
    <w:rsid w:val="001C1368"/>
    <w:rsid w:val="001C1385"/>
    <w:rsid w:val="001C15D3"/>
    <w:rsid w:val="001C1B0B"/>
    <w:rsid w:val="001C1E26"/>
    <w:rsid w:val="001C233B"/>
    <w:rsid w:val="001C262D"/>
    <w:rsid w:val="001C289A"/>
    <w:rsid w:val="001C2AB2"/>
    <w:rsid w:val="001C3711"/>
    <w:rsid w:val="001C3BE7"/>
    <w:rsid w:val="001C40B9"/>
    <w:rsid w:val="001C4160"/>
    <w:rsid w:val="001C4782"/>
    <w:rsid w:val="001C4D02"/>
    <w:rsid w:val="001C4D99"/>
    <w:rsid w:val="001C4F55"/>
    <w:rsid w:val="001C528B"/>
    <w:rsid w:val="001C55D3"/>
    <w:rsid w:val="001C5C9E"/>
    <w:rsid w:val="001C5F7F"/>
    <w:rsid w:val="001C6568"/>
    <w:rsid w:val="001C6FAE"/>
    <w:rsid w:val="001C7344"/>
    <w:rsid w:val="001C7B22"/>
    <w:rsid w:val="001C7E84"/>
    <w:rsid w:val="001D0328"/>
    <w:rsid w:val="001D035B"/>
    <w:rsid w:val="001D03A6"/>
    <w:rsid w:val="001D1308"/>
    <w:rsid w:val="001D155A"/>
    <w:rsid w:val="001D1C55"/>
    <w:rsid w:val="001D1E8C"/>
    <w:rsid w:val="001D1FEE"/>
    <w:rsid w:val="001D25CB"/>
    <w:rsid w:val="001D2776"/>
    <w:rsid w:val="001D30C4"/>
    <w:rsid w:val="001D32B2"/>
    <w:rsid w:val="001D37E8"/>
    <w:rsid w:val="001D5118"/>
    <w:rsid w:val="001D5886"/>
    <w:rsid w:val="001D5BFF"/>
    <w:rsid w:val="001D67B1"/>
    <w:rsid w:val="001D7105"/>
    <w:rsid w:val="001D7B81"/>
    <w:rsid w:val="001D7D91"/>
    <w:rsid w:val="001E00F5"/>
    <w:rsid w:val="001E0132"/>
    <w:rsid w:val="001E1130"/>
    <w:rsid w:val="001E1524"/>
    <w:rsid w:val="001E1C1E"/>
    <w:rsid w:val="001E2450"/>
    <w:rsid w:val="001E27B3"/>
    <w:rsid w:val="001E2A7F"/>
    <w:rsid w:val="001E2AEE"/>
    <w:rsid w:val="001E2C46"/>
    <w:rsid w:val="001E2E0D"/>
    <w:rsid w:val="001E357A"/>
    <w:rsid w:val="001E393A"/>
    <w:rsid w:val="001E40E4"/>
    <w:rsid w:val="001E41AD"/>
    <w:rsid w:val="001E46E5"/>
    <w:rsid w:val="001E472A"/>
    <w:rsid w:val="001E57D4"/>
    <w:rsid w:val="001E621B"/>
    <w:rsid w:val="001E637D"/>
    <w:rsid w:val="001E6ABD"/>
    <w:rsid w:val="001E6DF5"/>
    <w:rsid w:val="001E6EAF"/>
    <w:rsid w:val="001E7136"/>
    <w:rsid w:val="001E7398"/>
    <w:rsid w:val="001E7600"/>
    <w:rsid w:val="001E77B6"/>
    <w:rsid w:val="001E784D"/>
    <w:rsid w:val="001E7B0D"/>
    <w:rsid w:val="001E7FD2"/>
    <w:rsid w:val="001F0029"/>
    <w:rsid w:val="001F03A6"/>
    <w:rsid w:val="001F0983"/>
    <w:rsid w:val="001F0EAB"/>
    <w:rsid w:val="001F126A"/>
    <w:rsid w:val="001F1293"/>
    <w:rsid w:val="001F307F"/>
    <w:rsid w:val="001F3301"/>
    <w:rsid w:val="001F37E1"/>
    <w:rsid w:val="001F39C6"/>
    <w:rsid w:val="001F39C8"/>
    <w:rsid w:val="001F3FAE"/>
    <w:rsid w:val="001F44C9"/>
    <w:rsid w:val="001F4B1C"/>
    <w:rsid w:val="001F69DB"/>
    <w:rsid w:val="001F6CB0"/>
    <w:rsid w:val="001F76CF"/>
    <w:rsid w:val="00200496"/>
    <w:rsid w:val="00200BE2"/>
    <w:rsid w:val="00201144"/>
    <w:rsid w:val="00201195"/>
    <w:rsid w:val="0020121B"/>
    <w:rsid w:val="002018EB"/>
    <w:rsid w:val="00201B24"/>
    <w:rsid w:val="00201C60"/>
    <w:rsid w:val="00202997"/>
    <w:rsid w:val="002030D7"/>
    <w:rsid w:val="002041CD"/>
    <w:rsid w:val="00204C83"/>
    <w:rsid w:val="00205211"/>
    <w:rsid w:val="0020538C"/>
    <w:rsid w:val="00205AE1"/>
    <w:rsid w:val="00205B44"/>
    <w:rsid w:val="002060E6"/>
    <w:rsid w:val="00206448"/>
    <w:rsid w:val="002067EF"/>
    <w:rsid w:val="00206B22"/>
    <w:rsid w:val="00206CB6"/>
    <w:rsid w:val="002072E9"/>
    <w:rsid w:val="002074EF"/>
    <w:rsid w:val="0020762A"/>
    <w:rsid w:val="00207E80"/>
    <w:rsid w:val="002100DC"/>
    <w:rsid w:val="0021159C"/>
    <w:rsid w:val="00212079"/>
    <w:rsid w:val="002128E0"/>
    <w:rsid w:val="00212C6A"/>
    <w:rsid w:val="00212D36"/>
    <w:rsid w:val="0021323F"/>
    <w:rsid w:val="00213455"/>
    <w:rsid w:val="002138BB"/>
    <w:rsid w:val="00213A12"/>
    <w:rsid w:val="00213ECD"/>
    <w:rsid w:val="00214049"/>
    <w:rsid w:val="002146F0"/>
    <w:rsid w:val="002148C2"/>
    <w:rsid w:val="00214E6B"/>
    <w:rsid w:val="002151F0"/>
    <w:rsid w:val="00215A6C"/>
    <w:rsid w:val="00215B01"/>
    <w:rsid w:val="0021655B"/>
    <w:rsid w:val="002175D4"/>
    <w:rsid w:val="00217ED2"/>
    <w:rsid w:val="002202A2"/>
    <w:rsid w:val="0022040E"/>
    <w:rsid w:val="00221CCE"/>
    <w:rsid w:val="00221D24"/>
    <w:rsid w:val="0022206F"/>
    <w:rsid w:val="0022207E"/>
    <w:rsid w:val="0022213A"/>
    <w:rsid w:val="00223731"/>
    <w:rsid w:val="002237DA"/>
    <w:rsid w:val="00223904"/>
    <w:rsid w:val="00223AD8"/>
    <w:rsid w:val="00223F08"/>
    <w:rsid w:val="00224681"/>
    <w:rsid w:val="0022479B"/>
    <w:rsid w:val="00224929"/>
    <w:rsid w:val="00224989"/>
    <w:rsid w:val="00224D5B"/>
    <w:rsid w:val="00225597"/>
    <w:rsid w:val="002258A5"/>
    <w:rsid w:val="002260C2"/>
    <w:rsid w:val="00226247"/>
    <w:rsid w:val="00226998"/>
    <w:rsid w:val="002271A0"/>
    <w:rsid w:val="00227C8D"/>
    <w:rsid w:val="0023011C"/>
    <w:rsid w:val="00230ACB"/>
    <w:rsid w:val="00230B2E"/>
    <w:rsid w:val="00230D36"/>
    <w:rsid w:val="002312FF"/>
    <w:rsid w:val="0023140C"/>
    <w:rsid w:val="002316C9"/>
    <w:rsid w:val="00231CB3"/>
    <w:rsid w:val="00232E00"/>
    <w:rsid w:val="00233108"/>
    <w:rsid w:val="0023312B"/>
    <w:rsid w:val="002336C7"/>
    <w:rsid w:val="00233A33"/>
    <w:rsid w:val="00233C9E"/>
    <w:rsid w:val="002342A3"/>
    <w:rsid w:val="00234363"/>
    <w:rsid w:val="002346D8"/>
    <w:rsid w:val="00234B5E"/>
    <w:rsid w:val="00234BF4"/>
    <w:rsid w:val="00234CB3"/>
    <w:rsid w:val="00235438"/>
    <w:rsid w:val="00235488"/>
    <w:rsid w:val="00235F5A"/>
    <w:rsid w:val="0023604D"/>
    <w:rsid w:val="0023610D"/>
    <w:rsid w:val="00237092"/>
    <w:rsid w:val="002370B0"/>
    <w:rsid w:val="00237D70"/>
    <w:rsid w:val="00240186"/>
    <w:rsid w:val="00240960"/>
    <w:rsid w:val="00240DEB"/>
    <w:rsid w:val="002413F3"/>
    <w:rsid w:val="002420E8"/>
    <w:rsid w:val="00242898"/>
    <w:rsid w:val="002430AA"/>
    <w:rsid w:val="00243414"/>
    <w:rsid w:val="00243596"/>
    <w:rsid w:val="002439CC"/>
    <w:rsid w:val="00243D05"/>
    <w:rsid w:val="00243EC2"/>
    <w:rsid w:val="00244846"/>
    <w:rsid w:val="00244D24"/>
    <w:rsid w:val="00244D2B"/>
    <w:rsid w:val="00245390"/>
    <w:rsid w:val="00245457"/>
    <w:rsid w:val="0024560C"/>
    <w:rsid w:val="002461D7"/>
    <w:rsid w:val="00246370"/>
    <w:rsid w:val="0024684E"/>
    <w:rsid w:val="00246888"/>
    <w:rsid w:val="00246991"/>
    <w:rsid w:val="00247A94"/>
    <w:rsid w:val="0025021C"/>
    <w:rsid w:val="00250452"/>
    <w:rsid w:val="00250737"/>
    <w:rsid w:val="00250878"/>
    <w:rsid w:val="00250A25"/>
    <w:rsid w:val="00250AC2"/>
    <w:rsid w:val="00250F4B"/>
    <w:rsid w:val="0025100C"/>
    <w:rsid w:val="0025117B"/>
    <w:rsid w:val="00251B6D"/>
    <w:rsid w:val="00251D58"/>
    <w:rsid w:val="0025217B"/>
    <w:rsid w:val="002522AF"/>
    <w:rsid w:val="00252446"/>
    <w:rsid w:val="002526EB"/>
    <w:rsid w:val="002533A0"/>
    <w:rsid w:val="002537B4"/>
    <w:rsid w:val="00253A1D"/>
    <w:rsid w:val="00254173"/>
    <w:rsid w:val="002541C4"/>
    <w:rsid w:val="00254556"/>
    <w:rsid w:val="00255954"/>
    <w:rsid w:val="002566A9"/>
    <w:rsid w:val="00256877"/>
    <w:rsid w:val="0025708D"/>
    <w:rsid w:val="002570D4"/>
    <w:rsid w:val="00260001"/>
    <w:rsid w:val="0026030A"/>
    <w:rsid w:val="002605A5"/>
    <w:rsid w:val="00260968"/>
    <w:rsid w:val="00260A1A"/>
    <w:rsid w:val="002616E7"/>
    <w:rsid w:val="002624CF"/>
    <w:rsid w:val="00262978"/>
    <w:rsid w:val="00262CFA"/>
    <w:rsid w:val="00263BA3"/>
    <w:rsid w:val="00263C2F"/>
    <w:rsid w:val="00263C6F"/>
    <w:rsid w:val="00263ECC"/>
    <w:rsid w:val="0026522E"/>
    <w:rsid w:val="0026535E"/>
    <w:rsid w:val="00265432"/>
    <w:rsid w:val="00265625"/>
    <w:rsid w:val="00265937"/>
    <w:rsid w:val="002661A9"/>
    <w:rsid w:val="00266AF5"/>
    <w:rsid w:val="00267644"/>
    <w:rsid w:val="002679D7"/>
    <w:rsid w:val="00267F99"/>
    <w:rsid w:val="00270504"/>
    <w:rsid w:val="00270C96"/>
    <w:rsid w:val="00270E46"/>
    <w:rsid w:val="0027110B"/>
    <w:rsid w:val="00271650"/>
    <w:rsid w:val="002718BE"/>
    <w:rsid w:val="002718CF"/>
    <w:rsid w:val="00272295"/>
    <w:rsid w:val="00272940"/>
    <w:rsid w:val="00272CA7"/>
    <w:rsid w:val="00272CEF"/>
    <w:rsid w:val="00272DA9"/>
    <w:rsid w:val="00272EDB"/>
    <w:rsid w:val="002730ED"/>
    <w:rsid w:val="0027364E"/>
    <w:rsid w:val="00274315"/>
    <w:rsid w:val="002744B0"/>
    <w:rsid w:val="0027461A"/>
    <w:rsid w:val="00274738"/>
    <w:rsid w:val="00274921"/>
    <w:rsid w:val="00274BD6"/>
    <w:rsid w:val="00275150"/>
    <w:rsid w:val="00275AC2"/>
    <w:rsid w:val="00275FE3"/>
    <w:rsid w:val="002764DF"/>
    <w:rsid w:val="0027661E"/>
    <w:rsid w:val="002767BA"/>
    <w:rsid w:val="0027690D"/>
    <w:rsid w:val="00276D66"/>
    <w:rsid w:val="00276E7F"/>
    <w:rsid w:val="00276FDB"/>
    <w:rsid w:val="00277C5C"/>
    <w:rsid w:val="00277CBA"/>
    <w:rsid w:val="002801E4"/>
    <w:rsid w:val="002801FB"/>
    <w:rsid w:val="00280AE3"/>
    <w:rsid w:val="00280F08"/>
    <w:rsid w:val="00280F3F"/>
    <w:rsid w:val="0028195F"/>
    <w:rsid w:val="00281A7B"/>
    <w:rsid w:val="00281B47"/>
    <w:rsid w:val="00281C53"/>
    <w:rsid w:val="00281F38"/>
    <w:rsid w:val="00282176"/>
    <w:rsid w:val="002823E6"/>
    <w:rsid w:val="002827B6"/>
    <w:rsid w:val="00282FE2"/>
    <w:rsid w:val="002830A4"/>
    <w:rsid w:val="002831F0"/>
    <w:rsid w:val="002834C9"/>
    <w:rsid w:val="00283651"/>
    <w:rsid w:val="002836E1"/>
    <w:rsid w:val="002842B1"/>
    <w:rsid w:val="00284642"/>
    <w:rsid w:val="00284675"/>
    <w:rsid w:val="002849AC"/>
    <w:rsid w:val="00285825"/>
    <w:rsid w:val="00286105"/>
    <w:rsid w:val="00286280"/>
    <w:rsid w:val="002872A2"/>
    <w:rsid w:val="002872FE"/>
    <w:rsid w:val="00287525"/>
    <w:rsid w:val="002875CB"/>
    <w:rsid w:val="00287664"/>
    <w:rsid w:val="002876CB"/>
    <w:rsid w:val="00287B08"/>
    <w:rsid w:val="00287CCE"/>
    <w:rsid w:val="00287D12"/>
    <w:rsid w:val="00287E8A"/>
    <w:rsid w:val="00290043"/>
    <w:rsid w:val="00290579"/>
    <w:rsid w:val="0029072A"/>
    <w:rsid w:val="00290C30"/>
    <w:rsid w:val="00290FC5"/>
    <w:rsid w:val="00290FE2"/>
    <w:rsid w:val="00290FF3"/>
    <w:rsid w:val="00291C95"/>
    <w:rsid w:val="0029213F"/>
    <w:rsid w:val="00292142"/>
    <w:rsid w:val="00292B1C"/>
    <w:rsid w:val="00292C19"/>
    <w:rsid w:val="002937C9"/>
    <w:rsid w:val="00293967"/>
    <w:rsid w:val="00293EAF"/>
    <w:rsid w:val="00294146"/>
    <w:rsid w:val="00294831"/>
    <w:rsid w:val="00294B16"/>
    <w:rsid w:val="00294FD0"/>
    <w:rsid w:val="0029539B"/>
    <w:rsid w:val="00295628"/>
    <w:rsid w:val="0029580B"/>
    <w:rsid w:val="002961B2"/>
    <w:rsid w:val="0029633A"/>
    <w:rsid w:val="00296392"/>
    <w:rsid w:val="00296793"/>
    <w:rsid w:val="00296B8F"/>
    <w:rsid w:val="0029778C"/>
    <w:rsid w:val="00297AE7"/>
    <w:rsid w:val="00297CD0"/>
    <w:rsid w:val="002A0CCD"/>
    <w:rsid w:val="002A1C67"/>
    <w:rsid w:val="002A211F"/>
    <w:rsid w:val="002A3954"/>
    <w:rsid w:val="002A3EDC"/>
    <w:rsid w:val="002A477E"/>
    <w:rsid w:val="002A49FF"/>
    <w:rsid w:val="002A5578"/>
    <w:rsid w:val="002A56AD"/>
    <w:rsid w:val="002A5D13"/>
    <w:rsid w:val="002A6340"/>
    <w:rsid w:val="002A656C"/>
    <w:rsid w:val="002A6C05"/>
    <w:rsid w:val="002A6C54"/>
    <w:rsid w:val="002A6D89"/>
    <w:rsid w:val="002A7112"/>
    <w:rsid w:val="002A7898"/>
    <w:rsid w:val="002A7C8B"/>
    <w:rsid w:val="002A7D51"/>
    <w:rsid w:val="002A7EA1"/>
    <w:rsid w:val="002A7F72"/>
    <w:rsid w:val="002B0DA7"/>
    <w:rsid w:val="002B1145"/>
    <w:rsid w:val="002B1837"/>
    <w:rsid w:val="002B1D34"/>
    <w:rsid w:val="002B233D"/>
    <w:rsid w:val="002B251A"/>
    <w:rsid w:val="002B298F"/>
    <w:rsid w:val="002B303C"/>
    <w:rsid w:val="002B3CB0"/>
    <w:rsid w:val="002B3FA6"/>
    <w:rsid w:val="002B40D9"/>
    <w:rsid w:val="002B4926"/>
    <w:rsid w:val="002B4CC0"/>
    <w:rsid w:val="002B5305"/>
    <w:rsid w:val="002B5C24"/>
    <w:rsid w:val="002B67D1"/>
    <w:rsid w:val="002B6EAD"/>
    <w:rsid w:val="002B6EE3"/>
    <w:rsid w:val="002B73DC"/>
    <w:rsid w:val="002B73EE"/>
    <w:rsid w:val="002B7AA8"/>
    <w:rsid w:val="002B7D23"/>
    <w:rsid w:val="002B7E81"/>
    <w:rsid w:val="002C0496"/>
    <w:rsid w:val="002C076C"/>
    <w:rsid w:val="002C0A29"/>
    <w:rsid w:val="002C0F78"/>
    <w:rsid w:val="002C1271"/>
    <w:rsid w:val="002C15C2"/>
    <w:rsid w:val="002C165A"/>
    <w:rsid w:val="002C16CB"/>
    <w:rsid w:val="002C232F"/>
    <w:rsid w:val="002C276A"/>
    <w:rsid w:val="002C2846"/>
    <w:rsid w:val="002C2B6B"/>
    <w:rsid w:val="002C30D9"/>
    <w:rsid w:val="002C3682"/>
    <w:rsid w:val="002C3E53"/>
    <w:rsid w:val="002C45DC"/>
    <w:rsid w:val="002C46CC"/>
    <w:rsid w:val="002C5663"/>
    <w:rsid w:val="002C58BC"/>
    <w:rsid w:val="002C60B2"/>
    <w:rsid w:val="002C65A7"/>
    <w:rsid w:val="002C6824"/>
    <w:rsid w:val="002C704B"/>
    <w:rsid w:val="002C72C8"/>
    <w:rsid w:val="002D00E5"/>
    <w:rsid w:val="002D09D6"/>
    <w:rsid w:val="002D0BA2"/>
    <w:rsid w:val="002D0BE4"/>
    <w:rsid w:val="002D1109"/>
    <w:rsid w:val="002D126B"/>
    <w:rsid w:val="002D1ABD"/>
    <w:rsid w:val="002D1B6F"/>
    <w:rsid w:val="002D1D24"/>
    <w:rsid w:val="002D21EA"/>
    <w:rsid w:val="002D247C"/>
    <w:rsid w:val="002D258E"/>
    <w:rsid w:val="002D2A86"/>
    <w:rsid w:val="002D2CD6"/>
    <w:rsid w:val="002D2EC8"/>
    <w:rsid w:val="002D3596"/>
    <w:rsid w:val="002D35E4"/>
    <w:rsid w:val="002D398C"/>
    <w:rsid w:val="002D40BD"/>
    <w:rsid w:val="002D42E4"/>
    <w:rsid w:val="002D450E"/>
    <w:rsid w:val="002D4F06"/>
    <w:rsid w:val="002D582D"/>
    <w:rsid w:val="002D587F"/>
    <w:rsid w:val="002D5C97"/>
    <w:rsid w:val="002D62B1"/>
    <w:rsid w:val="002D6DDD"/>
    <w:rsid w:val="002D6E38"/>
    <w:rsid w:val="002D7042"/>
    <w:rsid w:val="002D76A3"/>
    <w:rsid w:val="002D77AC"/>
    <w:rsid w:val="002D7A95"/>
    <w:rsid w:val="002D7E23"/>
    <w:rsid w:val="002E0105"/>
    <w:rsid w:val="002E0514"/>
    <w:rsid w:val="002E0E3B"/>
    <w:rsid w:val="002E16A2"/>
    <w:rsid w:val="002E1810"/>
    <w:rsid w:val="002E1D6F"/>
    <w:rsid w:val="002E1ECF"/>
    <w:rsid w:val="002E221A"/>
    <w:rsid w:val="002E2538"/>
    <w:rsid w:val="002E2AC3"/>
    <w:rsid w:val="002E3081"/>
    <w:rsid w:val="002E3280"/>
    <w:rsid w:val="002E340B"/>
    <w:rsid w:val="002E3A0A"/>
    <w:rsid w:val="002E3FE9"/>
    <w:rsid w:val="002E487B"/>
    <w:rsid w:val="002E4B6A"/>
    <w:rsid w:val="002E50BE"/>
    <w:rsid w:val="002E576E"/>
    <w:rsid w:val="002E5895"/>
    <w:rsid w:val="002E64A0"/>
    <w:rsid w:val="002E7709"/>
    <w:rsid w:val="002E7789"/>
    <w:rsid w:val="002E7909"/>
    <w:rsid w:val="002E79E4"/>
    <w:rsid w:val="002E7E48"/>
    <w:rsid w:val="002E7F40"/>
    <w:rsid w:val="002F08ED"/>
    <w:rsid w:val="002F0B2F"/>
    <w:rsid w:val="002F0B66"/>
    <w:rsid w:val="002F0DE3"/>
    <w:rsid w:val="002F10E1"/>
    <w:rsid w:val="002F1248"/>
    <w:rsid w:val="002F1D66"/>
    <w:rsid w:val="002F1E63"/>
    <w:rsid w:val="002F21F2"/>
    <w:rsid w:val="002F2391"/>
    <w:rsid w:val="002F2509"/>
    <w:rsid w:val="002F2A71"/>
    <w:rsid w:val="002F3C15"/>
    <w:rsid w:val="002F4201"/>
    <w:rsid w:val="002F42C7"/>
    <w:rsid w:val="002F448A"/>
    <w:rsid w:val="002F5287"/>
    <w:rsid w:val="002F571E"/>
    <w:rsid w:val="002F5888"/>
    <w:rsid w:val="002F5953"/>
    <w:rsid w:val="002F5BA2"/>
    <w:rsid w:val="002F5DE8"/>
    <w:rsid w:val="002F616C"/>
    <w:rsid w:val="002F62AC"/>
    <w:rsid w:val="002F66D1"/>
    <w:rsid w:val="002F6EB2"/>
    <w:rsid w:val="002F6FE7"/>
    <w:rsid w:val="002F7001"/>
    <w:rsid w:val="002F72A4"/>
    <w:rsid w:val="002F7793"/>
    <w:rsid w:val="002F7871"/>
    <w:rsid w:val="002F7B0B"/>
    <w:rsid w:val="002F7CA6"/>
    <w:rsid w:val="002F7CD1"/>
    <w:rsid w:val="002F7DE7"/>
    <w:rsid w:val="0030038E"/>
    <w:rsid w:val="003016E9"/>
    <w:rsid w:val="003018A5"/>
    <w:rsid w:val="00301920"/>
    <w:rsid w:val="0030196B"/>
    <w:rsid w:val="00301F00"/>
    <w:rsid w:val="00302A41"/>
    <w:rsid w:val="00303448"/>
    <w:rsid w:val="003034BD"/>
    <w:rsid w:val="00303FCA"/>
    <w:rsid w:val="0030475A"/>
    <w:rsid w:val="003049A2"/>
    <w:rsid w:val="00304B19"/>
    <w:rsid w:val="00304BB8"/>
    <w:rsid w:val="00304BF4"/>
    <w:rsid w:val="00305403"/>
    <w:rsid w:val="003054B6"/>
    <w:rsid w:val="00305754"/>
    <w:rsid w:val="00306335"/>
    <w:rsid w:val="00306B10"/>
    <w:rsid w:val="00306D35"/>
    <w:rsid w:val="00307044"/>
    <w:rsid w:val="0030741B"/>
    <w:rsid w:val="003079FB"/>
    <w:rsid w:val="00307A8A"/>
    <w:rsid w:val="00311127"/>
    <w:rsid w:val="00311D20"/>
    <w:rsid w:val="00311FB9"/>
    <w:rsid w:val="00312291"/>
    <w:rsid w:val="003122D4"/>
    <w:rsid w:val="00312EBA"/>
    <w:rsid w:val="0031304D"/>
    <w:rsid w:val="0031315D"/>
    <w:rsid w:val="00313729"/>
    <w:rsid w:val="0031395D"/>
    <w:rsid w:val="00313997"/>
    <w:rsid w:val="00313E74"/>
    <w:rsid w:val="003140F6"/>
    <w:rsid w:val="0031432E"/>
    <w:rsid w:val="0031449C"/>
    <w:rsid w:val="003144EB"/>
    <w:rsid w:val="00314922"/>
    <w:rsid w:val="00314BE0"/>
    <w:rsid w:val="003150FF"/>
    <w:rsid w:val="00315370"/>
    <w:rsid w:val="003163F7"/>
    <w:rsid w:val="003164C4"/>
    <w:rsid w:val="003167F5"/>
    <w:rsid w:val="00316B87"/>
    <w:rsid w:val="003172E3"/>
    <w:rsid w:val="00317AE5"/>
    <w:rsid w:val="00320359"/>
    <w:rsid w:val="00320D66"/>
    <w:rsid w:val="0032132C"/>
    <w:rsid w:val="003217AC"/>
    <w:rsid w:val="00321FF6"/>
    <w:rsid w:val="00322374"/>
    <w:rsid w:val="00322484"/>
    <w:rsid w:val="00322AED"/>
    <w:rsid w:val="003234F1"/>
    <w:rsid w:val="0032377E"/>
    <w:rsid w:val="00323F4A"/>
    <w:rsid w:val="00324D02"/>
    <w:rsid w:val="00324D53"/>
    <w:rsid w:val="00326144"/>
    <w:rsid w:val="0032670A"/>
    <w:rsid w:val="00326766"/>
    <w:rsid w:val="00326796"/>
    <w:rsid w:val="00326A59"/>
    <w:rsid w:val="00326CFA"/>
    <w:rsid w:val="00326DF6"/>
    <w:rsid w:val="00326F58"/>
    <w:rsid w:val="00327532"/>
    <w:rsid w:val="003307A6"/>
    <w:rsid w:val="00331582"/>
    <w:rsid w:val="00331635"/>
    <w:rsid w:val="00331EBC"/>
    <w:rsid w:val="00332048"/>
    <w:rsid w:val="00332343"/>
    <w:rsid w:val="00332350"/>
    <w:rsid w:val="00332A46"/>
    <w:rsid w:val="00332C35"/>
    <w:rsid w:val="00333480"/>
    <w:rsid w:val="0033420F"/>
    <w:rsid w:val="003344C2"/>
    <w:rsid w:val="003344D3"/>
    <w:rsid w:val="003345F4"/>
    <w:rsid w:val="003348F6"/>
    <w:rsid w:val="003349FE"/>
    <w:rsid w:val="00334C71"/>
    <w:rsid w:val="003351C1"/>
    <w:rsid w:val="00335297"/>
    <w:rsid w:val="0033554F"/>
    <w:rsid w:val="00335B29"/>
    <w:rsid w:val="00335CFC"/>
    <w:rsid w:val="003363E0"/>
    <w:rsid w:val="0033651B"/>
    <w:rsid w:val="00336862"/>
    <w:rsid w:val="00336A32"/>
    <w:rsid w:val="00336A9E"/>
    <w:rsid w:val="00336C40"/>
    <w:rsid w:val="00336D3A"/>
    <w:rsid w:val="00337021"/>
    <w:rsid w:val="0033756E"/>
    <w:rsid w:val="00340396"/>
    <w:rsid w:val="0034079F"/>
    <w:rsid w:val="00341553"/>
    <w:rsid w:val="00341AF9"/>
    <w:rsid w:val="00341F57"/>
    <w:rsid w:val="00342332"/>
    <w:rsid w:val="00342806"/>
    <w:rsid w:val="0034282A"/>
    <w:rsid w:val="00342AE5"/>
    <w:rsid w:val="00342E52"/>
    <w:rsid w:val="00342E79"/>
    <w:rsid w:val="00343234"/>
    <w:rsid w:val="0034362C"/>
    <w:rsid w:val="00343995"/>
    <w:rsid w:val="00343DD7"/>
    <w:rsid w:val="0034446B"/>
    <w:rsid w:val="00344735"/>
    <w:rsid w:val="00344997"/>
    <w:rsid w:val="00345020"/>
    <w:rsid w:val="00345055"/>
    <w:rsid w:val="003450FE"/>
    <w:rsid w:val="003452B5"/>
    <w:rsid w:val="00345737"/>
    <w:rsid w:val="00345FCD"/>
    <w:rsid w:val="00346873"/>
    <w:rsid w:val="00347B09"/>
    <w:rsid w:val="00347BB3"/>
    <w:rsid w:val="00347D10"/>
    <w:rsid w:val="00350E8A"/>
    <w:rsid w:val="0035105C"/>
    <w:rsid w:val="003512CF"/>
    <w:rsid w:val="003512FE"/>
    <w:rsid w:val="00351E95"/>
    <w:rsid w:val="00352E7C"/>
    <w:rsid w:val="00352FC3"/>
    <w:rsid w:val="00353300"/>
    <w:rsid w:val="00353599"/>
    <w:rsid w:val="00353E0A"/>
    <w:rsid w:val="00353E4F"/>
    <w:rsid w:val="0035450C"/>
    <w:rsid w:val="0035457A"/>
    <w:rsid w:val="00354D76"/>
    <w:rsid w:val="00354E6F"/>
    <w:rsid w:val="00355227"/>
    <w:rsid w:val="003556FF"/>
    <w:rsid w:val="00355E23"/>
    <w:rsid w:val="00356434"/>
    <w:rsid w:val="003567F0"/>
    <w:rsid w:val="00356DA8"/>
    <w:rsid w:val="00357740"/>
    <w:rsid w:val="00357F9D"/>
    <w:rsid w:val="00360140"/>
    <w:rsid w:val="00360482"/>
    <w:rsid w:val="00360651"/>
    <w:rsid w:val="003606E3"/>
    <w:rsid w:val="00360C89"/>
    <w:rsid w:val="00361F05"/>
    <w:rsid w:val="00361F76"/>
    <w:rsid w:val="003620C4"/>
    <w:rsid w:val="003629A8"/>
    <w:rsid w:val="00362B50"/>
    <w:rsid w:val="00362DDC"/>
    <w:rsid w:val="00363C28"/>
    <w:rsid w:val="00363F85"/>
    <w:rsid w:val="00364F9F"/>
    <w:rsid w:val="003654C8"/>
    <w:rsid w:val="00365667"/>
    <w:rsid w:val="00365884"/>
    <w:rsid w:val="00365EA1"/>
    <w:rsid w:val="003660A5"/>
    <w:rsid w:val="00366B1E"/>
    <w:rsid w:val="00366D11"/>
    <w:rsid w:val="00366E78"/>
    <w:rsid w:val="0036738F"/>
    <w:rsid w:val="0036745D"/>
    <w:rsid w:val="0037023C"/>
    <w:rsid w:val="00370347"/>
    <w:rsid w:val="003709F7"/>
    <w:rsid w:val="00370A3B"/>
    <w:rsid w:val="00370A93"/>
    <w:rsid w:val="00371A7D"/>
    <w:rsid w:val="0037245E"/>
    <w:rsid w:val="00372663"/>
    <w:rsid w:val="00372720"/>
    <w:rsid w:val="00372A4C"/>
    <w:rsid w:val="0037322F"/>
    <w:rsid w:val="003732A4"/>
    <w:rsid w:val="00373716"/>
    <w:rsid w:val="0037378A"/>
    <w:rsid w:val="00374727"/>
    <w:rsid w:val="0037481F"/>
    <w:rsid w:val="0037518B"/>
    <w:rsid w:val="003757C1"/>
    <w:rsid w:val="00375881"/>
    <w:rsid w:val="00375DDA"/>
    <w:rsid w:val="00375F15"/>
    <w:rsid w:val="0037634C"/>
    <w:rsid w:val="00376460"/>
    <w:rsid w:val="00376947"/>
    <w:rsid w:val="00376A75"/>
    <w:rsid w:val="00376E2F"/>
    <w:rsid w:val="00376FED"/>
    <w:rsid w:val="003772B8"/>
    <w:rsid w:val="00377D0A"/>
    <w:rsid w:val="00380414"/>
    <w:rsid w:val="00380C00"/>
    <w:rsid w:val="00380CBE"/>
    <w:rsid w:val="003812B2"/>
    <w:rsid w:val="00381585"/>
    <w:rsid w:val="0038186C"/>
    <w:rsid w:val="00381B55"/>
    <w:rsid w:val="00382126"/>
    <w:rsid w:val="0038256B"/>
    <w:rsid w:val="00382A94"/>
    <w:rsid w:val="00382DB9"/>
    <w:rsid w:val="00382FC5"/>
    <w:rsid w:val="00383037"/>
    <w:rsid w:val="00383496"/>
    <w:rsid w:val="00383990"/>
    <w:rsid w:val="00383C15"/>
    <w:rsid w:val="00383D98"/>
    <w:rsid w:val="00383DB5"/>
    <w:rsid w:val="00383EB6"/>
    <w:rsid w:val="003844EB"/>
    <w:rsid w:val="003847FF"/>
    <w:rsid w:val="00384AE7"/>
    <w:rsid w:val="00385249"/>
    <w:rsid w:val="003859D6"/>
    <w:rsid w:val="00385B26"/>
    <w:rsid w:val="00386031"/>
    <w:rsid w:val="003865E9"/>
    <w:rsid w:val="0038698E"/>
    <w:rsid w:val="00386E8A"/>
    <w:rsid w:val="003870EC"/>
    <w:rsid w:val="00387A81"/>
    <w:rsid w:val="00387C13"/>
    <w:rsid w:val="0039003C"/>
    <w:rsid w:val="003902AB"/>
    <w:rsid w:val="003903D1"/>
    <w:rsid w:val="0039053B"/>
    <w:rsid w:val="003909DA"/>
    <w:rsid w:val="00390CDF"/>
    <w:rsid w:val="003913DC"/>
    <w:rsid w:val="00391A96"/>
    <w:rsid w:val="00391C4D"/>
    <w:rsid w:val="0039239B"/>
    <w:rsid w:val="00393642"/>
    <w:rsid w:val="00393D21"/>
    <w:rsid w:val="00394397"/>
    <w:rsid w:val="00394A1F"/>
    <w:rsid w:val="00395A24"/>
    <w:rsid w:val="003961B2"/>
    <w:rsid w:val="00396ECC"/>
    <w:rsid w:val="003972A1"/>
    <w:rsid w:val="0039750F"/>
    <w:rsid w:val="00397622"/>
    <w:rsid w:val="0039762B"/>
    <w:rsid w:val="003976C6"/>
    <w:rsid w:val="0039786E"/>
    <w:rsid w:val="003A101C"/>
    <w:rsid w:val="003A134E"/>
    <w:rsid w:val="003A1DA2"/>
    <w:rsid w:val="003A1EC7"/>
    <w:rsid w:val="003A1F28"/>
    <w:rsid w:val="003A22B1"/>
    <w:rsid w:val="003A2564"/>
    <w:rsid w:val="003A2FB1"/>
    <w:rsid w:val="003A3714"/>
    <w:rsid w:val="003A37E5"/>
    <w:rsid w:val="003A3826"/>
    <w:rsid w:val="003A384C"/>
    <w:rsid w:val="003A3980"/>
    <w:rsid w:val="003A3EF1"/>
    <w:rsid w:val="003A425B"/>
    <w:rsid w:val="003A484F"/>
    <w:rsid w:val="003A4DAB"/>
    <w:rsid w:val="003A4F25"/>
    <w:rsid w:val="003A5031"/>
    <w:rsid w:val="003A5996"/>
    <w:rsid w:val="003A5ACE"/>
    <w:rsid w:val="003A5D00"/>
    <w:rsid w:val="003A5DDE"/>
    <w:rsid w:val="003A68D1"/>
    <w:rsid w:val="003A6A2E"/>
    <w:rsid w:val="003A6E96"/>
    <w:rsid w:val="003A6FD1"/>
    <w:rsid w:val="003A7CB7"/>
    <w:rsid w:val="003A7FD6"/>
    <w:rsid w:val="003B0390"/>
    <w:rsid w:val="003B18CD"/>
    <w:rsid w:val="003B210E"/>
    <w:rsid w:val="003B24B7"/>
    <w:rsid w:val="003B2746"/>
    <w:rsid w:val="003B28E5"/>
    <w:rsid w:val="003B306A"/>
    <w:rsid w:val="003B33C1"/>
    <w:rsid w:val="003B4E30"/>
    <w:rsid w:val="003B5391"/>
    <w:rsid w:val="003B5D8A"/>
    <w:rsid w:val="003B5FC3"/>
    <w:rsid w:val="003B6341"/>
    <w:rsid w:val="003B68FC"/>
    <w:rsid w:val="003B6E29"/>
    <w:rsid w:val="003B73E6"/>
    <w:rsid w:val="003B7890"/>
    <w:rsid w:val="003B79E1"/>
    <w:rsid w:val="003C009D"/>
    <w:rsid w:val="003C0846"/>
    <w:rsid w:val="003C0C13"/>
    <w:rsid w:val="003C0E2E"/>
    <w:rsid w:val="003C0F3B"/>
    <w:rsid w:val="003C124B"/>
    <w:rsid w:val="003C1EEB"/>
    <w:rsid w:val="003C3E40"/>
    <w:rsid w:val="003C4224"/>
    <w:rsid w:val="003C49DB"/>
    <w:rsid w:val="003C4C03"/>
    <w:rsid w:val="003C4D13"/>
    <w:rsid w:val="003C53DD"/>
    <w:rsid w:val="003C6719"/>
    <w:rsid w:val="003C6B4A"/>
    <w:rsid w:val="003C6B91"/>
    <w:rsid w:val="003C6CCE"/>
    <w:rsid w:val="003C6D5D"/>
    <w:rsid w:val="003C6F02"/>
    <w:rsid w:val="003C71D3"/>
    <w:rsid w:val="003C7576"/>
    <w:rsid w:val="003D00B7"/>
    <w:rsid w:val="003D01B4"/>
    <w:rsid w:val="003D02A0"/>
    <w:rsid w:val="003D036A"/>
    <w:rsid w:val="003D0842"/>
    <w:rsid w:val="003D0B33"/>
    <w:rsid w:val="003D0DDC"/>
    <w:rsid w:val="003D16AB"/>
    <w:rsid w:val="003D16F5"/>
    <w:rsid w:val="003D182C"/>
    <w:rsid w:val="003D204A"/>
    <w:rsid w:val="003D28EF"/>
    <w:rsid w:val="003D2994"/>
    <w:rsid w:val="003D2A41"/>
    <w:rsid w:val="003D2E15"/>
    <w:rsid w:val="003D325D"/>
    <w:rsid w:val="003D36FA"/>
    <w:rsid w:val="003D37E4"/>
    <w:rsid w:val="003D3B0F"/>
    <w:rsid w:val="003D3CE9"/>
    <w:rsid w:val="003D3D01"/>
    <w:rsid w:val="003D3D6C"/>
    <w:rsid w:val="003D3F6C"/>
    <w:rsid w:val="003D4033"/>
    <w:rsid w:val="003D4406"/>
    <w:rsid w:val="003D49E2"/>
    <w:rsid w:val="003D524C"/>
    <w:rsid w:val="003D5469"/>
    <w:rsid w:val="003D5EF9"/>
    <w:rsid w:val="003D602D"/>
    <w:rsid w:val="003D651A"/>
    <w:rsid w:val="003D6EAB"/>
    <w:rsid w:val="003D71BD"/>
    <w:rsid w:val="003D7D7F"/>
    <w:rsid w:val="003E0079"/>
    <w:rsid w:val="003E01FB"/>
    <w:rsid w:val="003E12EF"/>
    <w:rsid w:val="003E14C9"/>
    <w:rsid w:val="003E28E3"/>
    <w:rsid w:val="003E2C00"/>
    <w:rsid w:val="003E2C31"/>
    <w:rsid w:val="003E2C76"/>
    <w:rsid w:val="003E30D4"/>
    <w:rsid w:val="003E312B"/>
    <w:rsid w:val="003E33CC"/>
    <w:rsid w:val="003E39D1"/>
    <w:rsid w:val="003E3E42"/>
    <w:rsid w:val="003E44FE"/>
    <w:rsid w:val="003E4A61"/>
    <w:rsid w:val="003E4ECC"/>
    <w:rsid w:val="003E5205"/>
    <w:rsid w:val="003E523B"/>
    <w:rsid w:val="003E5456"/>
    <w:rsid w:val="003E57BF"/>
    <w:rsid w:val="003E59BB"/>
    <w:rsid w:val="003E5B39"/>
    <w:rsid w:val="003E5CD3"/>
    <w:rsid w:val="003E6122"/>
    <w:rsid w:val="003E672D"/>
    <w:rsid w:val="003E6F07"/>
    <w:rsid w:val="003E70DF"/>
    <w:rsid w:val="003E72C6"/>
    <w:rsid w:val="003E73A0"/>
    <w:rsid w:val="003E75BC"/>
    <w:rsid w:val="003E7885"/>
    <w:rsid w:val="003E7907"/>
    <w:rsid w:val="003E7D97"/>
    <w:rsid w:val="003F013D"/>
    <w:rsid w:val="003F06C5"/>
    <w:rsid w:val="003F1352"/>
    <w:rsid w:val="003F1B02"/>
    <w:rsid w:val="003F1C98"/>
    <w:rsid w:val="003F1E34"/>
    <w:rsid w:val="003F235F"/>
    <w:rsid w:val="003F30A9"/>
    <w:rsid w:val="003F3C02"/>
    <w:rsid w:val="003F3F46"/>
    <w:rsid w:val="003F412D"/>
    <w:rsid w:val="003F5455"/>
    <w:rsid w:val="003F5BE8"/>
    <w:rsid w:val="003F6103"/>
    <w:rsid w:val="003F6569"/>
    <w:rsid w:val="003F7032"/>
    <w:rsid w:val="003F7431"/>
    <w:rsid w:val="003F7732"/>
    <w:rsid w:val="00400E76"/>
    <w:rsid w:val="00401017"/>
    <w:rsid w:val="00401449"/>
    <w:rsid w:val="0040158A"/>
    <w:rsid w:val="00401612"/>
    <w:rsid w:val="004027FC"/>
    <w:rsid w:val="00402FC2"/>
    <w:rsid w:val="00403B5B"/>
    <w:rsid w:val="00403E90"/>
    <w:rsid w:val="004043CD"/>
    <w:rsid w:val="00404A2C"/>
    <w:rsid w:val="00404CD7"/>
    <w:rsid w:val="00404F1E"/>
    <w:rsid w:val="004050C7"/>
    <w:rsid w:val="00405C8F"/>
    <w:rsid w:val="0040632A"/>
    <w:rsid w:val="0040649D"/>
    <w:rsid w:val="00406795"/>
    <w:rsid w:val="00406809"/>
    <w:rsid w:val="00406DC4"/>
    <w:rsid w:val="004070B0"/>
    <w:rsid w:val="00407315"/>
    <w:rsid w:val="00410356"/>
    <w:rsid w:val="0041035E"/>
    <w:rsid w:val="00410474"/>
    <w:rsid w:val="0041053C"/>
    <w:rsid w:val="0041109C"/>
    <w:rsid w:val="004111E4"/>
    <w:rsid w:val="0041150B"/>
    <w:rsid w:val="0041225C"/>
    <w:rsid w:val="00414F55"/>
    <w:rsid w:val="004154BC"/>
    <w:rsid w:val="0041593E"/>
    <w:rsid w:val="00415DF6"/>
    <w:rsid w:val="0041624A"/>
    <w:rsid w:val="00417263"/>
    <w:rsid w:val="00420373"/>
    <w:rsid w:val="00420435"/>
    <w:rsid w:val="00420AC5"/>
    <w:rsid w:val="00420DBB"/>
    <w:rsid w:val="00421314"/>
    <w:rsid w:val="00421411"/>
    <w:rsid w:val="00421D8C"/>
    <w:rsid w:val="004222F2"/>
    <w:rsid w:val="00422E2C"/>
    <w:rsid w:val="00423169"/>
    <w:rsid w:val="00423DB4"/>
    <w:rsid w:val="00424470"/>
    <w:rsid w:val="004244B8"/>
    <w:rsid w:val="00424505"/>
    <w:rsid w:val="00424F17"/>
    <w:rsid w:val="004252CE"/>
    <w:rsid w:val="004252FF"/>
    <w:rsid w:val="00425342"/>
    <w:rsid w:val="00425651"/>
    <w:rsid w:val="0042588B"/>
    <w:rsid w:val="0042664B"/>
    <w:rsid w:val="004267A5"/>
    <w:rsid w:val="0042744F"/>
    <w:rsid w:val="00427F02"/>
    <w:rsid w:val="00430829"/>
    <w:rsid w:val="00430992"/>
    <w:rsid w:val="00430A9A"/>
    <w:rsid w:val="004312B0"/>
    <w:rsid w:val="0043130B"/>
    <w:rsid w:val="00431558"/>
    <w:rsid w:val="00431954"/>
    <w:rsid w:val="00431E29"/>
    <w:rsid w:val="00431F02"/>
    <w:rsid w:val="004320AC"/>
    <w:rsid w:val="004336B1"/>
    <w:rsid w:val="0043388B"/>
    <w:rsid w:val="00433A3E"/>
    <w:rsid w:val="00433C43"/>
    <w:rsid w:val="00433DE9"/>
    <w:rsid w:val="00433E43"/>
    <w:rsid w:val="00434188"/>
    <w:rsid w:val="00435340"/>
    <w:rsid w:val="00435AD1"/>
    <w:rsid w:val="00435E53"/>
    <w:rsid w:val="00435E7A"/>
    <w:rsid w:val="00435FED"/>
    <w:rsid w:val="0043644B"/>
    <w:rsid w:val="00436781"/>
    <w:rsid w:val="00436EC7"/>
    <w:rsid w:val="00436F62"/>
    <w:rsid w:val="004370B3"/>
    <w:rsid w:val="00437F06"/>
    <w:rsid w:val="004407B2"/>
    <w:rsid w:val="00440CF9"/>
    <w:rsid w:val="00441728"/>
    <w:rsid w:val="0044196E"/>
    <w:rsid w:val="004423E5"/>
    <w:rsid w:val="00442BBD"/>
    <w:rsid w:val="00442BFA"/>
    <w:rsid w:val="00442D5E"/>
    <w:rsid w:val="004434F7"/>
    <w:rsid w:val="004440E9"/>
    <w:rsid w:val="0044442C"/>
    <w:rsid w:val="00444A60"/>
    <w:rsid w:val="00445218"/>
    <w:rsid w:val="00445761"/>
    <w:rsid w:val="00445A5F"/>
    <w:rsid w:val="004461E9"/>
    <w:rsid w:val="0044650D"/>
    <w:rsid w:val="0044755D"/>
    <w:rsid w:val="00447726"/>
    <w:rsid w:val="0044793D"/>
    <w:rsid w:val="00447F31"/>
    <w:rsid w:val="00450255"/>
    <w:rsid w:val="0045062E"/>
    <w:rsid w:val="00450733"/>
    <w:rsid w:val="004508BB"/>
    <w:rsid w:val="00451BAA"/>
    <w:rsid w:val="00451CD5"/>
    <w:rsid w:val="0045275D"/>
    <w:rsid w:val="00452A3F"/>
    <w:rsid w:val="00453835"/>
    <w:rsid w:val="004539F5"/>
    <w:rsid w:val="00453C8B"/>
    <w:rsid w:val="00453E5F"/>
    <w:rsid w:val="00454688"/>
    <w:rsid w:val="0045505B"/>
    <w:rsid w:val="004561A6"/>
    <w:rsid w:val="004561EC"/>
    <w:rsid w:val="004562E1"/>
    <w:rsid w:val="004565C0"/>
    <w:rsid w:val="00456C74"/>
    <w:rsid w:val="00457902"/>
    <w:rsid w:val="00457990"/>
    <w:rsid w:val="00457A3B"/>
    <w:rsid w:val="00460041"/>
    <w:rsid w:val="0046045B"/>
    <w:rsid w:val="004604AC"/>
    <w:rsid w:val="00460754"/>
    <w:rsid w:val="004607E4"/>
    <w:rsid w:val="00460DC8"/>
    <w:rsid w:val="0046102F"/>
    <w:rsid w:val="004610D3"/>
    <w:rsid w:val="004614CB"/>
    <w:rsid w:val="004614F6"/>
    <w:rsid w:val="0046174E"/>
    <w:rsid w:val="00461DA8"/>
    <w:rsid w:val="0046253D"/>
    <w:rsid w:val="004626E6"/>
    <w:rsid w:val="00462C53"/>
    <w:rsid w:val="00463C64"/>
    <w:rsid w:val="00463D0A"/>
    <w:rsid w:val="004640D9"/>
    <w:rsid w:val="00464274"/>
    <w:rsid w:val="004642F3"/>
    <w:rsid w:val="004644A4"/>
    <w:rsid w:val="00464A83"/>
    <w:rsid w:val="00464AA4"/>
    <w:rsid w:val="00464BD2"/>
    <w:rsid w:val="00464E4E"/>
    <w:rsid w:val="00464EEE"/>
    <w:rsid w:val="004655E8"/>
    <w:rsid w:val="00465A20"/>
    <w:rsid w:val="0046612A"/>
    <w:rsid w:val="004669DC"/>
    <w:rsid w:val="00466B6E"/>
    <w:rsid w:val="00466D4B"/>
    <w:rsid w:val="00466FBB"/>
    <w:rsid w:val="0046733B"/>
    <w:rsid w:val="00467B03"/>
    <w:rsid w:val="004700D6"/>
    <w:rsid w:val="00470BCB"/>
    <w:rsid w:val="004712CE"/>
    <w:rsid w:val="00471A4C"/>
    <w:rsid w:val="00471D41"/>
    <w:rsid w:val="004729A8"/>
    <w:rsid w:val="00472C8B"/>
    <w:rsid w:val="00472DDE"/>
    <w:rsid w:val="0047310F"/>
    <w:rsid w:val="00473788"/>
    <w:rsid w:val="00473934"/>
    <w:rsid w:val="0047445A"/>
    <w:rsid w:val="00474533"/>
    <w:rsid w:val="00474B8C"/>
    <w:rsid w:val="00474C01"/>
    <w:rsid w:val="00474FF5"/>
    <w:rsid w:val="004752DE"/>
    <w:rsid w:val="004753E6"/>
    <w:rsid w:val="004754D9"/>
    <w:rsid w:val="00475D86"/>
    <w:rsid w:val="00475FB0"/>
    <w:rsid w:val="00477011"/>
    <w:rsid w:val="004773DD"/>
    <w:rsid w:val="00477437"/>
    <w:rsid w:val="004802DB"/>
    <w:rsid w:val="00480417"/>
    <w:rsid w:val="00481C4D"/>
    <w:rsid w:val="0048247C"/>
    <w:rsid w:val="0048257D"/>
    <w:rsid w:val="004825EC"/>
    <w:rsid w:val="00482D42"/>
    <w:rsid w:val="00483164"/>
    <w:rsid w:val="004836B3"/>
    <w:rsid w:val="00483C0D"/>
    <w:rsid w:val="00484245"/>
    <w:rsid w:val="004847EF"/>
    <w:rsid w:val="0048482E"/>
    <w:rsid w:val="00485577"/>
    <w:rsid w:val="00485A30"/>
    <w:rsid w:val="00485BED"/>
    <w:rsid w:val="00486010"/>
    <w:rsid w:val="00486C16"/>
    <w:rsid w:val="00486E4B"/>
    <w:rsid w:val="004872C2"/>
    <w:rsid w:val="004879D5"/>
    <w:rsid w:val="00487D6C"/>
    <w:rsid w:val="00487E0A"/>
    <w:rsid w:val="00490038"/>
    <w:rsid w:val="00490181"/>
    <w:rsid w:val="004906D6"/>
    <w:rsid w:val="004907EB"/>
    <w:rsid w:val="0049275F"/>
    <w:rsid w:val="00492934"/>
    <w:rsid w:val="00492B6F"/>
    <w:rsid w:val="00492D5D"/>
    <w:rsid w:val="004933E7"/>
    <w:rsid w:val="004934FE"/>
    <w:rsid w:val="0049364E"/>
    <w:rsid w:val="00493725"/>
    <w:rsid w:val="004937DF"/>
    <w:rsid w:val="004939F3"/>
    <w:rsid w:val="00493FC8"/>
    <w:rsid w:val="00494DFF"/>
    <w:rsid w:val="00495A7F"/>
    <w:rsid w:val="00496435"/>
    <w:rsid w:val="0049668C"/>
    <w:rsid w:val="00496BF7"/>
    <w:rsid w:val="0049728A"/>
    <w:rsid w:val="0049776F"/>
    <w:rsid w:val="00497B2B"/>
    <w:rsid w:val="004A007F"/>
    <w:rsid w:val="004A0593"/>
    <w:rsid w:val="004A06E8"/>
    <w:rsid w:val="004A0745"/>
    <w:rsid w:val="004A0988"/>
    <w:rsid w:val="004A09AE"/>
    <w:rsid w:val="004A09DC"/>
    <w:rsid w:val="004A0BB1"/>
    <w:rsid w:val="004A0E25"/>
    <w:rsid w:val="004A0E26"/>
    <w:rsid w:val="004A1859"/>
    <w:rsid w:val="004A19E0"/>
    <w:rsid w:val="004A1F25"/>
    <w:rsid w:val="004A2C75"/>
    <w:rsid w:val="004A2ED4"/>
    <w:rsid w:val="004A2F7C"/>
    <w:rsid w:val="004A350E"/>
    <w:rsid w:val="004A372A"/>
    <w:rsid w:val="004A39A5"/>
    <w:rsid w:val="004A409A"/>
    <w:rsid w:val="004A425D"/>
    <w:rsid w:val="004A44DE"/>
    <w:rsid w:val="004A4526"/>
    <w:rsid w:val="004A4717"/>
    <w:rsid w:val="004A4B62"/>
    <w:rsid w:val="004A4BA0"/>
    <w:rsid w:val="004A550F"/>
    <w:rsid w:val="004A5E62"/>
    <w:rsid w:val="004A6271"/>
    <w:rsid w:val="004A63C9"/>
    <w:rsid w:val="004A6B6E"/>
    <w:rsid w:val="004A6BA4"/>
    <w:rsid w:val="004A6F87"/>
    <w:rsid w:val="004B0126"/>
    <w:rsid w:val="004B023F"/>
    <w:rsid w:val="004B0387"/>
    <w:rsid w:val="004B0752"/>
    <w:rsid w:val="004B07CF"/>
    <w:rsid w:val="004B0AAE"/>
    <w:rsid w:val="004B0ADD"/>
    <w:rsid w:val="004B13EC"/>
    <w:rsid w:val="004B1AEE"/>
    <w:rsid w:val="004B1B81"/>
    <w:rsid w:val="004B2434"/>
    <w:rsid w:val="004B2DD6"/>
    <w:rsid w:val="004B3092"/>
    <w:rsid w:val="004B3101"/>
    <w:rsid w:val="004B357D"/>
    <w:rsid w:val="004B38DA"/>
    <w:rsid w:val="004B397D"/>
    <w:rsid w:val="004B3FA2"/>
    <w:rsid w:val="004B455A"/>
    <w:rsid w:val="004B4964"/>
    <w:rsid w:val="004B4DF8"/>
    <w:rsid w:val="004B5191"/>
    <w:rsid w:val="004B53EF"/>
    <w:rsid w:val="004B5FDC"/>
    <w:rsid w:val="004B65E9"/>
    <w:rsid w:val="004B670F"/>
    <w:rsid w:val="004B690D"/>
    <w:rsid w:val="004B6F05"/>
    <w:rsid w:val="004B6FB8"/>
    <w:rsid w:val="004B7236"/>
    <w:rsid w:val="004B744A"/>
    <w:rsid w:val="004C08DB"/>
    <w:rsid w:val="004C1E19"/>
    <w:rsid w:val="004C1E2C"/>
    <w:rsid w:val="004C22CB"/>
    <w:rsid w:val="004C2570"/>
    <w:rsid w:val="004C2872"/>
    <w:rsid w:val="004C2E63"/>
    <w:rsid w:val="004C377A"/>
    <w:rsid w:val="004C3C6B"/>
    <w:rsid w:val="004C4063"/>
    <w:rsid w:val="004C48D2"/>
    <w:rsid w:val="004C4939"/>
    <w:rsid w:val="004C50FD"/>
    <w:rsid w:val="004C51CE"/>
    <w:rsid w:val="004C52E1"/>
    <w:rsid w:val="004C587C"/>
    <w:rsid w:val="004C5C18"/>
    <w:rsid w:val="004C5C4A"/>
    <w:rsid w:val="004C5D86"/>
    <w:rsid w:val="004C6368"/>
    <w:rsid w:val="004C658E"/>
    <w:rsid w:val="004C6D61"/>
    <w:rsid w:val="004C7ABB"/>
    <w:rsid w:val="004C7AD5"/>
    <w:rsid w:val="004D0E58"/>
    <w:rsid w:val="004D0E9F"/>
    <w:rsid w:val="004D11E2"/>
    <w:rsid w:val="004D189C"/>
    <w:rsid w:val="004D1A73"/>
    <w:rsid w:val="004D2AEA"/>
    <w:rsid w:val="004D2DF9"/>
    <w:rsid w:val="004D31FB"/>
    <w:rsid w:val="004D4286"/>
    <w:rsid w:val="004D49AD"/>
    <w:rsid w:val="004D4A66"/>
    <w:rsid w:val="004D4A99"/>
    <w:rsid w:val="004D4D0B"/>
    <w:rsid w:val="004D51FB"/>
    <w:rsid w:val="004D544B"/>
    <w:rsid w:val="004D56BE"/>
    <w:rsid w:val="004D5958"/>
    <w:rsid w:val="004D5AB7"/>
    <w:rsid w:val="004D5C3D"/>
    <w:rsid w:val="004D6337"/>
    <w:rsid w:val="004D6435"/>
    <w:rsid w:val="004D6765"/>
    <w:rsid w:val="004D695F"/>
    <w:rsid w:val="004D6C08"/>
    <w:rsid w:val="004D6D38"/>
    <w:rsid w:val="004D709C"/>
    <w:rsid w:val="004D70BC"/>
    <w:rsid w:val="004D792E"/>
    <w:rsid w:val="004D79B0"/>
    <w:rsid w:val="004E0064"/>
    <w:rsid w:val="004E03DD"/>
    <w:rsid w:val="004E04A4"/>
    <w:rsid w:val="004E0E5E"/>
    <w:rsid w:val="004E2338"/>
    <w:rsid w:val="004E274E"/>
    <w:rsid w:val="004E2AA1"/>
    <w:rsid w:val="004E2BA9"/>
    <w:rsid w:val="004E2CA9"/>
    <w:rsid w:val="004E2FB6"/>
    <w:rsid w:val="004E39AB"/>
    <w:rsid w:val="004E3A2B"/>
    <w:rsid w:val="004E4135"/>
    <w:rsid w:val="004E4984"/>
    <w:rsid w:val="004E4DBB"/>
    <w:rsid w:val="004E5765"/>
    <w:rsid w:val="004E5BC4"/>
    <w:rsid w:val="004E5C4B"/>
    <w:rsid w:val="004E5F8D"/>
    <w:rsid w:val="004E69EA"/>
    <w:rsid w:val="004E6B2D"/>
    <w:rsid w:val="004E6B54"/>
    <w:rsid w:val="004E7338"/>
    <w:rsid w:val="004E7815"/>
    <w:rsid w:val="004F0344"/>
    <w:rsid w:val="004F06D8"/>
    <w:rsid w:val="004F07B7"/>
    <w:rsid w:val="004F1527"/>
    <w:rsid w:val="004F17BB"/>
    <w:rsid w:val="004F1CEB"/>
    <w:rsid w:val="004F1DCA"/>
    <w:rsid w:val="004F2A08"/>
    <w:rsid w:val="004F2E09"/>
    <w:rsid w:val="004F2ED2"/>
    <w:rsid w:val="004F3075"/>
    <w:rsid w:val="004F324E"/>
    <w:rsid w:val="004F3A94"/>
    <w:rsid w:val="004F3B15"/>
    <w:rsid w:val="004F4014"/>
    <w:rsid w:val="004F41CD"/>
    <w:rsid w:val="004F42D0"/>
    <w:rsid w:val="004F4659"/>
    <w:rsid w:val="004F48C1"/>
    <w:rsid w:val="004F490A"/>
    <w:rsid w:val="004F4A41"/>
    <w:rsid w:val="004F4A8B"/>
    <w:rsid w:val="004F4C4E"/>
    <w:rsid w:val="004F4CF6"/>
    <w:rsid w:val="004F581A"/>
    <w:rsid w:val="004F5AB0"/>
    <w:rsid w:val="004F6132"/>
    <w:rsid w:val="004F65BB"/>
    <w:rsid w:val="004F6E6A"/>
    <w:rsid w:val="004F7208"/>
    <w:rsid w:val="004F73D2"/>
    <w:rsid w:val="004F7793"/>
    <w:rsid w:val="004F77EE"/>
    <w:rsid w:val="004F782A"/>
    <w:rsid w:val="004F79FE"/>
    <w:rsid w:val="004F7FD6"/>
    <w:rsid w:val="00500121"/>
    <w:rsid w:val="0050035E"/>
    <w:rsid w:val="005008D6"/>
    <w:rsid w:val="00500ACB"/>
    <w:rsid w:val="005019B8"/>
    <w:rsid w:val="00502129"/>
    <w:rsid w:val="0050246A"/>
    <w:rsid w:val="00502C2F"/>
    <w:rsid w:val="00502C33"/>
    <w:rsid w:val="00503767"/>
    <w:rsid w:val="00503996"/>
    <w:rsid w:val="005039C2"/>
    <w:rsid w:val="00503FD0"/>
    <w:rsid w:val="00504511"/>
    <w:rsid w:val="005045B6"/>
    <w:rsid w:val="00504A86"/>
    <w:rsid w:val="00504FDB"/>
    <w:rsid w:val="005051E3"/>
    <w:rsid w:val="00506C51"/>
    <w:rsid w:val="00507131"/>
    <w:rsid w:val="00507267"/>
    <w:rsid w:val="005076E1"/>
    <w:rsid w:val="00507822"/>
    <w:rsid w:val="0050784B"/>
    <w:rsid w:val="00507BFC"/>
    <w:rsid w:val="00507FB5"/>
    <w:rsid w:val="00510B2A"/>
    <w:rsid w:val="00510FBB"/>
    <w:rsid w:val="00511061"/>
    <w:rsid w:val="00511265"/>
    <w:rsid w:val="00511296"/>
    <w:rsid w:val="00512409"/>
    <w:rsid w:val="005125E4"/>
    <w:rsid w:val="00513313"/>
    <w:rsid w:val="00513595"/>
    <w:rsid w:val="0051400E"/>
    <w:rsid w:val="00515A1E"/>
    <w:rsid w:val="00516044"/>
    <w:rsid w:val="005164DE"/>
    <w:rsid w:val="0051677F"/>
    <w:rsid w:val="00516781"/>
    <w:rsid w:val="00516E1E"/>
    <w:rsid w:val="005178E3"/>
    <w:rsid w:val="00517BB1"/>
    <w:rsid w:val="00520FD7"/>
    <w:rsid w:val="0052174D"/>
    <w:rsid w:val="005218F7"/>
    <w:rsid w:val="00522728"/>
    <w:rsid w:val="005233A9"/>
    <w:rsid w:val="0052344E"/>
    <w:rsid w:val="0052379E"/>
    <w:rsid w:val="0052383D"/>
    <w:rsid w:val="00523A67"/>
    <w:rsid w:val="00523D4E"/>
    <w:rsid w:val="005241F5"/>
    <w:rsid w:val="0052549B"/>
    <w:rsid w:val="00525BBE"/>
    <w:rsid w:val="00526F11"/>
    <w:rsid w:val="0052721D"/>
    <w:rsid w:val="00527702"/>
    <w:rsid w:val="0052787B"/>
    <w:rsid w:val="00527C68"/>
    <w:rsid w:val="005301F4"/>
    <w:rsid w:val="005302AA"/>
    <w:rsid w:val="00530D66"/>
    <w:rsid w:val="005313A7"/>
    <w:rsid w:val="005318E6"/>
    <w:rsid w:val="00531D47"/>
    <w:rsid w:val="00531DA4"/>
    <w:rsid w:val="005324AD"/>
    <w:rsid w:val="005328E8"/>
    <w:rsid w:val="0053299A"/>
    <w:rsid w:val="00532BAD"/>
    <w:rsid w:val="00533334"/>
    <w:rsid w:val="005348E6"/>
    <w:rsid w:val="005356E8"/>
    <w:rsid w:val="00535DC5"/>
    <w:rsid w:val="00535E68"/>
    <w:rsid w:val="00535FA2"/>
    <w:rsid w:val="005362C5"/>
    <w:rsid w:val="00536A9B"/>
    <w:rsid w:val="00536B98"/>
    <w:rsid w:val="00537408"/>
    <w:rsid w:val="0053766B"/>
    <w:rsid w:val="00537AB7"/>
    <w:rsid w:val="00537C73"/>
    <w:rsid w:val="00537DEA"/>
    <w:rsid w:val="00540077"/>
    <w:rsid w:val="005408AD"/>
    <w:rsid w:val="0054092F"/>
    <w:rsid w:val="005416AE"/>
    <w:rsid w:val="0054179E"/>
    <w:rsid w:val="00541B8A"/>
    <w:rsid w:val="00542572"/>
    <w:rsid w:val="0054298B"/>
    <w:rsid w:val="00542A88"/>
    <w:rsid w:val="005430C9"/>
    <w:rsid w:val="00543750"/>
    <w:rsid w:val="00543834"/>
    <w:rsid w:val="00543C76"/>
    <w:rsid w:val="005440C7"/>
    <w:rsid w:val="005449D4"/>
    <w:rsid w:val="00546127"/>
    <w:rsid w:val="005466CD"/>
    <w:rsid w:val="00546731"/>
    <w:rsid w:val="005472E7"/>
    <w:rsid w:val="00547C56"/>
    <w:rsid w:val="00550009"/>
    <w:rsid w:val="0055025D"/>
    <w:rsid w:val="00550272"/>
    <w:rsid w:val="0055056F"/>
    <w:rsid w:val="005506B6"/>
    <w:rsid w:val="0055072B"/>
    <w:rsid w:val="00551DF4"/>
    <w:rsid w:val="00552AB5"/>
    <w:rsid w:val="005530C5"/>
    <w:rsid w:val="00553266"/>
    <w:rsid w:val="00553D45"/>
    <w:rsid w:val="00553DC7"/>
    <w:rsid w:val="00554316"/>
    <w:rsid w:val="0055465F"/>
    <w:rsid w:val="005567E5"/>
    <w:rsid w:val="005573C0"/>
    <w:rsid w:val="0056001A"/>
    <w:rsid w:val="00560026"/>
    <w:rsid w:val="005604D4"/>
    <w:rsid w:val="00560A7D"/>
    <w:rsid w:val="00560FF0"/>
    <w:rsid w:val="00561E7D"/>
    <w:rsid w:val="00562060"/>
    <w:rsid w:val="005627E8"/>
    <w:rsid w:val="00562BE5"/>
    <w:rsid w:val="00562CD0"/>
    <w:rsid w:val="005630A3"/>
    <w:rsid w:val="00563124"/>
    <w:rsid w:val="0056321C"/>
    <w:rsid w:val="0056357F"/>
    <w:rsid w:val="00563AD7"/>
    <w:rsid w:val="00563DDD"/>
    <w:rsid w:val="005645AB"/>
    <w:rsid w:val="005647EA"/>
    <w:rsid w:val="00565421"/>
    <w:rsid w:val="00565463"/>
    <w:rsid w:val="0056569B"/>
    <w:rsid w:val="00565A39"/>
    <w:rsid w:val="00565C9B"/>
    <w:rsid w:val="005661EF"/>
    <w:rsid w:val="00566F23"/>
    <w:rsid w:val="00567152"/>
    <w:rsid w:val="005678AB"/>
    <w:rsid w:val="00570E2A"/>
    <w:rsid w:val="00571013"/>
    <w:rsid w:val="005713C6"/>
    <w:rsid w:val="005714DF"/>
    <w:rsid w:val="0057166B"/>
    <w:rsid w:val="00571BC5"/>
    <w:rsid w:val="00572B93"/>
    <w:rsid w:val="00572BC3"/>
    <w:rsid w:val="00573731"/>
    <w:rsid w:val="00573C52"/>
    <w:rsid w:val="0057418A"/>
    <w:rsid w:val="00574E62"/>
    <w:rsid w:val="0057526E"/>
    <w:rsid w:val="00575B3B"/>
    <w:rsid w:val="00575E2C"/>
    <w:rsid w:val="005760B6"/>
    <w:rsid w:val="005761F3"/>
    <w:rsid w:val="005765E8"/>
    <w:rsid w:val="00576BA0"/>
    <w:rsid w:val="00576EE2"/>
    <w:rsid w:val="0057759B"/>
    <w:rsid w:val="00577617"/>
    <w:rsid w:val="00580985"/>
    <w:rsid w:val="00581914"/>
    <w:rsid w:val="00581A4F"/>
    <w:rsid w:val="00582059"/>
    <w:rsid w:val="00582252"/>
    <w:rsid w:val="0058276D"/>
    <w:rsid w:val="00582826"/>
    <w:rsid w:val="00582DA9"/>
    <w:rsid w:val="00583290"/>
    <w:rsid w:val="00583390"/>
    <w:rsid w:val="0058340D"/>
    <w:rsid w:val="005840E6"/>
    <w:rsid w:val="00584638"/>
    <w:rsid w:val="00584A42"/>
    <w:rsid w:val="00584B59"/>
    <w:rsid w:val="005863E6"/>
    <w:rsid w:val="005866CD"/>
    <w:rsid w:val="00587AD8"/>
    <w:rsid w:val="00587F42"/>
    <w:rsid w:val="00590667"/>
    <w:rsid w:val="00590DAF"/>
    <w:rsid w:val="00590E62"/>
    <w:rsid w:val="0059151E"/>
    <w:rsid w:val="00591F4D"/>
    <w:rsid w:val="005923C8"/>
    <w:rsid w:val="005927C2"/>
    <w:rsid w:val="005929FE"/>
    <w:rsid w:val="00592A81"/>
    <w:rsid w:val="00593582"/>
    <w:rsid w:val="00593642"/>
    <w:rsid w:val="005936D1"/>
    <w:rsid w:val="0059454C"/>
    <w:rsid w:val="005945EF"/>
    <w:rsid w:val="0059489D"/>
    <w:rsid w:val="005949BE"/>
    <w:rsid w:val="00594B1B"/>
    <w:rsid w:val="00594B30"/>
    <w:rsid w:val="00594E0D"/>
    <w:rsid w:val="00595542"/>
    <w:rsid w:val="00595C35"/>
    <w:rsid w:val="00595DB1"/>
    <w:rsid w:val="0059650F"/>
    <w:rsid w:val="00596854"/>
    <w:rsid w:val="00596DBA"/>
    <w:rsid w:val="00596EF5"/>
    <w:rsid w:val="00597783"/>
    <w:rsid w:val="00597E95"/>
    <w:rsid w:val="005A0DF1"/>
    <w:rsid w:val="005A0E23"/>
    <w:rsid w:val="005A1314"/>
    <w:rsid w:val="005A1967"/>
    <w:rsid w:val="005A1CC9"/>
    <w:rsid w:val="005A244B"/>
    <w:rsid w:val="005A2492"/>
    <w:rsid w:val="005A311A"/>
    <w:rsid w:val="005A3640"/>
    <w:rsid w:val="005A468E"/>
    <w:rsid w:val="005A4A5F"/>
    <w:rsid w:val="005A5F2C"/>
    <w:rsid w:val="005A6136"/>
    <w:rsid w:val="005A6700"/>
    <w:rsid w:val="005A6895"/>
    <w:rsid w:val="005A6D59"/>
    <w:rsid w:val="005A70CE"/>
    <w:rsid w:val="005A7207"/>
    <w:rsid w:val="005A749C"/>
    <w:rsid w:val="005A74B8"/>
    <w:rsid w:val="005A76F2"/>
    <w:rsid w:val="005A7CF0"/>
    <w:rsid w:val="005B01D7"/>
    <w:rsid w:val="005B0569"/>
    <w:rsid w:val="005B0707"/>
    <w:rsid w:val="005B0A4F"/>
    <w:rsid w:val="005B13B0"/>
    <w:rsid w:val="005B1783"/>
    <w:rsid w:val="005B2169"/>
    <w:rsid w:val="005B30B2"/>
    <w:rsid w:val="005B42BE"/>
    <w:rsid w:val="005B44EE"/>
    <w:rsid w:val="005B4837"/>
    <w:rsid w:val="005B4A35"/>
    <w:rsid w:val="005B4C76"/>
    <w:rsid w:val="005B4EC1"/>
    <w:rsid w:val="005B4FFF"/>
    <w:rsid w:val="005B5076"/>
    <w:rsid w:val="005B512A"/>
    <w:rsid w:val="005B5393"/>
    <w:rsid w:val="005B541C"/>
    <w:rsid w:val="005B543F"/>
    <w:rsid w:val="005B57C5"/>
    <w:rsid w:val="005B5A07"/>
    <w:rsid w:val="005B5B8C"/>
    <w:rsid w:val="005B6366"/>
    <w:rsid w:val="005B64AB"/>
    <w:rsid w:val="005B67FD"/>
    <w:rsid w:val="005B6BA1"/>
    <w:rsid w:val="005B6DC6"/>
    <w:rsid w:val="005B7A51"/>
    <w:rsid w:val="005C15F8"/>
    <w:rsid w:val="005C16D7"/>
    <w:rsid w:val="005C1718"/>
    <w:rsid w:val="005C173A"/>
    <w:rsid w:val="005C17A8"/>
    <w:rsid w:val="005C17AA"/>
    <w:rsid w:val="005C1F6E"/>
    <w:rsid w:val="005C2309"/>
    <w:rsid w:val="005C2351"/>
    <w:rsid w:val="005C2657"/>
    <w:rsid w:val="005C3699"/>
    <w:rsid w:val="005C435A"/>
    <w:rsid w:val="005C44AD"/>
    <w:rsid w:val="005C4591"/>
    <w:rsid w:val="005C474F"/>
    <w:rsid w:val="005C491D"/>
    <w:rsid w:val="005C516C"/>
    <w:rsid w:val="005C5386"/>
    <w:rsid w:val="005C54DA"/>
    <w:rsid w:val="005C5D2E"/>
    <w:rsid w:val="005C7068"/>
    <w:rsid w:val="005C7B49"/>
    <w:rsid w:val="005C7E07"/>
    <w:rsid w:val="005C7F9B"/>
    <w:rsid w:val="005D026B"/>
    <w:rsid w:val="005D06B8"/>
    <w:rsid w:val="005D0A0A"/>
    <w:rsid w:val="005D0A96"/>
    <w:rsid w:val="005D0BE6"/>
    <w:rsid w:val="005D1055"/>
    <w:rsid w:val="005D12AC"/>
    <w:rsid w:val="005D1545"/>
    <w:rsid w:val="005D1C35"/>
    <w:rsid w:val="005D1D3F"/>
    <w:rsid w:val="005D1DEC"/>
    <w:rsid w:val="005D1E0C"/>
    <w:rsid w:val="005D20B0"/>
    <w:rsid w:val="005D2262"/>
    <w:rsid w:val="005D2451"/>
    <w:rsid w:val="005D2491"/>
    <w:rsid w:val="005D2850"/>
    <w:rsid w:val="005D2A03"/>
    <w:rsid w:val="005D2EA7"/>
    <w:rsid w:val="005D3097"/>
    <w:rsid w:val="005D30C1"/>
    <w:rsid w:val="005D3406"/>
    <w:rsid w:val="005D362A"/>
    <w:rsid w:val="005D38F1"/>
    <w:rsid w:val="005D4D1A"/>
    <w:rsid w:val="005D4FD6"/>
    <w:rsid w:val="005D51FA"/>
    <w:rsid w:val="005D5ADF"/>
    <w:rsid w:val="005D5D9F"/>
    <w:rsid w:val="005D5DE3"/>
    <w:rsid w:val="005D610A"/>
    <w:rsid w:val="005D7198"/>
    <w:rsid w:val="005D73E3"/>
    <w:rsid w:val="005D772A"/>
    <w:rsid w:val="005D78F0"/>
    <w:rsid w:val="005D7F02"/>
    <w:rsid w:val="005E04E7"/>
    <w:rsid w:val="005E100A"/>
    <w:rsid w:val="005E13C2"/>
    <w:rsid w:val="005E14F0"/>
    <w:rsid w:val="005E1512"/>
    <w:rsid w:val="005E17D5"/>
    <w:rsid w:val="005E1E2E"/>
    <w:rsid w:val="005E1F4E"/>
    <w:rsid w:val="005E2807"/>
    <w:rsid w:val="005E3DC3"/>
    <w:rsid w:val="005E3E1C"/>
    <w:rsid w:val="005E4190"/>
    <w:rsid w:val="005E4839"/>
    <w:rsid w:val="005E4C3C"/>
    <w:rsid w:val="005E517D"/>
    <w:rsid w:val="005E5D35"/>
    <w:rsid w:val="005E5EEF"/>
    <w:rsid w:val="005E66AD"/>
    <w:rsid w:val="005E6902"/>
    <w:rsid w:val="005E69A7"/>
    <w:rsid w:val="005E78BD"/>
    <w:rsid w:val="005F0183"/>
    <w:rsid w:val="005F04CA"/>
    <w:rsid w:val="005F092F"/>
    <w:rsid w:val="005F11F1"/>
    <w:rsid w:val="005F14B9"/>
    <w:rsid w:val="005F1DCA"/>
    <w:rsid w:val="005F1F30"/>
    <w:rsid w:val="005F1FE0"/>
    <w:rsid w:val="005F22D7"/>
    <w:rsid w:val="005F2847"/>
    <w:rsid w:val="005F2B76"/>
    <w:rsid w:val="005F2BC2"/>
    <w:rsid w:val="005F32C7"/>
    <w:rsid w:val="005F344A"/>
    <w:rsid w:val="005F36E9"/>
    <w:rsid w:val="005F3729"/>
    <w:rsid w:val="005F3AAA"/>
    <w:rsid w:val="005F3C3B"/>
    <w:rsid w:val="005F41CE"/>
    <w:rsid w:val="005F42C8"/>
    <w:rsid w:val="005F5A32"/>
    <w:rsid w:val="005F5AC0"/>
    <w:rsid w:val="005F62EE"/>
    <w:rsid w:val="005F6456"/>
    <w:rsid w:val="005F6AD4"/>
    <w:rsid w:val="005F6BB3"/>
    <w:rsid w:val="005F6D21"/>
    <w:rsid w:val="005F6D79"/>
    <w:rsid w:val="005F6DBF"/>
    <w:rsid w:val="005F79E0"/>
    <w:rsid w:val="005F7F8A"/>
    <w:rsid w:val="00600178"/>
    <w:rsid w:val="006003D1"/>
    <w:rsid w:val="006005FC"/>
    <w:rsid w:val="00600CA9"/>
    <w:rsid w:val="006015B3"/>
    <w:rsid w:val="00601A65"/>
    <w:rsid w:val="00601BD5"/>
    <w:rsid w:val="00601DA0"/>
    <w:rsid w:val="00601ED3"/>
    <w:rsid w:val="0060274C"/>
    <w:rsid w:val="00603BB3"/>
    <w:rsid w:val="00603C13"/>
    <w:rsid w:val="00603D48"/>
    <w:rsid w:val="006040A5"/>
    <w:rsid w:val="00604609"/>
    <w:rsid w:val="006057CC"/>
    <w:rsid w:val="00605D59"/>
    <w:rsid w:val="00606C29"/>
    <w:rsid w:val="00607066"/>
    <w:rsid w:val="006079F7"/>
    <w:rsid w:val="0061017A"/>
    <w:rsid w:val="006101F1"/>
    <w:rsid w:val="00610556"/>
    <w:rsid w:val="00611377"/>
    <w:rsid w:val="00611386"/>
    <w:rsid w:val="00611AE8"/>
    <w:rsid w:val="00611B76"/>
    <w:rsid w:val="00611BF0"/>
    <w:rsid w:val="00611EC2"/>
    <w:rsid w:val="00612180"/>
    <w:rsid w:val="006122B2"/>
    <w:rsid w:val="00612744"/>
    <w:rsid w:val="0061286B"/>
    <w:rsid w:val="00612A90"/>
    <w:rsid w:val="00613011"/>
    <w:rsid w:val="00613275"/>
    <w:rsid w:val="0061419A"/>
    <w:rsid w:val="0061446B"/>
    <w:rsid w:val="00614726"/>
    <w:rsid w:val="006148D2"/>
    <w:rsid w:val="00614B6F"/>
    <w:rsid w:val="00615347"/>
    <w:rsid w:val="00615600"/>
    <w:rsid w:val="0061604A"/>
    <w:rsid w:val="006161E9"/>
    <w:rsid w:val="006165F4"/>
    <w:rsid w:val="00616855"/>
    <w:rsid w:val="00616D94"/>
    <w:rsid w:val="00616E29"/>
    <w:rsid w:val="006176ED"/>
    <w:rsid w:val="00620087"/>
    <w:rsid w:val="00620641"/>
    <w:rsid w:val="0062080A"/>
    <w:rsid w:val="00620987"/>
    <w:rsid w:val="00620BFA"/>
    <w:rsid w:val="00620F26"/>
    <w:rsid w:val="006212AB"/>
    <w:rsid w:val="00621634"/>
    <w:rsid w:val="006217B6"/>
    <w:rsid w:val="006219AC"/>
    <w:rsid w:val="00621EB5"/>
    <w:rsid w:val="00622364"/>
    <w:rsid w:val="00622D92"/>
    <w:rsid w:val="00622F40"/>
    <w:rsid w:val="00624309"/>
    <w:rsid w:val="00624B1E"/>
    <w:rsid w:val="00624E70"/>
    <w:rsid w:val="00625EDC"/>
    <w:rsid w:val="00626055"/>
    <w:rsid w:val="006263F1"/>
    <w:rsid w:val="006266CC"/>
    <w:rsid w:val="00626744"/>
    <w:rsid w:val="006268B6"/>
    <w:rsid w:val="00626BB9"/>
    <w:rsid w:val="006272CE"/>
    <w:rsid w:val="006275D5"/>
    <w:rsid w:val="006278F3"/>
    <w:rsid w:val="00627D7C"/>
    <w:rsid w:val="00630451"/>
    <w:rsid w:val="0063048C"/>
    <w:rsid w:val="00630706"/>
    <w:rsid w:val="00630CB5"/>
    <w:rsid w:val="00630D38"/>
    <w:rsid w:val="00630EF9"/>
    <w:rsid w:val="00630F5D"/>
    <w:rsid w:val="00631151"/>
    <w:rsid w:val="0063132C"/>
    <w:rsid w:val="006319C1"/>
    <w:rsid w:val="0063239E"/>
    <w:rsid w:val="00632780"/>
    <w:rsid w:val="00632F1A"/>
    <w:rsid w:val="00633173"/>
    <w:rsid w:val="006334C6"/>
    <w:rsid w:val="00633884"/>
    <w:rsid w:val="0063437C"/>
    <w:rsid w:val="00634BE6"/>
    <w:rsid w:val="006356E7"/>
    <w:rsid w:val="006365E0"/>
    <w:rsid w:val="0063666A"/>
    <w:rsid w:val="0063681E"/>
    <w:rsid w:val="00636C0A"/>
    <w:rsid w:val="006404F5"/>
    <w:rsid w:val="00640656"/>
    <w:rsid w:val="0064079B"/>
    <w:rsid w:val="00640FFD"/>
    <w:rsid w:val="00641E93"/>
    <w:rsid w:val="0064233D"/>
    <w:rsid w:val="0064249B"/>
    <w:rsid w:val="00643EAC"/>
    <w:rsid w:val="006441C7"/>
    <w:rsid w:val="00644791"/>
    <w:rsid w:val="00644DFE"/>
    <w:rsid w:val="006450D8"/>
    <w:rsid w:val="00645205"/>
    <w:rsid w:val="00645A43"/>
    <w:rsid w:val="00645AC6"/>
    <w:rsid w:val="00646BC0"/>
    <w:rsid w:val="00646F6F"/>
    <w:rsid w:val="00646FD6"/>
    <w:rsid w:val="006471E0"/>
    <w:rsid w:val="0064746C"/>
    <w:rsid w:val="006479FC"/>
    <w:rsid w:val="00647FC1"/>
    <w:rsid w:val="00650239"/>
    <w:rsid w:val="006507C1"/>
    <w:rsid w:val="00650A73"/>
    <w:rsid w:val="00650C36"/>
    <w:rsid w:val="00651D28"/>
    <w:rsid w:val="00651DE2"/>
    <w:rsid w:val="006525E3"/>
    <w:rsid w:val="00653D2F"/>
    <w:rsid w:val="00654301"/>
    <w:rsid w:val="00654942"/>
    <w:rsid w:val="0065499C"/>
    <w:rsid w:val="006557CD"/>
    <w:rsid w:val="00655A98"/>
    <w:rsid w:val="00655E39"/>
    <w:rsid w:val="006561F7"/>
    <w:rsid w:val="00656377"/>
    <w:rsid w:val="00656777"/>
    <w:rsid w:val="00656C2B"/>
    <w:rsid w:val="00656D32"/>
    <w:rsid w:val="00657353"/>
    <w:rsid w:val="00657468"/>
    <w:rsid w:val="00657E4A"/>
    <w:rsid w:val="006600D3"/>
    <w:rsid w:val="0066027C"/>
    <w:rsid w:val="00660414"/>
    <w:rsid w:val="00660455"/>
    <w:rsid w:val="00660844"/>
    <w:rsid w:val="006618EB"/>
    <w:rsid w:val="0066199C"/>
    <w:rsid w:val="00662103"/>
    <w:rsid w:val="00662DB0"/>
    <w:rsid w:val="00663106"/>
    <w:rsid w:val="006633D2"/>
    <w:rsid w:val="00663B9A"/>
    <w:rsid w:val="0066436F"/>
    <w:rsid w:val="00664901"/>
    <w:rsid w:val="00664A0F"/>
    <w:rsid w:val="00664E16"/>
    <w:rsid w:val="00665688"/>
    <w:rsid w:val="00665802"/>
    <w:rsid w:val="006658CF"/>
    <w:rsid w:val="006661CC"/>
    <w:rsid w:val="006663C0"/>
    <w:rsid w:val="00666CDE"/>
    <w:rsid w:val="00667606"/>
    <w:rsid w:val="0066785F"/>
    <w:rsid w:val="00667B45"/>
    <w:rsid w:val="00667DD0"/>
    <w:rsid w:val="0067071E"/>
    <w:rsid w:val="00671D84"/>
    <w:rsid w:val="0067205E"/>
    <w:rsid w:val="006720B2"/>
    <w:rsid w:val="00672437"/>
    <w:rsid w:val="00672573"/>
    <w:rsid w:val="00672982"/>
    <w:rsid w:val="00672B57"/>
    <w:rsid w:val="00673F22"/>
    <w:rsid w:val="00675152"/>
    <w:rsid w:val="00675208"/>
    <w:rsid w:val="00675AD8"/>
    <w:rsid w:val="006765A9"/>
    <w:rsid w:val="0067696C"/>
    <w:rsid w:val="00676BC2"/>
    <w:rsid w:val="00676CC9"/>
    <w:rsid w:val="006775D9"/>
    <w:rsid w:val="006801A0"/>
    <w:rsid w:val="006806FF"/>
    <w:rsid w:val="00680A53"/>
    <w:rsid w:val="00681331"/>
    <w:rsid w:val="00681C87"/>
    <w:rsid w:val="00681D43"/>
    <w:rsid w:val="00681D8A"/>
    <w:rsid w:val="00681E7F"/>
    <w:rsid w:val="00682238"/>
    <w:rsid w:val="00682241"/>
    <w:rsid w:val="00682387"/>
    <w:rsid w:val="00682C11"/>
    <w:rsid w:val="00682C8D"/>
    <w:rsid w:val="00682DD6"/>
    <w:rsid w:val="00682E9B"/>
    <w:rsid w:val="00683004"/>
    <w:rsid w:val="00683416"/>
    <w:rsid w:val="0068350D"/>
    <w:rsid w:val="00683BA9"/>
    <w:rsid w:val="006843DF"/>
    <w:rsid w:val="006843F0"/>
    <w:rsid w:val="00684705"/>
    <w:rsid w:val="00684C64"/>
    <w:rsid w:val="00685093"/>
    <w:rsid w:val="006857D1"/>
    <w:rsid w:val="00685BF1"/>
    <w:rsid w:val="00685CC0"/>
    <w:rsid w:val="00686232"/>
    <w:rsid w:val="006863B9"/>
    <w:rsid w:val="006867D8"/>
    <w:rsid w:val="006872F4"/>
    <w:rsid w:val="00687531"/>
    <w:rsid w:val="00687F73"/>
    <w:rsid w:val="00690090"/>
    <w:rsid w:val="0069034B"/>
    <w:rsid w:val="00690710"/>
    <w:rsid w:val="00690726"/>
    <w:rsid w:val="00690806"/>
    <w:rsid w:val="00690883"/>
    <w:rsid w:val="00690CB4"/>
    <w:rsid w:val="00691032"/>
    <w:rsid w:val="006910F5"/>
    <w:rsid w:val="00691125"/>
    <w:rsid w:val="00691553"/>
    <w:rsid w:val="00691CAB"/>
    <w:rsid w:val="00691CEB"/>
    <w:rsid w:val="00691D08"/>
    <w:rsid w:val="0069218F"/>
    <w:rsid w:val="006929D5"/>
    <w:rsid w:val="00692E24"/>
    <w:rsid w:val="00692FCA"/>
    <w:rsid w:val="00693108"/>
    <w:rsid w:val="00693368"/>
    <w:rsid w:val="006935DC"/>
    <w:rsid w:val="0069383F"/>
    <w:rsid w:val="00693C3E"/>
    <w:rsid w:val="00694199"/>
    <w:rsid w:val="006942F9"/>
    <w:rsid w:val="00694520"/>
    <w:rsid w:val="00694B2D"/>
    <w:rsid w:val="00695463"/>
    <w:rsid w:val="00695936"/>
    <w:rsid w:val="00696526"/>
    <w:rsid w:val="00696940"/>
    <w:rsid w:val="00696D41"/>
    <w:rsid w:val="00696DED"/>
    <w:rsid w:val="00697D15"/>
    <w:rsid w:val="006A0462"/>
    <w:rsid w:val="006A0569"/>
    <w:rsid w:val="006A0599"/>
    <w:rsid w:val="006A1CD1"/>
    <w:rsid w:val="006A1CF7"/>
    <w:rsid w:val="006A21DB"/>
    <w:rsid w:val="006A26BF"/>
    <w:rsid w:val="006A29A3"/>
    <w:rsid w:val="006A3635"/>
    <w:rsid w:val="006A46AA"/>
    <w:rsid w:val="006A4B1A"/>
    <w:rsid w:val="006A4BD9"/>
    <w:rsid w:val="006A4EE6"/>
    <w:rsid w:val="006A51DB"/>
    <w:rsid w:val="006A62AE"/>
    <w:rsid w:val="006A64E7"/>
    <w:rsid w:val="006A686A"/>
    <w:rsid w:val="006A70A6"/>
    <w:rsid w:val="006A722B"/>
    <w:rsid w:val="006A7AA6"/>
    <w:rsid w:val="006B045B"/>
    <w:rsid w:val="006B1438"/>
    <w:rsid w:val="006B1B51"/>
    <w:rsid w:val="006B1F1F"/>
    <w:rsid w:val="006B27A5"/>
    <w:rsid w:val="006B35EE"/>
    <w:rsid w:val="006B3DBA"/>
    <w:rsid w:val="006B4297"/>
    <w:rsid w:val="006B4CFF"/>
    <w:rsid w:val="006B5522"/>
    <w:rsid w:val="006B5889"/>
    <w:rsid w:val="006B6F95"/>
    <w:rsid w:val="006B710C"/>
    <w:rsid w:val="006B72E7"/>
    <w:rsid w:val="006B743B"/>
    <w:rsid w:val="006B760A"/>
    <w:rsid w:val="006B775E"/>
    <w:rsid w:val="006B7796"/>
    <w:rsid w:val="006B78DE"/>
    <w:rsid w:val="006B7B8C"/>
    <w:rsid w:val="006C076E"/>
    <w:rsid w:val="006C0946"/>
    <w:rsid w:val="006C099C"/>
    <w:rsid w:val="006C0B36"/>
    <w:rsid w:val="006C0D03"/>
    <w:rsid w:val="006C0F99"/>
    <w:rsid w:val="006C141F"/>
    <w:rsid w:val="006C1617"/>
    <w:rsid w:val="006C1863"/>
    <w:rsid w:val="006C1A95"/>
    <w:rsid w:val="006C23E7"/>
    <w:rsid w:val="006C2B91"/>
    <w:rsid w:val="006C2D75"/>
    <w:rsid w:val="006C30E8"/>
    <w:rsid w:val="006C3769"/>
    <w:rsid w:val="006C3F4A"/>
    <w:rsid w:val="006C44D6"/>
    <w:rsid w:val="006C558E"/>
    <w:rsid w:val="006C5A02"/>
    <w:rsid w:val="006C5A10"/>
    <w:rsid w:val="006C651F"/>
    <w:rsid w:val="006C6D33"/>
    <w:rsid w:val="006C6D84"/>
    <w:rsid w:val="006C7324"/>
    <w:rsid w:val="006C7A3D"/>
    <w:rsid w:val="006C7C70"/>
    <w:rsid w:val="006D000C"/>
    <w:rsid w:val="006D0331"/>
    <w:rsid w:val="006D06D9"/>
    <w:rsid w:val="006D0ED4"/>
    <w:rsid w:val="006D1108"/>
    <w:rsid w:val="006D120D"/>
    <w:rsid w:val="006D1520"/>
    <w:rsid w:val="006D255A"/>
    <w:rsid w:val="006D277C"/>
    <w:rsid w:val="006D30FB"/>
    <w:rsid w:val="006D3123"/>
    <w:rsid w:val="006D31D6"/>
    <w:rsid w:val="006D36F2"/>
    <w:rsid w:val="006D3A5F"/>
    <w:rsid w:val="006D3A8A"/>
    <w:rsid w:val="006D41C8"/>
    <w:rsid w:val="006D4990"/>
    <w:rsid w:val="006D4E65"/>
    <w:rsid w:val="006D5CE3"/>
    <w:rsid w:val="006D5EE2"/>
    <w:rsid w:val="006D5F8E"/>
    <w:rsid w:val="006D65BC"/>
    <w:rsid w:val="006D66E3"/>
    <w:rsid w:val="006D6DCE"/>
    <w:rsid w:val="006D6F55"/>
    <w:rsid w:val="006D7563"/>
    <w:rsid w:val="006D7B7F"/>
    <w:rsid w:val="006E0010"/>
    <w:rsid w:val="006E077A"/>
    <w:rsid w:val="006E0C12"/>
    <w:rsid w:val="006E0D24"/>
    <w:rsid w:val="006E1123"/>
    <w:rsid w:val="006E125B"/>
    <w:rsid w:val="006E19EF"/>
    <w:rsid w:val="006E1B6A"/>
    <w:rsid w:val="006E1BDB"/>
    <w:rsid w:val="006E1CD0"/>
    <w:rsid w:val="006E2568"/>
    <w:rsid w:val="006E26C6"/>
    <w:rsid w:val="006E2905"/>
    <w:rsid w:val="006E2E5F"/>
    <w:rsid w:val="006E36B9"/>
    <w:rsid w:val="006E392F"/>
    <w:rsid w:val="006E3A10"/>
    <w:rsid w:val="006E3F98"/>
    <w:rsid w:val="006E3FEA"/>
    <w:rsid w:val="006E4A74"/>
    <w:rsid w:val="006E4C06"/>
    <w:rsid w:val="006E4FC2"/>
    <w:rsid w:val="006E56B0"/>
    <w:rsid w:val="006E5EED"/>
    <w:rsid w:val="006E6060"/>
    <w:rsid w:val="006E62A3"/>
    <w:rsid w:val="006E62CB"/>
    <w:rsid w:val="006E65E6"/>
    <w:rsid w:val="006E68B0"/>
    <w:rsid w:val="006E6EBF"/>
    <w:rsid w:val="006E75AB"/>
    <w:rsid w:val="006E7873"/>
    <w:rsid w:val="006F0021"/>
    <w:rsid w:val="006F0209"/>
    <w:rsid w:val="006F0893"/>
    <w:rsid w:val="006F0A2F"/>
    <w:rsid w:val="006F0A7E"/>
    <w:rsid w:val="006F0BE1"/>
    <w:rsid w:val="006F0C12"/>
    <w:rsid w:val="006F1227"/>
    <w:rsid w:val="006F133A"/>
    <w:rsid w:val="006F1473"/>
    <w:rsid w:val="006F1648"/>
    <w:rsid w:val="006F18F1"/>
    <w:rsid w:val="006F1B6A"/>
    <w:rsid w:val="006F1BFF"/>
    <w:rsid w:val="006F1D68"/>
    <w:rsid w:val="006F26C4"/>
    <w:rsid w:val="006F2E39"/>
    <w:rsid w:val="006F30AF"/>
    <w:rsid w:val="006F3360"/>
    <w:rsid w:val="006F35E5"/>
    <w:rsid w:val="006F37BC"/>
    <w:rsid w:val="006F4050"/>
    <w:rsid w:val="006F43FE"/>
    <w:rsid w:val="006F4AC9"/>
    <w:rsid w:val="006F4D0E"/>
    <w:rsid w:val="006F4D57"/>
    <w:rsid w:val="006F4E63"/>
    <w:rsid w:val="006F5833"/>
    <w:rsid w:val="006F5988"/>
    <w:rsid w:val="006F5A0D"/>
    <w:rsid w:val="006F5DBE"/>
    <w:rsid w:val="006F5EA7"/>
    <w:rsid w:val="006F6083"/>
    <w:rsid w:val="006F692C"/>
    <w:rsid w:val="006F6DDD"/>
    <w:rsid w:val="006F752D"/>
    <w:rsid w:val="006F7D72"/>
    <w:rsid w:val="007000E7"/>
    <w:rsid w:val="00700336"/>
    <w:rsid w:val="007005A0"/>
    <w:rsid w:val="00700805"/>
    <w:rsid w:val="00700C47"/>
    <w:rsid w:val="007013E1"/>
    <w:rsid w:val="00701F16"/>
    <w:rsid w:val="007023BD"/>
    <w:rsid w:val="00702C6F"/>
    <w:rsid w:val="00702CE6"/>
    <w:rsid w:val="0070314E"/>
    <w:rsid w:val="00703936"/>
    <w:rsid w:val="00703BB5"/>
    <w:rsid w:val="00703CCD"/>
    <w:rsid w:val="00703CDC"/>
    <w:rsid w:val="00704FAF"/>
    <w:rsid w:val="007050CE"/>
    <w:rsid w:val="007050D7"/>
    <w:rsid w:val="00705189"/>
    <w:rsid w:val="0070529E"/>
    <w:rsid w:val="00705A06"/>
    <w:rsid w:val="00706027"/>
    <w:rsid w:val="007068EA"/>
    <w:rsid w:val="00706B6E"/>
    <w:rsid w:val="00706FC1"/>
    <w:rsid w:val="007070BA"/>
    <w:rsid w:val="00707981"/>
    <w:rsid w:val="00707F59"/>
    <w:rsid w:val="007102B1"/>
    <w:rsid w:val="007102E3"/>
    <w:rsid w:val="00710E9F"/>
    <w:rsid w:val="00710F71"/>
    <w:rsid w:val="00711910"/>
    <w:rsid w:val="00711A81"/>
    <w:rsid w:val="00711D32"/>
    <w:rsid w:val="00712E25"/>
    <w:rsid w:val="0071338F"/>
    <w:rsid w:val="00713391"/>
    <w:rsid w:val="00713CB7"/>
    <w:rsid w:val="00713EE4"/>
    <w:rsid w:val="00713FBF"/>
    <w:rsid w:val="007148FB"/>
    <w:rsid w:val="0071502D"/>
    <w:rsid w:val="007150ED"/>
    <w:rsid w:val="007152F6"/>
    <w:rsid w:val="00715373"/>
    <w:rsid w:val="0071544B"/>
    <w:rsid w:val="00715ADD"/>
    <w:rsid w:val="00715F32"/>
    <w:rsid w:val="0071659F"/>
    <w:rsid w:val="00716861"/>
    <w:rsid w:val="007172AA"/>
    <w:rsid w:val="0071757C"/>
    <w:rsid w:val="007178CC"/>
    <w:rsid w:val="00717EC7"/>
    <w:rsid w:val="007202E9"/>
    <w:rsid w:val="007203F9"/>
    <w:rsid w:val="00720994"/>
    <w:rsid w:val="00720B32"/>
    <w:rsid w:val="00720DDE"/>
    <w:rsid w:val="007210AF"/>
    <w:rsid w:val="007211F4"/>
    <w:rsid w:val="00721565"/>
    <w:rsid w:val="007220D5"/>
    <w:rsid w:val="0072272E"/>
    <w:rsid w:val="00722D25"/>
    <w:rsid w:val="00722E75"/>
    <w:rsid w:val="007233DE"/>
    <w:rsid w:val="00723EC5"/>
    <w:rsid w:val="00723FC8"/>
    <w:rsid w:val="007249AD"/>
    <w:rsid w:val="00724B75"/>
    <w:rsid w:val="00724FA7"/>
    <w:rsid w:val="00724FE0"/>
    <w:rsid w:val="00725100"/>
    <w:rsid w:val="007258C3"/>
    <w:rsid w:val="00725E63"/>
    <w:rsid w:val="00725F63"/>
    <w:rsid w:val="00726060"/>
    <w:rsid w:val="0072638C"/>
    <w:rsid w:val="007264EB"/>
    <w:rsid w:val="0072658C"/>
    <w:rsid w:val="0072710E"/>
    <w:rsid w:val="00727321"/>
    <w:rsid w:val="00727C6A"/>
    <w:rsid w:val="00727F2C"/>
    <w:rsid w:val="00730071"/>
    <w:rsid w:val="007303DD"/>
    <w:rsid w:val="00730726"/>
    <w:rsid w:val="00730B86"/>
    <w:rsid w:val="007318B3"/>
    <w:rsid w:val="00731B10"/>
    <w:rsid w:val="00731D4D"/>
    <w:rsid w:val="00731EDB"/>
    <w:rsid w:val="0073220E"/>
    <w:rsid w:val="007324F6"/>
    <w:rsid w:val="007325D0"/>
    <w:rsid w:val="00732975"/>
    <w:rsid w:val="007329A1"/>
    <w:rsid w:val="00732B1F"/>
    <w:rsid w:val="00732C59"/>
    <w:rsid w:val="00732F39"/>
    <w:rsid w:val="00733372"/>
    <w:rsid w:val="007339E4"/>
    <w:rsid w:val="00733C19"/>
    <w:rsid w:val="00733CDE"/>
    <w:rsid w:val="00734285"/>
    <w:rsid w:val="0073469E"/>
    <w:rsid w:val="00734A3B"/>
    <w:rsid w:val="00734F7C"/>
    <w:rsid w:val="0073528B"/>
    <w:rsid w:val="00735540"/>
    <w:rsid w:val="0073569A"/>
    <w:rsid w:val="007363E7"/>
    <w:rsid w:val="00736DBA"/>
    <w:rsid w:val="007378EA"/>
    <w:rsid w:val="00737B6E"/>
    <w:rsid w:val="0074038A"/>
    <w:rsid w:val="00740440"/>
    <w:rsid w:val="00741C38"/>
    <w:rsid w:val="0074294E"/>
    <w:rsid w:val="00743765"/>
    <w:rsid w:val="00743AF5"/>
    <w:rsid w:val="00743CC5"/>
    <w:rsid w:val="00743D53"/>
    <w:rsid w:val="00743D76"/>
    <w:rsid w:val="00744159"/>
    <w:rsid w:val="00744681"/>
    <w:rsid w:val="00744785"/>
    <w:rsid w:val="00744DAE"/>
    <w:rsid w:val="00744EE9"/>
    <w:rsid w:val="00745030"/>
    <w:rsid w:val="00745FBB"/>
    <w:rsid w:val="00746065"/>
    <w:rsid w:val="00746FFD"/>
    <w:rsid w:val="0074752F"/>
    <w:rsid w:val="0074781A"/>
    <w:rsid w:val="00747F9B"/>
    <w:rsid w:val="0075006C"/>
    <w:rsid w:val="0075017A"/>
    <w:rsid w:val="0075019B"/>
    <w:rsid w:val="00750610"/>
    <w:rsid w:val="007515A6"/>
    <w:rsid w:val="0075171B"/>
    <w:rsid w:val="00751DDF"/>
    <w:rsid w:val="00751EA8"/>
    <w:rsid w:val="00751F6F"/>
    <w:rsid w:val="007521D9"/>
    <w:rsid w:val="007525B7"/>
    <w:rsid w:val="007528EC"/>
    <w:rsid w:val="007534C4"/>
    <w:rsid w:val="007539DC"/>
    <w:rsid w:val="00753D84"/>
    <w:rsid w:val="00753DEA"/>
    <w:rsid w:val="007541BF"/>
    <w:rsid w:val="007544EF"/>
    <w:rsid w:val="00754E57"/>
    <w:rsid w:val="00754E8F"/>
    <w:rsid w:val="007557F8"/>
    <w:rsid w:val="00755F11"/>
    <w:rsid w:val="00756844"/>
    <w:rsid w:val="00756DE7"/>
    <w:rsid w:val="007574E2"/>
    <w:rsid w:val="00757D91"/>
    <w:rsid w:val="00757F3A"/>
    <w:rsid w:val="00760200"/>
    <w:rsid w:val="00760294"/>
    <w:rsid w:val="007603FB"/>
    <w:rsid w:val="00760704"/>
    <w:rsid w:val="00761072"/>
    <w:rsid w:val="007611AF"/>
    <w:rsid w:val="007613ED"/>
    <w:rsid w:val="007615D2"/>
    <w:rsid w:val="00762061"/>
    <w:rsid w:val="00762441"/>
    <w:rsid w:val="00763833"/>
    <w:rsid w:val="00763F51"/>
    <w:rsid w:val="00764122"/>
    <w:rsid w:val="0076435B"/>
    <w:rsid w:val="007645F7"/>
    <w:rsid w:val="00764797"/>
    <w:rsid w:val="007647CB"/>
    <w:rsid w:val="007651B8"/>
    <w:rsid w:val="0076527A"/>
    <w:rsid w:val="0076546C"/>
    <w:rsid w:val="0076559D"/>
    <w:rsid w:val="007658A1"/>
    <w:rsid w:val="00765AAE"/>
    <w:rsid w:val="00765ABB"/>
    <w:rsid w:val="007663D4"/>
    <w:rsid w:val="00766B52"/>
    <w:rsid w:val="00766F26"/>
    <w:rsid w:val="00767580"/>
    <w:rsid w:val="00767690"/>
    <w:rsid w:val="00767943"/>
    <w:rsid w:val="00767BEF"/>
    <w:rsid w:val="00767E21"/>
    <w:rsid w:val="00767E5C"/>
    <w:rsid w:val="00770610"/>
    <w:rsid w:val="00770E7F"/>
    <w:rsid w:val="00770FD9"/>
    <w:rsid w:val="007711C0"/>
    <w:rsid w:val="00771203"/>
    <w:rsid w:val="00771421"/>
    <w:rsid w:val="00771655"/>
    <w:rsid w:val="00772221"/>
    <w:rsid w:val="007725B8"/>
    <w:rsid w:val="00772CC0"/>
    <w:rsid w:val="00772CFF"/>
    <w:rsid w:val="00772D08"/>
    <w:rsid w:val="00772F12"/>
    <w:rsid w:val="00773585"/>
    <w:rsid w:val="00773CCC"/>
    <w:rsid w:val="00774303"/>
    <w:rsid w:val="007745D7"/>
    <w:rsid w:val="00774D73"/>
    <w:rsid w:val="007765D0"/>
    <w:rsid w:val="00776883"/>
    <w:rsid w:val="0077722B"/>
    <w:rsid w:val="0078006E"/>
    <w:rsid w:val="00780170"/>
    <w:rsid w:val="00780A6C"/>
    <w:rsid w:val="007818BC"/>
    <w:rsid w:val="00781E1A"/>
    <w:rsid w:val="0078218A"/>
    <w:rsid w:val="00782E96"/>
    <w:rsid w:val="00782F69"/>
    <w:rsid w:val="00783256"/>
    <w:rsid w:val="00783923"/>
    <w:rsid w:val="007839E4"/>
    <w:rsid w:val="00783CBB"/>
    <w:rsid w:val="007840A3"/>
    <w:rsid w:val="007840F1"/>
    <w:rsid w:val="007846C0"/>
    <w:rsid w:val="00784909"/>
    <w:rsid w:val="00784E4D"/>
    <w:rsid w:val="00784F77"/>
    <w:rsid w:val="00786138"/>
    <w:rsid w:val="00786792"/>
    <w:rsid w:val="007875C9"/>
    <w:rsid w:val="00787626"/>
    <w:rsid w:val="00787A27"/>
    <w:rsid w:val="00787A51"/>
    <w:rsid w:val="00787B19"/>
    <w:rsid w:val="00790147"/>
    <w:rsid w:val="00790236"/>
    <w:rsid w:val="0079052E"/>
    <w:rsid w:val="00790A83"/>
    <w:rsid w:val="00790B6D"/>
    <w:rsid w:val="00790C17"/>
    <w:rsid w:val="00791494"/>
    <w:rsid w:val="007914AB"/>
    <w:rsid w:val="0079170F"/>
    <w:rsid w:val="00791B54"/>
    <w:rsid w:val="00792821"/>
    <w:rsid w:val="00792BFC"/>
    <w:rsid w:val="007932EF"/>
    <w:rsid w:val="00793466"/>
    <w:rsid w:val="007937C0"/>
    <w:rsid w:val="00794212"/>
    <w:rsid w:val="00794464"/>
    <w:rsid w:val="0079474E"/>
    <w:rsid w:val="00794C33"/>
    <w:rsid w:val="00794CD6"/>
    <w:rsid w:val="00794E74"/>
    <w:rsid w:val="007950EB"/>
    <w:rsid w:val="007954CA"/>
    <w:rsid w:val="00796400"/>
    <w:rsid w:val="00796C52"/>
    <w:rsid w:val="0079766E"/>
    <w:rsid w:val="00797C09"/>
    <w:rsid w:val="00797C50"/>
    <w:rsid w:val="00797F43"/>
    <w:rsid w:val="007A029F"/>
    <w:rsid w:val="007A0815"/>
    <w:rsid w:val="007A0A1F"/>
    <w:rsid w:val="007A0C62"/>
    <w:rsid w:val="007A1563"/>
    <w:rsid w:val="007A23E8"/>
    <w:rsid w:val="007A2676"/>
    <w:rsid w:val="007A28AC"/>
    <w:rsid w:val="007A2E40"/>
    <w:rsid w:val="007A33C6"/>
    <w:rsid w:val="007A35FA"/>
    <w:rsid w:val="007A3E9E"/>
    <w:rsid w:val="007A4059"/>
    <w:rsid w:val="007A427A"/>
    <w:rsid w:val="007A4CF9"/>
    <w:rsid w:val="007A5A5E"/>
    <w:rsid w:val="007A5F6F"/>
    <w:rsid w:val="007A6141"/>
    <w:rsid w:val="007A6A41"/>
    <w:rsid w:val="007A6DAE"/>
    <w:rsid w:val="007A7037"/>
    <w:rsid w:val="007A704F"/>
    <w:rsid w:val="007A715C"/>
    <w:rsid w:val="007A74FF"/>
    <w:rsid w:val="007B01C6"/>
    <w:rsid w:val="007B045F"/>
    <w:rsid w:val="007B05BF"/>
    <w:rsid w:val="007B09BD"/>
    <w:rsid w:val="007B0BE5"/>
    <w:rsid w:val="007B1104"/>
    <w:rsid w:val="007B1155"/>
    <w:rsid w:val="007B1472"/>
    <w:rsid w:val="007B16FD"/>
    <w:rsid w:val="007B1F05"/>
    <w:rsid w:val="007B1F86"/>
    <w:rsid w:val="007B20D2"/>
    <w:rsid w:val="007B237F"/>
    <w:rsid w:val="007B2759"/>
    <w:rsid w:val="007B330B"/>
    <w:rsid w:val="007B366A"/>
    <w:rsid w:val="007B3670"/>
    <w:rsid w:val="007B3B00"/>
    <w:rsid w:val="007B3D4E"/>
    <w:rsid w:val="007B4911"/>
    <w:rsid w:val="007B4BD2"/>
    <w:rsid w:val="007B523A"/>
    <w:rsid w:val="007B5719"/>
    <w:rsid w:val="007B5CA3"/>
    <w:rsid w:val="007B5E4A"/>
    <w:rsid w:val="007B5F4B"/>
    <w:rsid w:val="007B662B"/>
    <w:rsid w:val="007B6848"/>
    <w:rsid w:val="007B6DA8"/>
    <w:rsid w:val="007B7595"/>
    <w:rsid w:val="007C0214"/>
    <w:rsid w:val="007C0406"/>
    <w:rsid w:val="007C0ADB"/>
    <w:rsid w:val="007C0DBC"/>
    <w:rsid w:val="007C0E38"/>
    <w:rsid w:val="007C1156"/>
    <w:rsid w:val="007C156A"/>
    <w:rsid w:val="007C1AFA"/>
    <w:rsid w:val="007C261C"/>
    <w:rsid w:val="007C2E46"/>
    <w:rsid w:val="007C3D68"/>
    <w:rsid w:val="007C3DE7"/>
    <w:rsid w:val="007C3E68"/>
    <w:rsid w:val="007C48A1"/>
    <w:rsid w:val="007C4C31"/>
    <w:rsid w:val="007C4D54"/>
    <w:rsid w:val="007C4FFF"/>
    <w:rsid w:val="007C5373"/>
    <w:rsid w:val="007C5D17"/>
    <w:rsid w:val="007C6348"/>
    <w:rsid w:val="007C671D"/>
    <w:rsid w:val="007C6C56"/>
    <w:rsid w:val="007C6F34"/>
    <w:rsid w:val="007C7067"/>
    <w:rsid w:val="007C7563"/>
    <w:rsid w:val="007C75E1"/>
    <w:rsid w:val="007C77A9"/>
    <w:rsid w:val="007C7E0D"/>
    <w:rsid w:val="007D0605"/>
    <w:rsid w:val="007D14AF"/>
    <w:rsid w:val="007D1A84"/>
    <w:rsid w:val="007D2974"/>
    <w:rsid w:val="007D29E1"/>
    <w:rsid w:val="007D34D6"/>
    <w:rsid w:val="007D37D3"/>
    <w:rsid w:val="007D3824"/>
    <w:rsid w:val="007D3B17"/>
    <w:rsid w:val="007D3EE6"/>
    <w:rsid w:val="007D4621"/>
    <w:rsid w:val="007D4853"/>
    <w:rsid w:val="007D4CF5"/>
    <w:rsid w:val="007D53A1"/>
    <w:rsid w:val="007D5D1D"/>
    <w:rsid w:val="007D70D1"/>
    <w:rsid w:val="007D7B77"/>
    <w:rsid w:val="007E1968"/>
    <w:rsid w:val="007E1AC6"/>
    <w:rsid w:val="007E21CC"/>
    <w:rsid w:val="007E2CFF"/>
    <w:rsid w:val="007E3CC2"/>
    <w:rsid w:val="007E45DC"/>
    <w:rsid w:val="007E5856"/>
    <w:rsid w:val="007E5904"/>
    <w:rsid w:val="007E62CD"/>
    <w:rsid w:val="007E7322"/>
    <w:rsid w:val="007E76D5"/>
    <w:rsid w:val="007E7EBA"/>
    <w:rsid w:val="007F0456"/>
    <w:rsid w:val="007F085F"/>
    <w:rsid w:val="007F1843"/>
    <w:rsid w:val="007F1F79"/>
    <w:rsid w:val="007F34A5"/>
    <w:rsid w:val="007F3DFF"/>
    <w:rsid w:val="007F4935"/>
    <w:rsid w:val="007F494E"/>
    <w:rsid w:val="007F4EF2"/>
    <w:rsid w:val="007F53CC"/>
    <w:rsid w:val="007F5566"/>
    <w:rsid w:val="007F58CD"/>
    <w:rsid w:val="007F5FC6"/>
    <w:rsid w:val="007F60E2"/>
    <w:rsid w:val="007F6328"/>
    <w:rsid w:val="007F6B3F"/>
    <w:rsid w:val="007F6C04"/>
    <w:rsid w:val="007F6EF0"/>
    <w:rsid w:val="007F7831"/>
    <w:rsid w:val="007F7BB9"/>
    <w:rsid w:val="007F7BBF"/>
    <w:rsid w:val="007F7C3C"/>
    <w:rsid w:val="00800465"/>
    <w:rsid w:val="00801675"/>
    <w:rsid w:val="00801B08"/>
    <w:rsid w:val="00801CDE"/>
    <w:rsid w:val="00801E29"/>
    <w:rsid w:val="0080221B"/>
    <w:rsid w:val="00802232"/>
    <w:rsid w:val="0080240B"/>
    <w:rsid w:val="008026BE"/>
    <w:rsid w:val="00803553"/>
    <w:rsid w:val="008036C5"/>
    <w:rsid w:val="00803D87"/>
    <w:rsid w:val="00803DAD"/>
    <w:rsid w:val="008043F8"/>
    <w:rsid w:val="00804C04"/>
    <w:rsid w:val="00805847"/>
    <w:rsid w:val="00805D31"/>
    <w:rsid w:val="00805D8B"/>
    <w:rsid w:val="00806BD5"/>
    <w:rsid w:val="00806CE4"/>
    <w:rsid w:val="00806F75"/>
    <w:rsid w:val="008070F9"/>
    <w:rsid w:val="0080763B"/>
    <w:rsid w:val="00807708"/>
    <w:rsid w:val="00807761"/>
    <w:rsid w:val="00807E6E"/>
    <w:rsid w:val="008100CC"/>
    <w:rsid w:val="00810134"/>
    <w:rsid w:val="008103F1"/>
    <w:rsid w:val="0081091E"/>
    <w:rsid w:val="00810A59"/>
    <w:rsid w:val="00811334"/>
    <w:rsid w:val="00811494"/>
    <w:rsid w:val="0081150A"/>
    <w:rsid w:val="008117BE"/>
    <w:rsid w:val="00811B3C"/>
    <w:rsid w:val="00811FB0"/>
    <w:rsid w:val="0081208F"/>
    <w:rsid w:val="0081256B"/>
    <w:rsid w:val="00812846"/>
    <w:rsid w:val="00812C36"/>
    <w:rsid w:val="00812E68"/>
    <w:rsid w:val="00812FCC"/>
    <w:rsid w:val="00813AD5"/>
    <w:rsid w:val="00813D4A"/>
    <w:rsid w:val="00813D65"/>
    <w:rsid w:val="00814FFD"/>
    <w:rsid w:val="008151A1"/>
    <w:rsid w:val="00815419"/>
    <w:rsid w:val="0081576E"/>
    <w:rsid w:val="00815E61"/>
    <w:rsid w:val="00816486"/>
    <w:rsid w:val="0081663C"/>
    <w:rsid w:val="0081671B"/>
    <w:rsid w:val="00816AC4"/>
    <w:rsid w:val="00816D8B"/>
    <w:rsid w:val="00816EB7"/>
    <w:rsid w:val="00817B21"/>
    <w:rsid w:val="00817E3B"/>
    <w:rsid w:val="0082079F"/>
    <w:rsid w:val="008209AC"/>
    <w:rsid w:val="00820A04"/>
    <w:rsid w:val="00820FBE"/>
    <w:rsid w:val="00821203"/>
    <w:rsid w:val="0082139F"/>
    <w:rsid w:val="00821C91"/>
    <w:rsid w:val="00822325"/>
    <w:rsid w:val="008224E4"/>
    <w:rsid w:val="008229B5"/>
    <w:rsid w:val="00822B73"/>
    <w:rsid w:val="00822D3B"/>
    <w:rsid w:val="008231A0"/>
    <w:rsid w:val="008234F0"/>
    <w:rsid w:val="00823A49"/>
    <w:rsid w:val="00823BFC"/>
    <w:rsid w:val="00823DC9"/>
    <w:rsid w:val="00823EB8"/>
    <w:rsid w:val="008240F8"/>
    <w:rsid w:val="00824219"/>
    <w:rsid w:val="008247A8"/>
    <w:rsid w:val="00824BCF"/>
    <w:rsid w:val="00824D55"/>
    <w:rsid w:val="00824D68"/>
    <w:rsid w:val="00824D85"/>
    <w:rsid w:val="00824F31"/>
    <w:rsid w:val="00825010"/>
    <w:rsid w:val="0082578F"/>
    <w:rsid w:val="0082590B"/>
    <w:rsid w:val="008260D6"/>
    <w:rsid w:val="008261B0"/>
    <w:rsid w:val="0082662E"/>
    <w:rsid w:val="008266DC"/>
    <w:rsid w:val="0082670D"/>
    <w:rsid w:val="00826726"/>
    <w:rsid w:val="008267A3"/>
    <w:rsid w:val="00826D3B"/>
    <w:rsid w:val="00826E28"/>
    <w:rsid w:val="0082763C"/>
    <w:rsid w:val="0082763E"/>
    <w:rsid w:val="00827B7D"/>
    <w:rsid w:val="00827DCA"/>
    <w:rsid w:val="00827ED1"/>
    <w:rsid w:val="00827FD5"/>
    <w:rsid w:val="00830C81"/>
    <w:rsid w:val="00830E21"/>
    <w:rsid w:val="0083134B"/>
    <w:rsid w:val="00831666"/>
    <w:rsid w:val="00831988"/>
    <w:rsid w:val="00831E94"/>
    <w:rsid w:val="00832ECC"/>
    <w:rsid w:val="00833292"/>
    <w:rsid w:val="008333EC"/>
    <w:rsid w:val="00833B50"/>
    <w:rsid w:val="00834244"/>
    <w:rsid w:val="008346B6"/>
    <w:rsid w:val="00834AA3"/>
    <w:rsid w:val="00834B48"/>
    <w:rsid w:val="00834E2E"/>
    <w:rsid w:val="00834FC6"/>
    <w:rsid w:val="00835A86"/>
    <w:rsid w:val="00835BA0"/>
    <w:rsid w:val="00835E36"/>
    <w:rsid w:val="008360A2"/>
    <w:rsid w:val="00836125"/>
    <w:rsid w:val="00836384"/>
    <w:rsid w:val="00836495"/>
    <w:rsid w:val="008368A7"/>
    <w:rsid w:val="00836CDC"/>
    <w:rsid w:val="008373F7"/>
    <w:rsid w:val="00837500"/>
    <w:rsid w:val="008379EB"/>
    <w:rsid w:val="00837CA1"/>
    <w:rsid w:val="00837D92"/>
    <w:rsid w:val="00837DC6"/>
    <w:rsid w:val="0084045D"/>
    <w:rsid w:val="008405F0"/>
    <w:rsid w:val="00840629"/>
    <w:rsid w:val="00840B46"/>
    <w:rsid w:val="00840CCD"/>
    <w:rsid w:val="0084108E"/>
    <w:rsid w:val="00841309"/>
    <w:rsid w:val="008421B9"/>
    <w:rsid w:val="008427BD"/>
    <w:rsid w:val="008428A6"/>
    <w:rsid w:val="0084295C"/>
    <w:rsid w:val="00842C48"/>
    <w:rsid w:val="00843174"/>
    <w:rsid w:val="00843183"/>
    <w:rsid w:val="008432B9"/>
    <w:rsid w:val="008432ED"/>
    <w:rsid w:val="00843BB7"/>
    <w:rsid w:val="0084421E"/>
    <w:rsid w:val="00844360"/>
    <w:rsid w:val="00844518"/>
    <w:rsid w:val="008447E6"/>
    <w:rsid w:val="00844C1B"/>
    <w:rsid w:val="00845053"/>
    <w:rsid w:val="008451E7"/>
    <w:rsid w:val="00845221"/>
    <w:rsid w:val="00845692"/>
    <w:rsid w:val="00845F2D"/>
    <w:rsid w:val="00846294"/>
    <w:rsid w:val="00846409"/>
    <w:rsid w:val="008465DC"/>
    <w:rsid w:val="008467E6"/>
    <w:rsid w:val="00846C95"/>
    <w:rsid w:val="008471C6"/>
    <w:rsid w:val="0084769D"/>
    <w:rsid w:val="00847935"/>
    <w:rsid w:val="00847EC0"/>
    <w:rsid w:val="0085009E"/>
    <w:rsid w:val="008501B4"/>
    <w:rsid w:val="00850378"/>
    <w:rsid w:val="00850AEF"/>
    <w:rsid w:val="00850BEA"/>
    <w:rsid w:val="00851099"/>
    <w:rsid w:val="008512F7"/>
    <w:rsid w:val="00851602"/>
    <w:rsid w:val="00851F67"/>
    <w:rsid w:val="00852238"/>
    <w:rsid w:val="008522FD"/>
    <w:rsid w:val="008526AF"/>
    <w:rsid w:val="008529A6"/>
    <w:rsid w:val="00852C72"/>
    <w:rsid w:val="00853245"/>
    <w:rsid w:val="00853417"/>
    <w:rsid w:val="00853E16"/>
    <w:rsid w:val="00854829"/>
    <w:rsid w:val="00854CEA"/>
    <w:rsid w:val="0085503B"/>
    <w:rsid w:val="0085604B"/>
    <w:rsid w:val="0085608F"/>
    <w:rsid w:val="00856869"/>
    <w:rsid w:val="00856F17"/>
    <w:rsid w:val="00856FBE"/>
    <w:rsid w:val="008571CC"/>
    <w:rsid w:val="008575A5"/>
    <w:rsid w:val="00857685"/>
    <w:rsid w:val="00857847"/>
    <w:rsid w:val="008579DA"/>
    <w:rsid w:val="00857B71"/>
    <w:rsid w:val="00857E28"/>
    <w:rsid w:val="00860440"/>
    <w:rsid w:val="008607DC"/>
    <w:rsid w:val="00860D32"/>
    <w:rsid w:val="00861ACD"/>
    <w:rsid w:val="00861C62"/>
    <w:rsid w:val="00861CB9"/>
    <w:rsid w:val="00862F45"/>
    <w:rsid w:val="00863135"/>
    <w:rsid w:val="0086373D"/>
    <w:rsid w:val="00863F0C"/>
    <w:rsid w:val="0086426C"/>
    <w:rsid w:val="00864776"/>
    <w:rsid w:val="00864C2C"/>
    <w:rsid w:val="0086508D"/>
    <w:rsid w:val="00865098"/>
    <w:rsid w:val="0086593A"/>
    <w:rsid w:val="00865A98"/>
    <w:rsid w:val="00866064"/>
    <w:rsid w:val="00866339"/>
    <w:rsid w:val="008664D9"/>
    <w:rsid w:val="008666BD"/>
    <w:rsid w:val="00866DFD"/>
    <w:rsid w:val="008670F1"/>
    <w:rsid w:val="0086724C"/>
    <w:rsid w:val="0086768E"/>
    <w:rsid w:val="008677DD"/>
    <w:rsid w:val="00867B0A"/>
    <w:rsid w:val="00867D1F"/>
    <w:rsid w:val="00870042"/>
    <w:rsid w:val="008704C2"/>
    <w:rsid w:val="00870864"/>
    <w:rsid w:val="00870930"/>
    <w:rsid w:val="00870D75"/>
    <w:rsid w:val="0087162D"/>
    <w:rsid w:val="00871A18"/>
    <w:rsid w:val="00871D43"/>
    <w:rsid w:val="00871FA6"/>
    <w:rsid w:val="0087237C"/>
    <w:rsid w:val="0087309B"/>
    <w:rsid w:val="00873897"/>
    <w:rsid w:val="00873A35"/>
    <w:rsid w:val="00873C9C"/>
    <w:rsid w:val="00873DEB"/>
    <w:rsid w:val="0087437B"/>
    <w:rsid w:val="00874672"/>
    <w:rsid w:val="00875182"/>
    <w:rsid w:val="008761CF"/>
    <w:rsid w:val="00876A41"/>
    <w:rsid w:val="008772A4"/>
    <w:rsid w:val="008775F5"/>
    <w:rsid w:val="00877869"/>
    <w:rsid w:val="00880371"/>
    <w:rsid w:val="00880382"/>
    <w:rsid w:val="008807C6"/>
    <w:rsid w:val="00880E88"/>
    <w:rsid w:val="0088250A"/>
    <w:rsid w:val="00882F0C"/>
    <w:rsid w:val="00883050"/>
    <w:rsid w:val="008831BF"/>
    <w:rsid w:val="008836A9"/>
    <w:rsid w:val="008837C0"/>
    <w:rsid w:val="008855B7"/>
    <w:rsid w:val="008858D3"/>
    <w:rsid w:val="00885DCB"/>
    <w:rsid w:val="00885F27"/>
    <w:rsid w:val="00886495"/>
    <w:rsid w:val="008868E1"/>
    <w:rsid w:val="00886C97"/>
    <w:rsid w:val="00886E2D"/>
    <w:rsid w:val="0088717B"/>
    <w:rsid w:val="00887CCC"/>
    <w:rsid w:val="00887FE3"/>
    <w:rsid w:val="00890059"/>
    <w:rsid w:val="00890106"/>
    <w:rsid w:val="0089028B"/>
    <w:rsid w:val="0089087E"/>
    <w:rsid w:val="008910A2"/>
    <w:rsid w:val="008910D6"/>
    <w:rsid w:val="00891144"/>
    <w:rsid w:val="00891291"/>
    <w:rsid w:val="008912AD"/>
    <w:rsid w:val="008913A0"/>
    <w:rsid w:val="00891D3F"/>
    <w:rsid w:val="008924D0"/>
    <w:rsid w:val="00892637"/>
    <w:rsid w:val="00892855"/>
    <w:rsid w:val="008929C5"/>
    <w:rsid w:val="00892E5A"/>
    <w:rsid w:val="008930A9"/>
    <w:rsid w:val="00893878"/>
    <w:rsid w:val="00894623"/>
    <w:rsid w:val="0089488C"/>
    <w:rsid w:val="00894BAA"/>
    <w:rsid w:val="00895B0F"/>
    <w:rsid w:val="00895B81"/>
    <w:rsid w:val="00895D94"/>
    <w:rsid w:val="0089617C"/>
    <w:rsid w:val="0089628B"/>
    <w:rsid w:val="00896DDD"/>
    <w:rsid w:val="008971AD"/>
    <w:rsid w:val="008972E9"/>
    <w:rsid w:val="0089733A"/>
    <w:rsid w:val="0089779E"/>
    <w:rsid w:val="008977E2"/>
    <w:rsid w:val="008978FE"/>
    <w:rsid w:val="008A0369"/>
    <w:rsid w:val="008A0E8A"/>
    <w:rsid w:val="008A145A"/>
    <w:rsid w:val="008A1981"/>
    <w:rsid w:val="008A1AF5"/>
    <w:rsid w:val="008A1C43"/>
    <w:rsid w:val="008A1EC9"/>
    <w:rsid w:val="008A2204"/>
    <w:rsid w:val="008A2333"/>
    <w:rsid w:val="008A2390"/>
    <w:rsid w:val="008A252F"/>
    <w:rsid w:val="008A255F"/>
    <w:rsid w:val="008A2563"/>
    <w:rsid w:val="008A2602"/>
    <w:rsid w:val="008A27F6"/>
    <w:rsid w:val="008A2AA7"/>
    <w:rsid w:val="008A3862"/>
    <w:rsid w:val="008A3968"/>
    <w:rsid w:val="008A3F56"/>
    <w:rsid w:val="008A406D"/>
    <w:rsid w:val="008A418E"/>
    <w:rsid w:val="008A44FB"/>
    <w:rsid w:val="008A458E"/>
    <w:rsid w:val="008A4D42"/>
    <w:rsid w:val="008A5E2E"/>
    <w:rsid w:val="008A60FF"/>
    <w:rsid w:val="008A63EF"/>
    <w:rsid w:val="008A6457"/>
    <w:rsid w:val="008A662E"/>
    <w:rsid w:val="008A667C"/>
    <w:rsid w:val="008A67B8"/>
    <w:rsid w:val="008A69F5"/>
    <w:rsid w:val="008A6C20"/>
    <w:rsid w:val="008A6EB9"/>
    <w:rsid w:val="008A6F7E"/>
    <w:rsid w:val="008A7787"/>
    <w:rsid w:val="008A7954"/>
    <w:rsid w:val="008A7CAD"/>
    <w:rsid w:val="008A7CC2"/>
    <w:rsid w:val="008B0258"/>
    <w:rsid w:val="008B0473"/>
    <w:rsid w:val="008B0878"/>
    <w:rsid w:val="008B0951"/>
    <w:rsid w:val="008B0963"/>
    <w:rsid w:val="008B0B7C"/>
    <w:rsid w:val="008B11B4"/>
    <w:rsid w:val="008B182A"/>
    <w:rsid w:val="008B1978"/>
    <w:rsid w:val="008B1A05"/>
    <w:rsid w:val="008B1C68"/>
    <w:rsid w:val="008B2039"/>
    <w:rsid w:val="008B2563"/>
    <w:rsid w:val="008B25F0"/>
    <w:rsid w:val="008B265C"/>
    <w:rsid w:val="008B271D"/>
    <w:rsid w:val="008B2D34"/>
    <w:rsid w:val="008B2E45"/>
    <w:rsid w:val="008B3110"/>
    <w:rsid w:val="008B475A"/>
    <w:rsid w:val="008B4959"/>
    <w:rsid w:val="008B4B8C"/>
    <w:rsid w:val="008B5995"/>
    <w:rsid w:val="008B5B6B"/>
    <w:rsid w:val="008B5C2C"/>
    <w:rsid w:val="008B6387"/>
    <w:rsid w:val="008B6615"/>
    <w:rsid w:val="008B68F1"/>
    <w:rsid w:val="008B692F"/>
    <w:rsid w:val="008B7466"/>
    <w:rsid w:val="008B7932"/>
    <w:rsid w:val="008C02FC"/>
    <w:rsid w:val="008C0B73"/>
    <w:rsid w:val="008C13B6"/>
    <w:rsid w:val="008C159C"/>
    <w:rsid w:val="008C16AC"/>
    <w:rsid w:val="008C179B"/>
    <w:rsid w:val="008C19FB"/>
    <w:rsid w:val="008C1CB7"/>
    <w:rsid w:val="008C1DD2"/>
    <w:rsid w:val="008C1FF3"/>
    <w:rsid w:val="008C2619"/>
    <w:rsid w:val="008C3331"/>
    <w:rsid w:val="008C3376"/>
    <w:rsid w:val="008C398A"/>
    <w:rsid w:val="008C4274"/>
    <w:rsid w:val="008C4792"/>
    <w:rsid w:val="008C495F"/>
    <w:rsid w:val="008C5026"/>
    <w:rsid w:val="008C5781"/>
    <w:rsid w:val="008C5951"/>
    <w:rsid w:val="008C6471"/>
    <w:rsid w:val="008C64C8"/>
    <w:rsid w:val="008C6F36"/>
    <w:rsid w:val="008C7339"/>
    <w:rsid w:val="008C763F"/>
    <w:rsid w:val="008D0E16"/>
    <w:rsid w:val="008D120C"/>
    <w:rsid w:val="008D1994"/>
    <w:rsid w:val="008D203F"/>
    <w:rsid w:val="008D22A1"/>
    <w:rsid w:val="008D24F6"/>
    <w:rsid w:val="008D29B5"/>
    <w:rsid w:val="008D2AB9"/>
    <w:rsid w:val="008D2FF3"/>
    <w:rsid w:val="008D3C34"/>
    <w:rsid w:val="008D3EA3"/>
    <w:rsid w:val="008D401C"/>
    <w:rsid w:val="008D4B19"/>
    <w:rsid w:val="008D6A81"/>
    <w:rsid w:val="008D7336"/>
    <w:rsid w:val="008D73AA"/>
    <w:rsid w:val="008D7645"/>
    <w:rsid w:val="008D7C82"/>
    <w:rsid w:val="008E0405"/>
    <w:rsid w:val="008E0B3E"/>
    <w:rsid w:val="008E0D14"/>
    <w:rsid w:val="008E0E6E"/>
    <w:rsid w:val="008E0F2F"/>
    <w:rsid w:val="008E1802"/>
    <w:rsid w:val="008E21B3"/>
    <w:rsid w:val="008E2391"/>
    <w:rsid w:val="008E2AD0"/>
    <w:rsid w:val="008E31AF"/>
    <w:rsid w:val="008E338C"/>
    <w:rsid w:val="008E354F"/>
    <w:rsid w:val="008E3C13"/>
    <w:rsid w:val="008E3D8A"/>
    <w:rsid w:val="008E45B7"/>
    <w:rsid w:val="008E4AFB"/>
    <w:rsid w:val="008E4B7D"/>
    <w:rsid w:val="008E4B7F"/>
    <w:rsid w:val="008E4DC1"/>
    <w:rsid w:val="008E5506"/>
    <w:rsid w:val="008E5FFD"/>
    <w:rsid w:val="008E6316"/>
    <w:rsid w:val="008E64B8"/>
    <w:rsid w:val="008E6A37"/>
    <w:rsid w:val="008E7901"/>
    <w:rsid w:val="008F00AF"/>
    <w:rsid w:val="008F026B"/>
    <w:rsid w:val="008F081E"/>
    <w:rsid w:val="008F1444"/>
    <w:rsid w:val="008F2138"/>
    <w:rsid w:val="008F24EB"/>
    <w:rsid w:val="008F2569"/>
    <w:rsid w:val="008F2D5F"/>
    <w:rsid w:val="008F39E1"/>
    <w:rsid w:val="008F45FD"/>
    <w:rsid w:val="008F48A5"/>
    <w:rsid w:val="008F4E25"/>
    <w:rsid w:val="008F5EB3"/>
    <w:rsid w:val="008F62F2"/>
    <w:rsid w:val="008F64FE"/>
    <w:rsid w:val="008F67BC"/>
    <w:rsid w:val="008F6854"/>
    <w:rsid w:val="008F68E3"/>
    <w:rsid w:val="008F6D27"/>
    <w:rsid w:val="008F6E42"/>
    <w:rsid w:val="008F7510"/>
    <w:rsid w:val="008F76C3"/>
    <w:rsid w:val="00900062"/>
    <w:rsid w:val="0090034B"/>
    <w:rsid w:val="0090067F"/>
    <w:rsid w:val="00900921"/>
    <w:rsid w:val="009012C7"/>
    <w:rsid w:val="00903D7B"/>
    <w:rsid w:val="00904099"/>
    <w:rsid w:val="009042D7"/>
    <w:rsid w:val="009042EB"/>
    <w:rsid w:val="0090453B"/>
    <w:rsid w:val="00904F82"/>
    <w:rsid w:val="00905236"/>
    <w:rsid w:val="00905824"/>
    <w:rsid w:val="009059AB"/>
    <w:rsid w:val="00906858"/>
    <w:rsid w:val="00906B72"/>
    <w:rsid w:val="00906D36"/>
    <w:rsid w:val="0090784A"/>
    <w:rsid w:val="009104C6"/>
    <w:rsid w:val="009108DA"/>
    <w:rsid w:val="00910D9C"/>
    <w:rsid w:val="00910F82"/>
    <w:rsid w:val="0091113B"/>
    <w:rsid w:val="009115F4"/>
    <w:rsid w:val="0091168B"/>
    <w:rsid w:val="0091194C"/>
    <w:rsid w:val="009121B7"/>
    <w:rsid w:val="009122AA"/>
    <w:rsid w:val="00912DDF"/>
    <w:rsid w:val="0091340C"/>
    <w:rsid w:val="0091357A"/>
    <w:rsid w:val="00913681"/>
    <w:rsid w:val="009138E8"/>
    <w:rsid w:val="009145AF"/>
    <w:rsid w:val="00915131"/>
    <w:rsid w:val="0091514B"/>
    <w:rsid w:val="0091549E"/>
    <w:rsid w:val="00915737"/>
    <w:rsid w:val="00915956"/>
    <w:rsid w:val="00915BD1"/>
    <w:rsid w:val="009160E7"/>
    <w:rsid w:val="009162EC"/>
    <w:rsid w:val="00917A78"/>
    <w:rsid w:val="00917A82"/>
    <w:rsid w:val="00917F0E"/>
    <w:rsid w:val="009202F4"/>
    <w:rsid w:val="0092034B"/>
    <w:rsid w:val="00920823"/>
    <w:rsid w:val="00921DCD"/>
    <w:rsid w:val="0092249B"/>
    <w:rsid w:val="00922AA8"/>
    <w:rsid w:val="00922D42"/>
    <w:rsid w:val="00922D6D"/>
    <w:rsid w:val="00923655"/>
    <w:rsid w:val="009236CC"/>
    <w:rsid w:val="00923B2B"/>
    <w:rsid w:val="00923EF0"/>
    <w:rsid w:val="00923F5A"/>
    <w:rsid w:val="009240E5"/>
    <w:rsid w:val="00924F5B"/>
    <w:rsid w:val="009255C4"/>
    <w:rsid w:val="00925D60"/>
    <w:rsid w:val="00925F5F"/>
    <w:rsid w:val="00925FD8"/>
    <w:rsid w:val="009262DD"/>
    <w:rsid w:val="0092799D"/>
    <w:rsid w:val="00927C1E"/>
    <w:rsid w:val="009300D2"/>
    <w:rsid w:val="00930286"/>
    <w:rsid w:val="009302EB"/>
    <w:rsid w:val="00930910"/>
    <w:rsid w:val="00930FC9"/>
    <w:rsid w:val="00931079"/>
    <w:rsid w:val="00931504"/>
    <w:rsid w:val="00931747"/>
    <w:rsid w:val="0093185A"/>
    <w:rsid w:val="0093215F"/>
    <w:rsid w:val="0093223C"/>
    <w:rsid w:val="00932A8B"/>
    <w:rsid w:val="00932E77"/>
    <w:rsid w:val="00933266"/>
    <w:rsid w:val="009336DF"/>
    <w:rsid w:val="00933D8B"/>
    <w:rsid w:val="00933FAA"/>
    <w:rsid w:val="009354F6"/>
    <w:rsid w:val="00935588"/>
    <w:rsid w:val="00935678"/>
    <w:rsid w:val="00935F31"/>
    <w:rsid w:val="00935F56"/>
    <w:rsid w:val="00935FE2"/>
    <w:rsid w:val="009367D3"/>
    <w:rsid w:val="00936973"/>
    <w:rsid w:val="00936A19"/>
    <w:rsid w:val="00936C91"/>
    <w:rsid w:val="00937736"/>
    <w:rsid w:val="00937A0C"/>
    <w:rsid w:val="00937F0F"/>
    <w:rsid w:val="00940471"/>
    <w:rsid w:val="0094066E"/>
    <w:rsid w:val="009407E6"/>
    <w:rsid w:val="00940D84"/>
    <w:rsid w:val="00940EC0"/>
    <w:rsid w:val="00941297"/>
    <w:rsid w:val="009416D1"/>
    <w:rsid w:val="00941DD2"/>
    <w:rsid w:val="0094203A"/>
    <w:rsid w:val="0094223A"/>
    <w:rsid w:val="00942D6C"/>
    <w:rsid w:val="00942E9E"/>
    <w:rsid w:val="00943164"/>
    <w:rsid w:val="009431DF"/>
    <w:rsid w:val="009436E7"/>
    <w:rsid w:val="00943889"/>
    <w:rsid w:val="0094393A"/>
    <w:rsid w:val="00944440"/>
    <w:rsid w:val="00944A56"/>
    <w:rsid w:val="00944BF4"/>
    <w:rsid w:val="00944D30"/>
    <w:rsid w:val="00945135"/>
    <w:rsid w:val="0094572E"/>
    <w:rsid w:val="009458CA"/>
    <w:rsid w:val="00945C18"/>
    <w:rsid w:val="00945DD5"/>
    <w:rsid w:val="009470A0"/>
    <w:rsid w:val="00947291"/>
    <w:rsid w:val="0094734F"/>
    <w:rsid w:val="009474D6"/>
    <w:rsid w:val="0094789D"/>
    <w:rsid w:val="0095017F"/>
    <w:rsid w:val="009501FB"/>
    <w:rsid w:val="00950541"/>
    <w:rsid w:val="00950580"/>
    <w:rsid w:val="0095094B"/>
    <w:rsid w:val="009510BD"/>
    <w:rsid w:val="009510E2"/>
    <w:rsid w:val="009516BC"/>
    <w:rsid w:val="0095187E"/>
    <w:rsid w:val="009518E1"/>
    <w:rsid w:val="00952193"/>
    <w:rsid w:val="00952247"/>
    <w:rsid w:val="009529D3"/>
    <w:rsid w:val="00952A9A"/>
    <w:rsid w:val="009533CA"/>
    <w:rsid w:val="009535DD"/>
    <w:rsid w:val="009536F3"/>
    <w:rsid w:val="009537AD"/>
    <w:rsid w:val="0095518C"/>
    <w:rsid w:val="009559E7"/>
    <w:rsid w:val="00955BF9"/>
    <w:rsid w:val="00955C4E"/>
    <w:rsid w:val="00955E2F"/>
    <w:rsid w:val="00956F26"/>
    <w:rsid w:val="00957182"/>
    <w:rsid w:val="009572D2"/>
    <w:rsid w:val="00957C4F"/>
    <w:rsid w:val="009604DC"/>
    <w:rsid w:val="00960883"/>
    <w:rsid w:val="00960BF1"/>
    <w:rsid w:val="0096194E"/>
    <w:rsid w:val="00961A96"/>
    <w:rsid w:val="0096214B"/>
    <w:rsid w:val="009621D0"/>
    <w:rsid w:val="0096248A"/>
    <w:rsid w:val="009626DB"/>
    <w:rsid w:val="00963878"/>
    <w:rsid w:val="00963E7D"/>
    <w:rsid w:val="00964255"/>
    <w:rsid w:val="00964A56"/>
    <w:rsid w:val="00964FD9"/>
    <w:rsid w:val="00965643"/>
    <w:rsid w:val="009656D0"/>
    <w:rsid w:val="00965F95"/>
    <w:rsid w:val="00965FDC"/>
    <w:rsid w:val="00966B0D"/>
    <w:rsid w:val="00967000"/>
    <w:rsid w:val="0096710E"/>
    <w:rsid w:val="00967116"/>
    <w:rsid w:val="009672A3"/>
    <w:rsid w:val="00967438"/>
    <w:rsid w:val="00970A10"/>
    <w:rsid w:val="00970C0D"/>
    <w:rsid w:val="00970D5A"/>
    <w:rsid w:val="00970DD5"/>
    <w:rsid w:val="00970FBC"/>
    <w:rsid w:val="00971A77"/>
    <w:rsid w:val="00971AE4"/>
    <w:rsid w:val="00971BF5"/>
    <w:rsid w:val="009724C1"/>
    <w:rsid w:val="00972A2F"/>
    <w:rsid w:val="00972AE1"/>
    <w:rsid w:val="00972ECF"/>
    <w:rsid w:val="00973820"/>
    <w:rsid w:val="00974313"/>
    <w:rsid w:val="00974385"/>
    <w:rsid w:val="009744AC"/>
    <w:rsid w:val="0097478F"/>
    <w:rsid w:val="0097483E"/>
    <w:rsid w:val="009748AB"/>
    <w:rsid w:val="009756FE"/>
    <w:rsid w:val="0097593A"/>
    <w:rsid w:val="00975F38"/>
    <w:rsid w:val="00975F9E"/>
    <w:rsid w:val="00976DDD"/>
    <w:rsid w:val="00977908"/>
    <w:rsid w:val="00980226"/>
    <w:rsid w:val="00980255"/>
    <w:rsid w:val="00980C6A"/>
    <w:rsid w:val="009812FB"/>
    <w:rsid w:val="0098163A"/>
    <w:rsid w:val="00981985"/>
    <w:rsid w:val="00981FDC"/>
    <w:rsid w:val="00982135"/>
    <w:rsid w:val="00982E67"/>
    <w:rsid w:val="00983184"/>
    <w:rsid w:val="00983BB9"/>
    <w:rsid w:val="0098417D"/>
    <w:rsid w:val="009852D1"/>
    <w:rsid w:val="009855B3"/>
    <w:rsid w:val="009860EA"/>
    <w:rsid w:val="009861E8"/>
    <w:rsid w:val="00986836"/>
    <w:rsid w:val="00987CA3"/>
    <w:rsid w:val="00990773"/>
    <w:rsid w:val="00991382"/>
    <w:rsid w:val="009918E9"/>
    <w:rsid w:val="00991F5F"/>
    <w:rsid w:val="0099253E"/>
    <w:rsid w:val="00992580"/>
    <w:rsid w:val="009926EE"/>
    <w:rsid w:val="0099273C"/>
    <w:rsid w:val="0099298B"/>
    <w:rsid w:val="00992B9F"/>
    <w:rsid w:val="009935F9"/>
    <w:rsid w:val="00993DB9"/>
    <w:rsid w:val="009940ED"/>
    <w:rsid w:val="009942BC"/>
    <w:rsid w:val="00994500"/>
    <w:rsid w:val="00994E7D"/>
    <w:rsid w:val="00995105"/>
    <w:rsid w:val="0099521B"/>
    <w:rsid w:val="00995762"/>
    <w:rsid w:val="0099577F"/>
    <w:rsid w:val="009959A2"/>
    <w:rsid w:val="00995BA2"/>
    <w:rsid w:val="009962CC"/>
    <w:rsid w:val="00996AD7"/>
    <w:rsid w:val="00996E6F"/>
    <w:rsid w:val="009A0109"/>
    <w:rsid w:val="009A0767"/>
    <w:rsid w:val="009A155B"/>
    <w:rsid w:val="009A1C3A"/>
    <w:rsid w:val="009A216D"/>
    <w:rsid w:val="009A23A4"/>
    <w:rsid w:val="009A2992"/>
    <w:rsid w:val="009A40FF"/>
    <w:rsid w:val="009A4FC2"/>
    <w:rsid w:val="009A4FDF"/>
    <w:rsid w:val="009A5AEF"/>
    <w:rsid w:val="009A6176"/>
    <w:rsid w:val="009A63C9"/>
    <w:rsid w:val="009A6640"/>
    <w:rsid w:val="009A6689"/>
    <w:rsid w:val="009A6E29"/>
    <w:rsid w:val="009A75AD"/>
    <w:rsid w:val="009A7E71"/>
    <w:rsid w:val="009B0AC8"/>
    <w:rsid w:val="009B11C5"/>
    <w:rsid w:val="009B26D2"/>
    <w:rsid w:val="009B2851"/>
    <w:rsid w:val="009B2F4C"/>
    <w:rsid w:val="009B3302"/>
    <w:rsid w:val="009B3372"/>
    <w:rsid w:val="009B4861"/>
    <w:rsid w:val="009B49E9"/>
    <w:rsid w:val="009B5476"/>
    <w:rsid w:val="009B55E9"/>
    <w:rsid w:val="009B5F80"/>
    <w:rsid w:val="009B6233"/>
    <w:rsid w:val="009B671D"/>
    <w:rsid w:val="009B7295"/>
    <w:rsid w:val="009B7327"/>
    <w:rsid w:val="009B799F"/>
    <w:rsid w:val="009C0668"/>
    <w:rsid w:val="009C074D"/>
    <w:rsid w:val="009C08A7"/>
    <w:rsid w:val="009C13D4"/>
    <w:rsid w:val="009C13DE"/>
    <w:rsid w:val="009C1988"/>
    <w:rsid w:val="009C2112"/>
    <w:rsid w:val="009C2961"/>
    <w:rsid w:val="009C2C7E"/>
    <w:rsid w:val="009C2DAF"/>
    <w:rsid w:val="009C3937"/>
    <w:rsid w:val="009C4741"/>
    <w:rsid w:val="009C53EC"/>
    <w:rsid w:val="009C5B7F"/>
    <w:rsid w:val="009C648F"/>
    <w:rsid w:val="009C64D3"/>
    <w:rsid w:val="009C66AD"/>
    <w:rsid w:val="009C69F6"/>
    <w:rsid w:val="009C73A0"/>
    <w:rsid w:val="009C7445"/>
    <w:rsid w:val="009D0380"/>
    <w:rsid w:val="009D0E98"/>
    <w:rsid w:val="009D10E1"/>
    <w:rsid w:val="009D134F"/>
    <w:rsid w:val="009D2317"/>
    <w:rsid w:val="009D236F"/>
    <w:rsid w:val="009D24DA"/>
    <w:rsid w:val="009D3389"/>
    <w:rsid w:val="009D36E1"/>
    <w:rsid w:val="009D3EF8"/>
    <w:rsid w:val="009D4117"/>
    <w:rsid w:val="009D52C9"/>
    <w:rsid w:val="009D5E83"/>
    <w:rsid w:val="009D5F0F"/>
    <w:rsid w:val="009D604A"/>
    <w:rsid w:val="009D616C"/>
    <w:rsid w:val="009D6DB0"/>
    <w:rsid w:val="009D71A5"/>
    <w:rsid w:val="009E0166"/>
    <w:rsid w:val="009E04CD"/>
    <w:rsid w:val="009E05A2"/>
    <w:rsid w:val="009E096A"/>
    <w:rsid w:val="009E0D21"/>
    <w:rsid w:val="009E1851"/>
    <w:rsid w:val="009E1AFA"/>
    <w:rsid w:val="009E1B84"/>
    <w:rsid w:val="009E2158"/>
    <w:rsid w:val="009E31B1"/>
    <w:rsid w:val="009E362E"/>
    <w:rsid w:val="009E37F2"/>
    <w:rsid w:val="009E3901"/>
    <w:rsid w:val="009E3FE2"/>
    <w:rsid w:val="009E4232"/>
    <w:rsid w:val="009E437B"/>
    <w:rsid w:val="009E4869"/>
    <w:rsid w:val="009E487E"/>
    <w:rsid w:val="009E4E7B"/>
    <w:rsid w:val="009E5128"/>
    <w:rsid w:val="009E5639"/>
    <w:rsid w:val="009E5E63"/>
    <w:rsid w:val="009E6005"/>
    <w:rsid w:val="009E658F"/>
    <w:rsid w:val="009E6A1D"/>
    <w:rsid w:val="009E7001"/>
    <w:rsid w:val="009E70A9"/>
    <w:rsid w:val="009E75B7"/>
    <w:rsid w:val="009E7667"/>
    <w:rsid w:val="009E7813"/>
    <w:rsid w:val="009E7AF3"/>
    <w:rsid w:val="009F0897"/>
    <w:rsid w:val="009F0F4A"/>
    <w:rsid w:val="009F14D3"/>
    <w:rsid w:val="009F15E2"/>
    <w:rsid w:val="009F16AE"/>
    <w:rsid w:val="009F2298"/>
    <w:rsid w:val="009F2556"/>
    <w:rsid w:val="009F2998"/>
    <w:rsid w:val="009F3179"/>
    <w:rsid w:val="009F3700"/>
    <w:rsid w:val="009F3AAE"/>
    <w:rsid w:val="009F3D95"/>
    <w:rsid w:val="009F4160"/>
    <w:rsid w:val="009F507C"/>
    <w:rsid w:val="009F5557"/>
    <w:rsid w:val="009F57B2"/>
    <w:rsid w:val="009F5BC5"/>
    <w:rsid w:val="009F5E50"/>
    <w:rsid w:val="009F60E6"/>
    <w:rsid w:val="009F61AA"/>
    <w:rsid w:val="009F61B3"/>
    <w:rsid w:val="009F62FA"/>
    <w:rsid w:val="009F6A65"/>
    <w:rsid w:val="009F6AB8"/>
    <w:rsid w:val="009F6BAD"/>
    <w:rsid w:val="009F6D2A"/>
    <w:rsid w:val="009F70CF"/>
    <w:rsid w:val="009F7193"/>
    <w:rsid w:val="009F7685"/>
    <w:rsid w:val="009F7948"/>
    <w:rsid w:val="009F7BBC"/>
    <w:rsid w:val="00A00543"/>
    <w:rsid w:val="00A0054F"/>
    <w:rsid w:val="00A005A6"/>
    <w:rsid w:val="00A00D75"/>
    <w:rsid w:val="00A00F1F"/>
    <w:rsid w:val="00A016F1"/>
    <w:rsid w:val="00A01757"/>
    <w:rsid w:val="00A023DB"/>
    <w:rsid w:val="00A02443"/>
    <w:rsid w:val="00A02996"/>
    <w:rsid w:val="00A03418"/>
    <w:rsid w:val="00A0345C"/>
    <w:rsid w:val="00A04084"/>
    <w:rsid w:val="00A04235"/>
    <w:rsid w:val="00A043C2"/>
    <w:rsid w:val="00A048CA"/>
    <w:rsid w:val="00A04DF9"/>
    <w:rsid w:val="00A05032"/>
    <w:rsid w:val="00A0558E"/>
    <w:rsid w:val="00A055DB"/>
    <w:rsid w:val="00A0593F"/>
    <w:rsid w:val="00A05EDB"/>
    <w:rsid w:val="00A07289"/>
    <w:rsid w:val="00A072BC"/>
    <w:rsid w:val="00A10B39"/>
    <w:rsid w:val="00A10C30"/>
    <w:rsid w:val="00A11395"/>
    <w:rsid w:val="00A1180B"/>
    <w:rsid w:val="00A12030"/>
    <w:rsid w:val="00A12B6B"/>
    <w:rsid w:val="00A13064"/>
    <w:rsid w:val="00A13079"/>
    <w:rsid w:val="00A14737"/>
    <w:rsid w:val="00A14B14"/>
    <w:rsid w:val="00A14F0C"/>
    <w:rsid w:val="00A1550A"/>
    <w:rsid w:val="00A1588A"/>
    <w:rsid w:val="00A15A09"/>
    <w:rsid w:val="00A15CC2"/>
    <w:rsid w:val="00A16135"/>
    <w:rsid w:val="00A161CF"/>
    <w:rsid w:val="00A1643F"/>
    <w:rsid w:val="00A165DD"/>
    <w:rsid w:val="00A1690B"/>
    <w:rsid w:val="00A16B93"/>
    <w:rsid w:val="00A16D49"/>
    <w:rsid w:val="00A16DAF"/>
    <w:rsid w:val="00A17AE5"/>
    <w:rsid w:val="00A17BEF"/>
    <w:rsid w:val="00A20A1E"/>
    <w:rsid w:val="00A20BBE"/>
    <w:rsid w:val="00A20CBF"/>
    <w:rsid w:val="00A20F3E"/>
    <w:rsid w:val="00A21223"/>
    <w:rsid w:val="00A212A0"/>
    <w:rsid w:val="00A213C6"/>
    <w:rsid w:val="00A21448"/>
    <w:rsid w:val="00A215F0"/>
    <w:rsid w:val="00A220A3"/>
    <w:rsid w:val="00A235DE"/>
    <w:rsid w:val="00A23618"/>
    <w:rsid w:val="00A239F6"/>
    <w:rsid w:val="00A23B67"/>
    <w:rsid w:val="00A23B93"/>
    <w:rsid w:val="00A243BD"/>
    <w:rsid w:val="00A246D4"/>
    <w:rsid w:val="00A2477B"/>
    <w:rsid w:val="00A24DB7"/>
    <w:rsid w:val="00A25068"/>
    <w:rsid w:val="00A2510E"/>
    <w:rsid w:val="00A25F49"/>
    <w:rsid w:val="00A260F4"/>
    <w:rsid w:val="00A263EA"/>
    <w:rsid w:val="00A263FF"/>
    <w:rsid w:val="00A26466"/>
    <w:rsid w:val="00A26729"/>
    <w:rsid w:val="00A26813"/>
    <w:rsid w:val="00A26845"/>
    <w:rsid w:val="00A26A4C"/>
    <w:rsid w:val="00A26D57"/>
    <w:rsid w:val="00A26E8E"/>
    <w:rsid w:val="00A27893"/>
    <w:rsid w:val="00A279E2"/>
    <w:rsid w:val="00A27D19"/>
    <w:rsid w:val="00A30054"/>
    <w:rsid w:val="00A302E5"/>
    <w:rsid w:val="00A303CD"/>
    <w:rsid w:val="00A31382"/>
    <w:rsid w:val="00A314A7"/>
    <w:rsid w:val="00A3153F"/>
    <w:rsid w:val="00A31A75"/>
    <w:rsid w:val="00A32227"/>
    <w:rsid w:val="00A32339"/>
    <w:rsid w:val="00A3240D"/>
    <w:rsid w:val="00A326DE"/>
    <w:rsid w:val="00A32B3D"/>
    <w:rsid w:val="00A32ED4"/>
    <w:rsid w:val="00A3349E"/>
    <w:rsid w:val="00A33B31"/>
    <w:rsid w:val="00A33DF5"/>
    <w:rsid w:val="00A33ED1"/>
    <w:rsid w:val="00A34321"/>
    <w:rsid w:val="00A344BA"/>
    <w:rsid w:val="00A34895"/>
    <w:rsid w:val="00A35127"/>
    <w:rsid w:val="00A35252"/>
    <w:rsid w:val="00A352B8"/>
    <w:rsid w:val="00A35E55"/>
    <w:rsid w:val="00A35F72"/>
    <w:rsid w:val="00A35FE2"/>
    <w:rsid w:val="00A360C8"/>
    <w:rsid w:val="00A362D0"/>
    <w:rsid w:val="00A36555"/>
    <w:rsid w:val="00A371D2"/>
    <w:rsid w:val="00A37C6E"/>
    <w:rsid w:val="00A37FAD"/>
    <w:rsid w:val="00A405CB"/>
    <w:rsid w:val="00A40941"/>
    <w:rsid w:val="00A41469"/>
    <w:rsid w:val="00A41891"/>
    <w:rsid w:val="00A418AA"/>
    <w:rsid w:val="00A4249F"/>
    <w:rsid w:val="00A43D66"/>
    <w:rsid w:val="00A44149"/>
    <w:rsid w:val="00A4425F"/>
    <w:rsid w:val="00A44DDC"/>
    <w:rsid w:val="00A455A6"/>
    <w:rsid w:val="00A45C70"/>
    <w:rsid w:val="00A460C9"/>
    <w:rsid w:val="00A46745"/>
    <w:rsid w:val="00A46E79"/>
    <w:rsid w:val="00A476EC"/>
    <w:rsid w:val="00A479BC"/>
    <w:rsid w:val="00A47F27"/>
    <w:rsid w:val="00A51726"/>
    <w:rsid w:val="00A51FB1"/>
    <w:rsid w:val="00A5237E"/>
    <w:rsid w:val="00A5250D"/>
    <w:rsid w:val="00A526ED"/>
    <w:rsid w:val="00A52937"/>
    <w:rsid w:val="00A530B1"/>
    <w:rsid w:val="00A5328C"/>
    <w:rsid w:val="00A53693"/>
    <w:rsid w:val="00A53B2B"/>
    <w:rsid w:val="00A53CFB"/>
    <w:rsid w:val="00A5410A"/>
    <w:rsid w:val="00A54BA5"/>
    <w:rsid w:val="00A54EAE"/>
    <w:rsid w:val="00A55104"/>
    <w:rsid w:val="00A555CD"/>
    <w:rsid w:val="00A5560F"/>
    <w:rsid w:val="00A5597E"/>
    <w:rsid w:val="00A5698D"/>
    <w:rsid w:val="00A56BDF"/>
    <w:rsid w:val="00A56E33"/>
    <w:rsid w:val="00A57030"/>
    <w:rsid w:val="00A57E8C"/>
    <w:rsid w:val="00A604B9"/>
    <w:rsid w:val="00A60D75"/>
    <w:rsid w:val="00A610F3"/>
    <w:rsid w:val="00A61795"/>
    <w:rsid w:val="00A62584"/>
    <w:rsid w:val="00A626BC"/>
    <w:rsid w:val="00A6299C"/>
    <w:rsid w:val="00A629F5"/>
    <w:rsid w:val="00A62C98"/>
    <w:rsid w:val="00A63440"/>
    <w:rsid w:val="00A63813"/>
    <w:rsid w:val="00A6396F"/>
    <w:rsid w:val="00A64324"/>
    <w:rsid w:val="00A64501"/>
    <w:rsid w:val="00A64597"/>
    <w:rsid w:val="00A64610"/>
    <w:rsid w:val="00A6479E"/>
    <w:rsid w:val="00A64F4F"/>
    <w:rsid w:val="00A65512"/>
    <w:rsid w:val="00A65669"/>
    <w:rsid w:val="00A65670"/>
    <w:rsid w:val="00A656A3"/>
    <w:rsid w:val="00A65AAD"/>
    <w:rsid w:val="00A65D49"/>
    <w:rsid w:val="00A65DA8"/>
    <w:rsid w:val="00A665F1"/>
    <w:rsid w:val="00A66E3C"/>
    <w:rsid w:val="00A67D5A"/>
    <w:rsid w:val="00A701AB"/>
    <w:rsid w:val="00A706D1"/>
    <w:rsid w:val="00A707C5"/>
    <w:rsid w:val="00A71194"/>
    <w:rsid w:val="00A71E6A"/>
    <w:rsid w:val="00A7301C"/>
    <w:rsid w:val="00A730A8"/>
    <w:rsid w:val="00A73296"/>
    <w:rsid w:val="00A7388B"/>
    <w:rsid w:val="00A741AF"/>
    <w:rsid w:val="00A74748"/>
    <w:rsid w:val="00A74E92"/>
    <w:rsid w:val="00A752CE"/>
    <w:rsid w:val="00A75418"/>
    <w:rsid w:val="00A7561A"/>
    <w:rsid w:val="00A75686"/>
    <w:rsid w:val="00A75EC1"/>
    <w:rsid w:val="00A76445"/>
    <w:rsid w:val="00A7659D"/>
    <w:rsid w:val="00A766F2"/>
    <w:rsid w:val="00A76B15"/>
    <w:rsid w:val="00A76C5C"/>
    <w:rsid w:val="00A76CE1"/>
    <w:rsid w:val="00A76F28"/>
    <w:rsid w:val="00A77419"/>
    <w:rsid w:val="00A8092B"/>
    <w:rsid w:val="00A80CBA"/>
    <w:rsid w:val="00A80FE2"/>
    <w:rsid w:val="00A81345"/>
    <w:rsid w:val="00A81781"/>
    <w:rsid w:val="00A81D83"/>
    <w:rsid w:val="00A81F42"/>
    <w:rsid w:val="00A82072"/>
    <w:rsid w:val="00A82778"/>
    <w:rsid w:val="00A82D97"/>
    <w:rsid w:val="00A830D1"/>
    <w:rsid w:val="00A83112"/>
    <w:rsid w:val="00A83365"/>
    <w:rsid w:val="00A84059"/>
    <w:rsid w:val="00A842C3"/>
    <w:rsid w:val="00A84527"/>
    <w:rsid w:val="00A84CB1"/>
    <w:rsid w:val="00A84F67"/>
    <w:rsid w:val="00A8519B"/>
    <w:rsid w:val="00A851F4"/>
    <w:rsid w:val="00A855EA"/>
    <w:rsid w:val="00A857D5"/>
    <w:rsid w:val="00A85855"/>
    <w:rsid w:val="00A85A05"/>
    <w:rsid w:val="00A85AD7"/>
    <w:rsid w:val="00A85CD2"/>
    <w:rsid w:val="00A85E29"/>
    <w:rsid w:val="00A86047"/>
    <w:rsid w:val="00A861BE"/>
    <w:rsid w:val="00A8661C"/>
    <w:rsid w:val="00A86D08"/>
    <w:rsid w:val="00A86D27"/>
    <w:rsid w:val="00A86E89"/>
    <w:rsid w:val="00A875F4"/>
    <w:rsid w:val="00A879B0"/>
    <w:rsid w:val="00A87DEB"/>
    <w:rsid w:val="00A90263"/>
    <w:rsid w:val="00A90750"/>
    <w:rsid w:val="00A9131D"/>
    <w:rsid w:val="00A9153E"/>
    <w:rsid w:val="00A915DF"/>
    <w:rsid w:val="00A916DE"/>
    <w:rsid w:val="00A91977"/>
    <w:rsid w:val="00A91A42"/>
    <w:rsid w:val="00A91B65"/>
    <w:rsid w:val="00A91C2E"/>
    <w:rsid w:val="00A91FBD"/>
    <w:rsid w:val="00A921DA"/>
    <w:rsid w:val="00A9250C"/>
    <w:rsid w:val="00A92C68"/>
    <w:rsid w:val="00A93174"/>
    <w:rsid w:val="00A93434"/>
    <w:rsid w:val="00A9395C"/>
    <w:rsid w:val="00A944C4"/>
    <w:rsid w:val="00A948CD"/>
    <w:rsid w:val="00A9523E"/>
    <w:rsid w:val="00A954A0"/>
    <w:rsid w:val="00A95881"/>
    <w:rsid w:val="00A95FC9"/>
    <w:rsid w:val="00A96E83"/>
    <w:rsid w:val="00A97788"/>
    <w:rsid w:val="00A97844"/>
    <w:rsid w:val="00A97950"/>
    <w:rsid w:val="00A97F0C"/>
    <w:rsid w:val="00AA0202"/>
    <w:rsid w:val="00AA0765"/>
    <w:rsid w:val="00AA10F5"/>
    <w:rsid w:val="00AA1604"/>
    <w:rsid w:val="00AA1639"/>
    <w:rsid w:val="00AA209B"/>
    <w:rsid w:val="00AA2819"/>
    <w:rsid w:val="00AA2851"/>
    <w:rsid w:val="00AA30E8"/>
    <w:rsid w:val="00AA3416"/>
    <w:rsid w:val="00AA3882"/>
    <w:rsid w:val="00AA3EF7"/>
    <w:rsid w:val="00AA411C"/>
    <w:rsid w:val="00AA4200"/>
    <w:rsid w:val="00AA454B"/>
    <w:rsid w:val="00AA46FD"/>
    <w:rsid w:val="00AA4E99"/>
    <w:rsid w:val="00AA5464"/>
    <w:rsid w:val="00AA5C03"/>
    <w:rsid w:val="00AA5D44"/>
    <w:rsid w:val="00AA5D59"/>
    <w:rsid w:val="00AA6917"/>
    <w:rsid w:val="00AA6F91"/>
    <w:rsid w:val="00AA768B"/>
    <w:rsid w:val="00AA769A"/>
    <w:rsid w:val="00AA77BD"/>
    <w:rsid w:val="00AA7D46"/>
    <w:rsid w:val="00AA7E65"/>
    <w:rsid w:val="00AA7F08"/>
    <w:rsid w:val="00AB01A8"/>
    <w:rsid w:val="00AB063F"/>
    <w:rsid w:val="00AB0738"/>
    <w:rsid w:val="00AB16C4"/>
    <w:rsid w:val="00AB17C8"/>
    <w:rsid w:val="00AB1D55"/>
    <w:rsid w:val="00AB2316"/>
    <w:rsid w:val="00AB2466"/>
    <w:rsid w:val="00AB2521"/>
    <w:rsid w:val="00AB2D0A"/>
    <w:rsid w:val="00AB2DB7"/>
    <w:rsid w:val="00AB2ED6"/>
    <w:rsid w:val="00AB3A2D"/>
    <w:rsid w:val="00AB3F2D"/>
    <w:rsid w:val="00AB3F8D"/>
    <w:rsid w:val="00AB4305"/>
    <w:rsid w:val="00AB4423"/>
    <w:rsid w:val="00AB46A7"/>
    <w:rsid w:val="00AB51F8"/>
    <w:rsid w:val="00AB559C"/>
    <w:rsid w:val="00AB63BC"/>
    <w:rsid w:val="00AB6465"/>
    <w:rsid w:val="00AB6B47"/>
    <w:rsid w:val="00AB6E73"/>
    <w:rsid w:val="00AB7026"/>
    <w:rsid w:val="00AB724F"/>
    <w:rsid w:val="00AB7438"/>
    <w:rsid w:val="00AB7647"/>
    <w:rsid w:val="00AC0A25"/>
    <w:rsid w:val="00AC0AF7"/>
    <w:rsid w:val="00AC0BD0"/>
    <w:rsid w:val="00AC116E"/>
    <w:rsid w:val="00AC1283"/>
    <w:rsid w:val="00AC1451"/>
    <w:rsid w:val="00AC1525"/>
    <w:rsid w:val="00AC1926"/>
    <w:rsid w:val="00AC23F9"/>
    <w:rsid w:val="00AC2798"/>
    <w:rsid w:val="00AC2902"/>
    <w:rsid w:val="00AC2A7E"/>
    <w:rsid w:val="00AC2A93"/>
    <w:rsid w:val="00AC2BA3"/>
    <w:rsid w:val="00AC387F"/>
    <w:rsid w:val="00AC4C94"/>
    <w:rsid w:val="00AC5467"/>
    <w:rsid w:val="00AC62B8"/>
    <w:rsid w:val="00AC6681"/>
    <w:rsid w:val="00AC7881"/>
    <w:rsid w:val="00AD031C"/>
    <w:rsid w:val="00AD0352"/>
    <w:rsid w:val="00AD0B28"/>
    <w:rsid w:val="00AD1C2B"/>
    <w:rsid w:val="00AD236D"/>
    <w:rsid w:val="00AD27DD"/>
    <w:rsid w:val="00AD298A"/>
    <w:rsid w:val="00AD2A4A"/>
    <w:rsid w:val="00AD308B"/>
    <w:rsid w:val="00AD3489"/>
    <w:rsid w:val="00AD48F5"/>
    <w:rsid w:val="00AD4953"/>
    <w:rsid w:val="00AD4A58"/>
    <w:rsid w:val="00AD5F7E"/>
    <w:rsid w:val="00AD617F"/>
    <w:rsid w:val="00AD6CC6"/>
    <w:rsid w:val="00AD6D24"/>
    <w:rsid w:val="00AD715C"/>
    <w:rsid w:val="00AD716E"/>
    <w:rsid w:val="00AD7437"/>
    <w:rsid w:val="00AD76C4"/>
    <w:rsid w:val="00AD7811"/>
    <w:rsid w:val="00AD7CF2"/>
    <w:rsid w:val="00AD7D56"/>
    <w:rsid w:val="00AE04C7"/>
    <w:rsid w:val="00AE08DE"/>
    <w:rsid w:val="00AE129E"/>
    <w:rsid w:val="00AE1894"/>
    <w:rsid w:val="00AE1BEE"/>
    <w:rsid w:val="00AE2537"/>
    <w:rsid w:val="00AE2629"/>
    <w:rsid w:val="00AE2CE2"/>
    <w:rsid w:val="00AE2EB7"/>
    <w:rsid w:val="00AE398C"/>
    <w:rsid w:val="00AE3BA4"/>
    <w:rsid w:val="00AE3C71"/>
    <w:rsid w:val="00AE3FF9"/>
    <w:rsid w:val="00AE40C7"/>
    <w:rsid w:val="00AE4110"/>
    <w:rsid w:val="00AE41D1"/>
    <w:rsid w:val="00AE41DB"/>
    <w:rsid w:val="00AE4210"/>
    <w:rsid w:val="00AE42E6"/>
    <w:rsid w:val="00AE54BA"/>
    <w:rsid w:val="00AE5734"/>
    <w:rsid w:val="00AE58B7"/>
    <w:rsid w:val="00AE62DF"/>
    <w:rsid w:val="00AE6EA1"/>
    <w:rsid w:val="00AE7057"/>
    <w:rsid w:val="00AE71EF"/>
    <w:rsid w:val="00AE733D"/>
    <w:rsid w:val="00AF04ED"/>
    <w:rsid w:val="00AF0A2D"/>
    <w:rsid w:val="00AF0E3B"/>
    <w:rsid w:val="00AF120B"/>
    <w:rsid w:val="00AF1843"/>
    <w:rsid w:val="00AF2006"/>
    <w:rsid w:val="00AF2362"/>
    <w:rsid w:val="00AF2405"/>
    <w:rsid w:val="00AF2799"/>
    <w:rsid w:val="00AF297A"/>
    <w:rsid w:val="00AF2AED"/>
    <w:rsid w:val="00AF3022"/>
    <w:rsid w:val="00AF3155"/>
    <w:rsid w:val="00AF34C9"/>
    <w:rsid w:val="00AF37F7"/>
    <w:rsid w:val="00AF3888"/>
    <w:rsid w:val="00AF45B1"/>
    <w:rsid w:val="00AF48F6"/>
    <w:rsid w:val="00AF49E3"/>
    <w:rsid w:val="00AF49F3"/>
    <w:rsid w:val="00AF5630"/>
    <w:rsid w:val="00AF5F4A"/>
    <w:rsid w:val="00AF615F"/>
    <w:rsid w:val="00AF6243"/>
    <w:rsid w:val="00AF674C"/>
    <w:rsid w:val="00AF67C9"/>
    <w:rsid w:val="00AF736D"/>
    <w:rsid w:val="00AF75CE"/>
    <w:rsid w:val="00AF7907"/>
    <w:rsid w:val="00B0060B"/>
    <w:rsid w:val="00B006D2"/>
    <w:rsid w:val="00B00F57"/>
    <w:rsid w:val="00B010D3"/>
    <w:rsid w:val="00B01137"/>
    <w:rsid w:val="00B011D9"/>
    <w:rsid w:val="00B018A5"/>
    <w:rsid w:val="00B021F3"/>
    <w:rsid w:val="00B02543"/>
    <w:rsid w:val="00B026BD"/>
    <w:rsid w:val="00B02AC6"/>
    <w:rsid w:val="00B0366D"/>
    <w:rsid w:val="00B03A0F"/>
    <w:rsid w:val="00B03C63"/>
    <w:rsid w:val="00B03C66"/>
    <w:rsid w:val="00B0497B"/>
    <w:rsid w:val="00B049AD"/>
    <w:rsid w:val="00B057D1"/>
    <w:rsid w:val="00B05B2F"/>
    <w:rsid w:val="00B05D13"/>
    <w:rsid w:val="00B05E7E"/>
    <w:rsid w:val="00B0608E"/>
    <w:rsid w:val="00B060C7"/>
    <w:rsid w:val="00B061BA"/>
    <w:rsid w:val="00B0641D"/>
    <w:rsid w:val="00B06794"/>
    <w:rsid w:val="00B06A50"/>
    <w:rsid w:val="00B07D90"/>
    <w:rsid w:val="00B07F65"/>
    <w:rsid w:val="00B10143"/>
    <w:rsid w:val="00B10282"/>
    <w:rsid w:val="00B105C6"/>
    <w:rsid w:val="00B105CB"/>
    <w:rsid w:val="00B105D1"/>
    <w:rsid w:val="00B10939"/>
    <w:rsid w:val="00B1111A"/>
    <w:rsid w:val="00B11148"/>
    <w:rsid w:val="00B11617"/>
    <w:rsid w:val="00B11D49"/>
    <w:rsid w:val="00B11E1F"/>
    <w:rsid w:val="00B121BF"/>
    <w:rsid w:val="00B1228C"/>
    <w:rsid w:val="00B12487"/>
    <w:rsid w:val="00B12F36"/>
    <w:rsid w:val="00B132C6"/>
    <w:rsid w:val="00B1358F"/>
    <w:rsid w:val="00B13891"/>
    <w:rsid w:val="00B143FA"/>
    <w:rsid w:val="00B14FA0"/>
    <w:rsid w:val="00B1559F"/>
    <w:rsid w:val="00B15A76"/>
    <w:rsid w:val="00B15F4B"/>
    <w:rsid w:val="00B16137"/>
    <w:rsid w:val="00B1681F"/>
    <w:rsid w:val="00B168C4"/>
    <w:rsid w:val="00B17336"/>
    <w:rsid w:val="00B175B7"/>
    <w:rsid w:val="00B17A7D"/>
    <w:rsid w:val="00B17C7C"/>
    <w:rsid w:val="00B17CC5"/>
    <w:rsid w:val="00B17FC7"/>
    <w:rsid w:val="00B202F1"/>
    <w:rsid w:val="00B2040A"/>
    <w:rsid w:val="00B208DC"/>
    <w:rsid w:val="00B20A3E"/>
    <w:rsid w:val="00B20A8C"/>
    <w:rsid w:val="00B20DC8"/>
    <w:rsid w:val="00B21B78"/>
    <w:rsid w:val="00B22017"/>
    <w:rsid w:val="00B224C7"/>
    <w:rsid w:val="00B2271D"/>
    <w:rsid w:val="00B229C3"/>
    <w:rsid w:val="00B22B17"/>
    <w:rsid w:val="00B22CBA"/>
    <w:rsid w:val="00B22D14"/>
    <w:rsid w:val="00B2345C"/>
    <w:rsid w:val="00B24589"/>
    <w:rsid w:val="00B24610"/>
    <w:rsid w:val="00B24B12"/>
    <w:rsid w:val="00B2537B"/>
    <w:rsid w:val="00B2540A"/>
    <w:rsid w:val="00B2569E"/>
    <w:rsid w:val="00B25CA5"/>
    <w:rsid w:val="00B25CB1"/>
    <w:rsid w:val="00B262D1"/>
    <w:rsid w:val="00B264F8"/>
    <w:rsid w:val="00B27E13"/>
    <w:rsid w:val="00B302C6"/>
    <w:rsid w:val="00B30493"/>
    <w:rsid w:val="00B30D71"/>
    <w:rsid w:val="00B30DC0"/>
    <w:rsid w:val="00B31587"/>
    <w:rsid w:val="00B31DA7"/>
    <w:rsid w:val="00B32251"/>
    <w:rsid w:val="00B32342"/>
    <w:rsid w:val="00B32952"/>
    <w:rsid w:val="00B32DCA"/>
    <w:rsid w:val="00B33499"/>
    <w:rsid w:val="00B339DF"/>
    <w:rsid w:val="00B33EA0"/>
    <w:rsid w:val="00B347E4"/>
    <w:rsid w:val="00B35477"/>
    <w:rsid w:val="00B35718"/>
    <w:rsid w:val="00B35C98"/>
    <w:rsid w:val="00B361B4"/>
    <w:rsid w:val="00B36596"/>
    <w:rsid w:val="00B36DC8"/>
    <w:rsid w:val="00B37EDA"/>
    <w:rsid w:val="00B40079"/>
    <w:rsid w:val="00B4012E"/>
    <w:rsid w:val="00B40140"/>
    <w:rsid w:val="00B402FC"/>
    <w:rsid w:val="00B40B47"/>
    <w:rsid w:val="00B4174F"/>
    <w:rsid w:val="00B4195C"/>
    <w:rsid w:val="00B41EE9"/>
    <w:rsid w:val="00B42540"/>
    <w:rsid w:val="00B42554"/>
    <w:rsid w:val="00B42598"/>
    <w:rsid w:val="00B42CE8"/>
    <w:rsid w:val="00B42EE3"/>
    <w:rsid w:val="00B4324D"/>
    <w:rsid w:val="00B43698"/>
    <w:rsid w:val="00B43945"/>
    <w:rsid w:val="00B43EB8"/>
    <w:rsid w:val="00B44685"/>
    <w:rsid w:val="00B44776"/>
    <w:rsid w:val="00B44F44"/>
    <w:rsid w:val="00B45581"/>
    <w:rsid w:val="00B45758"/>
    <w:rsid w:val="00B460BE"/>
    <w:rsid w:val="00B460C9"/>
    <w:rsid w:val="00B461CC"/>
    <w:rsid w:val="00B46466"/>
    <w:rsid w:val="00B464D4"/>
    <w:rsid w:val="00B46946"/>
    <w:rsid w:val="00B46A8D"/>
    <w:rsid w:val="00B47451"/>
    <w:rsid w:val="00B477CE"/>
    <w:rsid w:val="00B47B67"/>
    <w:rsid w:val="00B501D8"/>
    <w:rsid w:val="00B5040D"/>
    <w:rsid w:val="00B51DE7"/>
    <w:rsid w:val="00B523FC"/>
    <w:rsid w:val="00B5244D"/>
    <w:rsid w:val="00B52CFE"/>
    <w:rsid w:val="00B531F5"/>
    <w:rsid w:val="00B5388F"/>
    <w:rsid w:val="00B53B8F"/>
    <w:rsid w:val="00B53CD2"/>
    <w:rsid w:val="00B544F1"/>
    <w:rsid w:val="00B54780"/>
    <w:rsid w:val="00B5546A"/>
    <w:rsid w:val="00B5674F"/>
    <w:rsid w:val="00B567FB"/>
    <w:rsid w:val="00B56B5F"/>
    <w:rsid w:val="00B56BCB"/>
    <w:rsid w:val="00B56BEB"/>
    <w:rsid w:val="00B57292"/>
    <w:rsid w:val="00B572D1"/>
    <w:rsid w:val="00B611D6"/>
    <w:rsid w:val="00B61A03"/>
    <w:rsid w:val="00B61B94"/>
    <w:rsid w:val="00B6203C"/>
    <w:rsid w:val="00B6243C"/>
    <w:rsid w:val="00B6258A"/>
    <w:rsid w:val="00B62BCE"/>
    <w:rsid w:val="00B62EB3"/>
    <w:rsid w:val="00B62F51"/>
    <w:rsid w:val="00B62F87"/>
    <w:rsid w:val="00B6333E"/>
    <w:rsid w:val="00B63B83"/>
    <w:rsid w:val="00B645B8"/>
    <w:rsid w:val="00B648D8"/>
    <w:rsid w:val="00B65105"/>
    <w:rsid w:val="00B6533E"/>
    <w:rsid w:val="00B65999"/>
    <w:rsid w:val="00B65C53"/>
    <w:rsid w:val="00B65E5E"/>
    <w:rsid w:val="00B66654"/>
    <w:rsid w:val="00B66C89"/>
    <w:rsid w:val="00B6711F"/>
    <w:rsid w:val="00B67641"/>
    <w:rsid w:val="00B67932"/>
    <w:rsid w:val="00B67CF5"/>
    <w:rsid w:val="00B7011C"/>
    <w:rsid w:val="00B70900"/>
    <w:rsid w:val="00B7095A"/>
    <w:rsid w:val="00B70A0B"/>
    <w:rsid w:val="00B70D60"/>
    <w:rsid w:val="00B70EBE"/>
    <w:rsid w:val="00B7104E"/>
    <w:rsid w:val="00B710D1"/>
    <w:rsid w:val="00B71526"/>
    <w:rsid w:val="00B718D8"/>
    <w:rsid w:val="00B718E1"/>
    <w:rsid w:val="00B722D6"/>
    <w:rsid w:val="00B725AE"/>
    <w:rsid w:val="00B72EE2"/>
    <w:rsid w:val="00B730FD"/>
    <w:rsid w:val="00B7329D"/>
    <w:rsid w:val="00B733D0"/>
    <w:rsid w:val="00B7399B"/>
    <w:rsid w:val="00B73D5C"/>
    <w:rsid w:val="00B73F7B"/>
    <w:rsid w:val="00B745C2"/>
    <w:rsid w:val="00B749E2"/>
    <w:rsid w:val="00B74D4C"/>
    <w:rsid w:val="00B75B00"/>
    <w:rsid w:val="00B75BD8"/>
    <w:rsid w:val="00B75FBC"/>
    <w:rsid w:val="00B76EFD"/>
    <w:rsid w:val="00B77338"/>
    <w:rsid w:val="00B773EB"/>
    <w:rsid w:val="00B7756D"/>
    <w:rsid w:val="00B779C6"/>
    <w:rsid w:val="00B77B5C"/>
    <w:rsid w:val="00B77BFE"/>
    <w:rsid w:val="00B77C37"/>
    <w:rsid w:val="00B80A36"/>
    <w:rsid w:val="00B80B19"/>
    <w:rsid w:val="00B80B61"/>
    <w:rsid w:val="00B80ECE"/>
    <w:rsid w:val="00B81020"/>
    <w:rsid w:val="00B81523"/>
    <w:rsid w:val="00B815BB"/>
    <w:rsid w:val="00B82085"/>
    <w:rsid w:val="00B82645"/>
    <w:rsid w:val="00B8266D"/>
    <w:rsid w:val="00B82B5B"/>
    <w:rsid w:val="00B82C26"/>
    <w:rsid w:val="00B82F30"/>
    <w:rsid w:val="00B83666"/>
    <w:rsid w:val="00B83E4B"/>
    <w:rsid w:val="00B845FE"/>
    <w:rsid w:val="00B84D55"/>
    <w:rsid w:val="00B85931"/>
    <w:rsid w:val="00B85AF5"/>
    <w:rsid w:val="00B85D4A"/>
    <w:rsid w:val="00B85D53"/>
    <w:rsid w:val="00B8661D"/>
    <w:rsid w:val="00B8671D"/>
    <w:rsid w:val="00B8682F"/>
    <w:rsid w:val="00B878BD"/>
    <w:rsid w:val="00B87D15"/>
    <w:rsid w:val="00B9040A"/>
    <w:rsid w:val="00B90FA7"/>
    <w:rsid w:val="00B9105D"/>
    <w:rsid w:val="00B9159E"/>
    <w:rsid w:val="00B91B93"/>
    <w:rsid w:val="00B91F7A"/>
    <w:rsid w:val="00B920EB"/>
    <w:rsid w:val="00B9222D"/>
    <w:rsid w:val="00B92CA3"/>
    <w:rsid w:val="00B92E37"/>
    <w:rsid w:val="00B93A18"/>
    <w:rsid w:val="00B94711"/>
    <w:rsid w:val="00B94725"/>
    <w:rsid w:val="00B94BB8"/>
    <w:rsid w:val="00B94D06"/>
    <w:rsid w:val="00B94D9F"/>
    <w:rsid w:val="00B94E3B"/>
    <w:rsid w:val="00B9501C"/>
    <w:rsid w:val="00B95A81"/>
    <w:rsid w:val="00B95B73"/>
    <w:rsid w:val="00B95DB7"/>
    <w:rsid w:val="00B95F85"/>
    <w:rsid w:val="00B96D8D"/>
    <w:rsid w:val="00B974EE"/>
    <w:rsid w:val="00B977CB"/>
    <w:rsid w:val="00B97937"/>
    <w:rsid w:val="00B97A43"/>
    <w:rsid w:val="00B97B3B"/>
    <w:rsid w:val="00BA0162"/>
    <w:rsid w:val="00BA0C40"/>
    <w:rsid w:val="00BA0F0F"/>
    <w:rsid w:val="00BA1161"/>
    <w:rsid w:val="00BA131C"/>
    <w:rsid w:val="00BA1998"/>
    <w:rsid w:val="00BA1EC7"/>
    <w:rsid w:val="00BA213C"/>
    <w:rsid w:val="00BA3094"/>
    <w:rsid w:val="00BA321E"/>
    <w:rsid w:val="00BA352F"/>
    <w:rsid w:val="00BA3A11"/>
    <w:rsid w:val="00BA3DEE"/>
    <w:rsid w:val="00BA3E17"/>
    <w:rsid w:val="00BA46B2"/>
    <w:rsid w:val="00BA599A"/>
    <w:rsid w:val="00BA6675"/>
    <w:rsid w:val="00BA680F"/>
    <w:rsid w:val="00BA6A9B"/>
    <w:rsid w:val="00BA6D93"/>
    <w:rsid w:val="00BA7089"/>
    <w:rsid w:val="00BA75CD"/>
    <w:rsid w:val="00BA7EC8"/>
    <w:rsid w:val="00BB03B3"/>
    <w:rsid w:val="00BB0B35"/>
    <w:rsid w:val="00BB24B2"/>
    <w:rsid w:val="00BB3BDC"/>
    <w:rsid w:val="00BB42AC"/>
    <w:rsid w:val="00BB4BB0"/>
    <w:rsid w:val="00BB50FE"/>
    <w:rsid w:val="00BB5873"/>
    <w:rsid w:val="00BB58E9"/>
    <w:rsid w:val="00BB5B63"/>
    <w:rsid w:val="00BB61B2"/>
    <w:rsid w:val="00BB6529"/>
    <w:rsid w:val="00BB6558"/>
    <w:rsid w:val="00BB6E8C"/>
    <w:rsid w:val="00BB6F68"/>
    <w:rsid w:val="00BB7604"/>
    <w:rsid w:val="00BB78F2"/>
    <w:rsid w:val="00BB7962"/>
    <w:rsid w:val="00BC0251"/>
    <w:rsid w:val="00BC05EA"/>
    <w:rsid w:val="00BC08E8"/>
    <w:rsid w:val="00BC208C"/>
    <w:rsid w:val="00BC2DE5"/>
    <w:rsid w:val="00BC3050"/>
    <w:rsid w:val="00BC30A6"/>
    <w:rsid w:val="00BC3707"/>
    <w:rsid w:val="00BC3E70"/>
    <w:rsid w:val="00BC465C"/>
    <w:rsid w:val="00BC4871"/>
    <w:rsid w:val="00BC4936"/>
    <w:rsid w:val="00BC49B0"/>
    <w:rsid w:val="00BC49F4"/>
    <w:rsid w:val="00BC49FB"/>
    <w:rsid w:val="00BC4BCF"/>
    <w:rsid w:val="00BC4C0A"/>
    <w:rsid w:val="00BC502E"/>
    <w:rsid w:val="00BC52D0"/>
    <w:rsid w:val="00BC59EE"/>
    <w:rsid w:val="00BC6028"/>
    <w:rsid w:val="00BC60A6"/>
    <w:rsid w:val="00BC6500"/>
    <w:rsid w:val="00BC6B68"/>
    <w:rsid w:val="00BC6C2C"/>
    <w:rsid w:val="00BC7550"/>
    <w:rsid w:val="00BC7651"/>
    <w:rsid w:val="00BC77E6"/>
    <w:rsid w:val="00BD0457"/>
    <w:rsid w:val="00BD0BED"/>
    <w:rsid w:val="00BD103E"/>
    <w:rsid w:val="00BD145C"/>
    <w:rsid w:val="00BD15AB"/>
    <w:rsid w:val="00BD15AC"/>
    <w:rsid w:val="00BD1CF5"/>
    <w:rsid w:val="00BD1EA6"/>
    <w:rsid w:val="00BD2563"/>
    <w:rsid w:val="00BD3593"/>
    <w:rsid w:val="00BD4120"/>
    <w:rsid w:val="00BD4349"/>
    <w:rsid w:val="00BD43E7"/>
    <w:rsid w:val="00BD45AA"/>
    <w:rsid w:val="00BD49F0"/>
    <w:rsid w:val="00BD4AA1"/>
    <w:rsid w:val="00BD512C"/>
    <w:rsid w:val="00BD55CC"/>
    <w:rsid w:val="00BD5910"/>
    <w:rsid w:val="00BD5DDB"/>
    <w:rsid w:val="00BD6265"/>
    <w:rsid w:val="00BD6359"/>
    <w:rsid w:val="00BD6712"/>
    <w:rsid w:val="00BD684F"/>
    <w:rsid w:val="00BD77C9"/>
    <w:rsid w:val="00BE0D65"/>
    <w:rsid w:val="00BE0D8D"/>
    <w:rsid w:val="00BE11B9"/>
    <w:rsid w:val="00BE1434"/>
    <w:rsid w:val="00BE17D1"/>
    <w:rsid w:val="00BE25FF"/>
    <w:rsid w:val="00BE2A16"/>
    <w:rsid w:val="00BE2D00"/>
    <w:rsid w:val="00BE4089"/>
    <w:rsid w:val="00BE40F9"/>
    <w:rsid w:val="00BE4453"/>
    <w:rsid w:val="00BE4752"/>
    <w:rsid w:val="00BE4894"/>
    <w:rsid w:val="00BE4AEE"/>
    <w:rsid w:val="00BE4E17"/>
    <w:rsid w:val="00BE4F0A"/>
    <w:rsid w:val="00BE53C3"/>
    <w:rsid w:val="00BE5B56"/>
    <w:rsid w:val="00BE5F7F"/>
    <w:rsid w:val="00BE62BD"/>
    <w:rsid w:val="00BE63C6"/>
    <w:rsid w:val="00BE6883"/>
    <w:rsid w:val="00BE69AE"/>
    <w:rsid w:val="00BE6BC4"/>
    <w:rsid w:val="00BE73C7"/>
    <w:rsid w:val="00BE7C5D"/>
    <w:rsid w:val="00BF0490"/>
    <w:rsid w:val="00BF05B8"/>
    <w:rsid w:val="00BF0A42"/>
    <w:rsid w:val="00BF0AF9"/>
    <w:rsid w:val="00BF0BA7"/>
    <w:rsid w:val="00BF0C28"/>
    <w:rsid w:val="00BF128E"/>
    <w:rsid w:val="00BF16F3"/>
    <w:rsid w:val="00BF19A4"/>
    <w:rsid w:val="00BF1A5C"/>
    <w:rsid w:val="00BF21AC"/>
    <w:rsid w:val="00BF2291"/>
    <w:rsid w:val="00BF2331"/>
    <w:rsid w:val="00BF24F3"/>
    <w:rsid w:val="00BF2756"/>
    <w:rsid w:val="00BF289D"/>
    <w:rsid w:val="00BF334A"/>
    <w:rsid w:val="00BF39BC"/>
    <w:rsid w:val="00BF3BE8"/>
    <w:rsid w:val="00BF4907"/>
    <w:rsid w:val="00BF55C7"/>
    <w:rsid w:val="00BF5EB5"/>
    <w:rsid w:val="00BF5F5F"/>
    <w:rsid w:val="00BF6A27"/>
    <w:rsid w:val="00BF6AA3"/>
    <w:rsid w:val="00BF6E12"/>
    <w:rsid w:val="00BF7532"/>
    <w:rsid w:val="00BF7B06"/>
    <w:rsid w:val="00BF7B6D"/>
    <w:rsid w:val="00C00A3E"/>
    <w:rsid w:val="00C0107B"/>
    <w:rsid w:val="00C012A0"/>
    <w:rsid w:val="00C01A14"/>
    <w:rsid w:val="00C020A2"/>
    <w:rsid w:val="00C022F6"/>
    <w:rsid w:val="00C02366"/>
    <w:rsid w:val="00C02457"/>
    <w:rsid w:val="00C02499"/>
    <w:rsid w:val="00C0297F"/>
    <w:rsid w:val="00C02B3B"/>
    <w:rsid w:val="00C02C05"/>
    <w:rsid w:val="00C038AD"/>
    <w:rsid w:val="00C045A0"/>
    <w:rsid w:val="00C04A81"/>
    <w:rsid w:val="00C04F95"/>
    <w:rsid w:val="00C05D42"/>
    <w:rsid w:val="00C0635E"/>
    <w:rsid w:val="00C0653A"/>
    <w:rsid w:val="00C06576"/>
    <w:rsid w:val="00C06854"/>
    <w:rsid w:val="00C069F6"/>
    <w:rsid w:val="00C079B8"/>
    <w:rsid w:val="00C079F9"/>
    <w:rsid w:val="00C07C6D"/>
    <w:rsid w:val="00C10167"/>
    <w:rsid w:val="00C10576"/>
    <w:rsid w:val="00C110B8"/>
    <w:rsid w:val="00C11843"/>
    <w:rsid w:val="00C11C53"/>
    <w:rsid w:val="00C11C6F"/>
    <w:rsid w:val="00C12517"/>
    <w:rsid w:val="00C1260C"/>
    <w:rsid w:val="00C127AF"/>
    <w:rsid w:val="00C12AD2"/>
    <w:rsid w:val="00C12C11"/>
    <w:rsid w:val="00C13573"/>
    <w:rsid w:val="00C13986"/>
    <w:rsid w:val="00C14265"/>
    <w:rsid w:val="00C14640"/>
    <w:rsid w:val="00C146D5"/>
    <w:rsid w:val="00C15502"/>
    <w:rsid w:val="00C15B47"/>
    <w:rsid w:val="00C15F4D"/>
    <w:rsid w:val="00C16501"/>
    <w:rsid w:val="00C16CFB"/>
    <w:rsid w:val="00C17108"/>
    <w:rsid w:val="00C17141"/>
    <w:rsid w:val="00C1726A"/>
    <w:rsid w:val="00C17F33"/>
    <w:rsid w:val="00C20022"/>
    <w:rsid w:val="00C20D66"/>
    <w:rsid w:val="00C20EC5"/>
    <w:rsid w:val="00C221FE"/>
    <w:rsid w:val="00C22AE9"/>
    <w:rsid w:val="00C238D8"/>
    <w:rsid w:val="00C24965"/>
    <w:rsid w:val="00C24A8C"/>
    <w:rsid w:val="00C24EAA"/>
    <w:rsid w:val="00C24F69"/>
    <w:rsid w:val="00C257C4"/>
    <w:rsid w:val="00C25E91"/>
    <w:rsid w:val="00C25ECA"/>
    <w:rsid w:val="00C26062"/>
    <w:rsid w:val="00C265C3"/>
    <w:rsid w:val="00C270B3"/>
    <w:rsid w:val="00C2794A"/>
    <w:rsid w:val="00C27E5B"/>
    <w:rsid w:val="00C30A95"/>
    <w:rsid w:val="00C30D42"/>
    <w:rsid w:val="00C310A2"/>
    <w:rsid w:val="00C31863"/>
    <w:rsid w:val="00C3273B"/>
    <w:rsid w:val="00C32839"/>
    <w:rsid w:val="00C32878"/>
    <w:rsid w:val="00C32C13"/>
    <w:rsid w:val="00C33AAF"/>
    <w:rsid w:val="00C34C6E"/>
    <w:rsid w:val="00C3581C"/>
    <w:rsid w:val="00C35FAA"/>
    <w:rsid w:val="00C36255"/>
    <w:rsid w:val="00C368C9"/>
    <w:rsid w:val="00C36BF6"/>
    <w:rsid w:val="00C370A7"/>
    <w:rsid w:val="00C37368"/>
    <w:rsid w:val="00C379FE"/>
    <w:rsid w:val="00C40506"/>
    <w:rsid w:val="00C40BDA"/>
    <w:rsid w:val="00C4110E"/>
    <w:rsid w:val="00C41C5E"/>
    <w:rsid w:val="00C41CD6"/>
    <w:rsid w:val="00C42436"/>
    <w:rsid w:val="00C42C53"/>
    <w:rsid w:val="00C42E8D"/>
    <w:rsid w:val="00C43375"/>
    <w:rsid w:val="00C435B1"/>
    <w:rsid w:val="00C43A0C"/>
    <w:rsid w:val="00C44862"/>
    <w:rsid w:val="00C449DF"/>
    <w:rsid w:val="00C44AD1"/>
    <w:rsid w:val="00C44EE5"/>
    <w:rsid w:val="00C4505B"/>
    <w:rsid w:val="00C45390"/>
    <w:rsid w:val="00C454A5"/>
    <w:rsid w:val="00C459C9"/>
    <w:rsid w:val="00C45A6B"/>
    <w:rsid w:val="00C46089"/>
    <w:rsid w:val="00C4625F"/>
    <w:rsid w:val="00C46630"/>
    <w:rsid w:val="00C46753"/>
    <w:rsid w:val="00C468EB"/>
    <w:rsid w:val="00C46D80"/>
    <w:rsid w:val="00C47BD6"/>
    <w:rsid w:val="00C47BDE"/>
    <w:rsid w:val="00C50020"/>
    <w:rsid w:val="00C50604"/>
    <w:rsid w:val="00C50895"/>
    <w:rsid w:val="00C51526"/>
    <w:rsid w:val="00C51CFC"/>
    <w:rsid w:val="00C5204C"/>
    <w:rsid w:val="00C52079"/>
    <w:rsid w:val="00C52FEB"/>
    <w:rsid w:val="00C5382E"/>
    <w:rsid w:val="00C53D0C"/>
    <w:rsid w:val="00C542B1"/>
    <w:rsid w:val="00C55498"/>
    <w:rsid w:val="00C55561"/>
    <w:rsid w:val="00C557E6"/>
    <w:rsid w:val="00C55864"/>
    <w:rsid w:val="00C56236"/>
    <w:rsid w:val="00C56880"/>
    <w:rsid w:val="00C56F83"/>
    <w:rsid w:val="00C57336"/>
    <w:rsid w:val="00C57BFE"/>
    <w:rsid w:val="00C60753"/>
    <w:rsid w:val="00C60974"/>
    <w:rsid w:val="00C609CF"/>
    <w:rsid w:val="00C617CD"/>
    <w:rsid w:val="00C621BE"/>
    <w:rsid w:val="00C62410"/>
    <w:rsid w:val="00C62950"/>
    <w:rsid w:val="00C62A24"/>
    <w:rsid w:val="00C62BC4"/>
    <w:rsid w:val="00C6337B"/>
    <w:rsid w:val="00C63392"/>
    <w:rsid w:val="00C6402F"/>
    <w:rsid w:val="00C6421F"/>
    <w:rsid w:val="00C6434F"/>
    <w:rsid w:val="00C64571"/>
    <w:rsid w:val="00C64765"/>
    <w:rsid w:val="00C64AD1"/>
    <w:rsid w:val="00C64CE6"/>
    <w:rsid w:val="00C653A7"/>
    <w:rsid w:val="00C657FB"/>
    <w:rsid w:val="00C65EE3"/>
    <w:rsid w:val="00C6699B"/>
    <w:rsid w:val="00C6716B"/>
    <w:rsid w:val="00C67350"/>
    <w:rsid w:val="00C70320"/>
    <w:rsid w:val="00C70542"/>
    <w:rsid w:val="00C70B5D"/>
    <w:rsid w:val="00C71257"/>
    <w:rsid w:val="00C72306"/>
    <w:rsid w:val="00C72E95"/>
    <w:rsid w:val="00C7306C"/>
    <w:rsid w:val="00C73089"/>
    <w:rsid w:val="00C73BEC"/>
    <w:rsid w:val="00C73C6B"/>
    <w:rsid w:val="00C73D85"/>
    <w:rsid w:val="00C74000"/>
    <w:rsid w:val="00C740FB"/>
    <w:rsid w:val="00C7424A"/>
    <w:rsid w:val="00C742AB"/>
    <w:rsid w:val="00C74AC7"/>
    <w:rsid w:val="00C74F3E"/>
    <w:rsid w:val="00C74FB0"/>
    <w:rsid w:val="00C75A84"/>
    <w:rsid w:val="00C75F38"/>
    <w:rsid w:val="00C76606"/>
    <w:rsid w:val="00C76AA0"/>
    <w:rsid w:val="00C77292"/>
    <w:rsid w:val="00C778C5"/>
    <w:rsid w:val="00C8027D"/>
    <w:rsid w:val="00C80908"/>
    <w:rsid w:val="00C80CC3"/>
    <w:rsid w:val="00C81348"/>
    <w:rsid w:val="00C81581"/>
    <w:rsid w:val="00C81857"/>
    <w:rsid w:val="00C8234B"/>
    <w:rsid w:val="00C82357"/>
    <w:rsid w:val="00C823F8"/>
    <w:rsid w:val="00C82A99"/>
    <w:rsid w:val="00C82B5D"/>
    <w:rsid w:val="00C83611"/>
    <w:rsid w:val="00C837BF"/>
    <w:rsid w:val="00C83DDC"/>
    <w:rsid w:val="00C83E90"/>
    <w:rsid w:val="00C84B61"/>
    <w:rsid w:val="00C84DF7"/>
    <w:rsid w:val="00C85933"/>
    <w:rsid w:val="00C85E7E"/>
    <w:rsid w:val="00C8653A"/>
    <w:rsid w:val="00C87181"/>
    <w:rsid w:val="00C87EAE"/>
    <w:rsid w:val="00C906E8"/>
    <w:rsid w:val="00C90B98"/>
    <w:rsid w:val="00C90BAF"/>
    <w:rsid w:val="00C91153"/>
    <w:rsid w:val="00C919E7"/>
    <w:rsid w:val="00C92472"/>
    <w:rsid w:val="00C9264A"/>
    <w:rsid w:val="00C92AB2"/>
    <w:rsid w:val="00C9326F"/>
    <w:rsid w:val="00C93E9B"/>
    <w:rsid w:val="00C94186"/>
    <w:rsid w:val="00C9456A"/>
    <w:rsid w:val="00C94FD1"/>
    <w:rsid w:val="00C95BB4"/>
    <w:rsid w:val="00C9627C"/>
    <w:rsid w:val="00C96445"/>
    <w:rsid w:val="00C96890"/>
    <w:rsid w:val="00C96E14"/>
    <w:rsid w:val="00C970F4"/>
    <w:rsid w:val="00C972B2"/>
    <w:rsid w:val="00C974B0"/>
    <w:rsid w:val="00C9778B"/>
    <w:rsid w:val="00C97924"/>
    <w:rsid w:val="00CA013D"/>
    <w:rsid w:val="00CA0819"/>
    <w:rsid w:val="00CA0BF5"/>
    <w:rsid w:val="00CA12CD"/>
    <w:rsid w:val="00CA12E6"/>
    <w:rsid w:val="00CA13A6"/>
    <w:rsid w:val="00CA182A"/>
    <w:rsid w:val="00CA186F"/>
    <w:rsid w:val="00CA1D74"/>
    <w:rsid w:val="00CA238B"/>
    <w:rsid w:val="00CA2DFD"/>
    <w:rsid w:val="00CA3150"/>
    <w:rsid w:val="00CA3DAE"/>
    <w:rsid w:val="00CA43E3"/>
    <w:rsid w:val="00CA45D0"/>
    <w:rsid w:val="00CA4B6C"/>
    <w:rsid w:val="00CA5160"/>
    <w:rsid w:val="00CA53CC"/>
    <w:rsid w:val="00CA56D8"/>
    <w:rsid w:val="00CA608B"/>
    <w:rsid w:val="00CA6104"/>
    <w:rsid w:val="00CA6566"/>
    <w:rsid w:val="00CA65B5"/>
    <w:rsid w:val="00CA675D"/>
    <w:rsid w:val="00CA69AA"/>
    <w:rsid w:val="00CA703F"/>
    <w:rsid w:val="00CA736B"/>
    <w:rsid w:val="00CA7702"/>
    <w:rsid w:val="00CA7BC4"/>
    <w:rsid w:val="00CA7CA9"/>
    <w:rsid w:val="00CA7F9D"/>
    <w:rsid w:val="00CB0048"/>
    <w:rsid w:val="00CB0C42"/>
    <w:rsid w:val="00CB1385"/>
    <w:rsid w:val="00CB14AF"/>
    <w:rsid w:val="00CB1F9A"/>
    <w:rsid w:val="00CB21FF"/>
    <w:rsid w:val="00CB23ED"/>
    <w:rsid w:val="00CB2B6F"/>
    <w:rsid w:val="00CB3173"/>
    <w:rsid w:val="00CB3414"/>
    <w:rsid w:val="00CB35F2"/>
    <w:rsid w:val="00CB382F"/>
    <w:rsid w:val="00CB4366"/>
    <w:rsid w:val="00CB4412"/>
    <w:rsid w:val="00CB44E8"/>
    <w:rsid w:val="00CB46E8"/>
    <w:rsid w:val="00CB4733"/>
    <w:rsid w:val="00CB48D0"/>
    <w:rsid w:val="00CB4E8E"/>
    <w:rsid w:val="00CB535D"/>
    <w:rsid w:val="00CB59E7"/>
    <w:rsid w:val="00CB5A8B"/>
    <w:rsid w:val="00CB5D93"/>
    <w:rsid w:val="00CB612C"/>
    <w:rsid w:val="00CB6140"/>
    <w:rsid w:val="00CB616E"/>
    <w:rsid w:val="00CB620F"/>
    <w:rsid w:val="00CB66EA"/>
    <w:rsid w:val="00CB69EF"/>
    <w:rsid w:val="00CB7A76"/>
    <w:rsid w:val="00CB7C95"/>
    <w:rsid w:val="00CC0450"/>
    <w:rsid w:val="00CC080A"/>
    <w:rsid w:val="00CC0C97"/>
    <w:rsid w:val="00CC14FB"/>
    <w:rsid w:val="00CC1B75"/>
    <w:rsid w:val="00CC20CF"/>
    <w:rsid w:val="00CC2384"/>
    <w:rsid w:val="00CC2FAD"/>
    <w:rsid w:val="00CC32BD"/>
    <w:rsid w:val="00CC3494"/>
    <w:rsid w:val="00CC3530"/>
    <w:rsid w:val="00CC3A33"/>
    <w:rsid w:val="00CC3C3C"/>
    <w:rsid w:val="00CC40DB"/>
    <w:rsid w:val="00CC42CB"/>
    <w:rsid w:val="00CC4675"/>
    <w:rsid w:val="00CC4B54"/>
    <w:rsid w:val="00CC502A"/>
    <w:rsid w:val="00CC5199"/>
    <w:rsid w:val="00CC5B27"/>
    <w:rsid w:val="00CC5C39"/>
    <w:rsid w:val="00CC6160"/>
    <w:rsid w:val="00CC6168"/>
    <w:rsid w:val="00CC642D"/>
    <w:rsid w:val="00CC723C"/>
    <w:rsid w:val="00CC7611"/>
    <w:rsid w:val="00CC7F11"/>
    <w:rsid w:val="00CD0114"/>
    <w:rsid w:val="00CD08A0"/>
    <w:rsid w:val="00CD0E1E"/>
    <w:rsid w:val="00CD12C5"/>
    <w:rsid w:val="00CD1406"/>
    <w:rsid w:val="00CD1967"/>
    <w:rsid w:val="00CD1E03"/>
    <w:rsid w:val="00CD1F69"/>
    <w:rsid w:val="00CD1FB8"/>
    <w:rsid w:val="00CD2ACA"/>
    <w:rsid w:val="00CD2CF6"/>
    <w:rsid w:val="00CD31B7"/>
    <w:rsid w:val="00CD3F67"/>
    <w:rsid w:val="00CD41A3"/>
    <w:rsid w:val="00CD48B3"/>
    <w:rsid w:val="00CD4CDA"/>
    <w:rsid w:val="00CD4CEB"/>
    <w:rsid w:val="00CD5BCA"/>
    <w:rsid w:val="00CD5C03"/>
    <w:rsid w:val="00CD5C61"/>
    <w:rsid w:val="00CD63A7"/>
    <w:rsid w:val="00CD63E7"/>
    <w:rsid w:val="00CD66E4"/>
    <w:rsid w:val="00CD67B8"/>
    <w:rsid w:val="00CD6ADD"/>
    <w:rsid w:val="00CD6D76"/>
    <w:rsid w:val="00CD7A03"/>
    <w:rsid w:val="00CD7BFF"/>
    <w:rsid w:val="00CE0571"/>
    <w:rsid w:val="00CE07B3"/>
    <w:rsid w:val="00CE0B04"/>
    <w:rsid w:val="00CE0D1B"/>
    <w:rsid w:val="00CE0DA2"/>
    <w:rsid w:val="00CE0F8D"/>
    <w:rsid w:val="00CE10A6"/>
    <w:rsid w:val="00CE1395"/>
    <w:rsid w:val="00CE281C"/>
    <w:rsid w:val="00CE2AEA"/>
    <w:rsid w:val="00CE316A"/>
    <w:rsid w:val="00CE361A"/>
    <w:rsid w:val="00CE3A52"/>
    <w:rsid w:val="00CE3E3B"/>
    <w:rsid w:val="00CE3F44"/>
    <w:rsid w:val="00CE43D7"/>
    <w:rsid w:val="00CE49D6"/>
    <w:rsid w:val="00CE4F3F"/>
    <w:rsid w:val="00CE5794"/>
    <w:rsid w:val="00CE6041"/>
    <w:rsid w:val="00CE6769"/>
    <w:rsid w:val="00CE6D0B"/>
    <w:rsid w:val="00CE706B"/>
    <w:rsid w:val="00CE71B8"/>
    <w:rsid w:val="00CE7469"/>
    <w:rsid w:val="00CE7610"/>
    <w:rsid w:val="00CE7775"/>
    <w:rsid w:val="00CE7A98"/>
    <w:rsid w:val="00CE7D93"/>
    <w:rsid w:val="00CF031C"/>
    <w:rsid w:val="00CF06A3"/>
    <w:rsid w:val="00CF0AA1"/>
    <w:rsid w:val="00CF0E1B"/>
    <w:rsid w:val="00CF10DA"/>
    <w:rsid w:val="00CF173C"/>
    <w:rsid w:val="00CF18B3"/>
    <w:rsid w:val="00CF20B7"/>
    <w:rsid w:val="00CF2287"/>
    <w:rsid w:val="00CF2860"/>
    <w:rsid w:val="00CF28D2"/>
    <w:rsid w:val="00CF33C3"/>
    <w:rsid w:val="00CF3454"/>
    <w:rsid w:val="00CF37EB"/>
    <w:rsid w:val="00CF4395"/>
    <w:rsid w:val="00CF43E2"/>
    <w:rsid w:val="00CF4FD5"/>
    <w:rsid w:val="00CF6082"/>
    <w:rsid w:val="00CF60A6"/>
    <w:rsid w:val="00CF639E"/>
    <w:rsid w:val="00CF6845"/>
    <w:rsid w:val="00CF782A"/>
    <w:rsid w:val="00D001D0"/>
    <w:rsid w:val="00D00402"/>
    <w:rsid w:val="00D007D1"/>
    <w:rsid w:val="00D00ED5"/>
    <w:rsid w:val="00D01117"/>
    <w:rsid w:val="00D012EB"/>
    <w:rsid w:val="00D018EC"/>
    <w:rsid w:val="00D01D61"/>
    <w:rsid w:val="00D01F3F"/>
    <w:rsid w:val="00D02BF3"/>
    <w:rsid w:val="00D02C1D"/>
    <w:rsid w:val="00D02D51"/>
    <w:rsid w:val="00D03651"/>
    <w:rsid w:val="00D03E3A"/>
    <w:rsid w:val="00D0433B"/>
    <w:rsid w:val="00D04F90"/>
    <w:rsid w:val="00D05940"/>
    <w:rsid w:val="00D05C85"/>
    <w:rsid w:val="00D05E2F"/>
    <w:rsid w:val="00D05E7A"/>
    <w:rsid w:val="00D061BE"/>
    <w:rsid w:val="00D067C3"/>
    <w:rsid w:val="00D07435"/>
    <w:rsid w:val="00D07B22"/>
    <w:rsid w:val="00D10753"/>
    <w:rsid w:val="00D10931"/>
    <w:rsid w:val="00D11116"/>
    <w:rsid w:val="00D11941"/>
    <w:rsid w:val="00D11B08"/>
    <w:rsid w:val="00D12038"/>
    <w:rsid w:val="00D129E7"/>
    <w:rsid w:val="00D12DF3"/>
    <w:rsid w:val="00D134C3"/>
    <w:rsid w:val="00D1383C"/>
    <w:rsid w:val="00D13870"/>
    <w:rsid w:val="00D138B8"/>
    <w:rsid w:val="00D13903"/>
    <w:rsid w:val="00D13C47"/>
    <w:rsid w:val="00D141F2"/>
    <w:rsid w:val="00D1453E"/>
    <w:rsid w:val="00D14CD8"/>
    <w:rsid w:val="00D14D44"/>
    <w:rsid w:val="00D14F83"/>
    <w:rsid w:val="00D153A4"/>
    <w:rsid w:val="00D156E0"/>
    <w:rsid w:val="00D160FE"/>
    <w:rsid w:val="00D1632A"/>
    <w:rsid w:val="00D1635E"/>
    <w:rsid w:val="00D163FD"/>
    <w:rsid w:val="00D16468"/>
    <w:rsid w:val="00D16A51"/>
    <w:rsid w:val="00D17219"/>
    <w:rsid w:val="00D1773E"/>
    <w:rsid w:val="00D17EFB"/>
    <w:rsid w:val="00D17F5C"/>
    <w:rsid w:val="00D20489"/>
    <w:rsid w:val="00D2050A"/>
    <w:rsid w:val="00D205D5"/>
    <w:rsid w:val="00D206A9"/>
    <w:rsid w:val="00D217A8"/>
    <w:rsid w:val="00D21BD1"/>
    <w:rsid w:val="00D21C93"/>
    <w:rsid w:val="00D21F1A"/>
    <w:rsid w:val="00D21FB0"/>
    <w:rsid w:val="00D22160"/>
    <w:rsid w:val="00D2242D"/>
    <w:rsid w:val="00D227B2"/>
    <w:rsid w:val="00D22DD3"/>
    <w:rsid w:val="00D231AF"/>
    <w:rsid w:val="00D238EB"/>
    <w:rsid w:val="00D243CE"/>
    <w:rsid w:val="00D2484C"/>
    <w:rsid w:val="00D25223"/>
    <w:rsid w:val="00D25AEC"/>
    <w:rsid w:val="00D25F22"/>
    <w:rsid w:val="00D26172"/>
    <w:rsid w:val="00D2638E"/>
    <w:rsid w:val="00D26729"/>
    <w:rsid w:val="00D26EA6"/>
    <w:rsid w:val="00D300DA"/>
    <w:rsid w:val="00D306B0"/>
    <w:rsid w:val="00D30DE3"/>
    <w:rsid w:val="00D30E08"/>
    <w:rsid w:val="00D310F1"/>
    <w:rsid w:val="00D3118C"/>
    <w:rsid w:val="00D312FB"/>
    <w:rsid w:val="00D31470"/>
    <w:rsid w:val="00D31486"/>
    <w:rsid w:val="00D314D6"/>
    <w:rsid w:val="00D31BE0"/>
    <w:rsid w:val="00D3209F"/>
    <w:rsid w:val="00D322B6"/>
    <w:rsid w:val="00D32356"/>
    <w:rsid w:val="00D323BF"/>
    <w:rsid w:val="00D32481"/>
    <w:rsid w:val="00D32988"/>
    <w:rsid w:val="00D32EED"/>
    <w:rsid w:val="00D33481"/>
    <w:rsid w:val="00D336D5"/>
    <w:rsid w:val="00D340A3"/>
    <w:rsid w:val="00D3458E"/>
    <w:rsid w:val="00D34767"/>
    <w:rsid w:val="00D348B7"/>
    <w:rsid w:val="00D34C36"/>
    <w:rsid w:val="00D34E3B"/>
    <w:rsid w:val="00D35B60"/>
    <w:rsid w:val="00D35FF5"/>
    <w:rsid w:val="00D360F0"/>
    <w:rsid w:val="00D3735C"/>
    <w:rsid w:val="00D37411"/>
    <w:rsid w:val="00D3748E"/>
    <w:rsid w:val="00D3782D"/>
    <w:rsid w:val="00D37E25"/>
    <w:rsid w:val="00D37FEE"/>
    <w:rsid w:val="00D400AF"/>
    <w:rsid w:val="00D402B1"/>
    <w:rsid w:val="00D411C2"/>
    <w:rsid w:val="00D4155E"/>
    <w:rsid w:val="00D4181B"/>
    <w:rsid w:val="00D41964"/>
    <w:rsid w:val="00D41C82"/>
    <w:rsid w:val="00D41C8D"/>
    <w:rsid w:val="00D4221B"/>
    <w:rsid w:val="00D42562"/>
    <w:rsid w:val="00D42613"/>
    <w:rsid w:val="00D42B98"/>
    <w:rsid w:val="00D42EB1"/>
    <w:rsid w:val="00D42F31"/>
    <w:rsid w:val="00D431B5"/>
    <w:rsid w:val="00D432B0"/>
    <w:rsid w:val="00D437C8"/>
    <w:rsid w:val="00D43AC6"/>
    <w:rsid w:val="00D4421D"/>
    <w:rsid w:val="00D4469D"/>
    <w:rsid w:val="00D4481B"/>
    <w:rsid w:val="00D44869"/>
    <w:rsid w:val="00D44F61"/>
    <w:rsid w:val="00D46353"/>
    <w:rsid w:val="00D46517"/>
    <w:rsid w:val="00D46586"/>
    <w:rsid w:val="00D4658A"/>
    <w:rsid w:val="00D46E83"/>
    <w:rsid w:val="00D4772B"/>
    <w:rsid w:val="00D47B01"/>
    <w:rsid w:val="00D47B79"/>
    <w:rsid w:val="00D50022"/>
    <w:rsid w:val="00D50296"/>
    <w:rsid w:val="00D50348"/>
    <w:rsid w:val="00D50407"/>
    <w:rsid w:val="00D50909"/>
    <w:rsid w:val="00D50BA0"/>
    <w:rsid w:val="00D50C5B"/>
    <w:rsid w:val="00D510C8"/>
    <w:rsid w:val="00D5141C"/>
    <w:rsid w:val="00D51479"/>
    <w:rsid w:val="00D514AB"/>
    <w:rsid w:val="00D517F5"/>
    <w:rsid w:val="00D5246C"/>
    <w:rsid w:val="00D52F58"/>
    <w:rsid w:val="00D52FE1"/>
    <w:rsid w:val="00D5347B"/>
    <w:rsid w:val="00D53A24"/>
    <w:rsid w:val="00D53EE5"/>
    <w:rsid w:val="00D53EFC"/>
    <w:rsid w:val="00D53F4D"/>
    <w:rsid w:val="00D54098"/>
    <w:rsid w:val="00D544F2"/>
    <w:rsid w:val="00D54761"/>
    <w:rsid w:val="00D54771"/>
    <w:rsid w:val="00D54CA4"/>
    <w:rsid w:val="00D5548D"/>
    <w:rsid w:val="00D55BE7"/>
    <w:rsid w:val="00D55E61"/>
    <w:rsid w:val="00D567F7"/>
    <w:rsid w:val="00D56959"/>
    <w:rsid w:val="00D569B7"/>
    <w:rsid w:val="00D56C0B"/>
    <w:rsid w:val="00D56D0D"/>
    <w:rsid w:val="00D57753"/>
    <w:rsid w:val="00D577B1"/>
    <w:rsid w:val="00D57A1C"/>
    <w:rsid w:val="00D6055A"/>
    <w:rsid w:val="00D60624"/>
    <w:rsid w:val="00D6067A"/>
    <w:rsid w:val="00D60801"/>
    <w:rsid w:val="00D609AB"/>
    <w:rsid w:val="00D61027"/>
    <w:rsid w:val="00D61369"/>
    <w:rsid w:val="00D6170D"/>
    <w:rsid w:val="00D6174A"/>
    <w:rsid w:val="00D61BDA"/>
    <w:rsid w:val="00D61D89"/>
    <w:rsid w:val="00D6270C"/>
    <w:rsid w:val="00D627B6"/>
    <w:rsid w:val="00D62904"/>
    <w:rsid w:val="00D6349F"/>
    <w:rsid w:val="00D634E6"/>
    <w:rsid w:val="00D64BF3"/>
    <w:rsid w:val="00D64FDB"/>
    <w:rsid w:val="00D64FF7"/>
    <w:rsid w:val="00D653E0"/>
    <w:rsid w:val="00D65E00"/>
    <w:rsid w:val="00D660C5"/>
    <w:rsid w:val="00D66485"/>
    <w:rsid w:val="00D66A15"/>
    <w:rsid w:val="00D66CAA"/>
    <w:rsid w:val="00D66CFB"/>
    <w:rsid w:val="00D66E70"/>
    <w:rsid w:val="00D6717B"/>
    <w:rsid w:val="00D67437"/>
    <w:rsid w:val="00D677D2"/>
    <w:rsid w:val="00D70219"/>
    <w:rsid w:val="00D70618"/>
    <w:rsid w:val="00D70642"/>
    <w:rsid w:val="00D71DED"/>
    <w:rsid w:val="00D71E60"/>
    <w:rsid w:val="00D72A56"/>
    <w:rsid w:val="00D7325F"/>
    <w:rsid w:val="00D73D89"/>
    <w:rsid w:val="00D73FB6"/>
    <w:rsid w:val="00D73FEC"/>
    <w:rsid w:val="00D751B2"/>
    <w:rsid w:val="00D7539F"/>
    <w:rsid w:val="00D75F0C"/>
    <w:rsid w:val="00D75F1A"/>
    <w:rsid w:val="00D768C4"/>
    <w:rsid w:val="00D76B70"/>
    <w:rsid w:val="00D7768C"/>
    <w:rsid w:val="00D802DC"/>
    <w:rsid w:val="00D807DB"/>
    <w:rsid w:val="00D80B1E"/>
    <w:rsid w:val="00D80BB5"/>
    <w:rsid w:val="00D80DC2"/>
    <w:rsid w:val="00D810FD"/>
    <w:rsid w:val="00D81223"/>
    <w:rsid w:val="00D8153B"/>
    <w:rsid w:val="00D81663"/>
    <w:rsid w:val="00D8167A"/>
    <w:rsid w:val="00D817EE"/>
    <w:rsid w:val="00D821AF"/>
    <w:rsid w:val="00D82274"/>
    <w:rsid w:val="00D82BA1"/>
    <w:rsid w:val="00D83B38"/>
    <w:rsid w:val="00D840C9"/>
    <w:rsid w:val="00D8417B"/>
    <w:rsid w:val="00D845AE"/>
    <w:rsid w:val="00D8499E"/>
    <w:rsid w:val="00D851F3"/>
    <w:rsid w:val="00D85794"/>
    <w:rsid w:val="00D8619C"/>
    <w:rsid w:val="00D87C93"/>
    <w:rsid w:val="00D87DC4"/>
    <w:rsid w:val="00D907AD"/>
    <w:rsid w:val="00D90D49"/>
    <w:rsid w:val="00D91184"/>
    <w:rsid w:val="00D91641"/>
    <w:rsid w:val="00D91661"/>
    <w:rsid w:val="00D91945"/>
    <w:rsid w:val="00D91CE5"/>
    <w:rsid w:val="00D92527"/>
    <w:rsid w:val="00D92788"/>
    <w:rsid w:val="00D9278C"/>
    <w:rsid w:val="00D92978"/>
    <w:rsid w:val="00D92A21"/>
    <w:rsid w:val="00D92D2D"/>
    <w:rsid w:val="00D937B4"/>
    <w:rsid w:val="00D93DA1"/>
    <w:rsid w:val="00D949C1"/>
    <w:rsid w:val="00D94F32"/>
    <w:rsid w:val="00D94F48"/>
    <w:rsid w:val="00D94FE5"/>
    <w:rsid w:val="00D95035"/>
    <w:rsid w:val="00D9577B"/>
    <w:rsid w:val="00D95CB7"/>
    <w:rsid w:val="00D9780C"/>
    <w:rsid w:val="00DA0C08"/>
    <w:rsid w:val="00DA0F6A"/>
    <w:rsid w:val="00DA178A"/>
    <w:rsid w:val="00DA1B33"/>
    <w:rsid w:val="00DA1FB1"/>
    <w:rsid w:val="00DA20A2"/>
    <w:rsid w:val="00DA229C"/>
    <w:rsid w:val="00DA23AB"/>
    <w:rsid w:val="00DA2570"/>
    <w:rsid w:val="00DA2B0B"/>
    <w:rsid w:val="00DA3292"/>
    <w:rsid w:val="00DA32E1"/>
    <w:rsid w:val="00DA47ED"/>
    <w:rsid w:val="00DA4ABF"/>
    <w:rsid w:val="00DA4CA5"/>
    <w:rsid w:val="00DA4D56"/>
    <w:rsid w:val="00DA4D59"/>
    <w:rsid w:val="00DA4E7F"/>
    <w:rsid w:val="00DA56CA"/>
    <w:rsid w:val="00DA5E2F"/>
    <w:rsid w:val="00DA66B1"/>
    <w:rsid w:val="00DA7F49"/>
    <w:rsid w:val="00DB062B"/>
    <w:rsid w:val="00DB11B0"/>
    <w:rsid w:val="00DB153E"/>
    <w:rsid w:val="00DB15B6"/>
    <w:rsid w:val="00DB24C3"/>
    <w:rsid w:val="00DB25E6"/>
    <w:rsid w:val="00DB27F7"/>
    <w:rsid w:val="00DB2AFE"/>
    <w:rsid w:val="00DB3347"/>
    <w:rsid w:val="00DB3506"/>
    <w:rsid w:val="00DB378D"/>
    <w:rsid w:val="00DB3CA0"/>
    <w:rsid w:val="00DB42F3"/>
    <w:rsid w:val="00DB44EF"/>
    <w:rsid w:val="00DB457D"/>
    <w:rsid w:val="00DB46FA"/>
    <w:rsid w:val="00DB4726"/>
    <w:rsid w:val="00DB4EA3"/>
    <w:rsid w:val="00DB597C"/>
    <w:rsid w:val="00DB5A5E"/>
    <w:rsid w:val="00DB5A60"/>
    <w:rsid w:val="00DB5BBC"/>
    <w:rsid w:val="00DB5DE0"/>
    <w:rsid w:val="00DB5EC8"/>
    <w:rsid w:val="00DB6045"/>
    <w:rsid w:val="00DB72AF"/>
    <w:rsid w:val="00DB7320"/>
    <w:rsid w:val="00DB74B6"/>
    <w:rsid w:val="00DB7515"/>
    <w:rsid w:val="00DC0600"/>
    <w:rsid w:val="00DC082A"/>
    <w:rsid w:val="00DC0900"/>
    <w:rsid w:val="00DC0B62"/>
    <w:rsid w:val="00DC11B8"/>
    <w:rsid w:val="00DC1263"/>
    <w:rsid w:val="00DC131C"/>
    <w:rsid w:val="00DC1580"/>
    <w:rsid w:val="00DC1848"/>
    <w:rsid w:val="00DC1D74"/>
    <w:rsid w:val="00DC1F49"/>
    <w:rsid w:val="00DC20F6"/>
    <w:rsid w:val="00DC2233"/>
    <w:rsid w:val="00DC269A"/>
    <w:rsid w:val="00DC28BB"/>
    <w:rsid w:val="00DC293D"/>
    <w:rsid w:val="00DC316C"/>
    <w:rsid w:val="00DC3260"/>
    <w:rsid w:val="00DC34A4"/>
    <w:rsid w:val="00DC34D6"/>
    <w:rsid w:val="00DC3600"/>
    <w:rsid w:val="00DC373F"/>
    <w:rsid w:val="00DC3CB3"/>
    <w:rsid w:val="00DC3F49"/>
    <w:rsid w:val="00DC44A5"/>
    <w:rsid w:val="00DC4CD3"/>
    <w:rsid w:val="00DC4F0C"/>
    <w:rsid w:val="00DC4F98"/>
    <w:rsid w:val="00DC66F7"/>
    <w:rsid w:val="00DC68D2"/>
    <w:rsid w:val="00DC6F08"/>
    <w:rsid w:val="00DC725E"/>
    <w:rsid w:val="00DC72B5"/>
    <w:rsid w:val="00DC7C62"/>
    <w:rsid w:val="00DC7D6C"/>
    <w:rsid w:val="00DC7E46"/>
    <w:rsid w:val="00DD03BD"/>
    <w:rsid w:val="00DD0435"/>
    <w:rsid w:val="00DD0760"/>
    <w:rsid w:val="00DD1242"/>
    <w:rsid w:val="00DD1E0F"/>
    <w:rsid w:val="00DD295F"/>
    <w:rsid w:val="00DD35F1"/>
    <w:rsid w:val="00DD36DB"/>
    <w:rsid w:val="00DD3F45"/>
    <w:rsid w:val="00DD3F7A"/>
    <w:rsid w:val="00DD4258"/>
    <w:rsid w:val="00DD42C5"/>
    <w:rsid w:val="00DD49BC"/>
    <w:rsid w:val="00DD4D0D"/>
    <w:rsid w:val="00DD51A7"/>
    <w:rsid w:val="00DD57D3"/>
    <w:rsid w:val="00DD58BF"/>
    <w:rsid w:val="00DD5AB1"/>
    <w:rsid w:val="00DD5FA6"/>
    <w:rsid w:val="00DD64C3"/>
    <w:rsid w:val="00DD65DD"/>
    <w:rsid w:val="00DD65E0"/>
    <w:rsid w:val="00DD675A"/>
    <w:rsid w:val="00DD6998"/>
    <w:rsid w:val="00DD6BF4"/>
    <w:rsid w:val="00DD6CB5"/>
    <w:rsid w:val="00DD6D4D"/>
    <w:rsid w:val="00DD6EC1"/>
    <w:rsid w:val="00DD7116"/>
    <w:rsid w:val="00DD7252"/>
    <w:rsid w:val="00DD749B"/>
    <w:rsid w:val="00DE032B"/>
    <w:rsid w:val="00DE03C8"/>
    <w:rsid w:val="00DE0461"/>
    <w:rsid w:val="00DE04DE"/>
    <w:rsid w:val="00DE05FD"/>
    <w:rsid w:val="00DE097F"/>
    <w:rsid w:val="00DE0B43"/>
    <w:rsid w:val="00DE0C89"/>
    <w:rsid w:val="00DE12CE"/>
    <w:rsid w:val="00DE1573"/>
    <w:rsid w:val="00DE1EE4"/>
    <w:rsid w:val="00DE2479"/>
    <w:rsid w:val="00DE288F"/>
    <w:rsid w:val="00DE29FA"/>
    <w:rsid w:val="00DE2B74"/>
    <w:rsid w:val="00DE3E75"/>
    <w:rsid w:val="00DE4470"/>
    <w:rsid w:val="00DE492E"/>
    <w:rsid w:val="00DE4B50"/>
    <w:rsid w:val="00DE6638"/>
    <w:rsid w:val="00DE714D"/>
    <w:rsid w:val="00DE7346"/>
    <w:rsid w:val="00DE7348"/>
    <w:rsid w:val="00DE7B92"/>
    <w:rsid w:val="00DF02DD"/>
    <w:rsid w:val="00DF0FDC"/>
    <w:rsid w:val="00DF1556"/>
    <w:rsid w:val="00DF1665"/>
    <w:rsid w:val="00DF1E50"/>
    <w:rsid w:val="00DF20AF"/>
    <w:rsid w:val="00DF2CBF"/>
    <w:rsid w:val="00DF2CF9"/>
    <w:rsid w:val="00DF3360"/>
    <w:rsid w:val="00DF3FFA"/>
    <w:rsid w:val="00DF41A6"/>
    <w:rsid w:val="00DF4D7A"/>
    <w:rsid w:val="00DF4F7E"/>
    <w:rsid w:val="00DF53CD"/>
    <w:rsid w:val="00DF565F"/>
    <w:rsid w:val="00DF5D08"/>
    <w:rsid w:val="00DF6122"/>
    <w:rsid w:val="00DF6A13"/>
    <w:rsid w:val="00DF6C49"/>
    <w:rsid w:val="00DF6E53"/>
    <w:rsid w:val="00DF6EE0"/>
    <w:rsid w:val="00DF712B"/>
    <w:rsid w:val="00DF7269"/>
    <w:rsid w:val="00DF7886"/>
    <w:rsid w:val="00DF7968"/>
    <w:rsid w:val="00DF7A0A"/>
    <w:rsid w:val="00DF7D6A"/>
    <w:rsid w:val="00E001A4"/>
    <w:rsid w:val="00E006FC"/>
    <w:rsid w:val="00E007FA"/>
    <w:rsid w:val="00E00C34"/>
    <w:rsid w:val="00E00F51"/>
    <w:rsid w:val="00E00F6D"/>
    <w:rsid w:val="00E00F85"/>
    <w:rsid w:val="00E0193D"/>
    <w:rsid w:val="00E01A05"/>
    <w:rsid w:val="00E01F81"/>
    <w:rsid w:val="00E0257E"/>
    <w:rsid w:val="00E0293F"/>
    <w:rsid w:val="00E029D4"/>
    <w:rsid w:val="00E03077"/>
    <w:rsid w:val="00E03D29"/>
    <w:rsid w:val="00E040AE"/>
    <w:rsid w:val="00E04C20"/>
    <w:rsid w:val="00E0500B"/>
    <w:rsid w:val="00E05029"/>
    <w:rsid w:val="00E052F9"/>
    <w:rsid w:val="00E05410"/>
    <w:rsid w:val="00E055C2"/>
    <w:rsid w:val="00E059C8"/>
    <w:rsid w:val="00E05A33"/>
    <w:rsid w:val="00E061F8"/>
    <w:rsid w:val="00E0622F"/>
    <w:rsid w:val="00E06495"/>
    <w:rsid w:val="00E06C0D"/>
    <w:rsid w:val="00E07112"/>
    <w:rsid w:val="00E07AB3"/>
    <w:rsid w:val="00E102EE"/>
    <w:rsid w:val="00E109F1"/>
    <w:rsid w:val="00E11474"/>
    <w:rsid w:val="00E115F5"/>
    <w:rsid w:val="00E11868"/>
    <w:rsid w:val="00E11C2C"/>
    <w:rsid w:val="00E12034"/>
    <w:rsid w:val="00E12867"/>
    <w:rsid w:val="00E12C23"/>
    <w:rsid w:val="00E12FDD"/>
    <w:rsid w:val="00E133FA"/>
    <w:rsid w:val="00E13DA8"/>
    <w:rsid w:val="00E14528"/>
    <w:rsid w:val="00E14561"/>
    <w:rsid w:val="00E1484B"/>
    <w:rsid w:val="00E15944"/>
    <w:rsid w:val="00E1651F"/>
    <w:rsid w:val="00E166B7"/>
    <w:rsid w:val="00E1687E"/>
    <w:rsid w:val="00E16C64"/>
    <w:rsid w:val="00E170CF"/>
    <w:rsid w:val="00E17BFC"/>
    <w:rsid w:val="00E17CF9"/>
    <w:rsid w:val="00E17EEE"/>
    <w:rsid w:val="00E20578"/>
    <w:rsid w:val="00E20BAB"/>
    <w:rsid w:val="00E20C25"/>
    <w:rsid w:val="00E20D2F"/>
    <w:rsid w:val="00E20D6E"/>
    <w:rsid w:val="00E21419"/>
    <w:rsid w:val="00E214FC"/>
    <w:rsid w:val="00E21551"/>
    <w:rsid w:val="00E220A9"/>
    <w:rsid w:val="00E22209"/>
    <w:rsid w:val="00E2249C"/>
    <w:rsid w:val="00E22963"/>
    <w:rsid w:val="00E22C43"/>
    <w:rsid w:val="00E231D5"/>
    <w:rsid w:val="00E235AC"/>
    <w:rsid w:val="00E23BD2"/>
    <w:rsid w:val="00E23DB5"/>
    <w:rsid w:val="00E2445D"/>
    <w:rsid w:val="00E24533"/>
    <w:rsid w:val="00E247D9"/>
    <w:rsid w:val="00E249C0"/>
    <w:rsid w:val="00E25133"/>
    <w:rsid w:val="00E256FC"/>
    <w:rsid w:val="00E2590A"/>
    <w:rsid w:val="00E25FAB"/>
    <w:rsid w:val="00E260C1"/>
    <w:rsid w:val="00E263EC"/>
    <w:rsid w:val="00E26E62"/>
    <w:rsid w:val="00E26F4D"/>
    <w:rsid w:val="00E27780"/>
    <w:rsid w:val="00E27C8A"/>
    <w:rsid w:val="00E27CB3"/>
    <w:rsid w:val="00E27E7D"/>
    <w:rsid w:val="00E301B0"/>
    <w:rsid w:val="00E302A4"/>
    <w:rsid w:val="00E312BB"/>
    <w:rsid w:val="00E316F4"/>
    <w:rsid w:val="00E3183B"/>
    <w:rsid w:val="00E323BE"/>
    <w:rsid w:val="00E32788"/>
    <w:rsid w:val="00E32990"/>
    <w:rsid w:val="00E32ADF"/>
    <w:rsid w:val="00E33319"/>
    <w:rsid w:val="00E347CD"/>
    <w:rsid w:val="00E34CC1"/>
    <w:rsid w:val="00E35204"/>
    <w:rsid w:val="00E35875"/>
    <w:rsid w:val="00E35F10"/>
    <w:rsid w:val="00E368A9"/>
    <w:rsid w:val="00E36910"/>
    <w:rsid w:val="00E37788"/>
    <w:rsid w:val="00E3780F"/>
    <w:rsid w:val="00E37BF8"/>
    <w:rsid w:val="00E4020C"/>
    <w:rsid w:val="00E405E9"/>
    <w:rsid w:val="00E41242"/>
    <w:rsid w:val="00E413D3"/>
    <w:rsid w:val="00E41751"/>
    <w:rsid w:val="00E41E71"/>
    <w:rsid w:val="00E4250F"/>
    <w:rsid w:val="00E425B3"/>
    <w:rsid w:val="00E4296A"/>
    <w:rsid w:val="00E43C74"/>
    <w:rsid w:val="00E43CFB"/>
    <w:rsid w:val="00E444F5"/>
    <w:rsid w:val="00E44FE9"/>
    <w:rsid w:val="00E45077"/>
    <w:rsid w:val="00E456DF"/>
    <w:rsid w:val="00E462C1"/>
    <w:rsid w:val="00E464A0"/>
    <w:rsid w:val="00E46872"/>
    <w:rsid w:val="00E468CF"/>
    <w:rsid w:val="00E46CEB"/>
    <w:rsid w:val="00E47602"/>
    <w:rsid w:val="00E47A58"/>
    <w:rsid w:val="00E51808"/>
    <w:rsid w:val="00E519AC"/>
    <w:rsid w:val="00E51EB6"/>
    <w:rsid w:val="00E51F0B"/>
    <w:rsid w:val="00E5210A"/>
    <w:rsid w:val="00E5295B"/>
    <w:rsid w:val="00E531DA"/>
    <w:rsid w:val="00E53399"/>
    <w:rsid w:val="00E5354B"/>
    <w:rsid w:val="00E5394B"/>
    <w:rsid w:val="00E53F06"/>
    <w:rsid w:val="00E54DB4"/>
    <w:rsid w:val="00E54EDC"/>
    <w:rsid w:val="00E556E3"/>
    <w:rsid w:val="00E5572A"/>
    <w:rsid w:val="00E5574E"/>
    <w:rsid w:val="00E55946"/>
    <w:rsid w:val="00E55E99"/>
    <w:rsid w:val="00E561E5"/>
    <w:rsid w:val="00E562E7"/>
    <w:rsid w:val="00E56312"/>
    <w:rsid w:val="00E565A6"/>
    <w:rsid w:val="00E5685F"/>
    <w:rsid w:val="00E56DB2"/>
    <w:rsid w:val="00E56E40"/>
    <w:rsid w:val="00E57165"/>
    <w:rsid w:val="00E574F7"/>
    <w:rsid w:val="00E57759"/>
    <w:rsid w:val="00E60155"/>
    <w:rsid w:val="00E60237"/>
    <w:rsid w:val="00E6025D"/>
    <w:rsid w:val="00E605E4"/>
    <w:rsid w:val="00E60BAE"/>
    <w:rsid w:val="00E60D20"/>
    <w:rsid w:val="00E60E50"/>
    <w:rsid w:val="00E60F7C"/>
    <w:rsid w:val="00E610A7"/>
    <w:rsid w:val="00E61537"/>
    <w:rsid w:val="00E61664"/>
    <w:rsid w:val="00E617C8"/>
    <w:rsid w:val="00E62219"/>
    <w:rsid w:val="00E62539"/>
    <w:rsid w:val="00E629A5"/>
    <w:rsid w:val="00E63198"/>
    <w:rsid w:val="00E63212"/>
    <w:rsid w:val="00E633BC"/>
    <w:rsid w:val="00E644D0"/>
    <w:rsid w:val="00E645BC"/>
    <w:rsid w:val="00E64E57"/>
    <w:rsid w:val="00E653B3"/>
    <w:rsid w:val="00E65EFC"/>
    <w:rsid w:val="00E66267"/>
    <w:rsid w:val="00E66286"/>
    <w:rsid w:val="00E6641B"/>
    <w:rsid w:val="00E664F7"/>
    <w:rsid w:val="00E66B4E"/>
    <w:rsid w:val="00E673E2"/>
    <w:rsid w:val="00E675BB"/>
    <w:rsid w:val="00E67B19"/>
    <w:rsid w:val="00E67DE4"/>
    <w:rsid w:val="00E70284"/>
    <w:rsid w:val="00E7037A"/>
    <w:rsid w:val="00E705C6"/>
    <w:rsid w:val="00E70BD2"/>
    <w:rsid w:val="00E71056"/>
    <w:rsid w:val="00E711A6"/>
    <w:rsid w:val="00E7163B"/>
    <w:rsid w:val="00E718AD"/>
    <w:rsid w:val="00E71F0C"/>
    <w:rsid w:val="00E72745"/>
    <w:rsid w:val="00E72861"/>
    <w:rsid w:val="00E72990"/>
    <w:rsid w:val="00E72D50"/>
    <w:rsid w:val="00E73103"/>
    <w:rsid w:val="00E7346D"/>
    <w:rsid w:val="00E7351A"/>
    <w:rsid w:val="00E735EE"/>
    <w:rsid w:val="00E73FF8"/>
    <w:rsid w:val="00E745A6"/>
    <w:rsid w:val="00E7483B"/>
    <w:rsid w:val="00E74B91"/>
    <w:rsid w:val="00E7515D"/>
    <w:rsid w:val="00E7521A"/>
    <w:rsid w:val="00E75328"/>
    <w:rsid w:val="00E7569B"/>
    <w:rsid w:val="00E75929"/>
    <w:rsid w:val="00E75C11"/>
    <w:rsid w:val="00E76F1E"/>
    <w:rsid w:val="00E77311"/>
    <w:rsid w:val="00E77972"/>
    <w:rsid w:val="00E77AE1"/>
    <w:rsid w:val="00E77FBE"/>
    <w:rsid w:val="00E8054E"/>
    <w:rsid w:val="00E81101"/>
    <w:rsid w:val="00E8131D"/>
    <w:rsid w:val="00E815DA"/>
    <w:rsid w:val="00E8210D"/>
    <w:rsid w:val="00E82609"/>
    <w:rsid w:val="00E82848"/>
    <w:rsid w:val="00E82FDD"/>
    <w:rsid w:val="00E837AD"/>
    <w:rsid w:val="00E83BF7"/>
    <w:rsid w:val="00E83E5B"/>
    <w:rsid w:val="00E8417A"/>
    <w:rsid w:val="00E8463F"/>
    <w:rsid w:val="00E849E2"/>
    <w:rsid w:val="00E856F2"/>
    <w:rsid w:val="00E86671"/>
    <w:rsid w:val="00E86DBD"/>
    <w:rsid w:val="00E87125"/>
    <w:rsid w:val="00E872B2"/>
    <w:rsid w:val="00E87352"/>
    <w:rsid w:val="00E873E0"/>
    <w:rsid w:val="00E90466"/>
    <w:rsid w:val="00E90669"/>
    <w:rsid w:val="00E90FA0"/>
    <w:rsid w:val="00E91598"/>
    <w:rsid w:val="00E91C2A"/>
    <w:rsid w:val="00E921C7"/>
    <w:rsid w:val="00E935C5"/>
    <w:rsid w:val="00E93733"/>
    <w:rsid w:val="00E93B45"/>
    <w:rsid w:val="00E93F67"/>
    <w:rsid w:val="00E94055"/>
    <w:rsid w:val="00E94ABA"/>
    <w:rsid w:val="00E94CBB"/>
    <w:rsid w:val="00E94D86"/>
    <w:rsid w:val="00E95118"/>
    <w:rsid w:val="00E95295"/>
    <w:rsid w:val="00E956B8"/>
    <w:rsid w:val="00E956DB"/>
    <w:rsid w:val="00E956FC"/>
    <w:rsid w:val="00E95A17"/>
    <w:rsid w:val="00E95B36"/>
    <w:rsid w:val="00E95EF7"/>
    <w:rsid w:val="00E9607F"/>
    <w:rsid w:val="00E962BA"/>
    <w:rsid w:val="00E96D18"/>
    <w:rsid w:val="00E96E60"/>
    <w:rsid w:val="00E971D6"/>
    <w:rsid w:val="00E9721D"/>
    <w:rsid w:val="00E973BE"/>
    <w:rsid w:val="00E9747F"/>
    <w:rsid w:val="00E97FCA"/>
    <w:rsid w:val="00EA0017"/>
    <w:rsid w:val="00EA02CF"/>
    <w:rsid w:val="00EA03E0"/>
    <w:rsid w:val="00EA0412"/>
    <w:rsid w:val="00EA0531"/>
    <w:rsid w:val="00EA074C"/>
    <w:rsid w:val="00EA0F7D"/>
    <w:rsid w:val="00EA0FD0"/>
    <w:rsid w:val="00EA1917"/>
    <w:rsid w:val="00EA1E79"/>
    <w:rsid w:val="00EA2CCE"/>
    <w:rsid w:val="00EA31CB"/>
    <w:rsid w:val="00EA3964"/>
    <w:rsid w:val="00EA3D80"/>
    <w:rsid w:val="00EA43DE"/>
    <w:rsid w:val="00EA4617"/>
    <w:rsid w:val="00EA4A0F"/>
    <w:rsid w:val="00EA5146"/>
    <w:rsid w:val="00EA533D"/>
    <w:rsid w:val="00EA5AFE"/>
    <w:rsid w:val="00EA5BEE"/>
    <w:rsid w:val="00EA5C34"/>
    <w:rsid w:val="00EA6049"/>
    <w:rsid w:val="00EA652D"/>
    <w:rsid w:val="00EA6743"/>
    <w:rsid w:val="00EA6A37"/>
    <w:rsid w:val="00EA6B27"/>
    <w:rsid w:val="00EA75A0"/>
    <w:rsid w:val="00EA75A6"/>
    <w:rsid w:val="00EA79A2"/>
    <w:rsid w:val="00EA7E08"/>
    <w:rsid w:val="00EB0979"/>
    <w:rsid w:val="00EB0D0F"/>
    <w:rsid w:val="00EB0D1D"/>
    <w:rsid w:val="00EB1684"/>
    <w:rsid w:val="00EB18DB"/>
    <w:rsid w:val="00EB1D9C"/>
    <w:rsid w:val="00EB1DBC"/>
    <w:rsid w:val="00EB23E6"/>
    <w:rsid w:val="00EB24D4"/>
    <w:rsid w:val="00EB294E"/>
    <w:rsid w:val="00EB397C"/>
    <w:rsid w:val="00EB4CD1"/>
    <w:rsid w:val="00EB508D"/>
    <w:rsid w:val="00EB5608"/>
    <w:rsid w:val="00EB63D8"/>
    <w:rsid w:val="00EB6C7D"/>
    <w:rsid w:val="00EB6E6B"/>
    <w:rsid w:val="00EB7654"/>
    <w:rsid w:val="00EB782E"/>
    <w:rsid w:val="00EB7ACE"/>
    <w:rsid w:val="00EB7CBE"/>
    <w:rsid w:val="00EC0250"/>
    <w:rsid w:val="00EC0317"/>
    <w:rsid w:val="00EC0838"/>
    <w:rsid w:val="00EC128F"/>
    <w:rsid w:val="00EC2106"/>
    <w:rsid w:val="00EC2C30"/>
    <w:rsid w:val="00EC2F92"/>
    <w:rsid w:val="00EC34B1"/>
    <w:rsid w:val="00EC378F"/>
    <w:rsid w:val="00EC3A5E"/>
    <w:rsid w:val="00EC40F7"/>
    <w:rsid w:val="00EC462E"/>
    <w:rsid w:val="00EC4A04"/>
    <w:rsid w:val="00EC4DEC"/>
    <w:rsid w:val="00EC50B3"/>
    <w:rsid w:val="00EC524C"/>
    <w:rsid w:val="00EC52AB"/>
    <w:rsid w:val="00EC562F"/>
    <w:rsid w:val="00EC5F34"/>
    <w:rsid w:val="00EC6033"/>
    <w:rsid w:val="00EC697E"/>
    <w:rsid w:val="00EC70E5"/>
    <w:rsid w:val="00EC7174"/>
    <w:rsid w:val="00EC7753"/>
    <w:rsid w:val="00EC7BEE"/>
    <w:rsid w:val="00EC7C53"/>
    <w:rsid w:val="00EC7E41"/>
    <w:rsid w:val="00EC7F16"/>
    <w:rsid w:val="00ED009B"/>
    <w:rsid w:val="00ED09E4"/>
    <w:rsid w:val="00ED0C01"/>
    <w:rsid w:val="00ED0CB2"/>
    <w:rsid w:val="00ED0D6A"/>
    <w:rsid w:val="00ED1A22"/>
    <w:rsid w:val="00ED1C71"/>
    <w:rsid w:val="00ED1C98"/>
    <w:rsid w:val="00ED21BD"/>
    <w:rsid w:val="00ED29C5"/>
    <w:rsid w:val="00ED2F7D"/>
    <w:rsid w:val="00ED323B"/>
    <w:rsid w:val="00ED3386"/>
    <w:rsid w:val="00ED34C4"/>
    <w:rsid w:val="00ED352F"/>
    <w:rsid w:val="00ED3670"/>
    <w:rsid w:val="00ED3D16"/>
    <w:rsid w:val="00ED3F52"/>
    <w:rsid w:val="00ED4231"/>
    <w:rsid w:val="00ED4F82"/>
    <w:rsid w:val="00ED50E8"/>
    <w:rsid w:val="00ED577D"/>
    <w:rsid w:val="00ED5940"/>
    <w:rsid w:val="00ED6321"/>
    <w:rsid w:val="00ED6355"/>
    <w:rsid w:val="00ED6625"/>
    <w:rsid w:val="00ED6FF4"/>
    <w:rsid w:val="00ED711D"/>
    <w:rsid w:val="00ED75E0"/>
    <w:rsid w:val="00ED7AF3"/>
    <w:rsid w:val="00ED7CB8"/>
    <w:rsid w:val="00EE045F"/>
    <w:rsid w:val="00EE092C"/>
    <w:rsid w:val="00EE0C6D"/>
    <w:rsid w:val="00EE0D00"/>
    <w:rsid w:val="00EE1823"/>
    <w:rsid w:val="00EE1AC7"/>
    <w:rsid w:val="00EE1C00"/>
    <w:rsid w:val="00EE1C78"/>
    <w:rsid w:val="00EE24F3"/>
    <w:rsid w:val="00EE2DEC"/>
    <w:rsid w:val="00EE2F99"/>
    <w:rsid w:val="00EE31BD"/>
    <w:rsid w:val="00EE3BE0"/>
    <w:rsid w:val="00EE434F"/>
    <w:rsid w:val="00EE44B2"/>
    <w:rsid w:val="00EE4846"/>
    <w:rsid w:val="00EE4B2A"/>
    <w:rsid w:val="00EE51CC"/>
    <w:rsid w:val="00EE5F3B"/>
    <w:rsid w:val="00EE6750"/>
    <w:rsid w:val="00EE74D6"/>
    <w:rsid w:val="00EE7596"/>
    <w:rsid w:val="00EE7C3A"/>
    <w:rsid w:val="00EE7EDE"/>
    <w:rsid w:val="00EF027D"/>
    <w:rsid w:val="00EF027F"/>
    <w:rsid w:val="00EF0D32"/>
    <w:rsid w:val="00EF0EAC"/>
    <w:rsid w:val="00EF11F0"/>
    <w:rsid w:val="00EF1353"/>
    <w:rsid w:val="00EF157F"/>
    <w:rsid w:val="00EF175E"/>
    <w:rsid w:val="00EF18E6"/>
    <w:rsid w:val="00EF18EA"/>
    <w:rsid w:val="00EF1E69"/>
    <w:rsid w:val="00EF27CD"/>
    <w:rsid w:val="00EF3C27"/>
    <w:rsid w:val="00EF51AC"/>
    <w:rsid w:val="00EF58B1"/>
    <w:rsid w:val="00EF5A5F"/>
    <w:rsid w:val="00EF5ABA"/>
    <w:rsid w:val="00EF5E84"/>
    <w:rsid w:val="00EF6882"/>
    <w:rsid w:val="00EF697E"/>
    <w:rsid w:val="00EF698D"/>
    <w:rsid w:val="00EF6EFA"/>
    <w:rsid w:val="00EF72CB"/>
    <w:rsid w:val="00EF7AD6"/>
    <w:rsid w:val="00EF7B0C"/>
    <w:rsid w:val="00EF7F31"/>
    <w:rsid w:val="00F00EC5"/>
    <w:rsid w:val="00F00F99"/>
    <w:rsid w:val="00F011D5"/>
    <w:rsid w:val="00F01513"/>
    <w:rsid w:val="00F019C4"/>
    <w:rsid w:val="00F01C3A"/>
    <w:rsid w:val="00F01FBA"/>
    <w:rsid w:val="00F0202A"/>
    <w:rsid w:val="00F020C6"/>
    <w:rsid w:val="00F022E2"/>
    <w:rsid w:val="00F02E0E"/>
    <w:rsid w:val="00F0349F"/>
    <w:rsid w:val="00F03A90"/>
    <w:rsid w:val="00F03B3B"/>
    <w:rsid w:val="00F04648"/>
    <w:rsid w:val="00F05126"/>
    <w:rsid w:val="00F060BC"/>
    <w:rsid w:val="00F060D1"/>
    <w:rsid w:val="00F0631B"/>
    <w:rsid w:val="00F06437"/>
    <w:rsid w:val="00F0676E"/>
    <w:rsid w:val="00F067CC"/>
    <w:rsid w:val="00F0714D"/>
    <w:rsid w:val="00F072B1"/>
    <w:rsid w:val="00F0733D"/>
    <w:rsid w:val="00F07698"/>
    <w:rsid w:val="00F1057A"/>
    <w:rsid w:val="00F107CF"/>
    <w:rsid w:val="00F10B6D"/>
    <w:rsid w:val="00F10CA7"/>
    <w:rsid w:val="00F10F7B"/>
    <w:rsid w:val="00F11532"/>
    <w:rsid w:val="00F11929"/>
    <w:rsid w:val="00F11C93"/>
    <w:rsid w:val="00F12AC0"/>
    <w:rsid w:val="00F12D32"/>
    <w:rsid w:val="00F1355A"/>
    <w:rsid w:val="00F136FC"/>
    <w:rsid w:val="00F143DE"/>
    <w:rsid w:val="00F14594"/>
    <w:rsid w:val="00F14A61"/>
    <w:rsid w:val="00F15456"/>
    <w:rsid w:val="00F154AC"/>
    <w:rsid w:val="00F1581E"/>
    <w:rsid w:val="00F15FDD"/>
    <w:rsid w:val="00F16177"/>
    <w:rsid w:val="00F16657"/>
    <w:rsid w:val="00F16AD9"/>
    <w:rsid w:val="00F16D0F"/>
    <w:rsid w:val="00F17844"/>
    <w:rsid w:val="00F17D96"/>
    <w:rsid w:val="00F17DA8"/>
    <w:rsid w:val="00F2009C"/>
    <w:rsid w:val="00F20D0F"/>
    <w:rsid w:val="00F20D73"/>
    <w:rsid w:val="00F21971"/>
    <w:rsid w:val="00F227B4"/>
    <w:rsid w:val="00F22941"/>
    <w:rsid w:val="00F22B61"/>
    <w:rsid w:val="00F2390D"/>
    <w:rsid w:val="00F23927"/>
    <w:rsid w:val="00F23D2B"/>
    <w:rsid w:val="00F24531"/>
    <w:rsid w:val="00F24AA8"/>
    <w:rsid w:val="00F24D5F"/>
    <w:rsid w:val="00F24E38"/>
    <w:rsid w:val="00F24E62"/>
    <w:rsid w:val="00F2551D"/>
    <w:rsid w:val="00F25536"/>
    <w:rsid w:val="00F25C5A"/>
    <w:rsid w:val="00F25C93"/>
    <w:rsid w:val="00F25CF1"/>
    <w:rsid w:val="00F26005"/>
    <w:rsid w:val="00F262EA"/>
    <w:rsid w:val="00F26646"/>
    <w:rsid w:val="00F26A52"/>
    <w:rsid w:val="00F26B87"/>
    <w:rsid w:val="00F273B0"/>
    <w:rsid w:val="00F2775F"/>
    <w:rsid w:val="00F277CD"/>
    <w:rsid w:val="00F300A1"/>
    <w:rsid w:val="00F30893"/>
    <w:rsid w:val="00F309FC"/>
    <w:rsid w:val="00F31A06"/>
    <w:rsid w:val="00F31EE4"/>
    <w:rsid w:val="00F32235"/>
    <w:rsid w:val="00F33168"/>
    <w:rsid w:val="00F334FA"/>
    <w:rsid w:val="00F33B26"/>
    <w:rsid w:val="00F33E7A"/>
    <w:rsid w:val="00F344E9"/>
    <w:rsid w:val="00F35B3D"/>
    <w:rsid w:val="00F3610C"/>
    <w:rsid w:val="00F362D3"/>
    <w:rsid w:val="00F36456"/>
    <w:rsid w:val="00F36537"/>
    <w:rsid w:val="00F370CA"/>
    <w:rsid w:val="00F37985"/>
    <w:rsid w:val="00F37BC0"/>
    <w:rsid w:val="00F37DD7"/>
    <w:rsid w:val="00F40068"/>
    <w:rsid w:val="00F400B3"/>
    <w:rsid w:val="00F4015F"/>
    <w:rsid w:val="00F40403"/>
    <w:rsid w:val="00F40597"/>
    <w:rsid w:val="00F40A6E"/>
    <w:rsid w:val="00F41036"/>
    <w:rsid w:val="00F413FD"/>
    <w:rsid w:val="00F4157B"/>
    <w:rsid w:val="00F4189B"/>
    <w:rsid w:val="00F42B51"/>
    <w:rsid w:val="00F42E9B"/>
    <w:rsid w:val="00F436B1"/>
    <w:rsid w:val="00F43D59"/>
    <w:rsid w:val="00F4463B"/>
    <w:rsid w:val="00F4494F"/>
    <w:rsid w:val="00F44ECF"/>
    <w:rsid w:val="00F44F1C"/>
    <w:rsid w:val="00F450B5"/>
    <w:rsid w:val="00F452B2"/>
    <w:rsid w:val="00F45BB6"/>
    <w:rsid w:val="00F45E44"/>
    <w:rsid w:val="00F461CA"/>
    <w:rsid w:val="00F467D2"/>
    <w:rsid w:val="00F46A6A"/>
    <w:rsid w:val="00F47031"/>
    <w:rsid w:val="00F472BA"/>
    <w:rsid w:val="00F47470"/>
    <w:rsid w:val="00F47BDB"/>
    <w:rsid w:val="00F47E39"/>
    <w:rsid w:val="00F50221"/>
    <w:rsid w:val="00F502EE"/>
    <w:rsid w:val="00F50715"/>
    <w:rsid w:val="00F5077D"/>
    <w:rsid w:val="00F50D99"/>
    <w:rsid w:val="00F51738"/>
    <w:rsid w:val="00F52561"/>
    <w:rsid w:val="00F52645"/>
    <w:rsid w:val="00F5272B"/>
    <w:rsid w:val="00F530AB"/>
    <w:rsid w:val="00F5499D"/>
    <w:rsid w:val="00F54AC8"/>
    <w:rsid w:val="00F54DBD"/>
    <w:rsid w:val="00F553CD"/>
    <w:rsid w:val="00F5593F"/>
    <w:rsid w:val="00F56A82"/>
    <w:rsid w:val="00F56C54"/>
    <w:rsid w:val="00F56C66"/>
    <w:rsid w:val="00F570C1"/>
    <w:rsid w:val="00F57296"/>
    <w:rsid w:val="00F574F2"/>
    <w:rsid w:val="00F578A1"/>
    <w:rsid w:val="00F57B6D"/>
    <w:rsid w:val="00F57CAC"/>
    <w:rsid w:val="00F60460"/>
    <w:rsid w:val="00F6065D"/>
    <w:rsid w:val="00F60C63"/>
    <w:rsid w:val="00F6167E"/>
    <w:rsid w:val="00F61A98"/>
    <w:rsid w:val="00F62431"/>
    <w:rsid w:val="00F626E7"/>
    <w:rsid w:val="00F62A15"/>
    <w:rsid w:val="00F62D08"/>
    <w:rsid w:val="00F636C7"/>
    <w:rsid w:val="00F638FF"/>
    <w:rsid w:val="00F6414D"/>
    <w:rsid w:val="00F641E6"/>
    <w:rsid w:val="00F64483"/>
    <w:rsid w:val="00F6462E"/>
    <w:rsid w:val="00F64F57"/>
    <w:rsid w:val="00F6593C"/>
    <w:rsid w:val="00F65B62"/>
    <w:rsid w:val="00F6656A"/>
    <w:rsid w:val="00F66915"/>
    <w:rsid w:val="00F66944"/>
    <w:rsid w:val="00F66AC9"/>
    <w:rsid w:val="00F66D47"/>
    <w:rsid w:val="00F67581"/>
    <w:rsid w:val="00F7006B"/>
    <w:rsid w:val="00F7085E"/>
    <w:rsid w:val="00F70B20"/>
    <w:rsid w:val="00F70C39"/>
    <w:rsid w:val="00F70E0D"/>
    <w:rsid w:val="00F70EC5"/>
    <w:rsid w:val="00F714AA"/>
    <w:rsid w:val="00F71794"/>
    <w:rsid w:val="00F71CE3"/>
    <w:rsid w:val="00F71F6F"/>
    <w:rsid w:val="00F71F8C"/>
    <w:rsid w:val="00F72512"/>
    <w:rsid w:val="00F73140"/>
    <w:rsid w:val="00F7334E"/>
    <w:rsid w:val="00F74114"/>
    <w:rsid w:val="00F7436F"/>
    <w:rsid w:val="00F74889"/>
    <w:rsid w:val="00F749A4"/>
    <w:rsid w:val="00F74BE8"/>
    <w:rsid w:val="00F75197"/>
    <w:rsid w:val="00F75461"/>
    <w:rsid w:val="00F758BD"/>
    <w:rsid w:val="00F76733"/>
    <w:rsid w:val="00F76A73"/>
    <w:rsid w:val="00F77157"/>
    <w:rsid w:val="00F77307"/>
    <w:rsid w:val="00F778FF"/>
    <w:rsid w:val="00F8005D"/>
    <w:rsid w:val="00F80503"/>
    <w:rsid w:val="00F80A99"/>
    <w:rsid w:val="00F80EB0"/>
    <w:rsid w:val="00F80F44"/>
    <w:rsid w:val="00F81E15"/>
    <w:rsid w:val="00F82193"/>
    <w:rsid w:val="00F821C3"/>
    <w:rsid w:val="00F82A4D"/>
    <w:rsid w:val="00F82C8C"/>
    <w:rsid w:val="00F82F9E"/>
    <w:rsid w:val="00F83018"/>
    <w:rsid w:val="00F83039"/>
    <w:rsid w:val="00F830E1"/>
    <w:rsid w:val="00F83513"/>
    <w:rsid w:val="00F8406F"/>
    <w:rsid w:val="00F841A7"/>
    <w:rsid w:val="00F84217"/>
    <w:rsid w:val="00F843E9"/>
    <w:rsid w:val="00F84C86"/>
    <w:rsid w:val="00F854A8"/>
    <w:rsid w:val="00F85602"/>
    <w:rsid w:val="00F85C49"/>
    <w:rsid w:val="00F85D2F"/>
    <w:rsid w:val="00F8683B"/>
    <w:rsid w:val="00F87522"/>
    <w:rsid w:val="00F87532"/>
    <w:rsid w:val="00F87EC2"/>
    <w:rsid w:val="00F9073A"/>
    <w:rsid w:val="00F90806"/>
    <w:rsid w:val="00F90C36"/>
    <w:rsid w:val="00F90D9B"/>
    <w:rsid w:val="00F90EAE"/>
    <w:rsid w:val="00F91565"/>
    <w:rsid w:val="00F9168D"/>
    <w:rsid w:val="00F919D5"/>
    <w:rsid w:val="00F91A95"/>
    <w:rsid w:val="00F92210"/>
    <w:rsid w:val="00F92CEC"/>
    <w:rsid w:val="00F93654"/>
    <w:rsid w:val="00F93A58"/>
    <w:rsid w:val="00F94CC2"/>
    <w:rsid w:val="00F96A89"/>
    <w:rsid w:val="00F96EFC"/>
    <w:rsid w:val="00F971E0"/>
    <w:rsid w:val="00F9754C"/>
    <w:rsid w:val="00F97CAB"/>
    <w:rsid w:val="00FA0474"/>
    <w:rsid w:val="00FA0853"/>
    <w:rsid w:val="00FA1115"/>
    <w:rsid w:val="00FA112B"/>
    <w:rsid w:val="00FA13F9"/>
    <w:rsid w:val="00FA1C67"/>
    <w:rsid w:val="00FA1EB2"/>
    <w:rsid w:val="00FA2693"/>
    <w:rsid w:val="00FA2702"/>
    <w:rsid w:val="00FA3825"/>
    <w:rsid w:val="00FA3989"/>
    <w:rsid w:val="00FA40E7"/>
    <w:rsid w:val="00FA43FB"/>
    <w:rsid w:val="00FA47E3"/>
    <w:rsid w:val="00FA4824"/>
    <w:rsid w:val="00FA4DA5"/>
    <w:rsid w:val="00FA4ED6"/>
    <w:rsid w:val="00FA5292"/>
    <w:rsid w:val="00FA54E9"/>
    <w:rsid w:val="00FA5542"/>
    <w:rsid w:val="00FA557E"/>
    <w:rsid w:val="00FA6422"/>
    <w:rsid w:val="00FA6CC5"/>
    <w:rsid w:val="00FA70D3"/>
    <w:rsid w:val="00FA7B37"/>
    <w:rsid w:val="00FA7BB6"/>
    <w:rsid w:val="00FA7D52"/>
    <w:rsid w:val="00FA7EE7"/>
    <w:rsid w:val="00FA7FE2"/>
    <w:rsid w:val="00FB0F65"/>
    <w:rsid w:val="00FB139C"/>
    <w:rsid w:val="00FB13F4"/>
    <w:rsid w:val="00FB158D"/>
    <w:rsid w:val="00FB1EC2"/>
    <w:rsid w:val="00FB2038"/>
    <w:rsid w:val="00FB203B"/>
    <w:rsid w:val="00FB215B"/>
    <w:rsid w:val="00FB21CD"/>
    <w:rsid w:val="00FB2278"/>
    <w:rsid w:val="00FB286B"/>
    <w:rsid w:val="00FB2B91"/>
    <w:rsid w:val="00FB2C33"/>
    <w:rsid w:val="00FB2FD0"/>
    <w:rsid w:val="00FB33D0"/>
    <w:rsid w:val="00FB34FB"/>
    <w:rsid w:val="00FB36DE"/>
    <w:rsid w:val="00FB3C30"/>
    <w:rsid w:val="00FB448B"/>
    <w:rsid w:val="00FB4673"/>
    <w:rsid w:val="00FB496F"/>
    <w:rsid w:val="00FB4B25"/>
    <w:rsid w:val="00FB529E"/>
    <w:rsid w:val="00FB5394"/>
    <w:rsid w:val="00FB565E"/>
    <w:rsid w:val="00FB5CF6"/>
    <w:rsid w:val="00FB5D3F"/>
    <w:rsid w:val="00FB65F5"/>
    <w:rsid w:val="00FB6D42"/>
    <w:rsid w:val="00FB7B4D"/>
    <w:rsid w:val="00FC00C4"/>
    <w:rsid w:val="00FC04C6"/>
    <w:rsid w:val="00FC08F5"/>
    <w:rsid w:val="00FC0F5D"/>
    <w:rsid w:val="00FC13B6"/>
    <w:rsid w:val="00FC207A"/>
    <w:rsid w:val="00FC20E8"/>
    <w:rsid w:val="00FC252D"/>
    <w:rsid w:val="00FC2F8B"/>
    <w:rsid w:val="00FC30E6"/>
    <w:rsid w:val="00FC3C9B"/>
    <w:rsid w:val="00FC3D64"/>
    <w:rsid w:val="00FC47F6"/>
    <w:rsid w:val="00FC4B3F"/>
    <w:rsid w:val="00FC5ACD"/>
    <w:rsid w:val="00FC5F43"/>
    <w:rsid w:val="00FC64F6"/>
    <w:rsid w:val="00FC674A"/>
    <w:rsid w:val="00FC684F"/>
    <w:rsid w:val="00FC7614"/>
    <w:rsid w:val="00FC77D1"/>
    <w:rsid w:val="00FC79BA"/>
    <w:rsid w:val="00FC7A99"/>
    <w:rsid w:val="00FC7C5E"/>
    <w:rsid w:val="00FD0102"/>
    <w:rsid w:val="00FD0F87"/>
    <w:rsid w:val="00FD0FF9"/>
    <w:rsid w:val="00FD1BED"/>
    <w:rsid w:val="00FD1FD4"/>
    <w:rsid w:val="00FD26D4"/>
    <w:rsid w:val="00FD279A"/>
    <w:rsid w:val="00FD2B04"/>
    <w:rsid w:val="00FD2EB2"/>
    <w:rsid w:val="00FD3093"/>
    <w:rsid w:val="00FD3AA2"/>
    <w:rsid w:val="00FD3B9E"/>
    <w:rsid w:val="00FD3D47"/>
    <w:rsid w:val="00FD44AF"/>
    <w:rsid w:val="00FD4995"/>
    <w:rsid w:val="00FD4C16"/>
    <w:rsid w:val="00FD4EA2"/>
    <w:rsid w:val="00FD5291"/>
    <w:rsid w:val="00FD5352"/>
    <w:rsid w:val="00FD5452"/>
    <w:rsid w:val="00FD58D2"/>
    <w:rsid w:val="00FD5AA2"/>
    <w:rsid w:val="00FD5D19"/>
    <w:rsid w:val="00FD5E77"/>
    <w:rsid w:val="00FD6243"/>
    <w:rsid w:val="00FD6396"/>
    <w:rsid w:val="00FD63B2"/>
    <w:rsid w:val="00FD6CC9"/>
    <w:rsid w:val="00FD714D"/>
    <w:rsid w:val="00FD7F1E"/>
    <w:rsid w:val="00FE0073"/>
    <w:rsid w:val="00FE02CB"/>
    <w:rsid w:val="00FE0F39"/>
    <w:rsid w:val="00FE1291"/>
    <w:rsid w:val="00FE13F6"/>
    <w:rsid w:val="00FE15B1"/>
    <w:rsid w:val="00FE26A6"/>
    <w:rsid w:val="00FE27AD"/>
    <w:rsid w:val="00FE2BB6"/>
    <w:rsid w:val="00FE379C"/>
    <w:rsid w:val="00FE3B48"/>
    <w:rsid w:val="00FE3F8C"/>
    <w:rsid w:val="00FE42EC"/>
    <w:rsid w:val="00FE4635"/>
    <w:rsid w:val="00FE5D97"/>
    <w:rsid w:val="00FE609A"/>
    <w:rsid w:val="00FE6A15"/>
    <w:rsid w:val="00FE6A79"/>
    <w:rsid w:val="00FE6D23"/>
    <w:rsid w:val="00FE7039"/>
    <w:rsid w:val="00FE76CA"/>
    <w:rsid w:val="00FE7E4B"/>
    <w:rsid w:val="00FF0006"/>
    <w:rsid w:val="00FF05D3"/>
    <w:rsid w:val="00FF0AA2"/>
    <w:rsid w:val="00FF111B"/>
    <w:rsid w:val="00FF125D"/>
    <w:rsid w:val="00FF1291"/>
    <w:rsid w:val="00FF1DCB"/>
    <w:rsid w:val="00FF1E5F"/>
    <w:rsid w:val="00FF205D"/>
    <w:rsid w:val="00FF2278"/>
    <w:rsid w:val="00FF24B7"/>
    <w:rsid w:val="00FF32EF"/>
    <w:rsid w:val="00FF33D6"/>
    <w:rsid w:val="00FF3599"/>
    <w:rsid w:val="00FF3898"/>
    <w:rsid w:val="00FF4A89"/>
    <w:rsid w:val="00FF4BE3"/>
    <w:rsid w:val="00FF4D36"/>
    <w:rsid w:val="00FF4FB3"/>
    <w:rsid w:val="00FF50CB"/>
    <w:rsid w:val="00FF588E"/>
    <w:rsid w:val="00FF5A84"/>
    <w:rsid w:val="00FF5AEB"/>
    <w:rsid w:val="00FF6796"/>
    <w:rsid w:val="00FF6917"/>
    <w:rsid w:val="00FF6C03"/>
    <w:rsid w:val="00FF735C"/>
    <w:rsid w:val="00FF7513"/>
    <w:rsid w:val="00FF76FA"/>
    <w:rsid w:val="00FF790C"/>
    <w:rsid w:val="00FF7F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8929C5"/>
    <w:rPr>
      <w:sz w:val="24"/>
      <w:szCs w:val="24"/>
    </w:rPr>
  </w:style>
  <w:style w:type="paragraph" w:styleId="Heading1">
    <w:name w:val="heading 1"/>
    <w:basedOn w:val="BodyText"/>
    <w:next w:val="BodyText"/>
    <w:rsid w:val="008929C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929C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929C5"/>
    <w:pPr>
      <w:spacing w:before="560" w:line="320" w:lineRule="exact"/>
      <w:ind w:left="0" w:firstLine="0"/>
      <w:outlineLvl w:val="2"/>
    </w:pPr>
    <w:rPr>
      <w:sz w:val="26"/>
    </w:rPr>
  </w:style>
  <w:style w:type="paragraph" w:styleId="Heading4">
    <w:name w:val="heading 4"/>
    <w:basedOn w:val="Heading3"/>
    <w:next w:val="BodyText"/>
    <w:link w:val="Heading4Char"/>
    <w:qFormat/>
    <w:rsid w:val="008929C5"/>
    <w:pPr>
      <w:spacing w:before="480"/>
      <w:outlineLvl w:val="3"/>
    </w:pPr>
    <w:rPr>
      <w:b w:val="0"/>
      <w:sz w:val="24"/>
    </w:rPr>
  </w:style>
  <w:style w:type="paragraph" w:styleId="Heading5">
    <w:name w:val="heading 5"/>
    <w:basedOn w:val="Heading4"/>
    <w:next w:val="BodyText"/>
    <w:link w:val="Heading5Char"/>
    <w:qFormat/>
    <w:rsid w:val="008929C5"/>
    <w:pPr>
      <w:outlineLvl w:val="4"/>
    </w:pPr>
    <w:rPr>
      <w:i/>
      <w:sz w:val="22"/>
    </w:rPr>
  </w:style>
  <w:style w:type="paragraph" w:styleId="Heading6">
    <w:name w:val="heading 6"/>
    <w:basedOn w:val="BodyText"/>
    <w:next w:val="BodyText"/>
    <w:rsid w:val="008929C5"/>
    <w:pPr>
      <w:spacing w:after="60"/>
      <w:jc w:val="left"/>
      <w:outlineLvl w:val="5"/>
    </w:pPr>
    <w:rPr>
      <w:i/>
      <w:sz w:val="22"/>
    </w:rPr>
  </w:style>
  <w:style w:type="paragraph" w:styleId="Heading7">
    <w:name w:val="heading 7"/>
    <w:basedOn w:val="BodyText"/>
    <w:next w:val="BodyText"/>
    <w:rsid w:val="008929C5"/>
    <w:pPr>
      <w:spacing w:after="60" w:line="240" w:lineRule="auto"/>
      <w:jc w:val="left"/>
      <w:outlineLvl w:val="6"/>
    </w:pPr>
    <w:rPr>
      <w:rFonts w:ascii="Arial" w:hAnsi="Arial"/>
      <w:sz w:val="20"/>
    </w:rPr>
  </w:style>
  <w:style w:type="paragraph" w:styleId="Heading8">
    <w:name w:val="heading 8"/>
    <w:basedOn w:val="BodyText"/>
    <w:next w:val="BodyText"/>
    <w:rsid w:val="008929C5"/>
    <w:pPr>
      <w:spacing w:after="60" w:line="240" w:lineRule="auto"/>
      <w:jc w:val="left"/>
      <w:outlineLvl w:val="7"/>
    </w:pPr>
    <w:rPr>
      <w:rFonts w:ascii="Arial" w:hAnsi="Arial"/>
      <w:i/>
      <w:sz w:val="20"/>
    </w:rPr>
  </w:style>
  <w:style w:type="paragraph" w:styleId="Heading9">
    <w:name w:val="heading 9"/>
    <w:basedOn w:val="BodyText"/>
    <w:next w:val="BodyText"/>
    <w:rsid w:val="008929C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929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29C5"/>
  </w:style>
  <w:style w:type="paragraph" w:styleId="BodyText">
    <w:name w:val="Body Text"/>
    <w:link w:val="BodyTextChar"/>
    <w:qFormat/>
    <w:rsid w:val="008929C5"/>
    <w:pPr>
      <w:spacing w:before="240" w:line="300" w:lineRule="atLeast"/>
      <w:jc w:val="both"/>
    </w:pPr>
    <w:rPr>
      <w:sz w:val="24"/>
    </w:rPr>
  </w:style>
  <w:style w:type="paragraph" w:customStyle="1" w:styleId="Chapter">
    <w:name w:val="Chapter"/>
    <w:basedOn w:val="Heading1"/>
    <w:next w:val="BodyText"/>
    <w:semiHidden/>
    <w:rsid w:val="008929C5"/>
    <w:pPr>
      <w:ind w:left="0" w:firstLine="0"/>
      <w:outlineLvl w:val="9"/>
    </w:pPr>
  </w:style>
  <w:style w:type="paragraph" w:customStyle="1" w:styleId="SequenceInfo">
    <w:name w:val="Sequence Info"/>
    <w:basedOn w:val="BodyText"/>
    <w:semiHidden/>
    <w:rsid w:val="008929C5"/>
    <w:rPr>
      <w:vanish/>
      <w:sz w:val="16"/>
    </w:rPr>
  </w:style>
  <w:style w:type="character" w:styleId="CommentReference">
    <w:name w:val="annotation reference"/>
    <w:basedOn w:val="DefaultParagraphFont"/>
    <w:rsid w:val="008929C5"/>
    <w:rPr>
      <w:b/>
      <w:vanish/>
      <w:color w:val="FF00FF"/>
      <w:sz w:val="20"/>
    </w:rPr>
  </w:style>
  <w:style w:type="paragraph" w:styleId="CommentText">
    <w:name w:val="annotation text"/>
    <w:basedOn w:val="Normal"/>
    <w:link w:val="CommentTextChar"/>
    <w:semiHidden/>
    <w:rsid w:val="008929C5"/>
    <w:pPr>
      <w:spacing w:before="120" w:line="240" w:lineRule="atLeast"/>
      <w:ind w:left="567" w:hanging="567"/>
    </w:pPr>
    <w:rPr>
      <w:sz w:val="20"/>
    </w:rPr>
  </w:style>
  <w:style w:type="paragraph" w:customStyle="1" w:styleId="Abbreviation">
    <w:name w:val="Abbreviation"/>
    <w:basedOn w:val="BodyText"/>
    <w:rsid w:val="008929C5"/>
    <w:pPr>
      <w:spacing w:before="120"/>
      <w:ind w:left="2381" w:hanging="2381"/>
      <w:jc w:val="left"/>
    </w:pPr>
  </w:style>
  <w:style w:type="paragraph" w:customStyle="1" w:styleId="Box">
    <w:name w:val="Box"/>
    <w:basedOn w:val="BodyText"/>
    <w:link w:val="BoxChar"/>
    <w:qFormat/>
    <w:rsid w:val="008929C5"/>
    <w:pPr>
      <w:keepNext/>
      <w:spacing w:before="120" w:line="260" w:lineRule="atLeast"/>
    </w:pPr>
    <w:rPr>
      <w:rFonts w:ascii="Arial" w:hAnsi="Arial"/>
      <w:sz w:val="20"/>
    </w:rPr>
  </w:style>
  <w:style w:type="paragraph" w:customStyle="1" w:styleId="QuoteBullet">
    <w:name w:val="Quote Bullet"/>
    <w:basedOn w:val="Quote"/>
    <w:rsid w:val="008929C5"/>
    <w:pPr>
      <w:numPr>
        <w:numId w:val="11"/>
      </w:numPr>
    </w:pPr>
  </w:style>
  <w:style w:type="paragraph" w:customStyle="1" w:styleId="BoxListBullet">
    <w:name w:val="Box List Bullet"/>
    <w:basedOn w:val="BodyText"/>
    <w:link w:val="BoxListBulletChar"/>
    <w:rsid w:val="008929C5"/>
    <w:pPr>
      <w:keepNext/>
      <w:numPr>
        <w:numId w:val="6"/>
      </w:numPr>
      <w:spacing w:before="100" w:line="260" w:lineRule="atLeast"/>
    </w:pPr>
    <w:rPr>
      <w:rFonts w:ascii="Arial" w:hAnsi="Arial"/>
      <w:sz w:val="20"/>
    </w:rPr>
  </w:style>
  <w:style w:type="paragraph" w:customStyle="1" w:styleId="BoxListBullet2">
    <w:name w:val="Box List Bullet 2"/>
    <w:basedOn w:val="BoxListBullet"/>
    <w:link w:val="BoxListBullet2Char"/>
    <w:rsid w:val="008929C5"/>
    <w:pPr>
      <w:numPr>
        <w:numId w:val="3"/>
      </w:numPr>
      <w:ind w:left="568" w:hanging="284"/>
    </w:pPr>
  </w:style>
  <w:style w:type="paragraph" w:customStyle="1" w:styleId="BoxListNumber">
    <w:name w:val="Box List Number"/>
    <w:basedOn w:val="BodyText"/>
    <w:rsid w:val="008929C5"/>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8929C5"/>
    <w:pPr>
      <w:numPr>
        <w:ilvl w:val="1"/>
      </w:numPr>
      <w:ind w:left="681" w:hanging="397"/>
    </w:pPr>
  </w:style>
  <w:style w:type="paragraph" w:customStyle="1" w:styleId="BoxQuote">
    <w:name w:val="Box Quote"/>
    <w:basedOn w:val="BodyText"/>
    <w:next w:val="Box"/>
    <w:qFormat/>
    <w:rsid w:val="008929C5"/>
    <w:pPr>
      <w:keepNext/>
      <w:spacing w:before="60" w:line="240" w:lineRule="exact"/>
      <w:ind w:left="284"/>
    </w:pPr>
    <w:rPr>
      <w:rFonts w:ascii="Arial" w:hAnsi="Arial"/>
      <w:sz w:val="18"/>
    </w:rPr>
  </w:style>
  <w:style w:type="paragraph" w:customStyle="1" w:styleId="BoxSource">
    <w:name w:val="Box Source"/>
    <w:basedOn w:val="Source"/>
    <w:next w:val="BodyText"/>
    <w:rsid w:val="008929C5"/>
    <w:pPr>
      <w:spacing w:before="120"/>
    </w:pPr>
  </w:style>
  <w:style w:type="paragraph" w:customStyle="1" w:styleId="BoxSpace">
    <w:name w:val="Box Space"/>
    <w:basedOn w:val="BodyText"/>
    <w:rsid w:val="00DA56CA"/>
    <w:pPr>
      <w:keepNext/>
      <w:spacing w:before="360" w:line="80" w:lineRule="exact"/>
      <w:jc w:val="left"/>
    </w:pPr>
  </w:style>
  <w:style w:type="paragraph" w:customStyle="1" w:styleId="BoxSubtitle">
    <w:name w:val="Box Subtitle"/>
    <w:basedOn w:val="BoxTitle"/>
    <w:next w:val="Normal"/>
    <w:rsid w:val="008929C5"/>
    <w:pPr>
      <w:spacing w:after="80" w:line="200" w:lineRule="exact"/>
      <w:ind w:firstLine="0"/>
    </w:pPr>
    <w:rPr>
      <w:b w:val="0"/>
      <w:sz w:val="20"/>
    </w:rPr>
  </w:style>
  <w:style w:type="paragraph" w:customStyle="1" w:styleId="BoxTitle">
    <w:name w:val="Box Title"/>
    <w:basedOn w:val="Caption"/>
    <w:next w:val="BoxSubtitle"/>
    <w:link w:val="BoxTitleChar"/>
    <w:rsid w:val="008929C5"/>
    <w:pPr>
      <w:spacing w:before="120" w:after="0"/>
    </w:pPr>
  </w:style>
  <w:style w:type="paragraph" w:styleId="Caption">
    <w:name w:val="caption"/>
    <w:basedOn w:val="Normal"/>
    <w:next w:val="BodyText"/>
    <w:rsid w:val="008929C5"/>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8929C5"/>
    <w:pPr>
      <w:spacing w:line="280" w:lineRule="atLeast"/>
      <w:ind w:left="907"/>
    </w:pPr>
    <w:rPr>
      <w:rFonts w:ascii="Arial" w:hAnsi="Arial"/>
      <w:b/>
      <w:sz w:val="20"/>
    </w:rPr>
  </w:style>
  <w:style w:type="character" w:customStyle="1" w:styleId="DocumentInfo">
    <w:name w:val="Document Info"/>
    <w:basedOn w:val="DefaultParagraphFont"/>
    <w:semiHidden/>
    <w:rsid w:val="008929C5"/>
    <w:rPr>
      <w:rFonts w:ascii="Arial" w:hAnsi="Arial"/>
      <w:sz w:val="14"/>
    </w:rPr>
  </w:style>
  <w:style w:type="paragraph" w:styleId="Footer">
    <w:name w:val="footer"/>
    <w:basedOn w:val="BodyText"/>
    <w:link w:val="FooterChar"/>
    <w:rsid w:val="008929C5"/>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8929C5"/>
    <w:rPr>
      <w:b/>
      <w:color w:val="FF0000"/>
      <w:sz w:val="24"/>
      <w:u w:val="dotted"/>
    </w:rPr>
  </w:style>
  <w:style w:type="paragraph" w:customStyle="1" w:styleId="BoxContinued">
    <w:name w:val="Box Continued"/>
    <w:basedOn w:val="BodyText"/>
    <w:next w:val="BodyText"/>
    <w:semiHidden/>
    <w:rsid w:val="008929C5"/>
    <w:pPr>
      <w:spacing w:before="180" w:line="220" w:lineRule="exact"/>
      <w:jc w:val="right"/>
    </w:pPr>
    <w:rPr>
      <w:rFonts w:ascii="Arial" w:hAnsi="Arial"/>
      <w:sz w:val="18"/>
    </w:rPr>
  </w:style>
  <w:style w:type="paragraph" w:customStyle="1" w:styleId="Figure">
    <w:name w:val="Figure"/>
    <w:basedOn w:val="BodyText"/>
    <w:rsid w:val="008929C5"/>
    <w:pPr>
      <w:keepNext/>
      <w:spacing w:before="120" w:after="120" w:line="240" w:lineRule="atLeast"/>
      <w:jc w:val="center"/>
    </w:pPr>
  </w:style>
  <w:style w:type="paragraph" w:customStyle="1" w:styleId="FigureTitle">
    <w:name w:val="Figure Title"/>
    <w:basedOn w:val="Caption"/>
    <w:next w:val="Subtitle"/>
    <w:link w:val="FigureTitleChar"/>
    <w:rsid w:val="008929C5"/>
    <w:pPr>
      <w:spacing w:before="120"/>
    </w:pPr>
  </w:style>
  <w:style w:type="paragraph" w:styleId="Subtitle">
    <w:name w:val="Subtitle"/>
    <w:basedOn w:val="Caption"/>
    <w:link w:val="SubtitleChar"/>
    <w:qFormat/>
    <w:rsid w:val="008929C5"/>
    <w:pPr>
      <w:spacing w:before="0" w:line="200" w:lineRule="exact"/>
      <w:ind w:firstLine="0"/>
    </w:pPr>
    <w:rPr>
      <w:b w:val="0"/>
      <w:sz w:val="20"/>
    </w:rPr>
  </w:style>
  <w:style w:type="paragraph" w:customStyle="1" w:styleId="Finding">
    <w:name w:val="Finding"/>
    <w:basedOn w:val="BodyText"/>
    <w:rsid w:val="008929C5"/>
    <w:pPr>
      <w:keepLines/>
      <w:spacing w:before="120" w:line="280" w:lineRule="atLeast"/>
    </w:pPr>
    <w:rPr>
      <w:rFonts w:ascii="Arial" w:hAnsi="Arial"/>
      <w:sz w:val="22"/>
    </w:rPr>
  </w:style>
  <w:style w:type="paragraph" w:customStyle="1" w:styleId="FindingBullet">
    <w:name w:val="Finding Bullet"/>
    <w:basedOn w:val="Finding"/>
    <w:rsid w:val="008929C5"/>
    <w:pPr>
      <w:numPr>
        <w:numId w:val="7"/>
      </w:numPr>
      <w:spacing w:before="80"/>
    </w:pPr>
  </w:style>
  <w:style w:type="paragraph" w:customStyle="1" w:styleId="FindingNoTitle">
    <w:name w:val="Finding NoTitle"/>
    <w:basedOn w:val="Finding"/>
    <w:rsid w:val="008929C5"/>
    <w:pPr>
      <w:spacing w:before="240"/>
    </w:pPr>
  </w:style>
  <w:style w:type="paragraph" w:customStyle="1" w:styleId="FindingTitle">
    <w:name w:val="Finding Title"/>
    <w:basedOn w:val="RecTitle"/>
    <w:next w:val="Finding"/>
    <w:rsid w:val="008929C5"/>
  </w:style>
  <w:style w:type="paragraph" w:customStyle="1" w:styleId="FooterEnd">
    <w:name w:val="Footer End"/>
    <w:basedOn w:val="Footer"/>
    <w:rsid w:val="008929C5"/>
    <w:pPr>
      <w:spacing w:before="0" w:line="20" w:lineRule="exact"/>
    </w:pPr>
  </w:style>
  <w:style w:type="character" w:styleId="FootnoteReference">
    <w:name w:val="footnote reference"/>
    <w:basedOn w:val="DefaultParagraphFont"/>
    <w:semiHidden/>
    <w:rsid w:val="008929C5"/>
    <w:rPr>
      <w:rFonts w:ascii="Times New Roman" w:hAnsi="Times New Roman"/>
      <w:position w:val="6"/>
      <w:sz w:val="20"/>
      <w:vertAlign w:val="baseline"/>
    </w:rPr>
  </w:style>
  <w:style w:type="paragraph" w:styleId="FootnoteText">
    <w:name w:val="footnote text"/>
    <w:basedOn w:val="BodyText"/>
    <w:rsid w:val="008929C5"/>
    <w:pPr>
      <w:tabs>
        <w:tab w:val="left" w:pos="284"/>
      </w:tabs>
      <w:spacing w:before="80" w:line="240" w:lineRule="exact"/>
      <w:ind w:left="284" w:hanging="284"/>
    </w:pPr>
    <w:rPr>
      <w:sz w:val="20"/>
    </w:rPr>
  </w:style>
  <w:style w:type="paragraph" w:styleId="Header">
    <w:name w:val="header"/>
    <w:basedOn w:val="BodyText"/>
    <w:rsid w:val="008929C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929C5"/>
    <w:pPr>
      <w:spacing w:line="20" w:lineRule="exact"/>
    </w:pPr>
    <w:rPr>
      <w:sz w:val="16"/>
    </w:rPr>
  </w:style>
  <w:style w:type="paragraph" w:customStyle="1" w:styleId="HeaderEven">
    <w:name w:val="Header Even"/>
    <w:basedOn w:val="Header"/>
    <w:semiHidden/>
    <w:rsid w:val="008929C5"/>
  </w:style>
  <w:style w:type="paragraph" w:customStyle="1" w:styleId="HeaderOdd">
    <w:name w:val="Header Odd"/>
    <w:basedOn w:val="Header"/>
    <w:semiHidden/>
    <w:rsid w:val="008929C5"/>
  </w:style>
  <w:style w:type="paragraph" w:customStyle="1" w:styleId="InformationRequest">
    <w:name w:val="Information Request"/>
    <w:basedOn w:val="Finding"/>
    <w:next w:val="BodyText"/>
    <w:rsid w:val="008929C5"/>
    <w:rPr>
      <w:i/>
    </w:rPr>
  </w:style>
  <w:style w:type="paragraph" w:styleId="ListBullet">
    <w:name w:val="List Bullet"/>
    <w:basedOn w:val="BodyText"/>
    <w:link w:val="ListBulletChar"/>
    <w:rsid w:val="008929C5"/>
    <w:pPr>
      <w:numPr>
        <w:numId w:val="5"/>
      </w:numPr>
      <w:spacing w:before="120"/>
    </w:pPr>
  </w:style>
  <w:style w:type="paragraph" w:styleId="ListBullet2">
    <w:name w:val="List Bullet 2"/>
    <w:basedOn w:val="BodyText"/>
    <w:rsid w:val="008929C5"/>
    <w:pPr>
      <w:numPr>
        <w:numId w:val="2"/>
      </w:numPr>
      <w:spacing w:before="120"/>
    </w:pPr>
  </w:style>
  <w:style w:type="paragraph" w:styleId="ListBullet3">
    <w:name w:val="List Bullet 3"/>
    <w:basedOn w:val="BodyText"/>
    <w:rsid w:val="008929C5"/>
    <w:pPr>
      <w:numPr>
        <w:numId w:val="1"/>
      </w:numPr>
      <w:spacing w:before="120"/>
      <w:ind w:left="1020" w:hanging="340"/>
    </w:pPr>
  </w:style>
  <w:style w:type="paragraph" w:styleId="ListNumber">
    <w:name w:val="List Number"/>
    <w:basedOn w:val="BodyText"/>
    <w:rsid w:val="008929C5"/>
    <w:pPr>
      <w:numPr>
        <w:numId w:val="13"/>
      </w:numPr>
      <w:spacing w:before="120"/>
    </w:pPr>
  </w:style>
  <w:style w:type="paragraph" w:styleId="ListNumber2">
    <w:name w:val="List Number 2"/>
    <w:basedOn w:val="ListNumber"/>
    <w:rsid w:val="008929C5"/>
    <w:pPr>
      <w:numPr>
        <w:ilvl w:val="1"/>
      </w:numPr>
    </w:pPr>
  </w:style>
  <w:style w:type="paragraph" w:styleId="ListNumber3">
    <w:name w:val="List Number 3"/>
    <w:basedOn w:val="ListNumber2"/>
    <w:rsid w:val="008929C5"/>
    <w:pPr>
      <w:numPr>
        <w:ilvl w:val="2"/>
      </w:numPr>
    </w:pPr>
  </w:style>
  <w:style w:type="paragraph" w:customStyle="1" w:styleId="Note">
    <w:name w:val="Note"/>
    <w:basedOn w:val="BodyText"/>
    <w:next w:val="BodyText"/>
    <w:link w:val="NoteChar"/>
    <w:rsid w:val="008929C5"/>
    <w:pPr>
      <w:keepLines/>
      <w:spacing w:before="80" w:line="220" w:lineRule="exact"/>
    </w:pPr>
    <w:rPr>
      <w:rFonts w:ascii="Arial" w:hAnsi="Arial"/>
      <w:sz w:val="18"/>
    </w:rPr>
  </w:style>
  <w:style w:type="character" w:customStyle="1" w:styleId="NoteLabel">
    <w:name w:val="Note Label"/>
    <w:basedOn w:val="DefaultParagraphFont"/>
    <w:rsid w:val="008929C5"/>
    <w:rPr>
      <w:rFonts w:ascii="Arial" w:hAnsi="Arial"/>
      <w:b/>
      <w:position w:val="6"/>
      <w:sz w:val="18"/>
    </w:rPr>
  </w:style>
  <w:style w:type="character" w:styleId="PageNumber">
    <w:name w:val="page number"/>
    <w:basedOn w:val="DefaultParagraphFont"/>
    <w:rsid w:val="008929C5"/>
    <w:rPr>
      <w:rFonts w:ascii="Arial" w:hAnsi="Arial"/>
      <w:b/>
      <w:sz w:val="16"/>
    </w:rPr>
  </w:style>
  <w:style w:type="paragraph" w:customStyle="1" w:styleId="PartDivider">
    <w:name w:val="Part Divider"/>
    <w:basedOn w:val="BodyText"/>
    <w:next w:val="BodyText"/>
    <w:semiHidden/>
    <w:rsid w:val="008929C5"/>
    <w:pPr>
      <w:spacing w:before="0" w:line="40" w:lineRule="exact"/>
      <w:jc w:val="right"/>
    </w:pPr>
    <w:rPr>
      <w:smallCaps/>
      <w:sz w:val="16"/>
    </w:rPr>
  </w:style>
  <w:style w:type="paragraph" w:customStyle="1" w:styleId="PartNumber">
    <w:name w:val="Part Number"/>
    <w:basedOn w:val="BodyText"/>
    <w:next w:val="BodyText"/>
    <w:semiHidden/>
    <w:rsid w:val="008929C5"/>
    <w:pPr>
      <w:spacing w:before="4000" w:line="320" w:lineRule="exact"/>
      <w:ind w:left="6634"/>
      <w:jc w:val="right"/>
    </w:pPr>
    <w:rPr>
      <w:smallCaps/>
      <w:spacing w:val="60"/>
      <w:sz w:val="32"/>
    </w:rPr>
  </w:style>
  <w:style w:type="paragraph" w:customStyle="1" w:styleId="PartTitle">
    <w:name w:val="Part Title"/>
    <w:basedOn w:val="BodyText"/>
    <w:semiHidden/>
    <w:rsid w:val="008929C5"/>
    <w:pPr>
      <w:spacing w:before="160" w:after="1360" w:line="520" w:lineRule="exact"/>
      <w:ind w:right="2381"/>
      <w:jc w:val="right"/>
    </w:pPr>
    <w:rPr>
      <w:smallCaps/>
      <w:sz w:val="52"/>
    </w:rPr>
  </w:style>
  <w:style w:type="paragraph" w:styleId="Quote">
    <w:name w:val="Quote"/>
    <w:basedOn w:val="BodyText"/>
    <w:next w:val="BodyText"/>
    <w:qFormat/>
    <w:rsid w:val="008929C5"/>
    <w:pPr>
      <w:spacing w:before="120" w:line="280" w:lineRule="exact"/>
      <w:ind w:left="340"/>
    </w:pPr>
    <w:rPr>
      <w:sz w:val="22"/>
    </w:rPr>
  </w:style>
  <w:style w:type="paragraph" w:customStyle="1" w:styleId="Rec">
    <w:name w:val="Rec"/>
    <w:basedOn w:val="BodyText"/>
    <w:qFormat/>
    <w:rsid w:val="008929C5"/>
    <w:pPr>
      <w:keepLines/>
      <w:spacing w:before="120" w:line="280" w:lineRule="atLeast"/>
    </w:pPr>
    <w:rPr>
      <w:rFonts w:ascii="Arial" w:hAnsi="Arial"/>
      <w:sz w:val="22"/>
    </w:rPr>
  </w:style>
  <w:style w:type="paragraph" w:customStyle="1" w:styleId="RecBullet">
    <w:name w:val="Rec Bullet"/>
    <w:basedOn w:val="Rec"/>
    <w:rsid w:val="008929C5"/>
    <w:pPr>
      <w:numPr>
        <w:numId w:val="8"/>
      </w:numPr>
      <w:spacing w:before="80"/>
    </w:pPr>
  </w:style>
  <w:style w:type="paragraph" w:customStyle="1" w:styleId="RecTitle">
    <w:name w:val="Rec Title"/>
    <w:basedOn w:val="BodyText"/>
    <w:next w:val="Rec"/>
    <w:qFormat/>
    <w:rsid w:val="008929C5"/>
    <w:pPr>
      <w:keepNext/>
      <w:keepLines/>
      <w:spacing w:line="280" w:lineRule="atLeast"/>
    </w:pPr>
    <w:rPr>
      <w:rFonts w:ascii="Arial" w:hAnsi="Arial"/>
      <w:caps/>
      <w:sz w:val="18"/>
    </w:rPr>
  </w:style>
  <w:style w:type="paragraph" w:customStyle="1" w:styleId="RecB">
    <w:name w:val="RecB"/>
    <w:basedOn w:val="Normal"/>
    <w:rsid w:val="008929C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929C5"/>
    <w:pPr>
      <w:numPr>
        <w:numId w:val="9"/>
      </w:numPr>
      <w:spacing w:before="80"/>
    </w:pPr>
  </w:style>
  <w:style w:type="paragraph" w:customStyle="1" w:styleId="RecBNoTitle">
    <w:name w:val="RecB NoTitle"/>
    <w:basedOn w:val="RecB"/>
    <w:rsid w:val="008929C5"/>
    <w:pPr>
      <w:spacing w:before="240"/>
    </w:pPr>
  </w:style>
  <w:style w:type="paragraph" w:customStyle="1" w:styleId="Reference">
    <w:name w:val="Reference"/>
    <w:basedOn w:val="BodyText"/>
    <w:link w:val="ReferenceChar"/>
    <w:rsid w:val="008929C5"/>
    <w:pPr>
      <w:spacing w:before="120"/>
      <w:ind w:left="340" w:hanging="340"/>
    </w:pPr>
  </w:style>
  <w:style w:type="paragraph" w:customStyle="1" w:styleId="SideNote">
    <w:name w:val="Side Note"/>
    <w:basedOn w:val="BodyText"/>
    <w:next w:val="BodyText"/>
    <w:semiHidden/>
    <w:rsid w:val="008929C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929C5"/>
    <w:pPr>
      <w:framePr w:wrap="around"/>
      <w:numPr>
        <w:numId w:val="4"/>
      </w:numPr>
      <w:tabs>
        <w:tab w:val="left" w:pos="227"/>
      </w:tabs>
    </w:pPr>
  </w:style>
  <w:style w:type="paragraph" w:customStyle="1" w:styleId="SideNoteGraphic">
    <w:name w:val="Side Note Graphic"/>
    <w:basedOn w:val="SideNote"/>
    <w:next w:val="BodyText"/>
    <w:semiHidden/>
    <w:rsid w:val="008929C5"/>
    <w:pPr>
      <w:framePr w:wrap="around"/>
    </w:pPr>
  </w:style>
  <w:style w:type="paragraph" w:customStyle="1" w:styleId="Source">
    <w:name w:val="Source"/>
    <w:basedOn w:val="Normal"/>
    <w:next w:val="BodyText"/>
    <w:link w:val="SourceChar"/>
    <w:rsid w:val="008929C5"/>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8929C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929C5"/>
    <w:pPr>
      <w:numPr>
        <w:numId w:val="10"/>
      </w:numPr>
      <w:jc w:val="left"/>
    </w:pPr>
  </w:style>
  <w:style w:type="paragraph" w:customStyle="1" w:styleId="TableColumnHeading">
    <w:name w:val="Table Column Heading"/>
    <w:basedOn w:val="TableBodyText"/>
    <w:rsid w:val="008929C5"/>
    <w:pPr>
      <w:spacing w:before="80" w:after="80"/>
    </w:pPr>
    <w:rPr>
      <w:i/>
    </w:rPr>
  </w:style>
  <w:style w:type="paragraph" w:styleId="TableofFigures">
    <w:name w:val="table of figures"/>
    <w:basedOn w:val="TOC3"/>
    <w:next w:val="BodyText"/>
    <w:semiHidden/>
    <w:rsid w:val="008929C5"/>
    <w:pPr>
      <w:ind w:left="737" w:hanging="737"/>
    </w:pPr>
  </w:style>
  <w:style w:type="paragraph" w:styleId="TOC3">
    <w:name w:val="toc 3"/>
    <w:basedOn w:val="TOC2"/>
    <w:rsid w:val="008929C5"/>
    <w:pPr>
      <w:spacing w:before="60"/>
      <w:ind w:left="1190" w:hanging="680"/>
    </w:pPr>
  </w:style>
  <w:style w:type="paragraph" w:customStyle="1" w:styleId="TableTitle">
    <w:name w:val="Table Title"/>
    <w:basedOn w:val="Caption"/>
    <w:next w:val="Subtitle"/>
    <w:qFormat/>
    <w:rsid w:val="008929C5"/>
    <w:pPr>
      <w:spacing w:before="120"/>
    </w:pPr>
  </w:style>
  <w:style w:type="paragraph" w:customStyle="1" w:styleId="TableUnitsRow">
    <w:name w:val="Table Units Row"/>
    <w:basedOn w:val="TableBodyText"/>
    <w:rsid w:val="008929C5"/>
    <w:pPr>
      <w:spacing w:before="40"/>
    </w:pPr>
  </w:style>
  <w:style w:type="paragraph" w:styleId="TOC1">
    <w:name w:val="toc 1"/>
    <w:basedOn w:val="Normal"/>
    <w:next w:val="TOC2"/>
    <w:link w:val="TOC1Char"/>
    <w:rsid w:val="008929C5"/>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8929C5"/>
    <w:pPr>
      <w:ind w:left="1134" w:hanging="624"/>
    </w:pPr>
    <w:rPr>
      <w:b w:val="0"/>
    </w:rPr>
  </w:style>
  <w:style w:type="paragraph" w:styleId="TOC4">
    <w:name w:val="toc 4"/>
    <w:basedOn w:val="TOC3"/>
    <w:semiHidden/>
    <w:rsid w:val="008929C5"/>
    <w:pPr>
      <w:ind w:left="1191" w:firstLine="0"/>
    </w:pPr>
  </w:style>
  <w:style w:type="paragraph" w:customStyle="1" w:styleId="Jurisdictioncommentsbodytext">
    <w:name w:val="Jurisdiction comments body text"/>
    <w:rsid w:val="008929C5"/>
    <w:pPr>
      <w:spacing w:after="140"/>
      <w:jc w:val="both"/>
    </w:pPr>
    <w:rPr>
      <w:rFonts w:ascii="Arial" w:hAnsi="Arial"/>
      <w:sz w:val="24"/>
      <w:lang w:eastAsia="en-US"/>
    </w:rPr>
  </w:style>
  <w:style w:type="paragraph" w:customStyle="1" w:styleId="Continued">
    <w:name w:val="Continued"/>
    <w:basedOn w:val="BoxContinued"/>
    <w:next w:val="BodyText"/>
    <w:link w:val="ContinuedChar"/>
    <w:rsid w:val="008929C5"/>
  </w:style>
  <w:style w:type="paragraph" w:customStyle="1" w:styleId="BoxHeading1">
    <w:name w:val="Box Heading 1"/>
    <w:basedOn w:val="BodyText"/>
    <w:next w:val="Box"/>
    <w:rsid w:val="008929C5"/>
    <w:pPr>
      <w:keepNext/>
      <w:spacing w:before="200" w:line="280" w:lineRule="atLeast"/>
    </w:pPr>
    <w:rPr>
      <w:rFonts w:ascii="Arial" w:hAnsi="Arial"/>
      <w:b/>
      <w:sz w:val="22"/>
    </w:rPr>
  </w:style>
  <w:style w:type="paragraph" w:customStyle="1" w:styleId="BoxHeading2">
    <w:name w:val="Box Heading 2"/>
    <w:basedOn w:val="BoxHeading1"/>
    <w:next w:val="Normal"/>
    <w:rsid w:val="008929C5"/>
    <w:rPr>
      <w:b w:val="0"/>
      <w:i/>
    </w:rPr>
  </w:style>
  <w:style w:type="character" w:customStyle="1" w:styleId="ContinuedChar">
    <w:name w:val="Continued Char"/>
    <w:link w:val="Continued"/>
    <w:rsid w:val="009D236F"/>
    <w:rPr>
      <w:rFonts w:ascii="Arial" w:hAnsi="Arial"/>
      <w:sz w:val="18"/>
    </w:rPr>
  </w:style>
  <w:style w:type="table" w:styleId="TableGrid">
    <w:name w:val="Table Grid"/>
    <w:basedOn w:val="TableNormal"/>
    <w:rsid w:val="008929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urisdictioncommentsheading">
    <w:name w:val="Jurisdiction comments heading"/>
    <w:rsid w:val="008929C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929C5"/>
    <w:pPr>
      <w:numPr>
        <w:numId w:val="12"/>
      </w:numPr>
      <w:spacing w:after="140"/>
      <w:jc w:val="both"/>
    </w:pPr>
    <w:rPr>
      <w:rFonts w:ascii="Arial" w:hAnsi="Arial"/>
      <w:sz w:val="24"/>
      <w:lang w:eastAsia="en-US"/>
    </w:rPr>
  </w:style>
  <w:style w:type="paragraph" w:customStyle="1" w:styleId="SOC">
    <w:name w:val="SOC"/>
    <w:basedOn w:val="BodyText"/>
    <w:rsid w:val="0066785F"/>
    <w:pPr>
      <w:spacing w:before="0" w:after="140" w:line="240" w:lineRule="auto"/>
    </w:pPr>
    <w:rPr>
      <w:rFonts w:ascii="Arial" w:hAnsi="Arial"/>
    </w:rPr>
  </w:style>
  <w:style w:type="paragraph" w:styleId="BalloonText">
    <w:name w:val="Balloon Text"/>
    <w:basedOn w:val="Normal"/>
    <w:link w:val="BalloonTextChar"/>
    <w:rsid w:val="008929C5"/>
    <w:rPr>
      <w:rFonts w:ascii="Tahoma" w:hAnsi="Tahoma" w:cs="Tahoma"/>
      <w:sz w:val="16"/>
      <w:szCs w:val="16"/>
    </w:rPr>
  </w:style>
  <w:style w:type="paragraph" w:styleId="CommentSubject">
    <w:name w:val="annotation subject"/>
    <w:basedOn w:val="CommentText"/>
    <w:next w:val="CommentText"/>
    <w:semiHidden/>
    <w:rsid w:val="004E3A2B"/>
    <w:pPr>
      <w:spacing w:before="0" w:line="240" w:lineRule="auto"/>
      <w:ind w:left="0" w:firstLine="0"/>
    </w:pPr>
    <w:rPr>
      <w:b/>
      <w:bCs/>
    </w:rPr>
  </w:style>
  <w:style w:type="character" w:customStyle="1" w:styleId="NoteChar">
    <w:name w:val="Note Char"/>
    <w:link w:val="Note"/>
    <w:rsid w:val="00663B9A"/>
    <w:rPr>
      <w:rFonts w:ascii="Arial" w:hAnsi="Arial"/>
      <w:sz w:val="18"/>
    </w:rPr>
  </w:style>
  <w:style w:type="character" w:customStyle="1" w:styleId="SourceChar">
    <w:name w:val="Source Char"/>
    <w:basedOn w:val="NoteChar"/>
    <w:link w:val="Source"/>
    <w:rsid w:val="00663B9A"/>
    <w:rPr>
      <w:rFonts w:ascii="Arial" w:hAnsi="Arial"/>
      <w:sz w:val="18"/>
    </w:rPr>
  </w:style>
  <w:style w:type="character" w:customStyle="1" w:styleId="FigureTitleChar">
    <w:name w:val="Figure Title Char"/>
    <w:link w:val="FigureTitle"/>
    <w:rsid w:val="00663B9A"/>
    <w:rPr>
      <w:rFonts w:ascii="Arial" w:hAnsi="Arial"/>
      <w:b/>
      <w:sz w:val="24"/>
      <w:szCs w:val="24"/>
    </w:rPr>
  </w:style>
  <w:style w:type="character" w:customStyle="1" w:styleId="BoxChar">
    <w:name w:val="Box Char"/>
    <w:link w:val="Box"/>
    <w:rsid w:val="003B68FC"/>
    <w:rPr>
      <w:rFonts w:ascii="Arial" w:hAnsi="Arial"/>
    </w:rPr>
  </w:style>
  <w:style w:type="character" w:styleId="Hyperlink">
    <w:name w:val="Hyperlink"/>
    <w:uiPriority w:val="99"/>
    <w:rsid w:val="00066632"/>
    <w:rPr>
      <w:color w:val="0000FF"/>
      <w:u w:val="single"/>
    </w:rPr>
  </w:style>
  <w:style w:type="character" w:customStyle="1" w:styleId="Heading4Char">
    <w:name w:val="Heading 4 Char"/>
    <w:link w:val="Heading4"/>
    <w:rsid w:val="00601BD5"/>
    <w:rPr>
      <w:rFonts w:ascii="Arial" w:hAnsi="Arial"/>
      <w:sz w:val="24"/>
    </w:rPr>
  </w:style>
  <w:style w:type="paragraph" w:customStyle="1" w:styleId="DocInfo">
    <w:name w:val="Doc Info"/>
    <w:basedOn w:val="Normal"/>
    <w:next w:val="Normal"/>
    <w:rsid w:val="0066785F"/>
    <w:pPr>
      <w:jc w:val="center"/>
    </w:pPr>
    <w:rPr>
      <w:rFonts w:ascii="Arial" w:hAnsi="Arial"/>
      <w:sz w:val="14"/>
    </w:rPr>
  </w:style>
  <w:style w:type="character" w:customStyle="1" w:styleId="ReferenceChar">
    <w:name w:val="Reference Char"/>
    <w:link w:val="Reference"/>
    <w:rsid w:val="001014BF"/>
    <w:rPr>
      <w:sz w:val="24"/>
    </w:rPr>
  </w:style>
  <w:style w:type="character" w:styleId="FollowedHyperlink">
    <w:name w:val="FollowedHyperlink"/>
    <w:rsid w:val="000F6D72"/>
    <w:rPr>
      <w:color w:val="800080"/>
      <w:u w:val="single"/>
    </w:rPr>
  </w:style>
  <w:style w:type="paragraph" w:styleId="DocumentMap">
    <w:name w:val="Document Map"/>
    <w:basedOn w:val="Normal"/>
    <w:semiHidden/>
    <w:rsid w:val="00F7006B"/>
    <w:pPr>
      <w:shd w:val="clear" w:color="auto" w:fill="000080"/>
    </w:pPr>
    <w:rPr>
      <w:rFonts w:ascii="Tahoma" w:hAnsi="Tahoma" w:cs="Tahoma"/>
      <w:sz w:val="20"/>
      <w:szCs w:val="20"/>
    </w:rPr>
  </w:style>
  <w:style w:type="paragraph" w:styleId="NormalWeb">
    <w:name w:val="Normal (Web)"/>
    <w:basedOn w:val="Normal"/>
    <w:rsid w:val="00F42E9B"/>
  </w:style>
  <w:style w:type="paragraph" w:customStyle="1" w:styleId="RecBBullet2">
    <w:name w:val="RecB Bullet 2"/>
    <w:basedOn w:val="ListBullet2"/>
    <w:semiHidden/>
    <w:rsid w:val="008929C5"/>
    <w:pPr>
      <w:pBdr>
        <w:left w:val="single" w:sz="24" w:space="29" w:color="C0C0C0"/>
      </w:pBdr>
    </w:pPr>
    <w:rPr>
      <w:b/>
      <w:i/>
    </w:rPr>
  </w:style>
  <w:style w:type="character" w:customStyle="1" w:styleId="BalloonTextChar">
    <w:name w:val="Balloon Text Char"/>
    <w:basedOn w:val="DefaultParagraphFont"/>
    <w:link w:val="BalloonText"/>
    <w:rsid w:val="008929C5"/>
    <w:rPr>
      <w:rFonts w:ascii="Tahoma" w:hAnsi="Tahoma" w:cs="Tahoma"/>
      <w:sz w:val="16"/>
      <w:szCs w:val="16"/>
    </w:rPr>
  </w:style>
  <w:style w:type="character" w:customStyle="1" w:styleId="SubtitleChar">
    <w:name w:val="Subtitle Char"/>
    <w:basedOn w:val="DefaultParagraphFont"/>
    <w:link w:val="Subtitle"/>
    <w:rsid w:val="008929C5"/>
    <w:rPr>
      <w:rFonts w:ascii="Arial" w:hAnsi="Arial"/>
      <w:szCs w:val="24"/>
    </w:rPr>
  </w:style>
  <w:style w:type="paragraph" w:customStyle="1" w:styleId="BoxListBullet3">
    <w:name w:val="Box List Bullet 3"/>
    <w:basedOn w:val="ListBullet3"/>
    <w:rsid w:val="008929C5"/>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929C5"/>
    <w:rPr>
      <w:i/>
      <w:iCs/>
    </w:rPr>
  </w:style>
  <w:style w:type="paragraph" w:customStyle="1" w:styleId="BoxQuoteBullet">
    <w:name w:val="Box Quote Bullet"/>
    <w:basedOn w:val="BoxQuote"/>
    <w:next w:val="Box"/>
    <w:rsid w:val="008929C5"/>
    <w:pPr>
      <w:numPr>
        <w:numId w:val="15"/>
      </w:numPr>
      <w:ind w:left="568" w:hanging="284"/>
    </w:pPr>
  </w:style>
  <w:style w:type="paragraph" w:customStyle="1" w:styleId="InformationRequestBullet">
    <w:name w:val="Information Request Bullet"/>
    <w:basedOn w:val="ListBullet"/>
    <w:next w:val="BodyText"/>
    <w:rsid w:val="008929C5"/>
    <w:pPr>
      <w:numPr>
        <w:numId w:val="16"/>
      </w:numPr>
      <w:spacing w:before="80" w:line="280" w:lineRule="atLeast"/>
      <w:ind w:left="357" w:hanging="357"/>
    </w:pPr>
    <w:rPr>
      <w:rFonts w:ascii="Arial" w:hAnsi="Arial"/>
      <w:i/>
      <w:sz w:val="22"/>
    </w:rPr>
  </w:style>
  <w:style w:type="character" w:customStyle="1" w:styleId="CommentTextChar">
    <w:name w:val="Comment Text Char"/>
    <w:basedOn w:val="DefaultParagraphFont"/>
    <w:link w:val="CommentText"/>
    <w:semiHidden/>
    <w:rsid w:val="005C54DA"/>
    <w:rPr>
      <w:szCs w:val="24"/>
    </w:rPr>
  </w:style>
  <w:style w:type="paragraph" w:styleId="Revision">
    <w:name w:val="Revision"/>
    <w:hidden/>
    <w:uiPriority w:val="99"/>
    <w:semiHidden/>
    <w:rsid w:val="00422E2C"/>
    <w:rPr>
      <w:sz w:val="26"/>
      <w:szCs w:val="24"/>
    </w:rPr>
  </w:style>
  <w:style w:type="paragraph" w:customStyle="1" w:styleId="BoxSpaceAbove">
    <w:name w:val="Box Space Above"/>
    <w:basedOn w:val="BodyText"/>
    <w:rsid w:val="008929C5"/>
    <w:pPr>
      <w:keepNext/>
      <w:spacing w:before="360" w:line="80" w:lineRule="exact"/>
      <w:jc w:val="left"/>
    </w:pPr>
  </w:style>
  <w:style w:type="paragraph" w:customStyle="1" w:styleId="BoxSpaceBelow">
    <w:name w:val="Box Space Below"/>
    <w:basedOn w:val="Box"/>
    <w:rsid w:val="008929C5"/>
    <w:pPr>
      <w:keepNext w:val="0"/>
      <w:spacing w:before="60" w:after="60" w:line="80" w:lineRule="exact"/>
    </w:pPr>
    <w:rPr>
      <w:sz w:val="14"/>
    </w:rPr>
  </w:style>
  <w:style w:type="paragraph" w:customStyle="1" w:styleId="Default">
    <w:name w:val="Default"/>
    <w:rsid w:val="00751EA8"/>
    <w:pPr>
      <w:autoSpaceDE w:val="0"/>
      <w:autoSpaceDN w:val="0"/>
      <w:adjustRightInd w:val="0"/>
    </w:pPr>
    <w:rPr>
      <w:rFonts w:ascii="Frutiger LT Std 45 Light" w:hAnsi="Frutiger LT Std 45 Light" w:cs="Frutiger LT Std 45 Light"/>
      <w:color w:val="000000"/>
      <w:sz w:val="24"/>
      <w:szCs w:val="24"/>
    </w:rPr>
  </w:style>
  <w:style w:type="character" w:customStyle="1" w:styleId="Heading3Char">
    <w:name w:val="Heading 3 Char"/>
    <w:basedOn w:val="DefaultParagraphFont"/>
    <w:link w:val="Heading3"/>
    <w:rsid w:val="00112967"/>
    <w:rPr>
      <w:rFonts w:ascii="Arial" w:hAnsi="Arial"/>
      <w:b/>
      <w:sz w:val="26"/>
    </w:rPr>
  </w:style>
  <w:style w:type="character" w:customStyle="1" w:styleId="BodyTextChar">
    <w:name w:val="Body Text Char"/>
    <w:basedOn w:val="DefaultParagraphFont"/>
    <w:link w:val="BodyText"/>
    <w:rsid w:val="008929C5"/>
    <w:rPr>
      <w:sz w:val="24"/>
    </w:rPr>
  </w:style>
  <w:style w:type="character" w:customStyle="1" w:styleId="BoxListBullet2Char">
    <w:name w:val="Box List Bullet 2 Char"/>
    <w:basedOn w:val="BoxChar"/>
    <w:link w:val="BoxListBullet2"/>
    <w:rsid w:val="00394397"/>
    <w:rPr>
      <w:rFonts w:ascii="Arial" w:hAnsi="Arial"/>
    </w:rPr>
  </w:style>
  <w:style w:type="character" w:customStyle="1" w:styleId="BoxListBulletChar">
    <w:name w:val="Box List Bullet Char"/>
    <w:basedOn w:val="BoxChar"/>
    <w:link w:val="BoxListBullet"/>
    <w:rsid w:val="007324F6"/>
    <w:rPr>
      <w:rFonts w:ascii="Arial" w:hAnsi="Arial"/>
    </w:rPr>
  </w:style>
  <w:style w:type="paragraph" w:customStyle="1" w:styleId="KeyPointsListBullet">
    <w:name w:val="Key Points List Bullet"/>
    <w:basedOn w:val="Normal"/>
    <w:qFormat/>
    <w:rsid w:val="008929C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929C5"/>
    <w:pPr>
      <w:numPr>
        <w:numId w:val="19"/>
      </w:numPr>
      <w:ind w:left="568" w:hanging="284"/>
    </w:pPr>
  </w:style>
  <w:style w:type="paragraph" w:customStyle="1" w:styleId="InformationRequestTitle">
    <w:name w:val="Information Request Title"/>
    <w:basedOn w:val="FindingTitle"/>
    <w:next w:val="InformationRequest"/>
    <w:rsid w:val="008929C5"/>
    <w:rPr>
      <w:i/>
    </w:rPr>
  </w:style>
  <w:style w:type="paragraph" w:customStyle="1" w:styleId="Space">
    <w:name w:val="Space"/>
    <w:basedOn w:val="Normal"/>
    <w:rsid w:val="008929C5"/>
    <w:pPr>
      <w:keepNext/>
      <w:spacing w:line="120" w:lineRule="exact"/>
      <w:jc w:val="both"/>
    </w:pPr>
    <w:rPr>
      <w:rFonts w:ascii="Arial" w:hAnsi="Arial"/>
      <w:sz w:val="20"/>
      <w:szCs w:val="20"/>
    </w:rPr>
  </w:style>
  <w:style w:type="paragraph" w:customStyle="1" w:styleId="Heading1nochapterno">
    <w:name w:val="Heading 1 (no chapter no.)"/>
    <w:basedOn w:val="Heading1"/>
    <w:rsid w:val="008929C5"/>
    <w:pPr>
      <w:spacing w:before="0"/>
      <w:ind w:left="0" w:firstLine="0"/>
    </w:pPr>
  </w:style>
  <w:style w:type="paragraph" w:customStyle="1" w:styleId="Heading2nosectionno">
    <w:name w:val="Heading 2 (no section no.)"/>
    <w:basedOn w:val="Heading2"/>
    <w:rsid w:val="008929C5"/>
    <w:pPr>
      <w:ind w:left="0" w:firstLine="0"/>
    </w:pPr>
  </w:style>
  <w:style w:type="character" w:customStyle="1" w:styleId="Heading5Char">
    <w:name w:val="Heading 5 Char"/>
    <w:basedOn w:val="DefaultParagraphFont"/>
    <w:link w:val="Heading5"/>
    <w:rsid w:val="008929C5"/>
    <w:rPr>
      <w:rFonts w:ascii="Arial" w:hAnsi="Arial"/>
      <w:i/>
      <w:sz w:val="22"/>
    </w:rPr>
  </w:style>
  <w:style w:type="paragraph" w:customStyle="1" w:styleId="Figurespace">
    <w:name w:val="Figure space"/>
    <w:basedOn w:val="Box"/>
    <w:rsid w:val="008929C5"/>
    <w:pPr>
      <w:spacing w:before="0" w:line="120" w:lineRule="exact"/>
    </w:pPr>
  </w:style>
  <w:style w:type="paragraph" w:customStyle="1" w:styleId="FooterDraftReport">
    <w:name w:val="FooterDraftReport"/>
    <w:basedOn w:val="Footer"/>
    <w:link w:val="FooterDraftReportChar"/>
    <w:rsid w:val="008929C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8929C5"/>
    <w:rPr>
      <w:rFonts w:ascii="Arial" w:hAnsi="Arial"/>
      <w:caps/>
      <w:spacing w:val="-4"/>
      <w:sz w:val="16"/>
    </w:rPr>
  </w:style>
  <w:style w:type="character" w:customStyle="1" w:styleId="FooterDraftReportChar">
    <w:name w:val="FooterDraftReport Char"/>
    <w:basedOn w:val="FooterChar"/>
    <w:link w:val="FooterDraftReport"/>
    <w:rsid w:val="008929C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8929C5"/>
    <w:rPr>
      <w:rFonts w:ascii="Arial" w:hAnsi="Arial"/>
      <w:b/>
      <w:sz w:val="26"/>
      <w:szCs w:val="26"/>
      <w:lang w:eastAsia="en-US"/>
    </w:rPr>
  </w:style>
  <w:style w:type="paragraph" w:customStyle="1" w:styleId="Heading1NotTOC">
    <w:name w:val="Heading 1 Not TOC"/>
    <w:basedOn w:val="Heading1"/>
    <w:next w:val="BodyText"/>
    <w:rsid w:val="00BC49F4"/>
    <w:rPr>
      <w:kern w:val="28"/>
      <w:szCs w:val="26"/>
      <w:lang w:eastAsia="en-US"/>
    </w:rPr>
  </w:style>
  <w:style w:type="character" w:customStyle="1" w:styleId="TableBodyTextChar">
    <w:name w:val="Table Body Text Char"/>
    <w:link w:val="TableBodyText"/>
    <w:rsid w:val="0000489F"/>
    <w:rPr>
      <w:rFonts w:ascii="Arial" w:hAnsi="Arial"/>
      <w:sz w:val="18"/>
    </w:rPr>
  </w:style>
  <w:style w:type="character" w:customStyle="1" w:styleId="BoxTitleChar">
    <w:name w:val="Box Title Char"/>
    <w:link w:val="BoxTitle"/>
    <w:rsid w:val="00952247"/>
    <w:rPr>
      <w:rFonts w:ascii="Arial" w:hAnsi="Arial"/>
      <w:b/>
      <w:sz w:val="24"/>
      <w:szCs w:val="24"/>
    </w:rPr>
  </w:style>
  <w:style w:type="character" w:customStyle="1" w:styleId="ListBulletChar">
    <w:name w:val="List Bullet Char"/>
    <w:link w:val="ListBullet"/>
    <w:rsid w:val="00DF6A13"/>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8929C5"/>
    <w:rPr>
      <w:sz w:val="24"/>
      <w:szCs w:val="24"/>
    </w:rPr>
  </w:style>
  <w:style w:type="paragraph" w:styleId="Heading1">
    <w:name w:val="heading 1"/>
    <w:basedOn w:val="BodyText"/>
    <w:next w:val="BodyText"/>
    <w:rsid w:val="008929C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929C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929C5"/>
    <w:pPr>
      <w:spacing w:before="560" w:line="320" w:lineRule="exact"/>
      <w:ind w:left="0" w:firstLine="0"/>
      <w:outlineLvl w:val="2"/>
    </w:pPr>
    <w:rPr>
      <w:sz w:val="26"/>
    </w:rPr>
  </w:style>
  <w:style w:type="paragraph" w:styleId="Heading4">
    <w:name w:val="heading 4"/>
    <w:basedOn w:val="Heading3"/>
    <w:next w:val="BodyText"/>
    <w:link w:val="Heading4Char"/>
    <w:qFormat/>
    <w:rsid w:val="008929C5"/>
    <w:pPr>
      <w:spacing w:before="480"/>
      <w:outlineLvl w:val="3"/>
    </w:pPr>
    <w:rPr>
      <w:b w:val="0"/>
      <w:sz w:val="24"/>
    </w:rPr>
  </w:style>
  <w:style w:type="paragraph" w:styleId="Heading5">
    <w:name w:val="heading 5"/>
    <w:basedOn w:val="Heading4"/>
    <w:next w:val="BodyText"/>
    <w:link w:val="Heading5Char"/>
    <w:qFormat/>
    <w:rsid w:val="008929C5"/>
    <w:pPr>
      <w:outlineLvl w:val="4"/>
    </w:pPr>
    <w:rPr>
      <w:i/>
      <w:sz w:val="22"/>
    </w:rPr>
  </w:style>
  <w:style w:type="paragraph" w:styleId="Heading6">
    <w:name w:val="heading 6"/>
    <w:basedOn w:val="BodyText"/>
    <w:next w:val="BodyText"/>
    <w:rsid w:val="008929C5"/>
    <w:pPr>
      <w:spacing w:after="60"/>
      <w:jc w:val="left"/>
      <w:outlineLvl w:val="5"/>
    </w:pPr>
    <w:rPr>
      <w:i/>
      <w:sz w:val="22"/>
    </w:rPr>
  </w:style>
  <w:style w:type="paragraph" w:styleId="Heading7">
    <w:name w:val="heading 7"/>
    <w:basedOn w:val="BodyText"/>
    <w:next w:val="BodyText"/>
    <w:rsid w:val="008929C5"/>
    <w:pPr>
      <w:spacing w:after="60" w:line="240" w:lineRule="auto"/>
      <w:jc w:val="left"/>
      <w:outlineLvl w:val="6"/>
    </w:pPr>
    <w:rPr>
      <w:rFonts w:ascii="Arial" w:hAnsi="Arial"/>
      <w:sz w:val="20"/>
    </w:rPr>
  </w:style>
  <w:style w:type="paragraph" w:styleId="Heading8">
    <w:name w:val="heading 8"/>
    <w:basedOn w:val="BodyText"/>
    <w:next w:val="BodyText"/>
    <w:rsid w:val="008929C5"/>
    <w:pPr>
      <w:spacing w:after="60" w:line="240" w:lineRule="auto"/>
      <w:jc w:val="left"/>
      <w:outlineLvl w:val="7"/>
    </w:pPr>
    <w:rPr>
      <w:rFonts w:ascii="Arial" w:hAnsi="Arial"/>
      <w:i/>
      <w:sz w:val="20"/>
    </w:rPr>
  </w:style>
  <w:style w:type="paragraph" w:styleId="Heading9">
    <w:name w:val="heading 9"/>
    <w:basedOn w:val="BodyText"/>
    <w:next w:val="BodyText"/>
    <w:rsid w:val="008929C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929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29C5"/>
  </w:style>
  <w:style w:type="paragraph" w:styleId="BodyText">
    <w:name w:val="Body Text"/>
    <w:link w:val="BodyTextChar"/>
    <w:qFormat/>
    <w:rsid w:val="008929C5"/>
    <w:pPr>
      <w:spacing w:before="240" w:line="300" w:lineRule="atLeast"/>
      <w:jc w:val="both"/>
    </w:pPr>
    <w:rPr>
      <w:sz w:val="24"/>
    </w:rPr>
  </w:style>
  <w:style w:type="paragraph" w:customStyle="1" w:styleId="Chapter">
    <w:name w:val="Chapter"/>
    <w:basedOn w:val="Heading1"/>
    <w:next w:val="BodyText"/>
    <w:semiHidden/>
    <w:rsid w:val="008929C5"/>
    <w:pPr>
      <w:ind w:left="0" w:firstLine="0"/>
      <w:outlineLvl w:val="9"/>
    </w:pPr>
  </w:style>
  <w:style w:type="paragraph" w:customStyle="1" w:styleId="SequenceInfo">
    <w:name w:val="Sequence Info"/>
    <w:basedOn w:val="BodyText"/>
    <w:semiHidden/>
    <w:rsid w:val="008929C5"/>
    <w:rPr>
      <w:vanish/>
      <w:sz w:val="16"/>
    </w:rPr>
  </w:style>
  <w:style w:type="character" w:styleId="CommentReference">
    <w:name w:val="annotation reference"/>
    <w:basedOn w:val="DefaultParagraphFont"/>
    <w:rsid w:val="008929C5"/>
    <w:rPr>
      <w:b/>
      <w:vanish/>
      <w:color w:val="FF00FF"/>
      <w:sz w:val="20"/>
    </w:rPr>
  </w:style>
  <w:style w:type="paragraph" w:styleId="CommentText">
    <w:name w:val="annotation text"/>
    <w:basedOn w:val="Normal"/>
    <w:link w:val="CommentTextChar"/>
    <w:semiHidden/>
    <w:rsid w:val="008929C5"/>
    <w:pPr>
      <w:spacing w:before="120" w:line="240" w:lineRule="atLeast"/>
      <w:ind w:left="567" w:hanging="567"/>
    </w:pPr>
    <w:rPr>
      <w:sz w:val="20"/>
    </w:rPr>
  </w:style>
  <w:style w:type="paragraph" w:customStyle="1" w:styleId="Abbreviation">
    <w:name w:val="Abbreviation"/>
    <w:basedOn w:val="BodyText"/>
    <w:rsid w:val="008929C5"/>
    <w:pPr>
      <w:spacing w:before="120"/>
      <w:ind w:left="2381" w:hanging="2381"/>
      <w:jc w:val="left"/>
    </w:pPr>
  </w:style>
  <w:style w:type="paragraph" w:customStyle="1" w:styleId="Box">
    <w:name w:val="Box"/>
    <w:basedOn w:val="BodyText"/>
    <w:link w:val="BoxChar"/>
    <w:qFormat/>
    <w:rsid w:val="008929C5"/>
    <w:pPr>
      <w:keepNext/>
      <w:spacing w:before="120" w:line="260" w:lineRule="atLeast"/>
    </w:pPr>
    <w:rPr>
      <w:rFonts w:ascii="Arial" w:hAnsi="Arial"/>
      <w:sz w:val="20"/>
    </w:rPr>
  </w:style>
  <w:style w:type="paragraph" w:customStyle="1" w:styleId="QuoteBullet">
    <w:name w:val="Quote Bullet"/>
    <w:basedOn w:val="Quote"/>
    <w:rsid w:val="008929C5"/>
    <w:pPr>
      <w:numPr>
        <w:numId w:val="11"/>
      </w:numPr>
    </w:pPr>
  </w:style>
  <w:style w:type="paragraph" w:customStyle="1" w:styleId="BoxListBullet">
    <w:name w:val="Box List Bullet"/>
    <w:basedOn w:val="BodyText"/>
    <w:link w:val="BoxListBulletChar"/>
    <w:rsid w:val="008929C5"/>
    <w:pPr>
      <w:keepNext/>
      <w:numPr>
        <w:numId w:val="6"/>
      </w:numPr>
      <w:spacing w:before="100" w:line="260" w:lineRule="atLeast"/>
    </w:pPr>
    <w:rPr>
      <w:rFonts w:ascii="Arial" w:hAnsi="Arial"/>
      <w:sz w:val="20"/>
    </w:rPr>
  </w:style>
  <w:style w:type="paragraph" w:customStyle="1" w:styleId="BoxListBullet2">
    <w:name w:val="Box List Bullet 2"/>
    <w:basedOn w:val="BoxListBullet"/>
    <w:link w:val="BoxListBullet2Char"/>
    <w:rsid w:val="008929C5"/>
    <w:pPr>
      <w:numPr>
        <w:numId w:val="3"/>
      </w:numPr>
      <w:ind w:left="568" w:hanging="284"/>
    </w:pPr>
  </w:style>
  <w:style w:type="paragraph" w:customStyle="1" w:styleId="BoxListNumber">
    <w:name w:val="Box List Number"/>
    <w:basedOn w:val="BodyText"/>
    <w:rsid w:val="008929C5"/>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8929C5"/>
    <w:pPr>
      <w:numPr>
        <w:ilvl w:val="1"/>
      </w:numPr>
      <w:ind w:left="681" w:hanging="397"/>
    </w:pPr>
  </w:style>
  <w:style w:type="paragraph" w:customStyle="1" w:styleId="BoxQuote">
    <w:name w:val="Box Quote"/>
    <w:basedOn w:val="BodyText"/>
    <w:next w:val="Box"/>
    <w:qFormat/>
    <w:rsid w:val="008929C5"/>
    <w:pPr>
      <w:keepNext/>
      <w:spacing w:before="60" w:line="240" w:lineRule="exact"/>
      <w:ind w:left="284"/>
    </w:pPr>
    <w:rPr>
      <w:rFonts w:ascii="Arial" w:hAnsi="Arial"/>
      <w:sz w:val="18"/>
    </w:rPr>
  </w:style>
  <w:style w:type="paragraph" w:customStyle="1" w:styleId="BoxSource">
    <w:name w:val="Box Source"/>
    <w:basedOn w:val="Source"/>
    <w:next w:val="BodyText"/>
    <w:rsid w:val="008929C5"/>
    <w:pPr>
      <w:spacing w:before="120"/>
    </w:pPr>
  </w:style>
  <w:style w:type="paragraph" w:customStyle="1" w:styleId="BoxSpace">
    <w:name w:val="Box Space"/>
    <w:basedOn w:val="BodyText"/>
    <w:rsid w:val="00DA56CA"/>
    <w:pPr>
      <w:keepNext/>
      <w:spacing w:before="360" w:line="80" w:lineRule="exact"/>
      <w:jc w:val="left"/>
    </w:pPr>
  </w:style>
  <w:style w:type="paragraph" w:customStyle="1" w:styleId="BoxSubtitle">
    <w:name w:val="Box Subtitle"/>
    <w:basedOn w:val="BoxTitle"/>
    <w:next w:val="Normal"/>
    <w:rsid w:val="008929C5"/>
    <w:pPr>
      <w:spacing w:after="80" w:line="200" w:lineRule="exact"/>
      <w:ind w:firstLine="0"/>
    </w:pPr>
    <w:rPr>
      <w:b w:val="0"/>
      <w:sz w:val="20"/>
    </w:rPr>
  </w:style>
  <w:style w:type="paragraph" w:customStyle="1" w:styleId="BoxTitle">
    <w:name w:val="Box Title"/>
    <w:basedOn w:val="Caption"/>
    <w:next w:val="BoxSubtitle"/>
    <w:link w:val="BoxTitleChar"/>
    <w:rsid w:val="008929C5"/>
    <w:pPr>
      <w:spacing w:before="120" w:after="0"/>
    </w:pPr>
  </w:style>
  <w:style w:type="paragraph" w:styleId="Caption">
    <w:name w:val="caption"/>
    <w:basedOn w:val="Normal"/>
    <w:next w:val="BodyText"/>
    <w:rsid w:val="008929C5"/>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8929C5"/>
    <w:pPr>
      <w:spacing w:line="280" w:lineRule="atLeast"/>
      <w:ind w:left="907"/>
    </w:pPr>
    <w:rPr>
      <w:rFonts w:ascii="Arial" w:hAnsi="Arial"/>
      <w:b/>
      <w:sz w:val="20"/>
    </w:rPr>
  </w:style>
  <w:style w:type="character" w:customStyle="1" w:styleId="DocumentInfo">
    <w:name w:val="Document Info"/>
    <w:basedOn w:val="DefaultParagraphFont"/>
    <w:semiHidden/>
    <w:rsid w:val="008929C5"/>
    <w:rPr>
      <w:rFonts w:ascii="Arial" w:hAnsi="Arial"/>
      <w:sz w:val="14"/>
    </w:rPr>
  </w:style>
  <w:style w:type="paragraph" w:styleId="Footer">
    <w:name w:val="footer"/>
    <w:basedOn w:val="BodyText"/>
    <w:link w:val="FooterChar"/>
    <w:rsid w:val="008929C5"/>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8929C5"/>
    <w:rPr>
      <w:b/>
      <w:color w:val="FF0000"/>
      <w:sz w:val="24"/>
      <w:u w:val="dotted"/>
    </w:rPr>
  </w:style>
  <w:style w:type="paragraph" w:customStyle="1" w:styleId="BoxContinued">
    <w:name w:val="Box Continued"/>
    <w:basedOn w:val="BodyText"/>
    <w:next w:val="BodyText"/>
    <w:semiHidden/>
    <w:rsid w:val="008929C5"/>
    <w:pPr>
      <w:spacing w:before="180" w:line="220" w:lineRule="exact"/>
      <w:jc w:val="right"/>
    </w:pPr>
    <w:rPr>
      <w:rFonts w:ascii="Arial" w:hAnsi="Arial"/>
      <w:sz w:val="18"/>
    </w:rPr>
  </w:style>
  <w:style w:type="paragraph" w:customStyle="1" w:styleId="Figure">
    <w:name w:val="Figure"/>
    <w:basedOn w:val="BodyText"/>
    <w:rsid w:val="008929C5"/>
    <w:pPr>
      <w:keepNext/>
      <w:spacing w:before="120" w:after="120" w:line="240" w:lineRule="atLeast"/>
      <w:jc w:val="center"/>
    </w:pPr>
  </w:style>
  <w:style w:type="paragraph" w:customStyle="1" w:styleId="FigureTitle">
    <w:name w:val="Figure Title"/>
    <w:basedOn w:val="Caption"/>
    <w:next w:val="Subtitle"/>
    <w:link w:val="FigureTitleChar"/>
    <w:rsid w:val="008929C5"/>
    <w:pPr>
      <w:spacing w:before="120"/>
    </w:pPr>
  </w:style>
  <w:style w:type="paragraph" w:styleId="Subtitle">
    <w:name w:val="Subtitle"/>
    <w:basedOn w:val="Caption"/>
    <w:link w:val="SubtitleChar"/>
    <w:qFormat/>
    <w:rsid w:val="008929C5"/>
    <w:pPr>
      <w:spacing w:before="0" w:line="200" w:lineRule="exact"/>
      <w:ind w:firstLine="0"/>
    </w:pPr>
    <w:rPr>
      <w:b w:val="0"/>
      <w:sz w:val="20"/>
    </w:rPr>
  </w:style>
  <w:style w:type="paragraph" w:customStyle="1" w:styleId="Finding">
    <w:name w:val="Finding"/>
    <w:basedOn w:val="BodyText"/>
    <w:rsid w:val="008929C5"/>
    <w:pPr>
      <w:keepLines/>
      <w:spacing w:before="120" w:line="280" w:lineRule="atLeast"/>
    </w:pPr>
    <w:rPr>
      <w:rFonts w:ascii="Arial" w:hAnsi="Arial"/>
      <w:sz w:val="22"/>
    </w:rPr>
  </w:style>
  <w:style w:type="paragraph" w:customStyle="1" w:styleId="FindingBullet">
    <w:name w:val="Finding Bullet"/>
    <w:basedOn w:val="Finding"/>
    <w:rsid w:val="008929C5"/>
    <w:pPr>
      <w:numPr>
        <w:numId w:val="7"/>
      </w:numPr>
      <w:spacing w:before="80"/>
    </w:pPr>
  </w:style>
  <w:style w:type="paragraph" w:customStyle="1" w:styleId="FindingNoTitle">
    <w:name w:val="Finding NoTitle"/>
    <w:basedOn w:val="Finding"/>
    <w:rsid w:val="008929C5"/>
    <w:pPr>
      <w:spacing w:before="240"/>
    </w:pPr>
  </w:style>
  <w:style w:type="paragraph" w:customStyle="1" w:styleId="FindingTitle">
    <w:name w:val="Finding Title"/>
    <w:basedOn w:val="RecTitle"/>
    <w:next w:val="Finding"/>
    <w:rsid w:val="008929C5"/>
  </w:style>
  <w:style w:type="paragraph" w:customStyle="1" w:styleId="FooterEnd">
    <w:name w:val="Footer End"/>
    <w:basedOn w:val="Footer"/>
    <w:rsid w:val="008929C5"/>
    <w:pPr>
      <w:spacing w:before="0" w:line="20" w:lineRule="exact"/>
    </w:pPr>
  </w:style>
  <w:style w:type="character" w:styleId="FootnoteReference">
    <w:name w:val="footnote reference"/>
    <w:basedOn w:val="DefaultParagraphFont"/>
    <w:semiHidden/>
    <w:rsid w:val="008929C5"/>
    <w:rPr>
      <w:rFonts w:ascii="Times New Roman" w:hAnsi="Times New Roman"/>
      <w:position w:val="6"/>
      <w:sz w:val="20"/>
      <w:vertAlign w:val="baseline"/>
    </w:rPr>
  </w:style>
  <w:style w:type="paragraph" w:styleId="FootnoteText">
    <w:name w:val="footnote text"/>
    <w:basedOn w:val="BodyText"/>
    <w:rsid w:val="008929C5"/>
    <w:pPr>
      <w:tabs>
        <w:tab w:val="left" w:pos="284"/>
      </w:tabs>
      <w:spacing w:before="80" w:line="240" w:lineRule="exact"/>
      <w:ind w:left="284" w:hanging="284"/>
    </w:pPr>
    <w:rPr>
      <w:sz w:val="20"/>
    </w:rPr>
  </w:style>
  <w:style w:type="paragraph" w:styleId="Header">
    <w:name w:val="header"/>
    <w:basedOn w:val="BodyText"/>
    <w:rsid w:val="008929C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929C5"/>
    <w:pPr>
      <w:spacing w:line="20" w:lineRule="exact"/>
    </w:pPr>
    <w:rPr>
      <w:sz w:val="16"/>
    </w:rPr>
  </w:style>
  <w:style w:type="paragraph" w:customStyle="1" w:styleId="HeaderEven">
    <w:name w:val="Header Even"/>
    <w:basedOn w:val="Header"/>
    <w:semiHidden/>
    <w:rsid w:val="008929C5"/>
  </w:style>
  <w:style w:type="paragraph" w:customStyle="1" w:styleId="HeaderOdd">
    <w:name w:val="Header Odd"/>
    <w:basedOn w:val="Header"/>
    <w:semiHidden/>
    <w:rsid w:val="008929C5"/>
  </w:style>
  <w:style w:type="paragraph" w:customStyle="1" w:styleId="InformationRequest">
    <w:name w:val="Information Request"/>
    <w:basedOn w:val="Finding"/>
    <w:next w:val="BodyText"/>
    <w:rsid w:val="008929C5"/>
    <w:rPr>
      <w:i/>
    </w:rPr>
  </w:style>
  <w:style w:type="paragraph" w:styleId="ListBullet">
    <w:name w:val="List Bullet"/>
    <w:basedOn w:val="BodyText"/>
    <w:link w:val="ListBulletChar"/>
    <w:rsid w:val="008929C5"/>
    <w:pPr>
      <w:numPr>
        <w:numId w:val="5"/>
      </w:numPr>
      <w:spacing w:before="120"/>
    </w:pPr>
  </w:style>
  <w:style w:type="paragraph" w:styleId="ListBullet2">
    <w:name w:val="List Bullet 2"/>
    <w:basedOn w:val="BodyText"/>
    <w:rsid w:val="008929C5"/>
    <w:pPr>
      <w:numPr>
        <w:numId w:val="2"/>
      </w:numPr>
      <w:spacing w:before="120"/>
    </w:pPr>
  </w:style>
  <w:style w:type="paragraph" w:styleId="ListBullet3">
    <w:name w:val="List Bullet 3"/>
    <w:basedOn w:val="BodyText"/>
    <w:rsid w:val="008929C5"/>
    <w:pPr>
      <w:numPr>
        <w:numId w:val="1"/>
      </w:numPr>
      <w:spacing w:before="120"/>
      <w:ind w:left="1020" w:hanging="340"/>
    </w:pPr>
  </w:style>
  <w:style w:type="paragraph" w:styleId="ListNumber">
    <w:name w:val="List Number"/>
    <w:basedOn w:val="BodyText"/>
    <w:rsid w:val="008929C5"/>
    <w:pPr>
      <w:numPr>
        <w:numId w:val="13"/>
      </w:numPr>
      <w:spacing w:before="120"/>
    </w:pPr>
  </w:style>
  <w:style w:type="paragraph" w:styleId="ListNumber2">
    <w:name w:val="List Number 2"/>
    <w:basedOn w:val="ListNumber"/>
    <w:rsid w:val="008929C5"/>
    <w:pPr>
      <w:numPr>
        <w:ilvl w:val="1"/>
      </w:numPr>
    </w:pPr>
  </w:style>
  <w:style w:type="paragraph" w:styleId="ListNumber3">
    <w:name w:val="List Number 3"/>
    <w:basedOn w:val="ListNumber2"/>
    <w:rsid w:val="008929C5"/>
    <w:pPr>
      <w:numPr>
        <w:ilvl w:val="2"/>
      </w:numPr>
    </w:pPr>
  </w:style>
  <w:style w:type="paragraph" w:customStyle="1" w:styleId="Note">
    <w:name w:val="Note"/>
    <w:basedOn w:val="BodyText"/>
    <w:next w:val="BodyText"/>
    <w:link w:val="NoteChar"/>
    <w:rsid w:val="008929C5"/>
    <w:pPr>
      <w:keepLines/>
      <w:spacing w:before="80" w:line="220" w:lineRule="exact"/>
    </w:pPr>
    <w:rPr>
      <w:rFonts w:ascii="Arial" w:hAnsi="Arial"/>
      <w:sz w:val="18"/>
    </w:rPr>
  </w:style>
  <w:style w:type="character" w:customStyle="1" w:styleId="NoteLabel">
    <w:name w:val="Note Label"/>
    <w:basedOn w:val="DefaultParagraphFont"/>
    <w:rsid w:val="008929C5"/>
    <w:rPr>
      <w:rFonts w:ascii="Arial" w:hAnsi="Arial"/>
      <w:b/>
      <w:position w:val="6"/>
      <w:sz w:val="18"/>
    </w:rPr>
  </w:style>
  <w:style w:type="character" w:styleId="PageNumber">
    <w:name w:val="page number"/>
    <w:basedOn w:val="DefaultParagraphFont"/>
    <w:rsid w:val="008929C5"/>
    <w:rPr>
      <w:rFonts w:ascii="Arial" w:hAnsi="Arial"/>
      <w:b/>
      <w:sz w:val="16"/>
    </w:rPr>
  </w:style>
  <w:style w:type="paragraph" w:customStyle="1" w:styleId="PartDivider">
    <w:name w:val="Part Divider"/>
    <w:basedOn w:val="BodyText"/>
    <w:next w:val="BodyText"/>
    <w:semiHidden/>
    <w:rsid w:val="008929C5"/>
    <w:pPr>
      <w:spacing w:before="0" w:line="40" w:lineRule="exact"/>
      <w:jc w:val="right"/>
    </w:pPr>
    <w:rPr>
      <w:smallCaps/>
      <w:sz w:val="16"/>
    </w:rPr>
  </w:style>
  <w:style w:type="paragraph" w:customStyle="1" w:styleId="PartNumber">
    <w:name w:val="Part Number"/>
    <w:basedOn w:val="BodyText"/>
    <w:next w:val="BodyText"/>
    <w:semiHidden/>
    <w:rsid w:val="008929C5"/>
    <w:pPr>
      <w:spacing w:before="4000" w:line="320" w:lineRule="exact"/>
      <w:ind w:left="6634"/>
      <w:jc w:val="right"/>
    </w:pPr>
    <w:rPr>
      <w:smallCaps/>
      <w:spacing w:val="60"/>
      <w:sz w:val="32"/>
    </w:rPr>
  </w:style>
  <w:style w:type="paragraph" w:customStyle="1" w:styleId="PartTitle">
    <w:name w:val="Part Title"/>
    <w:basedOn w:val="BodyText"/>
    <w:semiHidden/>
    <w:rsid w:val="008929C5"/>
    <w:pPr>
      <w:spacing w:before="160" w:after="1360" w:line="520" w:lineRule="exact"/>
      <w:ind w:right="2381"/>
      <w:jc w:val="right"/>
    </w:pPr>
    <w:rPr>
      <w:smallCaps/>
      <w:sz w:val="52"/>
    </w:rPr>
  </w:style>
  <w:style w:type="paragraph" w:styleId="Quote">
    <w:name w:val="Quote"/>
    <w:basedOn w:val="BodyText"/>
    <w:next w:val="BodyText"/>
    <w:qFormat/>
    <w:rsid w:val="008929C5"/>
    <w:pPr>
      <w:spacing w:before="120" w:line="280" w:lineRule="exact"/>
      <w:ind w:left="340"/>
    </w:pPr>
    <w:rPr>
      <w:sz w:val="22"/>
    </w:rPr>
  </w:style>
  <w:style w:type="paragraph" w:customStyle="1" w:styleId="Rec">
    <w:name w:val="Rec"/>
    <w:basedOn w:val="BodyText"/>
    <w:qFormat/>
    <w:rsid w:val="008929C5"/>
    <w:pPr>
      <w:keepLines/>
      <w:spacing w:before="120" w:line="280" w:lineRule="atLeast"/>
    </w:pPr>
    <w:rPr>
      <w:rFonts w:ascii="Arial" w:hAnsi="Arial"/>
      <w:sz w:val="22"/>
    </w:rPr>
  </w:style>
  <w:style w:type="paragraph" w:customStyle="1" w:styleId="RecBullet">
    <w:name w:val="Rec Bullet"/>
    <w:basedOn w:val="Rec"/>
    <w:rsid w:val="008929C5"/>
    <w:pPr>
      <w:numPr>
        <w:numId w:val="8"/>
      </w:numPr>
      <w:spacing w:before="80"/>
    </w:pPr>
  </w:style>
  <w:style w:type="paragraph" w:customStyle="1" w:styleId="RecTitle">
    <w:name w:val="Rec Title"/>
    <w:basedOn w:val="BodyText"/>
    <w:next w:val="Rec"/>
    <w:qFormat/>
    <w:rsid w:val="008929C5"/>
    <w:pPr>
      <w:keepNext/>
      <w:keepLines/>
      <w:spacing w:line="280" w:lineRule="atLeast"/>
    </w:pPr>
    <w:rPr>
      <w:rFonts w:ascii="Arial" w:hAnsi="Arial"/>
      <w:caps/>
      <w:sz w:val="18"/>
    </w:rPr>
  </w:style>
  <w:style w:type="paragraph" w:customStyle="1" w:styleId="RecB">
    <w:name w:val="RecB"/>
    <w:basedOn w:val="Normal"/>
    <w:rsid w:val="008929C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929C5"/>
    <w:pPr>
      <w:numPr>
        <w:numId w:val="9"/>
      </w:numPr>
      <w:spacing w:before="80"/>
    </w:pPr>
  </w:style>
  <w:style w:type="paragraph" w:customStyle="1" w:styleId="RecBNoTitle">
    <w:name w:val="RecB NoTitle"/>
    <w:basedOn w:val="RecB"/>
    <w:rsid w:val="008929C5"/>
    <w:pPr>
      <w:spacing w:before="240"/>
    </w:pPr>
  </w:style>
  <w:style w:type="paragraph" w:customStyle="1" w:styleId="Reference">
    <w:name w:val="Reference"/>
    <w:basedOn w:val="BodyText"/>
    <w:link w:val="ReferenceChar"/>
    <w:rsid w:val="008929C5"/>
    <w:pPr>
      <w:spacing w:before="120"/>
      <w:ind w:left="340" w:hanging="340"/>
    </w:pPr>
  </w:style>
  <w:style w:type="paragraph" w:customStyle="1" w:styleId="SideNote">
    <w:name w:val="Side Note"/>
    <w:basedOn w:val="BodyText"/>
    <w:next w:val="BodyText"/>
    <w:semiHidden/>
    <w:rsid w:val="008929C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929C5"/>
    <w:pPr>
      <w:framePr w:wrap="around"/>
      <w:numPr>
        <w:numId w:val="4"/>
      </w:numPr>
      <w:tabs>
        <w:tab w:val="left" w:pos="227"/>
      </w:tabs>
    </w:pPr>
  </w:style>
  <w:style w:type="paragraph" w:customStyle="1" w:styleId="SideNoteGraphic">
    <w:name w:val="Side Note Graphic"/>
    <w:basedOn w:val="SideNote"/>
    <w:next w:val="BodyText"/>
    <w:semiHidden/>
    <w:rsid w:val="008929C5"/>
    <w:pPr>
      <w:framePr w:wrap="around"/>
    </w:pPr>
  </w:style>
  <w:style w:type="paragraph" w:customStyle="1" w:styleId="Source">
    <w:name w:val="Source"/>
    <w:basedOn w:val="Normal"/>
    <w:next w:val="BodyText"/>
    <w:link w:val="SourceChar"/>
    <w:rsid w:val="008929C5"/>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8929C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929C5"/>
    <w:pPr>
      <w:numPr>
        <w:numId w:val="10"/>
      </w:numPr>
      <w:jc w:val="left"/>
    </w:pPr>
  </w:style>
  <w:style w:type="paragraph" w:customStyle="1" w:styleId="TableColumnHeading">
    <w:name w:val="Table Column Heading"/>
    <w:basedOn w:val="TableBodyText"/>
    <w:rsid w:val="008929C5"/>
    <w:pPr>
      <w:spacing w:before="80" w:after="80"/>
    </w:pPr>
    <w:rPr>
      <w:i/>
    </w:rPr>
  </w:style>
  <w:style w:type="paragraph" w:styleId="TableofFigures">
    <w:name w:val="table of figures"/>
    <w:basedOn w:val="TOC3"/>
    <w:next w:val="BodyText"/>
    <w:semiHidden/>
    <w:rsid w:val="008929C5"/>
    <w:pPr>
      <w:ind w:left="737" w:hanging="737"/>
    </w:pPr>
  </w:style>
  <w:style w:type="paragraph" w:styleId="TOC3">
    <w:name w:val="toc 3"/>
    <w:basedOn w:val="TOC2"/>
    <w:rsid w:val="008929C5"/>
    <w:pPr>
      <w:spacing w:before="60"/>
      <w:ind w:left="1190" w:hanging="680"/>
    </w:pPr>
  </w:style>
  <w:style w:type="paragraph" w:customStyle="1" w:styleId="TableTitle">
    <w:name w:val="Table Title"/>
    <w:basedOn w:val="Caption"/>
    <w:next w:val="Subtitle"/>
    <w:qFormat/>
    <w:rsid w:val="008929C5"/>
    <w:pPr>
      <w:spacing w:before="120"/>
    </w:pPr>
  </w:style>
  <w:style w:type="paragraph" w:customStyle="1" w:styleId="TableUnitsRow">
    <w:name w:val="Table Units Row"/>
    <w:basedOn w:val="TableBodyText"/>
    <w:rsid w:val="008929C5"/>
    <w:pPr>
      <w:spacing w:before="40"/>
    </w:pPr>
  </w:style>
  <w:style w:type="paragraph" w:styleId="TOC1">
    <w:name w:val="toc 1"/>
    <w:basedOn w:val="Normal"/>
    <w:next w:val="TOC2"/>
    <w:link w:val="TOC1Char"/>
    <w:rsid w:val="008929C5"/>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8929C5"/>
    <w:pPr>
      <w:ind w:left="1134" w:hanging="624"/>
    </w:pPr>
    <w:rPr>
      <w:b w:val="0"/>
    </w:rPr>
  </w:style>
  <w:style w:type="paragraph" w:styleId="TOC4">
    <w:name w:val="toc 4"/>
    <w:basedOn w:val="TOC3"/>
    <w:semiHidden/>
    <w:rsid w:val="008929C5"/>
    <w:pPr>
      <w:ind w:left="1191" w:firstLine="0"/>
    </w:pPr>
  </w:style>
  <w:style w:type="paragraph" w:customStyle="1" w:styleId="Jurisdictioncommentsbodytext">
    <w:name w:val="Jurisdiction comments body text"/>
    <w:rsid w:val="008929C5"/>
    <w:pPr>
      <w:spacing w:after="140"/>
      <w:jc w:val="both"/>
    </w:pPr>
    <w:rPr>
      <w:rFonts w:ascii="Arial" w:hAnsi="Arial"/>
      <w:sz w:val="24"/>
      <w:lang w:eastAsia="en-US"/>
    </w:rPr>
  </w:style>
  <w:style w:type="paragraph" w:customStyle="1" w:styleId="Continued">
    <w:name w:val="Continued"/>
    <w:basedOn w:val="BoxContinued"/>
    <w:next w:val="BodyText"/>
    <w:link w:val="ContinuedChar"/>
    <w:rsid w:val="008929C5"/>
  </w:style>
  <w:style w:type="paragraph" w:customStyle="1" w:styleId="BoxHeading1">
    <w:name w:val="Box Heading 1"/>
    <w:basedOn w:val="BodyText"/>
    <w:next w:val="Box"/>
    <w:rsid w:val="008929C5"/>
    <w:pPr>
      <w:keepNext/>
      <w:spacing w:before="200" w:line="280" w:lineRule="atLeast"/>
    </w:pPr>
    <w:rPr>
      <w:rFonts w:ascii="Arial" w:hAnsi="Arial"/>
      <w:b/>
      <w:sz w:val="22"/>
    </w:rPr>
  </w:style>
  <w:style w:type="paragraph" w:customStyle="1" w:styleId="BoxHeading2">
    <w:name w:val="Box Heading 2"/>
    <w:basedOn w:val="BoxHeading1"/>
    <w:next w:val="Normal"/>
    <w:rsid w:val="008929C5"/>
    <w:rPr>
      <w:b w:val="0"/>
      <w:i/>
    </w:rPr>
  </w:style>
  <w:style w:type="character" w:customStyle="1" w:styleId="ContinuedChar">
    <w:name w:val="Continued Char"/>
    <w:link w:val="Continued"/>
    <w:rsid w:val="009D236F"/>
    <w:rPr>
      <w:rFonts w:ascii="Arial" w:hAnsi="Arial"/>
      <w:sz w:val="18"/>
    </w:rPr>
  </w:style>
  <w:style w:type="table" w:styleId="TableGrid">
    <w:name w:val="Table Grid"/>
    <w:basedOn w:val="TableNormal"/>
    <w:rsid w:val="008929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urisdictioncommentsheading">
    <w:name w:val="Jurisdiction comments heading"/>
    <w:rsid w:val="008929C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929C5"/>
    <w:pPr>
      <w:numPr>
        <w:numId w:val="12"/>
      </w:numPr>
      <w:spacing w:after="140"/>
      <w:jc w:val="both"/>
    </w:pPr>
    <w:rPr>
      <w:rFonts w:ascii="Arial" w:hAnsi="Arial"/>
      <w:sz w:val="24"/>
      <w:lang w:eastAsia="en-US"/>
    </w:rPr>
  </w:style>
  <w:style w:type="paragraph" w:customStyle="1" w:styleId="SOC">
    <w:name w:val="SOC"/>
    <w:basedOn w:val="BodyText"/>
    <w:rsid w:val="0066785F"/>
    <w:pPr>
      <w:spacing w:before="0" w:after="140" w:line="240" w:lineRule="auto"/>
    </w:pPr>
    <w:rPr>
      <w:rFonts w:ascii="Arial" w:hAnsi="Arial"/>
    </w:rPr>
  </w:style>
  <w:style w:type="paragraph" w:styleId="BalloonText">
    <w:name w:val="Balloon Text"/>
    <w:basedOn w:val="Normal"/>
    <w:link w:val="BalloonTextChar"/>
    <w:rsid w:val="008929C5"/>
    <w:rPr>
      <w:rFonts w:ascii="Tahoma" w:hAnsi="Tahoma" w:cs="Tahoma"/>
      <w:sz w:val="16"/>
      <w:szCs w:val="16"/>
    </w:rPr>
  </w:style>
  <w:style w:type="paragraph" w:styleId="CommentSubject">
    <w:name w:val="annotation subject"/>
    <w:basedOn w:val="CommentText"/>
    <w:next w:val="CommentText"/>
    <w:semiHidden/>
    <w:rsid w:val="004E3A2B"/>
    <w:pPr>
      <w:spacing w:before="0" w:line="240" w:lineRule="auto"/>
      <w:ind w:left="0" w:firstLine="0"/>
    </w:pPr>
    <w:rPr>
      <w:b/>
      <w:bCs/>
    </w:rPr>
  </w:style>
  <w:style w:type="character" w:customStyle="1" w:styleId="NoteChar">
    <w:name w:val="Note Char"/>
    <w:link w:val="Note"/>
    <w:rsid w:val="00663B9A"/>
    <w:rPr>
      <w:rFonts w:ascii="Arial" w:hAnsi="Arial"/>
      <w:sz w:val="18"/>
    </w:rPr>
  </w:style>
  <w:style w:type="character" w:customStyle="1" w:styleId="SourceChar">
    <w:name w:val="Source Char"/>
    <w:basedOn w:val="NoteChar"/>
    <w:link w:val="Source"/>
    <w:rsid w:val="00663B9A"/>
    <w:rPr>
      <w:rFonts w:ascii="Arial" w:hAnsi="Arial"/>
      <w:sz w:val="18"/>
    </w:rPr>
  </w:style>
  <w:style w:type="character" w:customStyle="1" w:styleId="FigureTitleChar">
    <w:name w:val="Figure Title Char"/>
    <w:link w:val="FigureTitle"/>
    <w:rsid w:val="00663B9A"/>
    <w:rPr>
      <w:rFonts w:ascii="Arial" w:hAnsi="Arial"/>
      <w:b/>
      <w:sz w:val="24"/>
      <w:szCs w:val="24"/>
    </w:rPr>
  </w:style>
  <w:style w:type="character" w:customStyle="1" w:styleId="BoxChar">
    <w:name w:val="Box Char"/>
    <w:link w:val="Box"/>
    <w:rsid w:val="003B68FC"/>
    <w:rPr>
      <w:rFonts w:ascii="Arial" w:hAnsi="Arial"/>
    </w:rPr>
  </w:style>
  <w:style w:type="character" w:styleId="Hyperlink">
    <w:name w:val="Hyperlink"/>
    <w:uiPriority w:val="99"/>
    <w:rsid w:val="00066632"/>
    <w:rPr>
      <w:color w:val="0000FF"/>
      <w:u w:val="single"/>
    </w:rPr>
  </w:style>
  <w:style w:type="character" w:customStyle="1" w:styleId="Heading4Char">
    <w:name w:val="Heading 4 Char"/>
    <w:link w:val="Heading4"/>
    <w:rsid w:val="00601BD5"/>
    <w:rPr>
      <w:rFonts w:ascii="Arial" w:hAnsi="Arial"/>
      <w:sz w:val="24"/>
    </w:rPr>
  </w:style>
  <w:style w:type="paragraph" w:customStyle="1" w:styleId="DocInfo">
    <w:name w:val="Doc Info"/>
    <w:basedOn w:val="Normal"/>
    <w:next w:val="Normal"/>
    <w:rsid w:val="0066785F"/>
    <w:pPr>
      <w:jc w:val="center"/>
    </w:pPr>
    <w:rPr>
      <w:rFonts w:ascii="Arial" w:hAnsi="Arial"/>
      <w:sz w:val="14"/>
    </w:rPr>
  </w:style>
  <w:style w:type="character" w:customStyle="1" w:styleId="ReferenceChar">
    <w:name w:val="Reference Char"/>
    <w:link w:val="Reference"/>
    <w:rsid w:val="001014BF"/>
    <w:rPr>
      <w:sz w:val="24"/>
    </w:rPr>
  </w:style>
  <w:style w:type="character" w:styleId="FollowedHyperlink">
    <w:name w:val="FollowedHyperlink"/>
    <w:rsid w:val="000F6D72"/>
    <w:rPr>
      <w:color w:val="800080"/>
      <w:u w:val="single"/>
    </w:rPr>
  </w:style>
  <w:style w:type="paragraph" w:styleId="DocumentMap">
    <w:name w:val="Document Map"/>
    <w:basedOn w:val="Normal"/>
    <w:semiHidden/>
    <w:rsid w:val="00F7006B"/>
    <w:pPr>
      <w:shd w:val="clear" w:color="auto" w:fill="000080"/>
    </w:pPr>
    <w:rPr>
      <w:rFonts w:ascii="Tahoma" w:hAnsi="Tahoma" w:cs="Tahoma"/>
      <w:sz w:val="20"/>
      <w:szCs w:val="20"/>
    </w:rPr>
  </w:style>
  <w:style w:type="paragraph" w:styleId="NormalWeb">
    <w:name w:val="Normal (Web)"/>
    <w:basedOn w:val="Normal"/>
    <w:rsid w:val="00F42E9B"/>
  </w:style>
  <w:style w:type="paragraph" w:customStyle="1" w:styleId="RecBBullet2">
    <w:name w:val="RecB Bullet 2"/>
    <w:basedOn w:val="ListBullet2"/>
    <w:semiHidden/>
    <w:rsid w:val="008929C5"/>
    <w:pPr>
      <w:pBdr>
        <w:left w:val="single" w:sz="24" w:space="29" w:color="C0C0C0"/>
      </w:pBdr>
    </w:pPr>
    <w:rPr>
      <w:b/>
      <w:i/>
    </w:rPr>
  </w:style>
  <w:style w:type="character" w:customStyle="1" w:styleId="BalloonTextChar">
    <w:name w:val="Balloon Text Char"/>
    <w:basedOn w:val="DefaultParagraphFont"/>
    <w:link w:val="BalloonText"/>
    <w:rsid w:val="008929C5"/>
    <w:rPr>
      <w:rFonts w:ascii="Tahoma" w:hAnsi="Tahoma" w:cs="Tahoma"/>
      <w:sz w:val="16"/>
      <w:szCs w:val="16"/>
    </w:rPr>
  </w:style>
  <w:style w:type="character" w:customStyle="1" w:styleId="SubtitleChar">
    <w:name w:val="Subtitle Char"/>
    <w:basedOn w:val="DefaultParagraphFont"/>
    <w:link w:val="Subtitle"/>
    <w:rsid w:val="008929C5"/>
    <w:rPr>
      <w:rFonts w:ascii="Arial" w:hAnsi="Arial"/>
      <w:szCs w:val="24"/>
    </w:rPr>
  </w:style>
  <w:style w:type="paragraph" w:customStyle="1" w:styleId="BoxListBullet3">
    <w:name w:val="Box List Bullet 3"/>
    <w:basedOn w:val="ListBullet3"/>
    <w:rsid w:val="008929C5"/>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929C5"/>
    <w:rPr>
      <w:i/>
      <w:iCs/>
    </w:rPr>
  </w:style>
  <w:style w:type="paragraph" w:customStyle="1" w:styleId="BoxQuoteBullet">
    <w:name w:val="Box Quote Bullet"/>
    <w:basedOn w:val="BoxQuote"/>
    <w:next w:val="Box"/>
    <w:rsid w:val="008929C5"/>
    <w:pPr>
      <w:numPr>
        <w:numId w:val="15"/>
      </w:numPr>
      <w:ind w:left="568" w:hanging="284"/>
    </w:pPr>
  </w:style>
  <w:style w:type="paragraph" w:customStyle="1" w:styleId="InformationRequestBullet">
    <w:name w:val="Information Request Bullet"/>
    <w:basedOn w:val="ListBullet"/>
    <w:next w:val="BodyText"/>
    <w:rsid w:val="008929C5"/>
    <w:pPr>
      <w:numPr>
        <w:numId w:val="16"/>
      </w:numPr>
      <w:spacing w:before="80" w:line="280" w:lineRule="atLeast"/>
      <w:ind w:left="357" w:hanging="357"/>
    </w:pPr>
    <w:rPr>
      <w:rFonts w:ascii="Arial" w:hAnsi="Arial"/>
      <w:i/>
      <w:sz w:val="22"/>
    </w:rPr>
  </w:style>
  <w:style w:type="character" w:customStyle="1" w:styleId="CommentTextChar">
    <w:name w:val="Comment Text Char"/>
    <w:basedOn w:val="DefaultParagraphFont"/>
    <w:link w:val="CommentText"/>
    <w:semiHidden/>
    <w:rsid w:val="005C54DA"/>
    <w:rPr>
      <w:szCs w:val="24"/>
    </w:rPr>
  </w:style>
  <w:style w:type="paragraph" w:styleId="Revision">
    <w:name w:val="Revision"/>
    <w:hidden/>
    <w:uiPriority w:val="99"/>
    <w:semiHidden/>
    <w:rsid w:val="00422E2C"/>
    <w:rPr>
      <w:sz w:val="26"/>
      <w:szCs w:val="24"/>
    </w:rPr>
  </w:style>
  <w:style w:type="paragraph" w:customStyle="1" w:styleId="BoxSpaceAbove">
    <w:name w:val="Box Space Above"/>
    <w:basedOn w:val="BodyText"/>
    <w:rsid w:val="008929C5"/>
    <w:pPr>
      <w:keepNext/>
      <w:spacing w:before="360" w:line="80" w:lineRule="exact"/>
      <w:jc w:val="left"/>
    </w:pPr>
  </w:style>
  <w:style w:type="paragraph" w:customStyle="1" w:styleId="BoxSpaceBelow">
    <w:name w:val="Box Space Below"/>
    <w:basedOn w:val="Box"/>
    <w:rsid w:val="008929C5"/>
    <w:pPr>
      <w:keepNext w:val="0"/>
      <w:spacing w:before="60" w:after="60" w:line="80" w:lineRule="exact"/>
    </w:pPr>
    <w:rPr>
      <w:sz w:val="14"/>
    </w:rPr>
  </w:style>
  <w:style w:type="paragraph" w:customStyle="1" w:styleId="Default">
    <w:name w:val="Default"/>
    <w:rsid w:val="00751EA8"/>
    <w:pPr>
      <w:autoSpaceDE w:val="0"/>
      <w:autoSpaceDN w:val="0"/>
      <w:adjustRightInd w:val="0"/>
    </w:pPr>
    <w:rPr>
      <w:rFonts w:ascii="Frutiger LT Std 45 Light" w:hAnsi="Frutiger LT Std 45 Light" w:cs="Frutiger LT Std 45 Light"/>
      <w:color w:val="000000"/>
      <w:sz w:val="24"/>
      <w:szCs w:val="24"/>
    </w:rPr>
  </w:style>
  <w:style w:type="character" w:customStyle="1" w:styleId="Heading3Char">
    <w:name w:val="Heading 3 Char"/>
    <w:basedOn w:val="DefaultParagraphFont"/>
    <w:link w:val="Heading3"/>
    <w:rsid w:val="00112967"/>
    <w:rPr>
      <w:rFonts w:ascii="Arial" w:hAnsi="Arial"/>
      <w:b/>
      <w:sz w:val="26"/>
    </w:rPr>
  </w:style>
  <w:style w:type="character" w:customStyle="1" w:styleId="BodyTextChar">
    <w:name w:val="Body Text Char"/>
    <w:basedOn w:val="DefaultParagraphFont"/>
    <w:link w:val="BodyText"/>
    <w:rsid w:val="008929C5"/>
    <w:rPr>
      <w:sz w:val="24"/>
    </w:rPr>
  </w:style>
  <w:style w:type="character" w:customStyle="1" w:styleId="BoxListBullet2Char">
    <w:name w:val="Box List Bullet 2 Char"/>
    <w:basedOn w:val="BoxChar"/>
    <w:link w:val="BoxListBullet2"/>
    <w:rsid w:val="00394397"/>
    <w:rPr>
      <w:rFonts w:ascii="Arial" w:hAnsi="Arial"/>
    </w:rPr>
  </w:style>
  <w:style w:type="character" w:customStyle="1" w:styleId="BoxListBulletChar">
    <w:name w:val="Box List Bullet Char"/>
    <w:basedOn w:val="BoxChar"/>
    <w:link w:val="BoxListBullet"/>
    <w:rsid w:val="007324F6"/>
    <w:rPr>
      <w:rFonts w:ascii="Arial" w:hAnsi="Arial"/>
    </w:rPr>
  </w:style>
  <w:style w:type="paragraph" w:customStyle="1" w:styleId="KeyPointsListBullet">
    <w:name w:val="Key Points List Bullet"/>
    <w:basedOn w:val="Normal"/>
    <w:qFormat/>
    <w:rsid w:val="008929C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929C5"/>
    <w:pPr>
      <w:numPr>
        <w:numId w:val="19"/>
      </w:numPr>
      <w:ind w:left="568" w:hanging="284"/>
    </w:pPr>
  </w:style>
  <w:style w:type="paragraph" w:customStyle="1" w:styleId="InformationRequestTitle">
    <w:name w:val="Information Request Title"/>
    <w:basedOn w:val="FindingTitle"/>
    <w:next w:val="InformationRequest"/>
    <w:rsid w:val="008929C5"/>
    <w:rPr>
      <w:i/>
    </w:rPr>
  </w:style>
  <w:style w:type="paragraph" w:customStyle="1" w:styleId="Space">
    <w:name w:val="Space"/>
    <w:basedOn w:val="Normal"/>
    <w:rsid w:val="008929C5"/>
    <w:pPr>
      <w:keepNext/>
      <w:spacing w:line="120" w:lineRule="exact"/>
      <w:jc w:val="both"/>
    </w:pPr>
    <w:rPr>
      <w:rFonts w:ascii="Arial" w:hAnsi="Arial"/>
      <w:sz w:val="20"/>
      <w:szCs w:val="20"/>
    </w:rPr>
  </w:style>
  <w:style w:type="paragraph" w:customStyle="1" w:styleId="Heading1nochapterno">
    <w:name w:val="Heading 1 (no chapter no.)"/>
    <w:basedOn w:val="Heading1"/>
    <w:rsid w:val="008929C5"/>
    <w:pPr>
      <w:spacing w:before="0"/>
      <w:ind w:left="0" w:firstLine="0"/>
    </w:pPr>
  </w:style>
  <w:style w:type="paragraph" w:customStyle="1" w:styleId="Heading2nosectionno">
    <w:name w:val="Heading 2 (no section no.)"/>
    <w:basedOn w:val="Heading2"/>
    <w:rsid w:val="008929C5"/>
    <w:pPr>
      <w:ind w:left="0" w:firstLine="0"/>
    </w:pPr>
  </w:style>
  <w:style w:type="character" w:customStyle="1" w:styleId="Heading5Char">
    <w:name w:val="Heading 5 Char"/>
    <w:basedOn w:val="DefaultParagraphFont"/>
    <w:link w:val="Heading5"/>
    <w:rsid w:val="008929C5"/>
    <w:rPr>
      <w:rFonts w:ascii="Arial" w:hAnsi="Arial"/>
      <w:i/>
      <w:sz w:val="22"/>
    </w:rPr>
  </w:style>
  <w:style w:type="paragraph" w:customStyle="1" w:styleId="Figurespace">
    <w:name w:val="Figure space"/>
    <w:basedOn w:val="Box"/>
    <w:rsid w:val="008929C5"/>
    <w:pPr>
      <w:spacing w:before="0" w:line="120" w:lineRule="exact"/>
    </w:pPr>
  </w:style>
  <w:style w:type="paragraph" w:customStyle="1" w:styleId="FooterDraftReport">
    <w:name w:val="FooterDraftReport"/>
    <w:basedOn w:val="Footer"/>
    <w:link w:val="FooterDraftReportChar"/>
    <w:rsid w:val="008929C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8929C5"/>
    <w:rPr>
      <w:rFonts w:ascii="Arial" w:hAnsi="Arial"/>
      <w:caps/>
      <w:spacing w:val="-4"/>
      <w:sz w:val="16"/>
    </w:rPr>
  </w:style>
  <w:style w:type="character" w:customStyle="1" w:styleId="FooterDraftReportChar">
    <w:name w:val="FooterDraftReport Char"/>
    <w:basedOn w:val="FooterChar"/>
    <w:link w:val="FooterDraftReport"/>
    <w:rsid w:val="008929C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8929C5"/>
    <w:rPr>
      <w:rFonts w:ascii="Arial" w:hAnsi="Arial"/>
      <w:b/>
      <w:sz w:val="26"/>
      <w:szCs w:val="26"/>
      <w:lang w:eastAsia="en-US"/>
    </w:rPr>
  </w:style>
  <w:style w:type="paragraph" w:customStyle="1" w:styleId="Heading1NotTOC">
    <w:name w:val="Heading 1 Not TOC"/>
    <w:basedOn w:val="Heading1"/>
    <w:next w:val="BodyText"/>
    <w:rsid w:val="00BC49F4"/>
    <w:rPr>
      <w:kern w:val="28"/>
      <w:szCs w:val="26"/>
      <w:lang w:eastAsia="en-US"/>
    </w:rPr>
  </w:style>
  <w:style w:type="character" w:customStyle="1" w:styleId="TableBodyTextChar">
    <w:name w:val="Table Body Text Char"/>
    <w:link w:val="TableBodyText"/>
    <w:rsid w:val="0000489F"/>
    <w:rPr>
      <w:rFonts w:ascii="Arial" w:hAnsi="Arial"/>
      <w:sz w:val="18"/>
    </w:rPr>
  </w:style>
  <w:style w:type="character" w:customStyle="1" w:styleId="BoxTitleChar">
    <w:name w:val="Box Title Char"/>
    <w:link w:val="BoxTitle"/>
    <w:rsid w:val="00952247"/>
    <w:rPr>
      <w:rFonts w:ascii="Arial" w:hAnsi="Arial"/>
      <w:b/>
      <w:sz w:val="24"/>
      <w:szCs w:val="24"/>
    </w:rPr>
  </w:style>
  <w:style w:type="character" w:customStyle="1" w:styleId="ListBulletChar">
    <w:name w:val="List Bullet Char"/>
    <w:link w:val="ListBullet"/>
    <w:rsid w:val="00DF6A1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5505">
      <w:bodyDiv w:val="1"/>
      <w:marLeft w:val="0"/>
      <w:marRight w:val="0"/>
      <w:marTop w:val="0"/>
      <w:marBottom w:val="0"/>
      <w:divBdr>
        <w:top w:val="none" w:sz="0" w:space="0" w:color="auto"/>
        <w:left w:val="none" w:sz="0" w:space="0" w:color="auto"/>
        <w:bottom w:val="none" w:sz="0" w:space="0" w:color="auto"/>
        <w:right w:val="none" w:sz="0" w:space="0" w:color="auto"/>
      </w:divBdr>
    </w:div>
    <w:div w:id="80757552">
      <w:bodyDiv w:val="1"/>
      <w:marLeft w:val="0"/>
      <w:marRight w:val="0"/>
      <w:marTop w:val="0"/>
      <w:marBottom w:val="0"/>
      <w:divBdr>
        <w:top w:val="none" w:sz="0" w:space="0" w:color="auto"/>
        <w:left w:val="none" w:sz="0" w:space="0" w:color="auto"/>
        <w:bottom w:val="none" w:sz="0" w:space="0" w:color="auto"/>
        <w:right w:val="none" w:sz="0" w:space="0" w:color="auto"/>
      </w:divBdr>
    </w:div>
    <w:div w:id="244729008">
      <w:bodyDiv w:val="1"/>
      <w:marLeft w:val="0"/>
      <w:marRight w:val="0"/>
      <w:marTop w:val="0"/>
      <w:marBottom w:val="0"/>
      <w:divBdr>
        <w:top w:val="none" w:sz="0" w:space="0" w:color="auto"/>
        <w:left w:val="none" w:sz="0" w:space="0" w:color="auto"/>
        <w:bottom w:val="none" w:sz="0" w:space="0" w:color="auto"/>
        <w:right w:val="none" w:sz="0" w:space="0" w:color="auto"/>
      </w:divBdr>
    </w:div>
    <w:div w:id="455804617">
      <w:bodyDiv w:val="1"/>
      <w:marLeft w:val="0"/>
      <w:marRight w:val="0"/>
      <w:marTop w:val="0"/>
      <w:marBottom w:val="0"/>
      <w:divBdr>
        <w:top w:val="none" w:sz="0" w:space="0" w:color="auto"/>
        <w:left w:val="none" w:sz="0" w:space="0" w:color="auto"/>
        <w:bottom w:val="none" w:sz="0" w:space="0" w:color="auto"/>
        <w:right w:val="none" w:sz="0" w:space="0" w:color="auto"/>
      </w:divBdr>
    </w:div>
    <w:div w:id="574631650">
      <w:bodyDiv w:val="1"/>
      <w:marLeft w:val="0"/>
      <w:marRight w:val="0"/>
      <w:marTop w:val="0"/>
      <w:marBottom w:val="0"/>
      <w:divBdr>
        <w:top w:val="none" w:sz="0" w:space="0" w:color="auto"/>
        <w:left w:val="none" w:sz="0" w:space="0" w:color="auto"/>
        <w:bottom w:val="none" w:sz="0" w:space="0" w:color="auto"/>
        <w:right w:val="none" w:sz="0" w:space="0" w:color="auto"/>
      </w:divBdr>
      <w:divsChild>
        <w:div w:id="1609240678">
          <w:marLeft w:val="0"/>
          <w:marRight w:val="0"/>
          <w:marTop w:val="0"/>
          <w:marBottom w:val="0"/>
          <w:divBdr>
            <w:top w:val="none" w:sz="0" w:space="0" w:color="auto"/>
            <w:left w:val="none" w:sz="0" w:space="0" w:color="auto"/>
            <w:bottom w:val="none" w:sz="0" w:space="0" w:color="auto"/>
            <w:right w:val="none" w:sz="0" w:space="0" w:color="auto"/>
          </w:divBdr>
          <w:divsChild>
            <w:div w:id="17051333">
              <w:marLeft w:val="0"/>
              <w:marRight w:val="0"/>
              <w:marTop w:val="0"/>
              <w:marBottom w:val="0"/>
              <w:divBdr>
                <w:top w:val="none" w:sz="0" w:space="0" w:color="auto"/>
                <w:left w:val="none" w:sz="0" w:space="0" w:color="auto"/>
                <w:bottom w:val="none" w:sz="0" w:space="0" w:color="auto"/>
                <w:right w:val="none" w:sz="0" w:space="0" w:color="auto"/>
              </w:divBdr>
              <w:divsChild>
                <w:div w:id="325783957">
                  <w:marLeft w:val="0"/>
                  <w:marRight w:val="0"/>
                  <w:marTop w:val="0"/>
                  <w:marBottom w:val="0"/>
                  <w:divBdr>
                    <w:top w:val="none" w:sz="0" w:space="0" w:color="auto"/>
                    <w:left w:val="none" w:sz="0" w:space="0" w:color="auto"/>
                    <w:bottom w:val="none" w:sz="0" w:space="0" w:color="auto"/>
                    <w:right w:val="none" w:sz="0" w:space="0" w:color="auto"/>
                  </w:divBdr>
                  <w:divsChild>
                    <w:div w:id="1567374014">
                      <w:marLeft w:val="0"/>
                      <w:marRight w:val="0"/>
                      <w:marTop w:val="0"/>
                      <w:marBottom w:val="0"/>
                      <w:divBdr>
                        <w:top w:val="none" w:sz="0" w:space="0" w:color="auto"/>
                        <w:left w:val="none" w:sz="0" w:space="0" w:color="auto"/>
                        <w:bottom w:val="none" w:sz="0" w:space="0" w:color="auto"/>
                        <w:right w:val="none" w:sz="0" w:space="0" w:color="auto"/>
                      </w:divBdr>
                      <w:divsChild>
                        <w:div w:id="694618689">
                          <w:marLeft w:val="0"/>
                          <w:marRight w:val="0"/>
                          <w:marTop w:val="0"/>
                          <w:marBottom w:val="0"/>
                          <w:divBdr>
                            <w:top w:val="none" w:sz="0" w:space="0" w:color="auto"/>
                            <w:left w:val="none" w:sz="0" w:space="0" w:color="auto"/>
                            <w:bottom w:val="none" w:sz="0" w:space="0" w:color="auto"/>
                            <w:right w:val="none" w:sz="0" w:space="0" w:color="auto"/>
                          </w:divBdr>
                          <w:divsChild>
                            <w:div w:id="1652900182">
                              <w:marLeft w:val="0"/>
                              <w:marRight w:val="0"/>
                              <w:marTop w:val="0"/>
                              <w:marBottom w:val="0"/>
                              <w:divBdr>
                                <w:top w:val="none" w:sz="0" w:space="0" w:color="auto"/>
                                <w:left w:val="none" w:sz="0" w:space="0" w:color="auto"/>
                                <w:bottom w:val="none" w:sz="0" w:space="0" w:color="auto"/>
                                <w:right w:val="none" w:sz="0" w:space="0" w:color="auto"/>
                              </w:divBdr>
                              <w:divsChild>
                                <w:div w:id="783351870">
                                  <w:marLeft w:val="0"/>
                                  <w:marRight w:val="0"/>
                                  <w:marTop w:val="0"/>
                                  <w:marBottom w:val="0"/>
                                  <w:divBdr>
                                    <w:top w:val="none" w:sz="0" w:space="0" w:color="auto"/>
                                    <w:left w:val="none" w:sz="0" w:space="0" w:color="auto"/>
                                    <w:bottom w:val="none" w:sz="0" w:space="0" w:color="auto"/>
                                    <w:right w:val="none" w:sz="0" w:space="0" w:color="auto"/>
                                  </w:divBdr>
                                  <w:divsChild>
                                    <w:div w:id="900485223">
                                      <w:marLeft w:val="0"/>
                                      <w:marRight w:val="0"/>
                                      <w:marTop w:val="0"/>
                                      <w:marBottom w:val="0"/>
                                      <w:divBdr>
                                        <w:top w:val="none" w:sz="0" w:space="0" w:color="auto"/>
                                        <w:left w:val="none" w:sz="0" w:space="0" w:color="auto"/>
                                        <w:bottom w:val="none" w:sz="0" w:space="0" w:color="auto"/>
                                        <w:right w:val="none" w:sz="0" w:space="0" w:color="auto"/>
                                      </w:divBdr>
                                      <w:divsChild>
                                        <w:div w:id="69916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3384676">
      <w:bodyDiv w:val="1"/>
      <w:marLeft w:val="0"/>
      <w:marRight w:val="0"/>
      <w:marTop w:val="0"/>
      <w:marBottom w:val="0"/>
      <w:divBdr>
        <w:top w:val="none" w:sz="0" w:space="0" w:color="auto"/>
        <w:left w:val="none" w:sz="0" w:space="0" w:color="auto"/>
        <w:bottom w:val="none" w:sz="0" w:space="0" w:color="auto"/>
        <w:right w:val="none" w:sz="0" w:space="0" w:color="auto"/>
      </w:divBdr>
    </w:div>
    <w:div w:id="852498075">
      <w:bodyDiv w:val="1"/>
      <w:marLeft w:val="0"/>
      <w:marRight w:val="0"/>
      <w:marTop w:val="0"/>
      <w:marBottom w:val="0"/>
      <w:divBdr>
        <w:top w:val="none" w:sz="0" w:space="0" w:color="auto"/>
        <w:left w:val="none" w:sz="0" w:space="0" w:color="auto"/>
        <w:bottom w:val="none" w:sz="0" w:space="0" w:color="auto"/>
        <w:right w:val="none" w:sz="0" w:space="0" w:color="auto"/>
      </w:divBdr>
    </w:div>
    <w:div w:id="925528944">
      <w:bodyDiv w:val="1"/>
      <w:marLeft w:val="0"/>
      <w:marRight w:val="0"/>
      <w:marTop w:val="0"/>
      <w:marBottom w:val="0"/>
      <w:divBdr>
        <w:top w:val="none" w:sz="0" w:space="0" w:color="auto"/>
        <w:left w:val="none" w:sz="0" w:space="0" w:color="auto"/>
        <w:bottom w:val="none" w:sz="0" w:space="0" w:color="auto"/>
        <w:right w:val="none" w:sz="0" w:space="0" w:color="auto"/>
      </w:divBdr>
    </w:div>
    <w:div w:id="944387783">
      <w:bodyDiv w:val="1"/>
      <w:marLeft w:val="0"/>
      <w:marRight w:val="0"/>
      <w:marTop w:val="0"/>
      <w:marBottom w:val="0"/>
      <w:divBdr>
        <w:top w:val="none" w:sz="0" w:space="0" w:color="auto"/>
        <w:left w:val="none" w:sz="0" w:space="0" w:color="auto"/>
        <w:bottom w:val="none" w:sz="0" w:space="0" w:color="auto"/>
        <w:right w:val="none" w:sz="0" w:space="0" w:color="auto"/>
      </w:divBdr>
      <w:divsChild>
        <w:div w:id="499472498">
          <w:marLeft w:val="0"/>
          <w:marRight w:val="0"/>
          <w:marTop w:val="0"/>
          <w:marBottom w:val="0"/>
          <w:divBdr>
            <w:top w:val="none" w:sz="0" w:space="0" w:color="auto"/>
            <w:left w:val="none" w:sz="0" w:space="0" w:color="auto"/>
            <w:bottom w:val="none" w:sz="0" w:space="0" w:color="auto"/>
            <w:right w:val="none" w:sz="0" w:space="0" w:color="auto"/>
          </w:divBdr>
          <w:divsChild>
            <w:div w:id="774906069">
              <w:marLeft w:val="0"/>
              <w:marRight w:val="0"/>
              <w:marTop w:val="0"/>
              <w:marBottom w:val="0"/>
              <w:divBdr>
                <w:top w:val="none" w:sz="0" w:space="0" w:color="auto"/>
                <w:left w:val="none" w:sz="0" w:space="0" w:color="auto"/>
                <w:bottom w:val="none" w:sz="0" w:space="0" w:color="auto"/>
                <w:right w:val="none" w:sz="0" w:space="0" w:color="auto"/>
              </w:divBdr>
              <w:divsChild>
                <w:div w:id="256528321">
                  <w:marLeft w:val="0"/>
                  <w:marRight w:val="0"/>
                  <w:marTop w:val="0"/>
                  <w:marBottom w:val="0"/>
                  <w:divBdr>
                    <w:top w:val="none" w:sz="0" w:space="0" w:color="auto"/>
                    <w:left w:val="none" w:sz="0" w:space="0" w:color="auto"/>
                    <w:bottom w:val="none" w:sz="0" w:space="0" w:color="auto"/>
                    <w:right w:val="none" w:sz="0" w:space="0" w:color="auto"/>
                  </w:divBdr>
                  <w:divsChild>
                    <w:div w:id="1615746154">
                      <w:marLeft w:val="0"/>
                      <w:marRight w:val="0"/>
                      <w:marTop w:val="0"/>
                      <w:marBottom w:val="0"/>
                      <w:divBdr>
                        <w:top w:val="none" w:sz="0" w:space="0" w:color="auto"/>
                        <w:left w:val="none" w:sz="0" w:space="0" w:color="auto"/>
                        <w:bottom w:val="none" w:sz="0" w:space="0" w:color="auto"/>
                        <w:right w:val="none" w:sz="0" w:space="0" w:color="auto"/>
                      </w:divBdr>
                      <w:divsChild>
                        <w:div w:id="815148251">
                          <w:marLeft w:val="0"/>
                          <w:marRight w:val="0"/>
                          <w:marTop w:val="0"/>
                          <w:marBottom w:val="0"/>
                          <w:divBdr>
                            <w:top w:val="none" w:sz="0" w:space="0" w:color="auto"/>
                            <w:left w:val="none" w:sz="0" w:space="0" w:color="auto"/>
                            <w:bottom w:val="none" w:sz="0" w:space="0" w:color="auto"/>
                            <w:right w:val="none" w:sz="0" w:space="0" w:color="auto"/>
                          </w:divBdr>
                          <w:divsChild>
                            <w:div w:id="793016259">
                              <w:marLeft w:val="0"/>
                              <w:marRight w:val="0"/>
                              <w:marTop w:val="0"/>
                              <w:marBottom w:val="0"/>
                              <w:divBdr>
                                <w:top w:val="none" w:sz="0" w:space="0" w:color="auto"/>
                                <w:left w:val="none" w:sz="0" w:space="0" w:color="auto"/>
                                <w:bottom w:val="none" w:sz="0" w:space="0" w:color="auto"/>
                                <w:right w:val="none" w:sz="0" w:space="0" w:color="auto"/>
                              </w:divBdr>
                              <w:divsChild>
                                <w:div w:id="1549369214">
                                  <w:marLeft w:val="0"/>
                                  <w:marRight w:val="0"/>
                                  <w:marTop w:val="0"/>
                                  <w:marBottom w:val="0"/>
                                  <w:divBdr>
                                    <w:top w:val="none" w:sz="0" w:space="0" w:color="auto"/>
                                    <w:left w:val="none" w:sz="0" w:space="0" w:color="auto"/>
                                    <w:bottom w:val="none" w:sz="0" w:space="0" w:color="auto"/>
                                    <w:right w:val="none" w:sz="0" w:space="0" w:color="auto"/>
                                  </w:divBdr>
                                  <w:divsChild>
                                    <w:div w:id="244924449">
                                      <w:marLeft w:val="0"/>
                                      <w:marRight w:val="0"/>
                                      <w:marTop w:val="0"/>
                                      <w:marBottom w:val="0"/>
                                      <w:divBdr>
                                        <w:top w:val="none" w:sz="0" w:space="0" w:color="auto"/>
                                        <w:left w:val="none" w:sz="0" w:space="0" w:color="auto"/>
                                        <w:bottom w:val="none" w:sz="0" w:space="0" w:color="auto"/>
                                        <w:right w:val="none" w:sz="0" w:space="0" w:color="auto"/>
                                      </w:divBdr>
                                      <w:divsChild>
                                        <w:div w:id="1175611039">
                                          <w:marLeft w:val="0"/>
                                          <w:marRight w:val="0"/>
                                          <w:marTop w:val="0"/>
                                          <w:marBottom w:val="0"/>
                                          <w:divBdr>
                                            <w:top w:val="none" w:sz="0" w:space="0" w:color="auto"/>
                                            <w:left w:val="none" w:sz="0" w:space="0" w:color="auto"/>
                                            <w:bottom w:val="none" w:sz="0" w:space="0" w:color="auto"/>
                                            <w:right w:val="none" w:sz="0" w:space="0" w:color="auto"/>
                                          </w:divBdr>
                                          <w:divsChild>
                                            <w:div w:id="198057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1741487">
      <w:bodyDiv w:val="1"/>
      <w:marLeft w:val="0"/>
      <w:marRight w:val="0"/>
      <w:marTop w:val="0"/>
      <w:marBottom w:val="0"/>
      <w:divBdr>
        <w:top w:val="none" w:sz="0" w:space="0" w:color="auto"/>
        <w:left w:val="none" w:sz="0" w:space="0" w:color="auto"/>
        <w:bottom w:val="none" w:sz="0" w:space="0" w:color="auto"/>
        <w:right w:val="none" w:sz="0" w:space="0" w:color="auto"/>
      </w:divBdr>
    </w:div>
    <w:div w:id="1052390673">
      <w:bodyDiv w:val="1"/>
      <w:marLeft w:val="0"/>
      <w:marRight w:val="0"/>
      <w:marTop w:val="0"/>
      <w:marBottom w:val="0"/>
      <w:divBdr>
        <w:top w:val="none" w:sz="0" w:space="0" w:color="auto"/>
        <w:left w:val="none" w:sz="0" w:space="0" w:color="auto"/>
        <w:bottom w:val="none" w:sz="0" w:space="0" w:color="auto"/>
        <w:right w:val="none" w:sz="0" w:space="0" w:color="auto"/>
      </w:divBdr>
    </w:div>
    <w:div w:id="1194924144">
      <w:bodyDiv w:val="1"/>
      <w:marLeft w:val="0"/>
      <w:marRight w:val="0"/>
      <w:marTop w:val="0"/>
      <w:marBottom w:val="0"/>
      <w:divBdr>
        <w:top w:val="none" w:sz="0" w:space="0" w:color="auto"/>
        <w:left w:val="none" w:sz="0" w:space="0" w:color="auto"/>
        <w:bottom w:val="none" w:sz="0" w:space="0" w:color="auto"/>
        <w:right w:val="none" w:sz="0" w:space="0" w:color="auto"/>
      </w:divBdr>
    </w:div>
    <w:div w:id="1237937250">
      <w:bodyDiv w:val="1"/>
      <w:marLeft w:val="0"/>
      <w:marRight w:val="0"/>
      <w:marTop w:val="0"/>
      <w:marBottom w:val="0"/>
      <w:divBdr>
        <w:top w:val="none" w:sz="0" w:space="0" w:color="auto"/>
        <w:left w:val="none" w:sz="0" w:space="0" w:color="auto"/>
        <w:bottom w:val="none" w:sz="0" w:space="0" w:color="auto"/>
        <w:right w:val="none" w:sz="0" w:space="0" w:color="auto"/>
      </w:divBdr>
      <w:divsChild>
        <w:div w:id="449278933">
          <w:marLeft w:val="0"/>
          <w:marRight w:val="0"/>
          <w:marTop w:val="0"/>
          <w:marBottom w:val="0"/>
          <w:divBdr>
            <w:top w:val="none" w:sz="0" w:space="0" w:color="auto"/>
            <w:left w:val="none" w:sz="0" w:space="0" w:color="auto"/>
            <w:bottom w:val="none" w:sz="0" w:space="0" w:color="auto"/>
            <w:right w:val="none" w:sz="0" w:space="0" w:color="auto"/>
          </w:divBdr>
          <w:divsChild>
            <w:div w:id="167864795">
              <w:marLeft w:val="0"/>
              <w:marRight w:val="0"/>
              <w:marTop w:val="0"/>
              <w:marBottom w:val="0"/>
              <w:divBdr>
                <w:top w:val="none" w:sz="0" w:space="0" w:color="auto"/>
                <w:left w:val="none" w:sz="0" w:space="0" w:color="auto"/>
                <w:bottom w:val="none" w:sz="0" w:space="0" w:color="auto"/>
                <w:right w:val="none" w:sz="0" w:space="0" w:color="auto"/>
              </w:divBdr>
              <w:divsChild>
                <w:div w:id="685136989">
                  <w:marLeft w:val="0"/>
                  <w:marRight w:val="0"/>
                  <w:marTop w:val="300"/>
                  <w:marBottom w:val="0"/>
                  <w:divBdr>
                    <w:top w:val="none" w:sz="0" w:space="0" w:color="auto"/>
                    <w:left w:val="none" w:sz="0" w:space="0" w:color="auto"/>
                    <w:bottom w:val="none" w:sz="0" w:space="0" w:color="auto"/>
                    <w:right w:val="none" w:sz="0" w:space="0" w:color="auto"/>
                  </w:divBdr>
                  <w:divsChild>
                    <w:div w:id="1459298137">
                      <w:marLeft w:val="150"/>
                      <w:marRight w:val="150"/>
                      <w:marTop w:val="0"/>
                      <w:marBottom w:val="0"/>
                      <w:divBdr>
                        <w:top w:val="none" w:sz="0" w:space="0" w:color="auto"/>
                        <w:left w:val="none" w:sz="0" w:space="0" w:color="auto"/>
                        <w:bottom w:val="none" w:sz="0" w:space="0" w:color="auto"/>
                        <w:right w:val="none" w:sz="0" w:space="0" w:color="auto"/>
                      </w:divBdr>
                      <w:divsChild>
                        <w:div w:id="921991452">
                          <w:marLeft w:val="0"/>
                          <w:marRight w:val="0"/>
                          <w:marTop w:val="0"/>
                          <w:marBottom w:val="0"/>
                          <w:divBdr>
                            <w:top w:val="none" w:sz="0" w:space="0" w:color="auto"/>
                            <w:left w:val="none" w:sz="0" w:space="0" w:color="auto"/>
                            <w:bottom w:val="none" w:sz="0" w:space="0" w:color="auto"/>
                            <w:right w:val="none" w:sz="0" w:space="0" w:color="auto"/>
                          </w:divBdr>
                          <w:divsChild>
                            <w:div w:id="883060255">
                              <w:marLeft w:val="0"/>
                              <w:marRight w:val="0"/>
                              <w:marTop w:val="0"/>
                              <w:marBottom w:val="0"/>
                              <w:divBdr>
                                <w:top w:val="none" w:sz="0" w:space="0" w:color="auto"/>
                                <w:left w:val="none" w:sz="0" w:space="0" w:color="auto"/>
                                <w:bottom w:val="none" w:sz="0" w:space="0" w:color="auto"/>
                                <w:right w:val="none" w:sz="0" w:space="0" w:color="auto"/>
                              </w:divBdr>
                              <w:divsChild>
                                <w:div w:id="853029863">
                                  <w:marLeft w:val="0"/>
                                  <w:marRight w:val="0"/>
                                  <w:marTop w:val="0"/>
                                  <w:marBottom w:val="0"/>
                                  <w:divBdr>
                                    <w:top w:val="none" w:sz="0" w:space="0" w:color="auto"/>
                                    <w:left w:val="none" w:sz="0" w:space="0" w:color="auto"/>
                                    <w:bottom w:val="none" w:sz="0" w:space="0" w:color="auto"/>
                                    <w:right w:val="none" w:sz="0" w:space="0" w:color="auto"/>
                                  </w:divBdr>
                                  <w:divsChild>
                                    <w:div w:id="1020354838">
                                      <w:marLeft w:val="0"/>
                                      <w:marRight w:val="0"/>
                                      <w:marTop w:val="0"/>
                                      <w:marBottom w:val="0"/>
                                      <w:divBdr>
                                        <w:top w:val="none" w:sz="0" w:space="0" w:color="auto"/>
                                        <w:left w:val="none" w:sz="0" w:space="0" w:color="auto"/>
                                        <w:bottom w:val="none" w:sz="0" w:space="0" w:color="auto"/>
                                        <w:right w:val="none" w:sz="0" w:space="0" w:color="auto"/>
                                      </w:divBdr>
                                      <w:divsChild>
                                        <w:div w:id="494691693">
                                          <w:marLeft w:val="0"/>
                                          <w:marRight w:val="0"/>
                                          <w:marTop w:val="0"/>
                                          <w:marBottom w:val="0"/>
                                          <w:divBdr>
                                            <w:top w:val="none" w:sz="0" w:space="0" w:color="auto"/>
                                            <w:left w:val="none" w:sz="0" w:space="0" w:color="auto"/>
                                            <w:bottom w:val="none" w:sz="0" w:space="0" w:color="auto"/>
                                            <w:right w:val="none" w:sz="0" w:space="0" w:color="auto"/>
                                          </w:divBdr>
                                          <w:divsChild>
                                            <w:div w:id="1611280675">
                                              <w:marLeft w:val="0"/>
                                              <w:marRight w:val="0"/>
                                              <w:marTop w:val="0"/>
                                              <w:marBottom w:val="0"/>
                                              <w:divBdr>
                                                <w:top w:val="none" w:sz="0" w:space="0" w:color="auto"/>
                                                <w:left w:val="none" w:sz="0" w:space="0" w:color="auto"/>
                                                <w:bottom w:val="none" w:sz="0" w:space="0" w:color="auto"/>
                                                <w:right w:val="none" w:sz="0" w:space="0" w:color="auto"/>
                                              </w:divBdr>
                                              <w:divsChild>
                                                <w:div w:id="1429885079">
                                                  <w:marLeft w:val="0"/>
                                                  <w:marRight w:val="0"/>
                                                  <w:marTop w:val="0"/>
                                                  <w:marBottom w:val="0"/>
                                                  <w:divBdr>
                                                    <w:top w:val="none" w:sz="0" w:space="0" w:color="auto"/>
                                                    <w:left w:val="none" w:sz="0" w:space="0" w:color="auto"/>
                                                    <w:bottom w:val="none" w:sz="0" w:space="0" w:color="auto"/>
                                                    <w:right w:val="none" w:sz="0" w:space="0" w:color="auto"/>
                                                  </w:divBdr>
                                                  <w:divsChild>
                                                    <w:div w:id="631599908">
                                                      <w:marLeft w:val="0"/>
                                                      <w:marRight w:val="0"/>
                                                      <w:marTop w:val="0"/>
                                                      <w:marBottom w:val="0"/>
                                                      <w:divBdr>
                                                        <w:top w:val="none" w:sz="0" w:space="0" w:color="auto"/>
                                                        <w:left w:val="none" w:sz="0" w:space="0" w:color="auto"/>
                                                        <w:bottom w:val="none" w:sz="0" w:space="0" w:color="auto"/>
                                                        <w:right w:val="none" w:sz="0" w:space="0" w:color="auto"/>
                                                      </w:divBdr>
                                                      <w:divsChild>
                                                        <w:div w:id="1489401925">
                                                          <w:marLeft w:val="0"/>
                                                          <w:marRight w:val="0"/>
                                                          <w:marTop w:val="0"/>
                                                          <w:marBottom w:val="0"/>
                                                          <w:divBdr>
                                                            <w:top w:val="none" w:sz="0" w:space="0" w:color="auto"/>
                                                            <w:left w:val="none" w:sz="0" w:space="0" w:color="auto"/>
                                                            <w:bottom w:val="none" w:sz="0" w:space="0" w:color="auto"/>
                                                            <w:right w:val="none" w:sz="0" w:space="0" w:color="auto"/>
                                                          </w:divBdr>
                                                          <w:divsChild>
                                                            <w:div w:id="1346708088">
                                                              <w:marLeft w:val="0"/>
                                                              <w:marRight w:val="0"/>
                                                              <w:marTop w:val="0"/>
                                                              <w:marBottom w:val="0"/>
                                                              <w:divBdr>
                                                                <w:top w:val="none" w:sz="0" w:space="0" w:color="auto"/>
                                                                <w:left w:val="none" w:sz="0" w:space="0" w:color="auto"/>
                                                                <w:bottom w:val="none" w:sz="0" w:space="0" w:color="auto"/>
                                                                <w:right w:val="none" w:sz="0" w:space="0" w:color="auto"/>
                                                              </w:divBdr>
                                                              <w:divsChild>
                                                                <w:div w:id="277225139">
                                                                  <w:marLeft w:val="0"/>
                                                                  <w:marRight w:val="0"/>
                                                                  <w:marTop w:val="0"/>
                                                                  <w:marBottom w:val="0"/>
                                                                  <w:divBdr>
                                                                    <w:top w:val="none" w:sz="0" w:space="0" w:color="auto"/>
                                                                    <w:left w:val="none" w:sz="0" w:space="0" w:color="auto"/>
                                                                    <w:bottom w:val="none" w:sz="0" w:space="0" w:color="auto"/>
                                                                    <w:right w:val="none" w:sz="0" w:space="0" w:color="auto"/>
                                                                  </w:divBdr>
                                                                  <w:divsChild>
                                                                    <w:div w:id="161123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56523297">
      <w:bodyDiv w:val="1"/>
      <w:marLeft w:val="0"/>
      <w:marRight w:val="0"/>
      <w:marTop w:val="0"/>
      <w:marBottom w:val="0"/>
      <w:divBdr>
        <w:top w:val="none" w:sz="0" w:space="0" w:color="auto"/>
        <w:left w:val="none" w:sz="0" w:space="0" w:color="auto"/>
        <w:bottom w:val="none" w:sz="0" w:space="0" w:color="auto"/>
        <w:right w:val="none" w:sz="0" w:space="0" w:color="auto"/>
      </w:divBdr>
    </w:div>
    <w:div w:id="1281179432">
      <w:bodyDiv w:val="1"/>
      <w:marLeft w:val="0"/>
      <w:marRight w:val="0"/>
      <w:marTop w:val="0"/>
      <w:marBottom w:val="0"/>
      <w:divBdr>
        <w:top w:val="none" w:sz="0" w:space="0" w:color="auto"/>
        <w:left w:val="none" w:sz="0" w:space="0" w:color="auto"/>
        <w:bottom w:val="none" w:sz="0" w:space="0" w:color="auto"/>
        <w:right w:val="none" w:sz="0" w:space="0" w:color="auto"/>
      </w:divBdr>
    </w:div>
    <w:div w:id="1302618207">
      <w:bodyDiv w:val="1"/>
      <w:marLeft w:val="0"/>
      <w:marRight w:val="0"/>
      <w:marTop w:val="0"/>
      <w:marBottom w:val="0"/>
      <w:divBdr>
        <w:top w:val="none" w:sz="0" w:space="0" w:color="auto"/>
        <w:left w:val="none" w:sz="0" w:space="0" w:color="auto"/>
        <w:bottom w:val="none" w:sz="0" w:space="0" w:color="auto"/>
        <w:right w:val="none" w:sz="0" w:space="0" w:color="auto"/>
      </w:divBdr>
    </w:div>
    <w:div w:id="1343389651">
      <w:bodyDiv w:val="1"/>
      <w:marLeft w:val="0"/>
      <w:marRight w:val="0"/>
      <w:marTop w:val="0"/>
      <w:marBottom w:val="0"/>
      <w:divBdr>
        <w:top w:val="none" w:sz="0" w:space="0" w:color="auto"/>
        <w:left w:val="none" w:sz="0" w:space="0" w:color="auto"/>
        <w:bottom w:val="none" w:sz="0" w:space="0" w:color="auto"/>
        <w:right w:val="none" w:sz="0" w:space="0" w:color="auto"/>
      </w:divBdr>
    </w:div>
    <w:div w:id="1586256013">
      <w:bodyDiv w:val="1"/>
      <w:marLeft w:val="0"/>
      <w:marRight w:val="0"/>
      <w:marTop w:val="0"/>
      <w:marBottom w:val="0"/>
      <w:divBdr>
        <w:top w:val="none" w:sz="0" w:space="0" w:color="auto"/>
        <w:left w:val="none" w:sz="0" w:space="0" w:color="auto"/>
        <w:bottom w:val="none" w:sz="0" w:space="0" w:color="auto"/>
        <w:right w:val="none" w:sz="0" w:space="0" w:color="auto"/>
      </w:divBdr>
    </w:div>
    <w:div w:id="1589541336">
      <w:bodyDiv w:val="1"/>
      <w:marLeft w:val="0"/>
      <w:marRight w:val="0"/>
      <w:marTop w:val="0"/>
      <w:marBottom w:val="0"/>
      <w:divBdr>
        <w:top w:val="none" w:sz="0" w:space="0" w:color="auto"/>
        <w:left w:val="none" w:sz="0" w:space="0" w:color="auto"/>
        <w:bottom w:val="none" w:sz="0" w:space="0" w:color="auto"/>
        <w:right w:val="none" w:sz="0" w:space="0" w:color="auto"/>
      </w:divBdr>
    </w:div>
    <w:div w:id="1742481140">
      <w:bodyDiv w:val="1"/>
      <w:marLeft w:val="0"/>
      <w:marRight w:val="0"/>
      <w:marTop w:val="0"/>
      <w:marBottom w:val="0"/>
      <w:divBdr>
        <w:top w:val="none" w:sz="0" w:space="0" w:color="auto"/>
        <w:left w:val="none" w:sz="0" w:space="0" w:color="auto"/>
        <w:bottom w:val="none" w:sz="0" w:space="0" w:color="auto"/>
        <w:right w:val="none" w:sz="0" w:space="0" w:color="auto"/>
      </w:divBdr>
    </w:div>
    <w:div w:id="1888294656">
      <w:bodyDiv w:val="1"/>
      <w:marLeft w:val="0"/>
      <w:marRight w:val="0"/>
      <w:marTop w:val="0"/>
      <w:marBottom w:val="0"/>
      <w:divBdr>
        <w:top w:val="none" w:sz="0" w:space="0" w:color="auto"/>
        <w:left w:val="none" w:sz="0" w:space="0" w:color="auto"/>
        <w:bottom w:val="none" w:sz="0" w:space="0" w:color="auto"/>
        <w:right w:val="none" w:sz="0" w:space="0" w:color="auto"/>
      </w:divBdr>
      <w:divsChild>
        <w:div w:id="1545022847">
          <w:marLeft w:val="0"/>
          <w:marRight w:val="0"/>
          <w:marTop w:val="0"/>
          <w:marBottom w:val="0"/>
          <w:divBdr>
            <w:top w:val="none" w:sz="0" w:space="0" w:color="auto"/>
            <w:left w:val="none" w:sz="0" w:space="0" w:color="auto"/>
            <w:bottom w:val="none" w:sz="0" w:space="0" w:color="auto"/>
            <w:right w:val="none" w:sz="0" w:space="0" w:color="auto"/>
          </w:divBdr>
          <w:divsChild>
            <w:div w:id="933365656">
              <w:marLeft w:val="0"/>
              <w:marRight w:val="0"/>
              <w:marTop w:val="0"/>
              <w:marBottom w:val="0"/>
              <w:divBdr>
                <w:top w:val="none" w:sz="0" w:space="0" w:color="auto"/>
                <w:left w:val="none" w:sz="0" w:space="0" w:color="auto"/>
                <w:bottom w:val="none" w:sz="0" w:space="0" w:color="auto"/>
                <w:right w:val="none" w:sz="0" w:space="0" w:color="auto"/>
              </w:divBdr>
              <w:divsChild>
                <w:div w:id="280454139">
                  <w:marLeft w:val="0"/>
                  <w:marRight w:val="0"/>
                  <w:marTop w:val="300"/>
                  <w:marBottom w:val="0"/>
                  <w:divBdr>
                    <w:top w:val="none" w:sz="0" w:space="0" w:color="auto"/>
                    <w:left w:val="none" w:sz="0" w:space="0" w:color="auto"/>
                    <w:bottom w:val="none" w:sz="0" w:space="0" w:color="auto"/>
                    <w:right w:val="none" w:sz="0" w:space="0" w:color="auto"/>
                  </w:divBdr>
                  <w:divsChild>
                    <w:div w:id="1609773226">
                      <w:marLeft w:val="150"/>
                      <w:marRight w:val="150"/>
                      <w:marTop w:val="0"/>
                      <w:marBottom w:val="0"/>
                      <w:divBdr>
                        <w:top w:val="none" w:sz="0" w:space="0" w:color="auto"/>
                        <w:left w:val="none" w:sz="0" w:space="0" w:color="auto"/>
                        <w:bottom w:val="none" w:sz="0" w:space="0" w:color="auto"/>
                        <w:right w:val="none" w:sz="0" w:space="0" w:color="auto"/>
                      </w:divBdr>
                      <w:divsChild>
                        <w:div w:id="1230002498">
                          <w:marLeft w:val="0"/>
                          <w:marRight w:val="0"/>
                          <w:marTop w:val="0"/>
                          <w:marBottom w:val="0"/>
                          <w:divBdr>
                            <w:top w:val="none" w:sz="0" w:space="0" w:color="auto"/>
                            <w:left w:val="none" w:sz="0" w:space="0" w:color="auto"/>
                            <w:bottom w:val="none" w:sz="0" w:space="0" w:color="auto"/>
                            <w:right w:val="none" w:sz="0" w:space="0" w:color="auto"/>
                          </w:divBdr>
                          <w:divsChild>
                            <w:div w:id="395788665">
                              <w:marLeft w:val="0"/>
                              <w:marRight w:val="0"/>
                              <w:marTop w:val="0"/>
                              <w:marBottom w:val="0"/>
                              <w:divBdr>
                                <w:top w:val="none" w:sz="0" w:space="0" w:color="auto"/>
                                <w:left w:val="none" w:sz="0" w:space="0" w:color="auto"/>
                                <w:bottom w:val="none" w:sz="0" w:space="0" w:color="auto"/>
                                <w:right w:val="none" w:sz="0" w:space="0" w:color="auto"/>
                              </w:divBdr>
                              <w:divsChild>
                                <w:div w:id="65343877">
                                  <w:marLeft w:val="0"/>
                                  <w:marRight w:val="0"/>
                                  <w:marTop w:val="0"/>
                                  <w:marBottom w:val="0"/>
                                  <w:divBdr>
                                    <w:top w:val="none" w:sz="0" w:space="0" w:color="auto"/>
                                    <w:left w:val="none" w:sz="0" w:space="0" w:color="auto"/>
                                    <w:bottom w:val="none" w:sz="0" w:space="0" w:color="auto"/>
                                    <w:right w:val="none" w:sz="0" w:space="0" w:color="auto"/>
                                  </w:divBdr>
                                  <w:divsChild>
                                    <w:div w:id="1937127765">
                                      <w:marLeft w:val="0"/>
                                      <w:marRight w:val="0"/>
                                      <w:marTop w:val="0"/>
                                      <w:marBottom w:val="0"/>
                                      <w:divBdr>
                                        <w:top w:val="none" w:sz="0" w:space="0" w:color="auto"/>
                                        <w:left w:val="none" w:sz="0" w:space="0" w:color="auto"/>
                                        <w:bottom w:val="none" w:sz="0" w:space="0" w:color="auto"/>
                                        <w:right w:val="none" w:sz="0" w:space="0" w:color="auto"/>
                                      </w:divBdr>
                                      <w:divsChild>
                                        <w:div w:id="96366359">
                                          <w:marLeft w:val="0"/>
                                          <w:marRight w:val="0"/>
                                          <w:marTop w:val="0"/>
                                          <w:marBottom w:val="0"/>
                                          <w:divBdr>
                                            <w:top w:val="none" w:sz="0" w:space="0" w:color="auto"/>
                                            <w:left w:val="none" w:sz="0" w:space="0" w:color="auto"/>
                                            <w:bottom w:val="none" w:sz="0" w:space="0" w:color="auto"/>
                                            <w:right w:val="none" w:sz="0" w:space="0" w:color="auto"/>
                                          </w:divBdr>
                                          <w:divsChild>
                                            <w:div w:id="1604994883">
                                              <w:marLeft w:val="0"/>
                                              <w:marRight w:val="0"/>
                                              <w:marTop w:val="0"/>
                                              <w:marBottom w:val="0"/>
                                              <w:divBdr>
                                                <w:top w:val="none" w:sz="0" w:space="0" w:color="auto"/>
                                                <w:left w:val="none" w:sz="0" w:space="0" w:color="auto"/>
                                                <w:bottom w:val="none" w:sz="0" w:space="0" w:color="auto"/>
                                                <w:right w:val="none" w:sz="0" w:space="0" w:color="auto"/>
                                              </w:divBdr>
                                              <w:divsChild>
                                                <w:div w:id="886795948">
                                                  <w:marLeft w:val="0"/>
                                                  <w:marRight w:val="0"/>
                                                  <w:marTop w:val="0"/>
                                                  <w:marBottom w:val="0"/>
                                                  <w:divBdr>
                                                    <w:top w:val="none" w:sz="0" w:space="0" w:color="auto"/>
                                                    <w:left w:val="none" w:sz="0" w:space="0" w:color="auto"/>
                                                    <w:bottom w:val="none" w:sz="0" w:space="0" w:color="auto"/>
                                                    <w:right w:val="none" w:sz="0" w:space="0" w:color="auto"/>
                                                  </w:divBdr>
                                                  <w:divsChild>
                                                    <w:div w:id="295574358">
                                                      <w:marLeft w:val="0"/>
                                                      <w:marRight w:val="0"/>
                                                      <w:marTop w:val="0"/>
                                                      <w:marBottom w:val="0"/>
                                                      <w:divBdr>
                                                        <w:top w:val="none" w:sz="0" w:space="0" w:color="auto"/>
                                                        <w:left w:val="none" w:sz="0" w:space="0" w:color="auto"/>
                                                        <w:bottom w:val="none" w:sz="0" w:space="0" w:color="auto"/>
                                                        <w:right w:val="none" w:sz="0" w:space="0" w:color="auto"/>
                                                      </w:divBdr>
                                                      <w:divsChild>
                                                        <w:div w:id="1682926610">
                                                          <w:marLeft w:val="0"/>
                                                          <w:marRight w:val="0"/>
                                                          <w:marTop w:val="0"/>
                                                          <w:marBottom w:val="0"/>
                                                          <w:divBdr>
                                                            <w:top w:val="none" w:sz="0" w:space="0" w:color="auto"/>
                                                            <w:left w:val="none" w:sz="0" w:space="0" w:color="auto"/>
                                                            <w:bottom w:val="none" w:sz="0" w:space="0" w:color="auto"/>
                                                            <w:right w:val="none" w:sz="0" w:space="0" w:color="auto"/>
                                                          </w:divBdr>
                                                          <w:divsChild>
                                                            <w:div w:id="825511033">
                                                              <w:marLeft w:val="0"/>
                                                              <w:marRight w:val="0"/>
                                                              <w:marTop w:val="0"/>
                                                              <w:marBottom w:val="0"/>
                                                              <w:divBdr>
                                                                <w:top w:val="none" w:sz="0" w:space="0" w:color="auto"/>
                                                                <w:left w:val="none" w:sz="0" w:space="0" w:color="auto"/>
                                                                <w:bottom w:val="none" w:sz="0" w:space="0" w:color="auto"/>
                                                                <w:right w:val="none" w:sz="0" w:space="0" w:color="auto"/>
                                                              </w:divBdr>
                                                              <w:divsChild>
                                                                <w:div w:id="488400681">
                                                                  <w:marLeft w:val="0"/>
                                                                  <w:marRight w:val="0"/>
                                                                  <w:marTop w:val="0"/>
                                                                  <w:marBottom w:val="0"/>
                                                                  <w:divBdr>
                                                                    <w:top w:val="none" w:sz="0" w:space="0" w:color="auto"/>
                                                                    <w:left w:val="none" w:sz="0" w:space="0" w:color="auto"/>
                                                                    <w:bottom w:val="none" w:sz="0" w:space="0" w:color="auto"/>
                                                                    <w:right w:val="none" w:sz="0" w:space="0" w:color="auto"/>
                                                                  </w:divBdr>
                                                                  <w:divsChild>
                                                                    <w:div w:id="124953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57445088">
      <w:bodyDiv w:val="1"/>
      <w:marLeft w:val="0"/>
      <w:marRight w:val="0"/>
      <w:marTop w:val="0"/>
      <w:marBottom w:val="0"/>
      <w:divBdr>
        <w:top w:val="none" w:sz="0" w:space="0" w:color="auto"/>
        <w:left w:val="none" w:sz="0" w:space="0" w:color="auto"/>
        <w:bottom w:val="none" w:sz="0" w:space="0" w:color="auto"/>
        <w:right w:val="none" w:sz="0" w:space="0" w:color="auto"/>
      </w:divBdr>
    </w:div>
    <w:div w:id="1959676030">
      <w:bodyDiv w:val="1"/>
      <w:marLeft w:val="0"/>
      <w:marRight w:val="0"/>
      <w:marTop w:val="0"/>
      <w:marBottom w:val="0"/>
      <w:divBdr>
        <w:top w:val="none" w:sz="0" w:space="0" w:color="auto"/>
        <w:left w:val="none" w:sz="0" w:space="0" w:color="auto"/>
        <w:bottom w:val="none" w:sz="0" w:space="0" w:color="auto"/>
        <w:right w:val="none" w:sz="0" w:space="0" w:color="auto"/>
      </w:divBdr>
      <w:divsChild>
        <w:div w:id="345332375">
          <w:marLeft w:val="0"/>
          <w:marRight w:val="0"/>
          <w:marTop w:val="0"/>
          <w:marBottom w:val="0"/>
          <w:divBdr>
            <w:top w:val="none" w:sz="0" w:space="0" w:color="auto"/>
            <w:left w:val="none" w:sz="0" w:space="0" w:color="auto"/>
            <w:bottom w:val="none" w:sz="0" w:space="0" w:color="auto"/>
            <w:right w:val="none" w:sz="0" w:space="0" w:color="auto"/>
          </w:divBdr>
          <w:divsChild>
            <w:div w:id="1833519206">
              <w:marLeft w:val="0"/>
              <w:marRight w:val="0"/>
              <w:marTop w:val="0"/>
              <w:marBottom w:val="0"/>
              <w:divBdr>
                <w:top w:val="none" w:sz="0" w:space="0" w:color="auto"/>
                <w:left w:val="none" w:sz="0" w:space="0" w:color="auto"/>
                <w:bottom w:val="none" w:sz="0" w:space="0" w:color="auto"/>
                <w:right w:val="none" w:sz="0" w:space="0" w:color="auto"/>
              </w:divBdr>
              <w:divsChild>
                <w:div w:id="1955358323">
                  <w:marLeft w:val="0"/>
                  <w:marRight w:val="0"/>
                  <w:marTop w:val="0"/>
                  <w:marBottom w:val="0"/>
                  <w:divBdr>
                    <w:top w:val="none" w:sz="0" w:space="0" w:color="auto"/>
                    <w:left w:val="none" w:sz="0" w:space="0" w:color="auto"/>
                    <w:bottom w:val="none" w:sz="0" w:space="0" w:color="auto"/>
                    <w:right w:val="none" w:sz="0" w:space="0" w:color="auto"/>
                  </w:divBdr>
                  <w:divsChild>
                    <w:div w:id="1359552247">
                      <w:marLeft w:val="0"/>
                      <w:marRight w:val="0"/>
                      <w:marTop w:val="0"/>
                      <w:marBottom w:val="0"/>
                      <w:divBdr>
                        <w:top w:val="none" w:sz="0" w:space="0" w:color="auto"/>
                        <w:left w:val="none" w:sz="0" w:space="0" w:color="auto"/>
                        <w:bottom w:val="none" w:sz="0" w:space="0" w:color="auto"/>
                        <w:right w:val="none" w:sz="0" w:space="0" w:color="auto"/>
                      </w:divBdr>
                      <w:divsChild>
                        <w:div w:id="1604218303">
                          <w:marLeft w:val="0"/>
                          <w:marRight w:val="0"/>
                          <w:marTop w:val="0"/>
                          <w:marBottom w:val="0"/>
                          <w:divBdr>
                            <w:top w:val="none" w:sz="0" w:space="0" w:color="auto"/>
                            <w:left w:val="none" w:sz="0" w:space="0" w:color="auto"/>
                            <w:bottom w:val="none" w:sz="0" w:space="0" w:color="auto"/>
                            <w:right w:val="none" w:sz="0" w:space="0" w:color="auto"/>
                          </w:divBdr>
                          <w:divsChild>
                            <w:div w:id="721295844">
                              <w:marLeft w:val="0"/>
                              <w:marRight w:val="0"/>
                              <w:marTop w:val="0"/>
                              <w:marBottom w:val="0"/>
                              <w:divBdr>
                                <w:top w:val="none" w:sz="0" w:space="0" w:color="auto"/>
                                <w:left w:val="none" w:sz="0" w:space="0" w:color="auto"/>
                                <w:bottom w:val="none" w:sz="0" w:space="0" w:color="auto"/>
                                <w:right w:val="none" w:sz="0" w:space="0" w:color="auto"/>
                              </w:divBdr>
                              <w:divsChild>
                                <w:div w:id="278413071">
                                  <w:marLeft w:val="0"/>
                                  <w:marRight w:val="0"/>
                                  <w:marTop w:val="0"/>
                                  <w:marBottom w:val="0"/>
                                  <w:divBdr>
                                    <w:top w:val="none" w:sz="0" w:space="0" w:color="auto"/>
                                    <w:left w:val="none" w:sz="0" w:space="0" w:color="auto"/>
                                    <w:bottom w:val="none" w:sz="0" w:space="0" w:color="auto"/>
                                    <w:right w:val="none" w:sz="0" w:space="0" w:color="auto"/>
                                  </w:divBdr>
                                  <w:divsChild>
                                    <w:div w:id="2110931382">
                                      <w:marLeft w:val="0"/>
                                      <w:marRight w:val="0"/>
                                      <w:marTop w:val="0"/>
                                      <w:marBottom w:val="0"/>
                                      <w:divBdr>
                                        <w:top w:val="none" w:sz="0" w:space="0" w:color="auto"/>
                                        <w:left w:val="none" w:sz="0" w:space="0" w:color="auto"/>
                                        <w:bottom w:val="none" w:sz="0" w:space="0" w:color="auto"/>
                                        <w:right w:val="none" w:sz="0" w:space="0" w:color="auto"/>
                                      </w:divBdr>
                                      <w:divsChild>
                                        <w:div w:id="499778687">
                                          <w:marLeft w:val="0"/>
                                          <w:marRight w:val="-14400"/>
                                          <w:marTop w:val="0"/>
                                          <w:marBottom w:val="0"/>
                                          <w:divBdr>
                                            <w:top w:val="none" w:sz="0" w:space="0" w:color="auto"/>
                                            <w:left w:val="none" w:sz="0" w:space="0" w:color="auto"/>
                                            <w:bottom w:val="none" w:sz="0" w:space="0" w:color="auto"/>
                                            <w:right w:val="none" w:sz="0" w:space="0" w:color="auto"/>
                                          </w:divBdr>
                                          <w:divsChild>
                                            <w:div w:id="744838644">
                                              <w:marLeft w:val="0"/>
                                              <w:marRight w:val="0"/>
                                              <w:marTop w:val="0"/>
                                              <w:marBottom w:val="0"/>
                                              <w:divBdr>
                                                <w:top w:val="none" w:sz="0" w:space="0" w:color="auto"/>
                                                <w:left w:val="none" w:sz="0" w:space="0" w:color="auto"/>
                                                <w:bottom w:val="none" w:sz="0" w:space="0" w:color="auto"/>
                                                <w:right w:val="none" w:sz="0" w:space="0" w:color="auto"/>
                                              </w:divBdr>
                                              <w:divsChild>
                                                <w:div w:id="567882620">
                                                  <w:marLeft w:val="0"/>
                                                  <w:marRight w:val="0"/>
                                                  <w:marTop w:val="0"/>
                                                  <w:marBottom w:val="0"/>
                                                  <w:divBdr>
                                                    <w:top w:val="none" w:sz="0" w:space="0" w:color="auto"/>
                                                    <w:left w:val="none" w:sz="0" w:space="0" w:color="auto"/>
                                                    <w:bottom w:val="none" w:sz="0" w:space="0" w:color="auto"/>
                                                    <w:right w:val="none" w:sz="0" w:space="0" w:color="auto"/>
                                                  </w:divBdr>
                                                  <w:divsChild>
                                                    <w:div w:id="1978101488">
                                                      <w:marLeft w:val="0"/>
                                                      <w:marRight w:val="0"/>
                                                      <w:marTop w:val="0"/>
                                                      <w:marBottom w:val="360"/>
                                                      <w:divBdr>
                                                        <w:top w:val="none" w:sz="0" w:space="0" w:color="auto"/>
                                                        <w:left w:val="none" w:sz="0" w:space="0" w:color="auto"/>
                                                        <w:bottom w:val="none" w:sz="0" w:space="0" w:color="auto"/>
                                                        <w:right w:val="none" w:sz="0" w:space="0" w:color="auto"/>
                                                      </w:divBdr>
                                                      <w:divsChild>
                                                        <w:div w:id="1416584945">
                                                          <w:marLeft w:val="0"/>
                                                          <w:marRight w:val="0"/>
                                                          <w:marTop w:val="0"/>
                                                          <w:marBottom w:val="0"/>
                                                          <w:divBdr>
                                                            <w:top w:val="none" w:sz="0" w:space="0" w:color="auto"/>
                                                            <w:left w:val="none" w:sz="0" w:space="0" w:color="auto"/>
                                                            <w:bottom w:val="none" w:sz="0" w:space="0" w:color="auto"/>
                                                            <w:right w:val="none" w:sz="0" w:space="0" w:color="auto"/>
                                                          </w:divBdr>
                                                          <w:divsChild>
                                                            <w:div w:id="586882569">
                                                              <w:marLeft w:val="0"/>
                                                              <w:marRight w:val="0"/>
                                                              <w:marTop w:val="0"/>
                                                              <w:marBottom w:val="0"/>
                                                              <w:divBdr>
                                                                <w:top w:val="none" w:sz="0" w:space="0" w:color="auto"/>
                                                                <w:left w:val="none" w:sz="0" w:space="0" w:color="auto"/>
                                                                <w:bottom w:val="none" w:sz="0" w:space="0" w:color="auto"/>
                                                                <w:right w:val="none" w:sz="0" w:space="0" w:color="auto"/>
                                                              </w:divBdr>
                                                              <w:divsChild>
                                                                <w:div w:id="425350324">
                                                                  <w:marLeft w:val="0"/>
                                                                  <w:marRight w:val="0"/>
                                                                  <w:marTop w:val="0"/>
                                                                  <w:marBottom w:val="0"/>
                                                                  <w:divBdr>
                                                                    <w:top w:val="none" w:sz="0" w:space="0" w:color="auto"/>
                                                                    <w:left w:val="none" w:sz="0" w:space="0" w:color="auto"/>
                                                                    <w:bottom w:val="none" w:sz="0" w:space="0" w:color="auto"/>
                                                                    <w:right w:val="none" w:sz="0" w:space="0" w:color="auto"/>
                                                                  </w:divBdr>
                                                                  <w:divsChild>
                                                                    <w:div w:id="565994517">
                                                                      <w:marLeft w:val="0"/>
                                                                      <w:marRight w:val="0"/>
                                                                      <w:marTop w:val="0"/>
                                                                      <w:marBottom w:val="180"/>
                                                                      <w:divBdr>
                                                                        <w:top w:val="none" w:sz="0" w:space="0" w:color="auto"/>
                                                                        <w:left w:val="none" w:sz="0" w:space="0" w:color="auto"/>
                                                                        <w:bottom w:val="none" w:sz="0" w:space="0" w:color="auto"/>
                                                                        <w:right w:val="none" w:sz="0" w:space="0" w:color="auto"/>
                                                                      </w:divBdr>
                                                                      <w:divsChild>
                                                                        <w:div w:id="90510705">
                                                                          <w:marLeft w:val="0"/>
                                                                          <w:marRight w:val="0"/>
                                                                          <w:marTop w:val="0"/>
                                                                          <w:marBottom w:val="0"/>
                                                                          <w:divBdr>
                                                                            <w:top w:val="none" w:sz="0" w:space="0" w:color="auto"/>
                                                                            <w:left w:val="none" w:sz="0" w:space="0" w:color="auto"/>
                                                                            <w:bottom w:val="none" w:sz="0" w:space="0" w:color="auto"/>
                                                                            <w:right w:val="none" w:sz="0" w:space="0" w:color="auto"/>
                                                                          </w:divBdr>
                                                                          <w:divsChild>
                                                                            <w:div w:id="72714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image" Target="media/image42.emf"/><Relationship Id="rId55" Type="http://schemas.openxmlformats.org/officeDocument/2006/relationships/image" Target="media/image47.emf"/><Relationship Id="rId63"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54" Type="http://schemas.openxmlformats.org/officeDocument/2006/relationships/image" Target="media/image46.emf"/><Relationship Id="rId62"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image" Target="media/image45.emf"/><Relationship Id="rId58" Type="http://schemas.openxmlformats.org/officeDocument/2006/relationships/image" Target="media/image50.emf"/><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image" Target="media/image41.emf"/><Relationship Id="rId57" Type="http://schemas.openxmlformats.org/officeDocument/2006/relationships/image" Target="media/image49.emf"/><Relationship Id="rId61"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image" Target="media/image44.emf"/><Relationship Id="rId60" Type="http://schemas.openxmlformats.org/officeDocument/2006/relationships/image" Target="media/image52.emf"/><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56" Type="http://schemas.openxmlformats.org/officeDocument/2006/relationships/image" Target="media/image48.emf"/><Relationship Id="rId64"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image" Target="media/image43.emf"/><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59" Type="http://schemas.openxmlformats.org/officeDocument/2006/relationships/image" Target="media/image51.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DB856-7527-431E-AE7C-97ABB3633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174</TotalTime>
  <Pages>69</Pages>
  <Words>18424</Words>
  <Characters>107022</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Chapter 5 Vocational education and training - Report on Government Services 2016</vt:lpstr>
    </vt:vector>
  </TitlesOfParts>
  <Company>Productivity Commission</Company>
  <LinksUpToDate>false</LinksUpToDate>
  <CharactersWithSpaces>125196</CharactersWithSpaces>
  <SharedDoc>false</SharedDoc>
  <HLinks>
    <vt:vector size="48" baseType="variant">
      <vt:variant>
        <vt:i4>1179707</vt:i4>
      </vt:variant>
      <vt:variant>
        <vt:i4>44</vt:i4>
      </vt:variant>
      <vt:variant>
        <vt:i4>0</vt:i4>
      </vt:variant>
      <vt:variant>
        <vt:i4>5</vt:i4>
      </vt:variant>
      <vt:variant>
        <vt:lpwstr/>
      </vt:variant>
      <vt:variant>
        <vt:lpwstr>_Toc274747920</vt:lpwstr>
      </vt:variant>
      <vt:variant>
        <vt:i4>1114171</vt:i4>
      </vt:variant>
      <vt:variant>
        <vt:i4>38</vt:i4>
      </vt:variant>
      <vt:variant>
        <vt:i4>0</vt:i4>
      </vt:variant>
      <vt:variant>
        <vt:i4>5</vt:i4>
      </vt:variant>
      <vt:variant>
        <vt:lpwstr/>
      </vt:variant>
      <vt:variant>
        <vt:lpwstr>_Toc274747919</vt:lpwstr>
      </vt:variant>
      <vt:variant>
        <vt:i4>1114171</vt:i4>
      </vt:variant>
      <vt:variant>
        <vt:i4>32</vt:i4>
      </vt:variant>
      <vt:variant>
        <vt:i4>0</vt:i4>
      </vt:variant>
      <vt:variant>
        <vt:i4>5</vt:i4>
      </vt:variant>
      <vt:variant>
        <vt:lpwstr/>
      </vt:variant>
      <vt:variant>
        <vt:lpwstr>_Toc274747918</vt:lpwstr>
      </vt:variant>
      <vt:variant>
        <vt:i4>1114171</vt:i4>
      </vt:variant>
      <vt:variant>
        <vt:i4>26</vt:i4>
      </vt:variant>
      <vt:variant>
        <vt:i4>0</vt:i4>
      </vt:variant>
      <vt:variant>
        <vt:i4>5</vt:i4>
      </vt:variant>
      <vt:variant>
        <vt:lpwstr/>
      </vt:variant>
      <vt:variant>
        <vt:lpwstr>_Toc274747917</vt:lpwstr>
      </vt:variant>
      <vt:variant>
        <vt:i4>1114171</vt:i4>
      </vt:variant>
      <vt:variant>
        <vt:i4>20</vt:i4>
      </vt:variant>
      <vt:variant>
        <vt:i4>0</vt:i4>
      </vt:variant>
      <vt:variant>
        <vt:i4>5</vt:i4>
      </vt:variant>
      <vt:variant>
        <vt:lpwstr/>
      </vt:variant>
      <vt:variant>
        <vt:lpwstr>_Toc274747916</vt:lpwstr>
      </vt:variant>
      <vt:variant>
        <vt:i4>1114171</vt:i4>
      </vt:variant>
      <vt:variant>
        <vt:i4>14</vt:i4>
      </vt:variant>
      <vt:variant>
        <vt:i4>0</vt:i4>
      </vt:variant>
      <vt:variant>
        <vt:i4>5</vt:i4>
      </vt:variant>
      <vt:variant>
        <vt:lpwstr/>
      </vt:variant>
      <vt:variant>
        <vt:lpwstr>_Toc274747915</vt:lpwstr>
      </vt:variant>
      <vt:variant>
        <vt:i4>1114171</vt:i4>
      </vt:variant>
      <vt:variant>
        <vt:i4>8</vt:i4>
      </vt:variant>
      <vt:variant>
        <vt:i4>0</vt:i4>
      </vt:variant>
      <vt:variant>
        <vt:i4>5</vt:i4>
      </vt:variant>
      <vt:variant>
        <vt:lpwstr/>
      </vt:variant>
      <vt:variant>
        <vt:lpwstr>_Toc274747914</vt:lpwstr>
      </vt:variant>
      <vt:variant>
        <vt:i4>1114171</vt:i4>
      </vt:variant>
      <vt:variant>
        <vt:i4>2</vt:i4>
      </vt:variant>
      <vt:variant>
        <vt:i4>0</vt:i4>
      </vt:variant>
      <vt:variant>
        <vt:i4>5</vt:i4>
      </vt:variant>
      <vt:variant>
        <vt:lpwstr/>
      </vt:variant>
      <vt:variant>
        <vt:lpwstr>_Toc274747913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Vocational education and training - Report on Government Services 2016</dc:title>
  <dc:creator>Steering Committee for the Review of Government Service Provision</dc:creator>
  <cp:lastModifiedBy>Frech, Tanya</cp:lastModifiedBy>
  <cp:revision>19</cp:revision>
  <cp:lastPrinted>2016-01-12T00:04:00Z</cp:lastPrinted>
  <dcterms:created xsi:type="dcterms:W3CDTF">2015-11-29T23:30:00Z</dcterms:created>
  <dcterms:modified xsi:type="dcterms:W3CDTF">2016-01-12T00:04:00Z</dcterms:modified>
</cp:coreProperties>
</file>