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984DC3" w:rsidRDefault="007B63F5" w:rsidP="002F70F5">
      <w:pPr>
        <w:pStyle w:val="Heading2"/>
      </w:pPr>
      <w:bookmarkStart w:id="0" w:name="_Toc282441422"/>
      <w:bookmarkStart w:id="1" w:name="_Toc282442143"/>
      <w:bookmarkStart w:id="2" w:name="_Toc282506048"/>
      <w:bookmarkStart w:id="3" w:name="_Toc338344187"/>
      <w:bookmarkStart w:id="4" w:name="_Toc278275793"/>
      <w:bookmarkStart w:id="5" w:name="_Toc278275740"/>
      <w:r>
        <w:t>Data q</w:t>
      </w:r>
      <w:r w:rsidR="005E066E" w:rsidRPr="00984DC3">
        <w:t xml:space="preserve">uality </w:t>
      </w:r>
      <w:r>
        <w:t>i</w:t>
      </w:r>
      <w:r w:rsidR="005E066E" w:rsidRPr="00984DC3">
        <w:t xml:space="preserve">nformation — </w:t>
      </w:r>
      <w:r w:rsidR="0071029E">
        <w:t>Courts</w:t>
      </w:r>
      <w:r w:rsidR="005E066E" w:rsidRPr="00984DC3">
        <w:t xml:space="preserve">, </w:t>
      </w:r>
      <w:r w:rsidR="00206133">
        <w:t>chapter</w:t>
      </w:r>
      <w:r w:rsidR="00C77D0D">
        <w:t> </w:t>
      </w:r>
      <w:r w:rsidR="00206133">
        <w:t>7</w:t>
      </w:r>
      <w:bookmarkEnd w:id="0"/>
      <w:bookmarkEnd w:id="1"/>
      <w:bookmarkEnd w:id="2"/>
      <w:bookmarkEnd w:id="3"/>
    </w:p>
    <w:p w:rsidR="00F417E4" w:rsidRDefault="00F417E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417E4" w:rsidTr="00553BB6">
        <w:tc>
          <w:tcPr>
            <w:tcW w:w="8771" w:type="dxa"/>
            <w:tcBorders>
              <w:top w:val="single" w:sz="6" w:space="0" w:color="78A22F"/>
              <w:left w:val="nil"/>
              <w:bottom w:val="nil"/>
              <w:right w:val="nil"/>
            </w:tcBorders>
            <w:shd w:val="clear" w:color="auto" w:fill="F2F2F2"/>
          </w:tcPr>
          <w:p w:rsidR="00F417E4" w:rsidRDefault="00F417E4">
            <w:pPr>
              <w:pStyle w:val="BoxTitle"/>
            </w:pPr>
            <w:r>
              <w:t>Data quality information</w:t>
            </w:r>
          </w:p>
        </w:tc>
      </w:tr>
      <w:tr w:rsidR="00F417E4" w:rsidTr="00553BB6">
        <w:trPr>
          <w:cantSplit/>
        </w:trPr>
        <w:tc>
          <w:tcPr>
            <w:tcW w:w="8771" w:type="dxa"/>
            <w:tcBorders>
              <w:top w:val="nil"/>
              <w:left w:val="nil"/>
              <w:bottom w:val="nil"/>
              <w:right w:val="nil"/>
            </w:tcBorders>
            <w:shd w:val="clear" w:color="auto" w:fill="F2F2F2"/>
          </w:tcPr>
          <w:p w:rsidR="00F417E4" w:rsidRPr="00321407" w:rsidRDefault="00F417E4" w:rsidP="00553BB6">
            <w:pPr>
              <w:pStyle w:val="Box"/>
            </w:pPr>
            <w:r w:rsidRPr="00321407">
              <w:t>Data quality information (</w:t>
            </w:r>
            <w:proofErr w:type="spellStart"/>
            <w:r w:rsidRPr="00321407">
              <w:t>DQI</w:t>
            </w:r>
            <w:proofErr w:type="spellEnd"/>
            <w:r w:rsidRPr="00321407">
              <w:t>) provides information against the seven Australian Bureau of Statistics (ABS) data quality framework dimensions, for all of the performance indicators in the Courts chapter.</w:t>
            </w:r>
          </w:p>
          <w:p w:rsidR="00F417E4" w:rsidRPr="00321407" w:rsidRDefault="00F417E4" w:rsidP="00553BB6">
            <w:pPr>
              <w:pStyle w:val="Box"/>
            </w:pPr>
            <w:r w:rsidRPr="00321407">
              <w:t xml:space="preserve">Technical </w:t>
            </w:r>
            <w:proofErr w:type="spellStart"/>
            <w:r w:rsidRPr="00321407">
              <w:t>DQI</w:t>
            </w:r>
            <w:proofErr w:type="spellEnd"/>
            <w:r w:rsidRPr="00321407">
              <w:t xml:space="preserve"> have been agreed in consultation with relevant data providers. Additional Steering Committee commentary does not necessarily reflect the views of data providers. </w:t>
            </w:r>
          </w:p>
        </w:tc>
      </w:tr>
      <w:tr w:rsidR="00F417E4" w:rsidTr="00553BB6">
        <w:trPr>
          <w:cantSplit/>
        </w:trPr>
        <w:tc>
          <w:tcPr>
            <w:tcW w:w="8771" w:type="dxa"/>
            <w:tcBorders>
              <w:top w:val="nil"/>
              <w:left w:val="nil"/>
              <w:bottom w:val="single" w:sz="6" w:space="0" w:color="78A22F"/>
              <w:right w:val="nil"/>
            </w:tcBorders>
            <w:shd w:val="clear" w:color="auto" w:fill="F2F2F2"/>
          </w:tcPr>
          <w:p w:rsidR="00F417E4" w:rsidRDefault="00F417E4">
            <w:pPr>
              <w:pStyle w:val="Box"/>
              <w:spacing w:before="0" w:line="120" w:lineRule="exact"/>
            </w:pPr>
          </w:p>
        </w:tc>
      </w:tr>
      <w:tr w:rsidR="00F417E4" w:rsidRPr="000863A5" w:rsidTr="00553BB6">
        <w:tc>
          <w:tcPr>
            <w:tcW w:w="8771" w:type="dxa"/>
            <w:tcBorders>
              <w:top w:val="single" w:sz="6" w:space="0" w:color="78A22F"/>
              <w:left w:val="nil"/>
              <w:bottom w:val="nil"/>
              <w:right w:val="nil"/>
            </w:tcBorders>
          </w:tcPr>
          <w:p w:rsidR="00F417E4" w:rsidRPr="00626D32" w:rsidRDefault="00F417E4" w:rsidP="00553BB6">
            <w:pPr>
              <w:pStyle w:val="BoxSpaceBelow"/>
            </w:pPr>
          </w:p>
        </w:tc>
      </w:tr>
    </w:tbl>
    <w:p w:rsidR="0071029E" w:rsidRDefault="0071029E" w:rsidP="005E066E">
      <w:pPr>
        <w:pStyle w:val="BodyText"/>
        <w:rPr>
          <w:noProof/>
        </w:rPr>
      </w:pPr>
      <w:bookmarkStart w:id="6" w:name="_GoBack"/>
      <w:bookmarkEnd w:id="6"/>
    </w:p>
    <w:p w:rsidR="0008198B" w:rsidRDefault="0008198B" w:rsidP="0008198B">
      <w:pPr>
        <w:pStyle w:val="DQIContentsTitle"/>
      </w:pPr>
      <w:r>
        <w:t>DQI Contents</w:t>
      </w:r>
    </w:p>
    <w:p w:rsidR="0071029E" w:rsidRPr="00455E7B" w:rsidRDefault="0071029E">
      <w:pPr>
        <w:pStyle w:val="TOC3"/>
        <w:rPr>
          <w:rFonts w:ascii="Calibri" w:hAnsi="Calibri"/>
          <w:noProof/>
          <w:sz w:val="22"/>
          <w:szCs w:val="22"/>
        </w:rPr>
      </w:pPr>
      <w:r w:rsidRPr="00F76B4F">
        <w:rPr>
          <w:noProof/>
        </w:rPr>
        <w:t>Fees paid by applicants</w:t>
      </w:r>
      <w:r>
        <w:rPr>
          <w:noProof/>
          <w:webHidden/>
        </w:rPr>
        <w:tab/>
      </w:r>
      <w:r w:rsidR="00D032B3">
        <w:rPr>
          <w:noProof/>
          <w:webHidden/>
        </w:rPr>
        <w:t>2</w:t>
      </w:r>
    </w:p>
    <w:p w:rsidR="0071029E" w:rsidRPr="00455E7B" w:rsidRDefault="0071029E">
      <w:pPr>
        <w:pStyle w:val="TOC3"/>
        <w:rPr>
          <w:rFonts w:ascii="Calibri" w:hAnsi="Calibri"/>
          <w:noProof/>
          <w:sz w:val="22"/>
          <w:szCs w:val="22"/>
        </w:rPr>
      </w:pPr>
      <w:r w:rsidRPr="00F76B4F">
        <w:rPr>
          <w:noProof/>
        </w:rPr>
        <w:t>Judicial officers (as expressed per 100 000 population)</w:t>
      </w:r>
      <w:r>
        <w:rPr>
          <w:noProof/>
          <w:webHidden/>
        </w:rPr>
        <w:tab/>
      </w:r>
      <w:r w:rsidR="00D032B3">
        <w:rPr>
          <w:noProof/>
          <w:webHidden/>
        </w:rPr>
        <w:t>4</w:t>
      </w:r>
    </w:p>
    <w:p w:rsidR="0071029E" w:rsidRPr="00455E7B" w:rsidRDefault="0071029E">
      <w:pPr>
        <w:pStyle w:val="TOC3"/>
        <w:rPr>
          <w:rFonts w:ascii="Calibri" w:hAnsi="Calibri"/>
          <w:noProof/>
          <w:sz w:val="22"/>
          <w:szCs w:val="22"/>
        </w:rPr>
      </w:pPr>
      <w:r w:rsidRPr="00F76B4F">
        <w:rPr>
          <w:noProof/>
        </w:rPr>
        <w:t>Backlog</w:t>
      </w:r>
      <w:r>
        <w:rPr>
          <w:noProof/>
          <w:webHidden/>
        </w:rPr>
        <w:tab/>
      </w:r>
      <w:r w:rsidR="00D032B3">
        <w:rPr>
          <w:noProof/>
          <w:webHidden/>
        </w:rPr>
        <w:t>6</w:t>
      </w:r>
    </w:p>
    <w:p w:rsidR="0071029E" w:rsidRPr="00455E7B" w:rsidRDefault="0071029E">
      <w:pPr>
        <w:pStyle w:val="TOC3"/>
        <w:rPr>
          <w:rFonts w:ascii="Calibri" w:hAnsi="Calibri"/>
          <w:noProof/>
          <w:sz w:val="22"/>
          <w:szCs w:val="22"/>
        </w:rPr>
      </w:pPr>
      <w:r w:rsidRPr="00F76B4F">
        <w:rPr>
          <w:noProof/>
        </w:rPr>
        <w:t>Attendance</w:t>
      </w:r>
      <w:r>
        <w:rPr>
          <w:noProof/>
          <w:webHidden/>
        </w:rPr>
        <w:tab/>
      </w:r>
      <w:r w:rsidR="00D032B3">
        <w:rPr>
          <w:noProof/>
          <w:webHidden/>
        </w:rPr>
        <w:t>8</w:t>
      </w:r>
    </w:p>
    <w:p w:rsidR="0071029E" w:rsidRPr="00455E7B" w:rsidRDefault="0071029E">
      <w:pPr>
        <w:pStyle w:val="TOC3"/>
        <w:rPr>
          <w:rFonts w:ascii="Calibri" w:hAnsi="Calibri"/>
          <w:noProof/>
          <w:sz w:val="22"/>
          <w:szCs w:val="22"/>
        </w:rPr>
      </w:pPr>
      <w:r w:rsidRPr="00F76B4F">
        <w:rPr>
          <w:noProof/>
        </w:rPr>
        <w:t>Clearance</w:t>
      </w:r>
      <w:r>
        <w:rPr>
          <w:noProof/>
          <w:webHidden/>
        </w:rPr>
        <w:tab/>
      </w:r>
      <w:r w:rsidR="00D032B3">
        <w:rPr>
          <w:noProof/>
          <w:webHidden/>
        </w:rPr>
        <w:t>10</w:t>
      </w:r>
    </w:p>
    <w:p w:rsidR="0071029E" w:rsidRPr="00455E7B" w:rsidRDefault="0071029E">
      <w:pPr>
        <w:pStyle w:val="TOC3"/>
        <w:rPr>
          <w:rFonts w:ascii="Calibri" w:hAnsi="Calibri"/>
          <w:noProof/>
          <w:sz w:val="22"/>
          <w:szCs w:val="22"/>
        </w:rPr>
      </w:pPr>
      <w:r w:rsidRPr="00F76B4F">
        <w:rPr>
          <w:noProof/>
        </w:rPr>
        <w:t>Judicial officers per 100 finalisations</w:t>
      </w:r>
      <w:r>
        <w:rPr>
          <w:noProof/>
          <w:webHidden/>
        </w:rPr>
        <w:tab/>
      </w:r>
      <w:r w:rsidR="00D032B3">
        <w:rPr>
          <w:noProof/>
          <w:webHidden/>
        </w:rPr>
        <w:t>12</w:t>
      </w:r>
    </w:p>
    <w:p w:rsidR="0071029E" w:rsidRPr="00455E7B" w:rsidRDefault="0071029E">
      <w:pPr>
        <w:pStyle w:val="TOC3"/>
        <w:rPr>
          <w:rFonts w:ascii="Calibri" w:hAnsi="Calibri"/>
          <w:noProof/>
          <w:sz w:val="22"/>
          <w:szCs w:val="22"/>
        </w:rPr>
      </w:pPr>
      <w:r w:rsidRPr="00F76B4F">
        <w:rPr>
          <w:noProof/>
        </w:rPr>
        <w:t>Full time equivalent (FTE) staff per 100 finalisations</w:t>
      </w:r>
      <w:r>
        <w:rPr>
          <w:noProof/>
          <w:webHidden/>
        </w:rPr>
        <w:tab/>
      </w:r>
      <w:r w:rsidR="00D032B3">
        <w:rPr>
          <w:noProof/>
          <w:webHidden/>
        </w:rPr>
        <w:t>14</w:t>
      </w:r>
    </w:p>
    <w:p w:rsidR="0071029E" w:rsidRPr="00455E7B" w:rsidRDefault="0071029E">
      <w:pPr>
        <w:pStyle w:val="TOC3"/>
        <w:rPr>
          <w:rFonts w:ascii="Calibri" w:hAnsi="Calibri"/>
          <w:noProof/>
          <w:sz w:val="22"/>
          <w:szCs w:val="22"/>
        </w:rPr>
      </w:pPr>
      <w:r w:rsidRPr="00F76B4F">
        <w:rPr>
          <w:noProof/>
        </w:rPr>
        <w:t>Cost per finalisation</w:t>
      </w:r>
      <w:r>
        <w:rPr>
          <w:noProof/>
          <w:webHidden/>
        </w:rPr>
        <w:tab/>
      </w:r>
      <w:r w:rsidR="00D032B3">
        <w:rPr>
          <w:noProof/>
          <w:webHidden/>
        </w:rPr>
        <w:t>16</w:t>
      </w:r>
    </w:p>
    <w:p w:rsidR="00C77D0D" w:rsidRDefault="00C77D0D" w:rsidP="00062F62">
      <w:pPr>
        <w:pStyle w:val="Heading3"/>
        <w:spacing w:before="120"/>
      </w:pPr>
      <w:bookmarkStart w:id="7" w:name="_Toc282010971"/>
      <w:bookmarkStart w:id="8" w:name="_Toc282425395"/>
      <w:bookmarkStart w:id="9" w:name="_Toc338344188"/>
      <w:bookmarkEnd w:id="4"/>
      <w:bookmarkEnd w:id="5"/>
      <w:r w:rsidRPr="00A05229">
        <w:lastRenderedPageBreak/>
        <w:t>F</w:t>
      </w:r>
      <w:bookmarkEnd w:id="7"/>
      <w:r>
        <w:t>ees paid by applicants</w:t>
      </w:r>
      <w:bookmarkEnd w:id="8"/>
      <w:bookmarkEnd w:id="9"/>
    </w:p>
    <w:p w:rsidR="00101653" w:rsidRPr="00101653" w:rsidRDefault="00C77D0D" w:rsidP="00101653">
      <w:pPr>
        <w:pStyle w:val="Box"/>
      </w:pPr>
      <w:r w:rsidRPr="00EC0FC7">
        <w:t>Data quality information for this indicator has been drafted by the Secretariat</w:t>
      </w:r>
      <w:r w:rsidR="009C1776">
        <w:t xml:space="preserve"> in consultation with the Courts </w:t>
      </w:r>
      <w:r w:rsidRPr="00EC0FC7">
        <w:t>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101653" w:rsidTr="00101653">
        <w:tc>
          <w:tcPr>
            <w:tcW w:w="5000" w:type="pct"/>
            <w:gridSpan w:val="2"/>
          </w:tcPr>
          <w:p w:rsidR="00BB531B" w:rsidRDefault="00BB531B" w:rsidP="007D0BFD">
            <w:pPr>
              <w:pStyle w:val="TableBodyText"/>
              <w:jc w:val="both"/>
              <w:rPr>
                <w:b/>
                <w:u w:val="single"/>
              </w:rPr>
            </w:pPr>
          </w:p>
          <w:p w:rsidR="00101653" w:rsidRDefault="00101653" w:rsidP="007D0BFD">
            <w:pPr>
              <w:pStyle w:val="TableBodyText"/>
              <w:jc w:val="both"/>
            </w:pPr>
            <w:r w:rsidRPr="007D0BFD">
              <w:rPr>
                <w:b/>
                <w:u w:val="single"/>
              </w:rPr>
              <w:t>Indica</w:t>
            </w:r>
            <w:r w:rsidR="007D0BFD" w:rsidRPr="007D0BFD">
              <w:rPr>
                <w:b/>
                <w:u w:val="single"/>
              </w:rPr>
              <w:t>tor definition and description</w:t>
            </w:r>
            <w:r w:rsidR="007D0BFD">
              <w:rPr>
                <w:rFonts w:cs="Arial"/>
                <w:b/>
                <w:sz w:val="22"/>
                <w:szCs w:val="22"/>
                <w:u w:val="single"/>
              </w:rPr>
              <w:t xml:space="preserve"> </w:t>
            </w:r>
          </w:p>
        </w:tc>
      </w:tr>
      <w:tr w:rsidR="00062F62" w:rsidTr="00DD3D61">
        <w:tc>
          <w:tcPr>
            <w:tcW w:w="922" w:type="pct"/>
          </w:tcPr>
          <w:p w:rsidR="00062F62" w:rsidRPr="00C744E0" w:rsidRDefault="00062F62" w:rsidP="00730827">
            <w:pPr>
              <w:pStyle w:val="TableBodyText"/>
              <w:jc w:val="left"/>
              <w:rPr>
                <w:b/>
              </w:rPr>
            </w:pPr>
            <w:r w:rsidRPr="00C744E0">
              <w:rPr>
                <w:b/>
              </w:rPr>
              <w:t>Element</w:t>
            </w:r>
          </w:p>
        </w:tc>
        <w:tc>
          <w:tcPr>
            <w:tcW w:w="4078" w:type="pct"/>
          </w:tcPr>
          <w:p w:rsidR="00062F62" w:rsidRPr="008C4B88" w:rsidRDefault="009C1776" w:rsidP="00196C5B">
            <w:pPr>
              <w:pStyle w:val="TableBodyText"/>
              <w:spacing w:after="120"/>
              <w:jc w:val="both"/>
            </w:pPr>
            <w:r>
              <w:t>Courts</w:t>
            </w:r>
            <w:r w:rsidR="00062F62" w:rsidRPr="008C4B88">
              <w:t xml:space="preserve"> Equity – Access – Affordability</w:t>
            </w:r>
          </w:p>
        </w:tc>
      </w:tr>
      <w:tr w:rsidR="00062F62" w:rsidTr="00DD3D61">
        <w:tc>
          <w:tcPr>
            <w:tcW w:w="922" w:type="pct"/>
          </w:tcPr>
          <w:p w:rsidR="00062F62" w:rsidRPr="00C744E0" w:rsidRDefault="00062F62" w:rsidP="00730827">
            <w:pPr>
              <w:pStyle w:val="TableBodyText"/>
              <w:jc w:val="left"/>
              <w:rPr>
                <w:b/>
              </w:rPr>
            </w:pPr>
            <w:r w:rsidRPr="00C744E0">
              <w:rPr>
                <w:b/>
              </w:rPr>
              <w:t>Indicator</w:t>
            </w:r>
          </w:p>
        </w:tc>
        <w:tc>
          <w:tcPr>
            <w:tcW w:w="4078" w:type="pct"/>
          </w:tcPr>
          <w:p w:rsidR="00062F62" w:rsidRDefault="00062F62" w:rsidP="00062F62">
            <w:pPr>
              <w:pStyle w:val="TableBodyText"/>
              <w:jc w:val="both"/>
            </w:pPr>
            <w:r w:rsidRPr="008C4B88">
              <w:t>Fees paid by applicants</w:t>
            </w:r>
          </w:p>
        </w:tc>
      </w:tr>
      <w:tr w:rsidR="00730827" w:rsidTr="00DD3D61">
        <w:tc>
          <w:tcPr>
            <w:tcW w:w="922" w:type="pct"/>
          </w:tcPr>
          <w:p w:rsidR="00730827" w:rsidRPr="00C744E0" w:rsidRDefault="00730827" w:rsidP="00730827">
            <w:pPr>
              <w:pStyle w:val="TableBodyText"/>
              <w:jc w:val="left"/>
              <w:rPr>
                <w:b/>
              </w:rPr>
            </w:pPr>
            <w:r w:rsidRPr="00C744E0">
              <w:rPr>
                <w:b/>
              </w:rPr>
              <w:t>Measure (computation)</w:t>
            </w:r>
          </w:p>
        </w:tc>
        <w:tc>
          <w:tcPr>
            <w:tcW w:w="4078" w:type="pct"/>
          </w:tcPr>
          <w:p w:rsidR="00C722E2" w:rsidRPr="005970A0" w:rsidRDefault="00C722E2" w:rsidP="00C722E2">
            <w:pPr>
              <w:pStyle w:val="DQITableText"/>
              <w:spacing w:after="120"/>
              <w:rPr>
                <w:u w:val="single"/>
              </w:rPr>
            </w:pPr>
            <w:r w:rsidRPr="005970A0">
              <w:rPr>
                <w:u w:val="single"/>
              </w:rPr>
              <w:t>Definition</w:t>
            </w:r>
          </w:p>
          <w:p w:rsidR="00062F62" w:rsidRDefault="00553BB6" w:rsidP="00062F62">
            <w:pPr>
              <w:pStyle w:val="TableBodyText"/>
              <w:keepNext w:val="0"/>
              <w:jc w:val="both"/>
            </w:pPr>
            <w:r>
              <w:t>T</w:t>
            </w:r>
            <w:r w:rsidR="00062F62">
              <w:t>he averag</w:t>
            </w:r>
            <w:r w:rsidR="00591227">
              <w:t xml:space="preserve">e court fees paid per </w:t>
            </w:r>
            <w:proofErr w:type="spellStart"/>
            <w:r w:rsidR="00591227">
              <w:t>lodgment</w:t>
            </w:r>
            <w:proofErr w:type="spellEnd"/>
            <w:r w:rsidR="00591227">
              <w:t>.</w:t>
            </w:r>
          </w:p>
          <w:p w:rsidR="00062F62" w:rsidRPr="00C9163B" w:rsidRDefault="00062F62" w:rsidP="00C9163B">
            <w:pPr>
              <w:pStyle w:val="DQITableText"/>
              <w:spacing w:after="120"/>
              <w:rPr>
                <w:u w:val="single"/>
              </w:rPr>
            </w:pPr>
            <w:r w:rsidRPr="00C9163B">
              <w:rPr>
                <w:u w:val="single"/>
              </w:rPr>
              <w:t>Numerator</w:t>
            </w:r>
          </w:p>
          <w:p w:rsidR="00062F62" w:rsidRDefault="00062F62" w:rsidP="00062F62">
            <w:pPr>
              <w:pStyle w:val="TableBullet"/>
              <w:keepNext w:val="0"/>
              <w:numPr>
                <w:ilvl w:val="0"/>
                <w:numId w:val="42"/>
              </w:numPr>
              <w:spacing w:line="220" w:lineRule="exact"/>
              <w:jc w:val="both"/>
            </w:pPr>
            <w:r>
              <w:t>Total court fees collected in a financial year</w:t>
            </w:r>
          </w:p>
          <w:p w:rsidR="00062F62" w:rsidRPr="005D4651" w:rsidRDefault="00062F62" w:rsidP="00C9163B">
            <w:pPr>
              <w:pStyle w:val="TableBodyText"/>
              <w:keepNext w:val="0"/>
              <w:spacing w:before="120" w:after="120"/>
              <w:jc w:val="both"/>
            </w:pPr>
            <w:r>
              <w:rPr>
                <w:u w:val="single"/>
              </w:rPr>
              <w:t>Denominator</w:t>
            </w:r>
          </w:p>
          <w:p w:rsidR="00062F62" w:rsidRDefault="00062F62" w:rsidP="00062F62">
            <w:pPr>
              <w:pStyle w:val="TableBullet"/>
              <w:keepNext w:val="0"/>
              <w:numPr>
                <w:ilvl w:val="0"/>
                <w:numId w:val="42"/>
              </w:numPr>
              <w:spacing w:line="220" w:lineRule="exact"/>
              <w:jc w:val="both"/>
            </w:pPr>
            <w:r>
              <w:t xml:space="preserve">Total number of </w:t>
            </w:r>
            <w:proofErr w:type="spellStart"/>
            <w:r>
              <w:t>lodgments</w:t>
            </w:r>
            <w:proofErr w:type="spellEnd"/>
            <w:r>
              <w:t xml:space="preserve"> in a financial year</w:t>
            </w:r>
          </w:p>
          <w:p w:rsidR="003755F6" w:rsidRPr="003755F6" w:rsidRDefault="003755F6" w:rsidP="003755F6">
            <w:pPr>
              <w:pStyle w:val="DQITableText"/>
              <w:spacing w:after="120"/>
              <w:rPr>
                <w:u w:val="single"/>
              </w:rPr>
            </w:pPr>
            <w:r>
              <w:rPr>
                <w:u w:val="single"/>
              </w:rPr>
              <w:t>Computation</w:t>
            </w:r>
          </w:p>
          <w:p w:rsidR="00591227" w:rsidRDefault="00591227" w:rsidP="00051463">
            <w:pPr>
              <w:pStyle w:val="TableBodyText"/>
              <w:jc w:val="both"/>
            </w:pPr>
            <w:r>
              <w:t>Numerator is divided by the denominator.</w:t>
            </w:r>
          </w:p>
          <w:p w:rsidR="00730827" w:rsidRPr="00B96E3E" w:rsidRDefault="00062F62" w:rsidP="00196C5B">
            <w:pPr>
              <w:pStyle w:val="TableBodyText"/>
              <w:spacing w:after="120"/>
              <w:jc w:val="both"/>
            </w:pPr>
            <w:r>
              <w:t xml:space="preserve">Data for the numerator are adjusted </w:t>
            </w:r>
            <w:r w:rsidR="00051463">
              <w:t>by applying the General Government Final Consumption Expenditure (</w:t>
            </w:r>
            <w:proofErr w:type="spellStart"/>
            <w:r w:rsidR="00051463">
              <w:t>GGFCE</w:t>
            </w:r>
            <w:proofErr w:type="spellEnd"/>
            <w:r w:rsidR="00051463">
              <w:t>) chain price index deflator</w:t>
            </w:r>
            <w:r>
              <w:t xml:space="preserve"> (see </w:t>
            </w:r>
            <w:r w:rsidR="00051463">
              <w:t>Chapter 2 section 2.</w:t>
            </w:r>
            <w:r>
              <w:t xml:space="preserve">5 </w:t>
            </w:r>
            <w:r w:rsidR="00051463">
              <w:t>for an explanation of s</w:t>
            </w:r>
            <w:r>
              <w:t xml:space="preserve">tatistical </w:t>
            </w:r>
            <w:r w:rsidR="00051463">
              <w:t>c</w:t>
            </w:r>
            <w:r>
              <w:t>oncepts used in the Report).</w:t>
            </w:r>
          </w:p>
        </w:tc>
      </w:tr>
      <w:tr w:rsidR="00730827" w:rsidTr="00DD3D61">
        <w:tc>
          <w:tcPr>
            <w:tcW w:w="922" w:type="pct"/>
          </w:tcPr>
          <w:p w:rsidR="00730827" w:rsidRPr="00C744E0" w:rsidRDefault="00730827" w:rsidP="00730827">
            <w:pPr>
              <w:pStyle w:val="TableBodyText"/>
              <w:jc w:val="left"/>
              <w:rPr>
                <w:b/>
              </w:rPr>
            </w:pPr>
            <w:r w:rsidRPr="00C744E0">
              <w:rPr>
                <w:b/>
              </w:rPr>
              <w:t>Data source/s</w:t>
            </w:r>
          </w:p>
        </w:tc>
        <w:tc>
          <w:tcPr>
            <w:tcW w:w="4078" w:type="pct"/>
          </w:tcPr>
          <w:p w:rsidR="00730827" w:rsidRPr="00B96E3E" w:rsidRDefault="00062F62" w:rsidP="00196C5B">
            <w:pPr>
              <w:pStyle w:val="TableBodyText"/>
              <w:spacing w:after="120"/>
              <w:jc w:val="both"/>
            </w:pPr>
            <w:r>
              <w:t xml:space="preserve">Court fees collected and </w:t>
            </w:r>
            <w:proofErr w:type="spellStart"/>
            <w:r>
              <w:t>lodgment</w:t>
            </w:r>
            <w:proofErr w:type="spellEnd"/>
            <w:r>
              <w:t xml:space="preserve"> data</w:t>
            </w:r>
            <w:r w:rsidRPr="00C34F8E">
              <w:t xml:space="preserve"> are</w:t>
            </w:r>
            <w:r w:rsidR="0030516A">
              <w:t xml:space="preserve"> unpublished and are</w:t>
            </w:r>
            <w:r w:rsidRPr="00C34F8E">
              <w:t xml:space="preserve"> sourced from</w:t>
            </w:r>
            <w:r>
              <w:t xml:space="preserve"> Australian, State an</w:t>
            </w:r>
            <w:r w:rsidR="009C1776">
              <w:t>d Territory courts</w:t>
            </w:r>
            <w:r>
              <w:t xml:space="preserve"> authorities and departments.</w:t>
            </w:r>
          </w:p>
        </w:tc>
      </w:tr>
      <w:tr w:rsidR="00730827" w:rsidTr="00730827">
        <w:tc>
          <w:tcPr>
            <w:tcW w:w="5000" w:type="pct"/>
            <w:gridSpan w:val="2"/>
          </w:tcPr>
          <w:p w:rsidR="00730827" w:rsidRPr="00C744E0" w:rsidRDefault="00730827" w:rsidP="00196C5B">
            <w:pPr>
              <w:pStyle w:val="TableBodyText"/>
              <w:spacing w:after="120"/>
              <w:jc w:val="both"/>
              <w:rPr>
                <w:b/>
                <w:u w:val="single"/>
              </w:rPr>
            </w:pPr>
            <w:r w:rsidRPr="00C744E0">
              <w:rPr>
                <w:b/>
                <w:u w:val="single"/>
              </w:rPr>
              <w:t>Data Quality Framework Dimensions</w:t>
            </w:r>
          </w:p>
        </w:tc>
      </w:tr>
      <w:tr w:rsidR="00730827" w:rsidTr="00DD3D61">
        <w:tc>
          <w:tcPr>
            <w:tcW w:w="922" w:type="pct"/>
          </w:tcPr>
          <w:p w:rsidR="00730827" w:rsidRPr="00C744E0" w:rsidRDefault="00730827" w:rsidP="00730827">
            <w:pPr>
              <w:pStyle w:val="TableBodyText"/>
              <w:jc w:val="left"/>
              <w:rPr>
                <w:b/>
              </w:rPr>
            </w:pPr>
            <w:r w:rsidRPr="00C744E0">
              <w:rPr>
                <w:b/>
              </w:rPr>
              <w:t>Institutional environment</w:t>
            </w:r>
          </w:p>
        </w:tc>
        <w:tc>
          <w:tcPr>
            <w:tcW w:w="4078" w:type="pct"/>
          </w:tcPr>
          <w:p w:rsidR="00062F62" w:rsidRPr="003F301E" w:rsidRDefault="00062F62" w:rsidP="00BF05A6">
            <w:pPr>
              <w:pStyle w:val="TableBodyText"/>
              <w:keepNext w:val="0"/>
              <w:spacing w:after="120"/>
              <w:jc w:val="both"/>
              <w:rPr>
                <w:rFonts w:cs="Arial"/>
                <w:u w:val="single"/>
              </w:rPr>
            </w:pPr>
            <w:r>
              <w:rPr>
                <w:rFonts w:cs="Arial"/>
                <w:u w:val="single"/>
              </w:rPr>
              <w:t>Numerator</w:t>
            </w:r>
          </w:p>
          <w:p w:rsidR="00062F62" w:rsidRDefault="00062F62" w:rsidP="00062F62">
            <w:pPr>
              <w:pStyle w:val="TableBodyText"/>
              <w:keepNext w:val="0"/>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009C1776">
              <w:rPr>
                <w:rFonts w:cs="Arial"/>
              </w:rPr>
              <w:t>compiled by the court</w:t>
            </w:r>
            <w:r>
              <w:rPr>
                <w:rFonts w:cs="Arial"/>
              </w:rPr>
              <w:t xml:space="preserve"> authority</w:t>
            </w:r>
            <w:r w:rsidRPr="009875F7">
              <w:rPr>
                <w:rFonts w:cs="Arial"/>
              </w:rPr>
              <w:t xml:space="preserve">.  In the </w:t>
            </w:r>
            <w:r>
              <w:rPr>
                <w:rFonts w:cs="Arial"/>
              </w:rPr>
              <w:t>other jurisdictions</w:t>
            </w:r>
            <w:r w:rsidRPr="009875F7">
              <w:rPr>
                <w:rFonts w:cs="Arial"/>
              </w:rPr>
              <w:t>, it is</w:t>
            </w:r>
            <w:r>
              <w:rPr>
                <w:rFonts w:cs="Arial"/>
              </w:rPr>
              <w:t xml:space="preserve"> collected and compiled by governing departments.</w:t>
            </w:r>
          </w:p>
          <w:p w:rsidR="00062F62" w:rsidRDefault="00062F62" w:rsidP="00BF05A6">
            <w:pPr>
              <w:pStyle w:val="TableBodyText"/>
              <w:keepNext w:val="0"/>
              <w:spacing w:after="120"/>
              <w:jc w:val="both"/>
              <w:rPr>
                <w:rFonts w:cs="Arial"/>
              </w:rPr>
            </w:pPr>
            <w:r>
              <w:rPr>
                <w:rFonts w:cs="Arial"/>
              </w:rPr>
              <w:t>The data are requested and submitted in accordance with the authority of the terms of reference of the Review of Government Service Provision.</w:t>
            </w:r>
          </w:p>
          <w:p w:rsidR="00062F62" w:rsidRDefault="00062F62" w:rsidP="00BF05A6">
            <w:pPr>
              <w:pStyle w:val="TableBodyText"/>
              <w:keepNext w:val="0"/>
              <w:spacing w:after="120"/>
              <w:jc w:val="both"/>
            </w:pPr>
            <w:r>
              <w:rPr>
                <w:u w:val="single"/>
              </w:rPr>
              <w:t>D</w:t>
            </w:r>
            <w:r w:rsidRPr="0071426B">
              <w:rPr>
                <w:u w:val="single"/>
              </w:rPr>
              <w:t>enominator</w:t>
            </w:r>
            <w:r>
              <w:t xml:space="preserve"> </w:t>
            </w:r>
          </w:p>
          <w:p w:rsidR="00062F62" w:rsidRDefault="00062F62" w:rsidP="00062F62">
            <w:pPr>
              <w:pStyle w:val="TableBodyText"/>
              <w:keepNext w:val="0"/>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compi</w:t>
            </w:r>
            <w:r w:rsidR="009C1776">
              <w:rPr>
                <w:rFonts w:cs="Arial"/>
              </w:rPr>
              <w:t>led by the</w:t>
            </w:r>
            <w:r>
              <w:rPr>
                <w:rFonts w:cs="Arial"/>
              </w:rPr>
              <w:t xml:space="preserve"> cou</w:t>
            </w:r>
            <w:r w:rsidR="009C1776">
              <w:rPr>
                <w:rFonts w:cs="Arial"/>
              </w:rPr>
              <w:t>rts</w:t>
            </w:r>
            <w:r>
              <w:rPr>
                <w:rFonts w:cs="Arial"/>
              </w:rPr>
              <w:t xml:space="preserve"> authority</w:t>
            </w:r>
            <w:r w:rsidR="009C1776">
              <w:rPr>
                <w:rFonts w:cs="Arial"/>
              </w:rPr>
              <w:t>.</w:t>
            </w:r>
            <w:r w:rsidRPr="009875F7">
              <w:rPr>
                <w:rFonts w:cs="Arial"/>
              </w:rPr>
              <w:t xml:space="preserve"> In the </w:t>
            </w:r>
            <w:r>
              <w:rPr>
                <w:rFonts w:cs="Arial"/>
              </w:rPr>
              <w:t>other jurisdictions</w:t>
            </w:r>
            <w:r w:rsidRPr="009875F7">
              <w:rPr>
                <w:rFonts w:cs="Arial"/>
              </w:rPr>
              <w:t>, it is</w:t>
            </w:r>
            <w:r>
              <w:rPr>
                <w:rFonts w:cs="Arial"/>
              </w:rPr>
              <w:t xml:space="preserve"> collected and compiled by governing departments.</w:t>
            </w:r>
          </w:p>
          <w:p w:rsidR="00730827" w:rsidRPr="00062F62" w:rsidRDefault="00062F62" w:rsidP="00F51954">
            <w:pPr>
              <w:pStyle w:val="TableBodyText"/>
              <w:keepNext w:val="0"/>
              <w:spacing w:after="120"/>
              <w:jc w:val="both"/>
              <w:rPr>
                <w:rFonts w:cs="Arial"/>
              </w:rPr>
            </w:pPr>
            <w:r>
              <w:rPr>
                <w:rFonts w:cs="Arial"/>
              </w:rPr>
              <w:t>The data are requested and submitted in accordance with the authority of the terms of reference of the Review of Government Service Provision.</w:t>
            </w:r>
          </w:p>
        </w:tc>
      </w:tr>
      <w:tr w:rsidR="00730827" w:rsidTr="00DD3D61">
        <w:tc>
          <w:tcPr>
            <w:tcW w:w="922" w:type="pct"/>
          </w:tcPr>
          <w:p w:rsidR="00730827" w:rsidRPr="00C744E0" w:rsidRDefault="00730827" w:rsidP="00730827">
            <w:pPr>
              <w:pStyle w:val="TableBodyText"/>
              <w:jc w:val="left"/>
              <w:rPr>
                <w:b/>
              </w:rPr>
            </w:pPr>
            <w:r w:rsidRPr="00C744E0">
              <w:rPr>
                <w:b/>
              </w:rPr>
              <w:t>Relevance</w:t>
            </w:r>
          </w:p>
        </w:tc>
        <w:tc>
          <w:tcPr>
            <w:tcW w:w="4078" w:type="pct"/>
          </w:tcPr>
          <w:p w:rsidR="00062F62" w:rsidRDefault="00062F62" w:rsidP="00F51954">
            <w:pPr>
              <w:pStyle w:val="TableBodyText"/>
              <w:spacing w:after="80"/>
              <w:jc w:val="both"/>
            </w:pPr>
            <w:r>
              <w:t>‘Fees paid by applicants’ is intended to be an indicator of governments’ achievement against the objective of keeping services accessible through charging affordable court fees for services provided.</w:t>
            </w:r>
          </w:p>
          <w:p w:rsidR="00062F62" w:rsidRDefault="00062F62" w:rsidP="00062F62">
            <w:pPr>
              <w:pStyle w:val="TableBodyText"/>
              <w:jc w:val="both"/>
            </w:pPr>
            <w:r>
              <w:t>However, court fees are only a small component of the broader legal costs incurred by applicants. Given that using the courts is often only practically possible with the assistance of lawyers, this indicator should not be interpreted as an indicator of general accessibility to legal services or processes.</w:t>
            </w:r>
          </w:p>
          <w:p w:rsidR="00C90BD4" w:rsidRPr="00B96E3E" w:rsidRDefault="00062F62" w:rsidP="00F51954">
            <w:pPr>
              <w:pStyle w:val="TableBodyText"/>
              <w:spacing w:after="120"/>
              <w:jc w:val="both"/>
            </w:pPr>
            <w:r w:rsidRPr="002C6D8F">
              <w:t>Also fee structures and the associated bases for charging differ across jurisdictions</w:t>
            </w:r>
            <w:r>
              <w:t>, e.g. corporate entities pay more than individuals</w:t>
            </w:r>
            <w:r w:rsidRPr="002C6D8F">
              <w:t>.</w:t>
            </w:r>
            <w:r>
              <w:t xml:space="preserve"> Jurisdictions also exempt and waive fees in special circumstances and this affects the amounts of fees paid in the </w:t>
            </w:r>
            <w:proofErr w:type="spellStart"/>
            <w:r>
              <w:t>ROGS</w:t>
            </w:r>
            <w:proofErr w:type="spellEnd"/>
            <w:r>
              <w:t xml:space="preserve">. </w:t>
            </w:r>
          </w:p>
        </w:tc>
      </w:tr>
      <w:tr w:rsidR="00730827" w:rsidTr="00DD3D61">
        <w:tc>
          <w:tcPr>
            <w:tcW w:w="922" w:type="pct"/>
          </w:tcPr>
          <w:p w:rsidR="00730827" w:rsidRPr="00C744E0" w:rsidRDefault="00730827" w:rsidP="00CC2599">
            <w:pPr>
              <w:pStyle w:val="TableBodyText"/>
              <w:jc w:val="both"/>
              <w:rPr>
                <w:b/>
              </w:rPr>
            </w:pPr>
            <w:r w:rsidRPr="00C744E0">
              <w:rPr>
                <w:b/>
              </w:rPr>
              <w:t>Timeliness</w:t>
            </w:r>
          </w:p>
        </w:tc>
        <w:tc>
          <w:tcPr>
            <w:tcW w:w="4078" w:type="pct"/>
          </w:tcPr>
          <w:p w:rsidR="00CC2599" w:rsidRDefault="00CC2599" w:rsidP="00CC2599">
            <w:pPr>
              <w:pStyle w:val="TableBodyText"/>
              <w:keepNext w:val="0"/>
              <w:jc w:val="both"/>
            </w:pPr>
            <w:r>
              <w:t>The reference p</w:t>
            </w:r>
            <w:r w:rsidR="006771D1">
              <w:t>eriod</w:t>
            </w:r>
            <w:r w:rsidR="00221CEE">
              <w:t xml:space="preserve"> is the 201</w:t>
            </w:r>
            <w:r w:rsidR="006771D1">
              <w:t>4</w:t>
            </w:r>
            <w:r w:rsidR="00221CEE">
              <w:t>-1</w:t>
            </w:r>
            <w:r w:rsidR="006771D1">
              <w:t>5</w:t>
            </w:r>
            <w:r>
              <w:t xml:space="preserve"> financial year. Dat</w:t>
            </w:r>
            <w:r w:rsidR="00F51954">
              <w:t>a are provided in September 2015</w:t>
            </w:r>
            <w:r>
              <w:t>,</w:t>
            </w:r>
            <w:r w:rsidR="00A74563">
              <w:t xml:space="preserve"> for publi</w:t>
            </w:r>
            <w:r w:rsidR="00333779">
              <w:t xml:space="preserve">cation in </w:t>
            </w:r>
            <w:r w:rsidR="00F51954">
              <w:t>January 2016</w:t>
            </w:r>
            <w:r>
              <w:t>.</w:t>
            </w:r>
          </w:p>
          <w:p w:rsidR="00730827" w:rsidRPr="009F199D" w:rsidRDefault="00CC2599" w:rsidP="00F51954">
            <w:pPr>
              <w:pStyle w:val="TableBodyText"/>
              <w:keepNext w:val="0"/>
              <w:spacing w:after="120"/>
              <w:jc w:val="both"/>
            </w:pPr>
            <w:r>
              <w:t>Data can be revised retrospectively up to 5 years later.</w:t>
            </w:r>
          </w:p>
        </w:tc>
      </w:tr>
      <w:tr w:rsidR="00730827" w:rsidTr="00DD3D61">
        <w:tc>
          <w:tcPr>
            <w:tcW w:w="922" w:type="pct"/>
          </w:tcPr>
          <w:p w:rsidR="00730827" w:rsidRPr="00C744E0" w:rsidRDefault="00730827" w:rsidP="00730827">
            <w:pPr>
              <w:pStyle w:val="TableBodyText"/>
              <w:jc w:val="left"/>
              <w:rPr>
                <w:b/>
              </w:rPr>
            </w:pPr>
            <w:r w:rsidRPr="00C744E0">
              <w:rPr>
                <w:b/>
              </w:rPr>
              <w:t>Accuracy</w:t>
            </w:r>
          </w:p>
        </w:tc>
        <w:tc>
          <w:tcPr>
            <w:tcW w:w="4078" w:type="pct"/>
          </w:tcPr>
          <w:p w:rsidR="00C90BD4" w:rsidRPr="00B96E3E" w:rsidRDefault="00CC2599" w:rsidP="00F51954">
            <w:pPr>
              <w:pStyle w:val="TableBullet"/>
              <w:numPr>
                <w:ilvl w:val="0"/>
                <w:numId w:val="0"/>
              </w:numPr>
              <w:spacing w:after="120" w:line="220" w:lineRule="exact"/>
              <w:ind w:left="6"/>
              <w:jc w:val="both"/>
            </w:pPr>
            <w:r w:rsidRPr="00CF5FA0">
              <w:t xml:space="preserve">The </w:t>
            </w:r>
            <w:r>
              <w:t xml:space="preserve">data are sourced </w:t>
            </w:r>
            <w:r w:rsidRPr="00CF5FA0">
              <w:t xml:space="preserve">from </w:t>
            </w:r>
            <w:r>
              <w:t xml:space="preserve">finance and case management </w:t>
            </w:r>
            <w:r w:rsidRPr="00CF5FA0">
              <w:t>systems, which are subject to the normal legislative financial and administrative controls, reconciliation, and validation processes</w:t>
            </w:r>
            <w:r>
              <w:t xml:space="preserve"> to ensure accuracy. </w:t>
            </w:r>
            <w:r w:rsidR="00A60B54">
              <w:t xml:space="preserve">Financial </w:t>
            </w:r>
            <w:r>
              <w:t xml:space="preserve">data </w:t>
            </w:r>
            <w:r w:rsidR="00A60B54">
              <w:t>are</w:t>
            </w:r>
            <w:r>
              <w:t xml:space="preserve"> also independently audited</w:t>
            </w:r>
            <w:r w:rsidR="00A60B54">
              <w:t xml:space="preserve"> at jurisdictional level</w:t>
            </w:r>
            <w:r>
              <w:t xml:space="preserve"> for annual reporting purposes. </w:t>
            </w:r>
          </w:p>
        </w:tc>
      </w:tr>
      <w:tr w:rsidR="00730827" w:rsidTr="00DD3D61">
        <w:tc>
          <w:tcPr>
            <w:tcW w:w="922" w:type="pct"/>
          </w:tcPr>
          <w:p w:rsidR="00730827" w:rsidRPr="00C744E0" w:rsidRDefault="00730827" w:rsidP="00464ABC">
            <w:pPr>
              <w:pStyle w:val="TableBodyText"/>
              <w:keepNext w:val="0"/>
              <w:jc w:val="both"/>
              <w:rPr>
                <w:b/>
              </w:rPr>
            </w:pPr>
            <w:r w:rsidRPr="00C744E0">
              <w:rPr>
                <w:b/>
              </w:rPr>
              <w:lastRenderedPageBreak/>
              <w:t>Coherence</w:t>
            </w:r>
          </w:p>
        </w:tc>
        <w:tc>
          <w:tcPr>
            <w:tcW w:w="4078" w:type="pct"/>
          </w:tcPr>
          <w:p w:rsidR="003302AE" w:rsidRDefault="003302AE" w:rsidP="00464ABC">
            <w:pPr>
              <w:pStyle w:val="TableBodyText"/>
              <w:keepNext w:val="0"/>
              <w:ind w:left="0" w:firstLine="6"/>
              <w:jc w:val="both"/>
            </w:pPr>
            <w:r>
              <w:t>F</w:t>
            </w:r>
            <w:r w:rsidRPr="00206536">
              <w:t>or the last five years,</w:t>
            </w:r>
            <w:r>
              <w:t xml:space="preserve"> the data have</w:t>
            </w:r>
            <w:r w:rsidRPr="00206536">
              <w:t xml:space="preserve"> been counted and reported</w:t>
            </w:r>
            <w:r>
              <w:t xml:space="preserve"> relatively</w:t>
            </w:r>
            <w:r w:rsidRPr="00206536">
              <w:t xml:space="preserve"> consistently</w:t>
            </w:r>
            <w:r>
              <w:t xml:space="preserve"> and</w:t>
            </w:r>
            <w:r w:rsidRPr="00206536">
              <w:t xml:space="preserve"> no </w:t>
            </w:r>
            <w:r>
              <w:t xml:space="preserve">significant </w:t>
            </w:r>
            <w:r w:rsidRPr="00206536">
              <w:t>factors</w:t>
            </w:r>
            <w:r>
              <w:t xml:space="preserve"> have been identified</w:t>
            </w:r>
            <w:r w:rsidRPr="00206536">
              <w:t xml:space="preserve"> </w:t>
            </w:r>
            <w:r>
              <w:t>which</w:t>
            </w:r>
            <w:r w:rsidRPr="00206536">
              <w:t xml:space="preserve"> have prevented or affected the consistent compilation of time series data</w:t>
            </w:r>
            <w:r>
              <w:t xml:space="preserve">. </w:t>
            </w:r>
            <w:r w:rsidR="00B66D5C">
              <w:t>Exceptions are footnoted in attachment tables</w:t>
            </w:r>
            <w:r>
              <w:t>.</w:t>
            </w:r>
          </w:p>
          <w:p w:rsidR="00C90BD4" w:rsidRPr="001A7053" w:rsidRDefault="003302AE" w:rsidP="00F915CD">
            <w:pPr>
              <w:pStyle w:val="TableBullet"/>
              <w:keepNext w:val="0"/>
              <w:numPr>
                <w:ilvl w:val="0"/>
                <w:numId w:val="0"/>
              </w:numPr>
              <w:spacing w:after="120"/>
              <w:jc w:val="both"/>
            </w:pPr>
            <w:r w:rsidRPr="00D84159">
              <w:t xml:space="preserve">In some </w:t>
            </w:r>
            <w:r>
              <w:t>jurisdictions</w:t>
            </w:r>
            <w:r w:rsidRPr="00D84159">
              <w:t xml:space="preserve"> there is an alignment with other publications</w:t>
            </w:r>
            <w:r w:rsidR="00B66D5C">
              <w:t>, e.g. annual reports.</w:t>
            </w:r>
            <w:r>
              <w:t xml:space="preserve"> </w:t>
            </w:r>
            <w:r w:rsidRPr="00D84159">
              <w:t xml:space="preserve">In the </w:t>
            </w:r>
            <w:r>
              <w:t>other jurisdictions</w:t>
            </w:r>
            <w:r w:rsidRPr="00D84159">
              <w:t xml:space="preserve"> there are differences due to the </w:t>
            </w:r>
            <w:proofErr w:type="spellStart"/>
            <w:r w:rsidRPr="00D84159">
              <w:t>ROGS</w:t>
            </w:r>
            <w:proofErr w:type="spellEnd"/>
            <w:r w:rsidRPr="00D84159">
              <w:t xml:space="preserve"> counting rules.</w:t>
            </w:r>
          </w:p>
        </w:tc>
      </w:tr>
      <w:tr w:rsidR="00730827" w:rsidTr="00DD3D61">
        <w:tc>
          <w:tcPr>
            <w:tcW w:w="922" w:type="pct"/>
          </w:tcPr>
          <w:p w:rsidR="00730827" w:rsidRPr="00C744E0" w:rsidRDefault="00730827" w:rsidP="00464ABC">
            <w:pPr>
              <w:pStyle w:val="TableBodyText"/>
              <w:keepNext w:val="0"/>
              <w:jc w:val="left"/>
              <w:rPr>
                <w:b/>
              </w:rPr>
            </w:pPr>
            <w:r w:rsidRPr="00C744E0">
              <w:rPr>
                <w:b/>
              </w:rPr>
              <w:t>Accessibility</w:t>
            </w:r>
          </w:p>
        </w:tc>
        <w:tc>
          <w:tcPr>
            <w:tcW w:w="4078" w:type="pct"/>
          </w:tcPr>
          <w:p w:rsidR="00300F25" w:rsidRDefault="00300F25" w:rsidP="00300F25">
            <w:pPr>
              <w:pStyle w:val="TableBodyText"/>
              <w:keepNext w:val="0"/>
              <w:jc w:val="both"/>
            </w:pPr>
            <w:r>
              <w:t xml:space="preserve">Data </w:t>
            </w:r>
            <w:r w:rsidR="003302AE">
              <w:t xml:space="preserve">are supplied for the </w:t>
            </w:r>
            <w:proofErr w:type="spellStart"/>
            <w:r w:rsidR="003302AE">
              <w:t>RoGS</w:t>
            </w:r>
            <w:proofErr w:type="spellEnd"/>
            <w:r w:rsidR="003302AE">
              <w:t xml:space="preserve"> according to the specific </w:t>
            </w:r>
            <w:proofErr w:type="spellStart"/>
            <w:r w:rsidR="003302AE">
              <w:t>RoGS</w:t>
            </w:r>
            <w:proofErr w:type="spellEnd"/>
            <w:r w:rsidR="003302AE">
              <w:t xml:space="preserve"> counting rules. </w:t>
            </w:r>
          </w:p>
          <w:p w:rsidR="00730827" w:rsidRPr="001A7053" w:rsidRDefault="003302AE" w:rsidP="00F915CD">
            <w:pPr>
              <w:pStyle w:val="TableBodyText"/>
              <w:keepNext w:val="0"/>
              <w:spacing w:after="120"/>
              <w:jc w:val="both"/>
            </w:pPr>
            <w:r>
              <w:t>In many cases</w:t>
            </w:r>
            <w:r w:rsidRPr="00D84159">
              <w:t xml:space="preserve"> </w:t>
            </w:r>
            <w:r>
              <w:t xml:space="preserve">the </w:t>
            </w:r>
            <w:proofErr w:type="spellStart"/>
            <w:r>
              <w:t>RoGS</w:t>
            </w:r>
            <w:proofErr w:type="spellEnd"/>
            <w:r w:rsidRPr="00D84159">
              <w:t xml:space="preserve"> align</w:t>
            </w:r>
            <w:r>
              <w:t>s</w:t>
            </w:r>
            <w:r w:rsidRPr="00D84159">
              <w:t xml:space="preserve"> with</w:t>
            </w:r>
            <w:r>
              <w:t xml:space="preserve"> data published in</w:t>
            </w:r>
            <w:r w:rsidRPr="00D84159">
              <w:t xml:space="preserve"> </w:t>
            </w:r>
            <w:r>
              <w:t xml:space="preserve">jurisdictional reports, e.g. annual reports. Some jurisdictions may also publish different data which may not align with </w:t>
            </w:r>
            <w:proofErr w:type="spellStart"/>
            <w:r>
              <w:t>RoGS</w:t>
            </w:r>
            <w:proofErr w:type="spellEnd"/>
            <w:r>
              <w:t>.</w:t>
            </w:r>
          </w:p>
        </w:tc>
      </w:tr>
      <w:tr w:rsidR="00730827" w:rsidTr="00DD3D61">
        <w:tc>
          <w:tcPr>
            <w:tcW w:w="922" w:type="pct"/>
          </w:tcPr>
          <w:p w:rsidR="00730827" w:rsidRPr="00C744E0" w:rsidRDefault="00730827" w:rsidP="00464ABC">
            <w:pPr>
              <w:pStyle w:val="TableBodyText"/>
              <w:keepNext w:val="0"/>
              <w:jc w:val="left"/>
              <w:rPr>
                <w:b/>
              </w:rPr>
            </w:pPr>
            <w:r w:rsidRPr="00C744E0">
              <w:rPr>
                <w:b/>
              </w:rPr>
              <w:t>Interpretability</w:t>
            </w:r>
          </w:p>
        </w:tc>
        <w:tc>
          <w:tcPr>
            <w:tcW w:w="4078" w:type="pct"/>
          </w:tcPr>
          <w:p w:rsidR="00730827" w:rsidRPr="001A7053" w:rsidRDefault="003302AE" w:rsidP="00F915CD">
            <w:pPr>
              <w:pStyle w:val="TableBodyText"/>
              <w:keepNext w:val="0"/>
              <w:spacing w:after="120"/>
              <w:jc w:val="both"/>
            </w:pPr>
            <w:r>
              <w:rPr>
                <w:rFonts w:ascii="Helvetica" w:hAnsi="Helvetica"/>
                <w:lang w:val="en"/>
              </w:rPr>
              <w:t>Contextual information for fees collected and lodgment data are prov</w:t>
            </w:r>
            <w:r w:rsidR="009C1776">
              <w:rPr>
                <w:rFonts w:ascii="Helvetica" w:hAnsi="Helvetica"/>
                <w:lang w:val="en"/>
              </w:rPr>
              <w:t>ided in the Courts</w:t>
            </w:r>
            <w:r>
              <w:rPr>
                <w:rFonts w:ascii="Helvetica" w:hAnsi="Helvetica"/>
                <w:lang w:val="en"/>
              </w:rPr>
              <w:t xml:space="preserve"> chapter and attachment tables.</w:t>
            </w:r>
          </w:p>
        </w:tc>
      </w:tr>
      <w:tr w:rsidR="00730827" w:rsidTr="00730827">
        <w:tc>
          <w:tcPr>
            <w:tcW w:w="5000" w:type="pct"/>
            <w:gridSpan w:val="2"/>
            <w:shd w:val="clear" w:color="auto" w:fill="auto"/>
          </w:tcPr>
          <w:p w:rsidR="00730827" w:rsidRPr="00C744E0" w:rsidRDefault="00730827" w:rsidP="00F915CD">
            <w:pPr>
              <w:pStyle w:val="TableBodyText"/>
              <w:spacing w:after="120"/>
              <w:jc w:val="left"/>
              <w:rPr>
                <w:b/>
                <w:u w:val="single"/>
              </w:rPr>
            </w:pPr>
            <w:r w:rsidRPr="00C744E0">
              <w:rPr>
                <w:b/>
                <w:u w:val="single"/>
              </w:rPr>
              <w:t>Data Gaps/Issues Analysis</w:t>
            </w:r>
          </w:p>
        </w:tc>
      </w:tr>
      <w:tr w:rsidR="00730827" w:rsidTr="00DD3D61">
        <w:tc>
          <w:tcPr>
            <w:tcW w:w="922" w:type="pct"/>
            <w:shd w:val="clear" w:color="auto" w:fill="auto"/>
          </w:tcPr>
          <w:p w:rsidR="00730827" w:rsidRPr="00C744E0" w:rsidRDefault="00730827" w:rsidP="00730827">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730827" w:rsidRDefault="00730827" w:rsidP="003302AE">
            <w:pPr>
              <w:pStyle w:val="TableBodyText"/>
              <w:jc w:val="both"/>
            </w:pPr>
            <w:r w:rsidRPr="00B96E3E">
              <w:t>The Steering Committee no</w:t>
            </w:r>
            <w:r w:rsidR="00277B72">
              <w:t xml:space="preserve">tes the following </w:t>
            </w:r>
            <w:r w:rsidRPr="00B96E3E">
              <w:t xml:space="preserve">issues: </w:t>
            </w:r>
          </w:p>
          <w:p w:rsidR="00730827" w:rsidRPr="00B96E3E" w:rsidRDefault="003302AE" w:rsidP="00AB09FE">
            <w:pPr>
              <w:pStyle w:val="TableBullet"/>
              <w:jc w:val="both"/>
            </w:pPr>
            <w:r>
              <w:t>While ‘fees paid by applicants’ is an indicator of accessibility to court services</w:t>
            </w:r>
            <w:r w:rsidR="00AB09FE">
              <w:t>, the broader legal costs for applicants are much higher and are likely to have a greater impact on accessibility.</w:t>
            </w:r>
          </w:p>
        </w:tc>
      </w:tr>
    </w:tbl>
    <w:p w:rsidR="00016770" w:rsidRPr="00016770" w:rsidRDefault="00016770" w:rsidP="00016770">
      <w:pPr>
        <w:pStyle w:val="Heading3"/>
        <w:spacing w:before="120"/>
      </w:pPr>
      <w:r>
        <w:br w:type="page"/>
      </w:r>
      <w:bookmarkStart w:id="10" w:name="_Toc338344189"/>
      <w:r w:rsidRPr="00016770">
        <w:lastRenderedPageBreak/>
        <w:t>Judicial officers (as expressed per 100 000 population)</w:t>
      </w:r>
      <w:bookmarkEnd w:id="10"/>
    </w:p>
    <w:p w:rsidR="00016770" w:rsidRPr="00101653" w:rsidRDefault="00016770" w:rsidP="00016770">
      <w:pPr>
        <w:pStyle w:val="Box"/>
      </w:pPr>
      <w:r w:rsidRPr="00016770">
        <w:t>Data quality information for this indicator has been drafted by the Secretariat in consultation with the Court</w:t>
      </w:r>
      <w:r w:rsidR="009C1776">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016770" w:rsidTr="00016770">
        <w:tc>
          <w:tcPr>
            <w:tcW w:w="5000" w:type="pct"/>
            <w:gridSpan w:val="2"/>
          </w:tcPr>
          <w:p w:rsidR="00016770" w:rsidRDefault="00016770" w:rsidP="00016770">
            <w:pPr>
              <w:pStyle w:val="TableBodyText"/>
              <w:jc w:val="both"/>
              <w:rPr>
                <w:b/>
                <w:u w:val="single"/>
              </w:rPr>
            </w:pPr>
          </w:p>
          <w:p w:rsidR="00016770" w:rsidRDefault="00016770" w:rsidP="00016770">
            <w:pPr>
              <w:pStyle w:val="TableBodyText"/>
              <w:jc w:val="both"/>
            </w:pPr>
            <w:r w:rsidRPr="007D0BFD">
              <w:rPr>
                <w:b/>
                <w:u w:val="single"/>
              </w:rPr>
              <w:t>Indicator definition and description</w:t>
            </w:r>
            <w:r>
              <w:rPr>
                <w:rFonts w:cs="Arial"/>
                <w:b/>
                <w:sz w:val="22"/>
                <w:szCs w:val="22"/>
                <w:u w:val="single"/>
              </w:rPr>
              <w:t xml:space="preserve"> </w:t>
            </w:r>
          </w:p>
        </w:tc>
      </w:tr>
      <w:tr w:rsidR="002E75EF" w:rsidTr="00016770">
        <w:tc>
          <w:tcPr>
            <w:tcW w:w="922" w:type="pct"/>
          </w:tcPr>
          <w:p w:rsidR="002E75EF" w:rsidRPr="00C744E0" w:rsidRDefault="002E75EF" w:rsidP="002E75EF">
            <w:pPr>
              <w:pStyle w:val="TableBodyText"/>
              <w:jc w:val="left"/>
              <w:rPr>
                <w:b/>
              </w:rPr>
            </w:pPr>
            <w:r w:rsidRPr="00C744E0">
              <w:rPr>
                <w:b/>
              </w:rPr>
              <w:t>Element</w:t>
            </w:r>
          </w:p>
        </w:tc>
        <w:tc>
          <w:tcPr>
            <w:tcW w:w="4078" w:type="pct"/>
          </w:tcPr>
          <w:p w:rsidR="002E75EF" w:rsidRPr="00A1569C" w:rsidRDefault="002E75EF" w:rsidP="00881299">
            <w:pPr>
              <w:pStyle w:val="TableBodyText"/>
              <w:spacing w:after="120"/>
              <w:jc w:val="both"/>
            </w:pPr>
            <w:r>
              <w:t>Co</w:t>
            </w:r>
            <w:r w:rsidR="0051376F">
              <w:t>urt</w:t>
            </w:r>
            <w:r w:rsidR="009C1776">
              <w:t>s</w:t>
            </w:r>
            <w:r w:rsidR="0051376F">
              <w:t xml:space="preserve"> Equity</w:t>
            </w:r>
            <w:r>
              <w:t xml:space="preserve"> – Access – Geographical access</w:t>
            </w:r>
          </w:p>
        </w:tc>
      </w:tr>
      <w:tr w:rsidR="002E75EF" w:rsidTr="00016770">
        <w:tc>
          <w:tcPr>
            <w:tcW w:w="922" w:type="pct"/>
          </w:tcPr>
          <w:p w:rsidR="002E75EF" w:rsidRPr="00C744E0" w:rsidRDefault="002E75EF" w:rsidP="002E75EF">
            <w:pPr>
              <w:pStyle w:val="TableBodyText"/>
              <w:jc w:val="left"/>
              <w:rPr>
                <w:b/>
              </w:rPr>
            </w:pPr>
            <w:r w:rsidRPr="00C744E0">
              <w:rPr>
                <w:b/>
              </w:rPr>
              <w:t>Indicator</w:t>
            </w:r>
          </w:p>
        </w:tc>
        <w:tc>
          <w:tcPr>
            <w:tcW w:w="4078" w:type="pct"/>
          </w:tcPr>
          <w:p w:rsidR="002E75EF" w:rsidRPr="00E17A32" w:rsidRDefault="002E75EF" w:rsidP="00881299">
            <w:pPr>
              <w:pStyle w:val="TableBodyText"/>
              <w:spacing w:after="120"/>
              <w:jc w:val="both"/>
            </w:pPr>
            <w:r>
              <w:t>Judicial officers (as expressed per 100 000 population)</w:t>
            </w:r>
          </w:p>
        </w:tc>
      </w:tr>
      <w:tr w:rsidR="00016770" w:rsidTr="00016770">
        <w:tc>
          <w:tcPr>
            <w:tcW w:w="922" w:type="pct"/>
          </w:tcPr>
          <w:p w:rsidR="00016770" w:rsidRPr="00C744E0" w:rsidRDefault="00016770" w:rsidP="00016770">
            <w:pPr>
              <w:pStyle w:val="TableBodyText"/>
              <w:jc w:val="left"/>
              <w:rPr>
                <w:b/>
              </w:rPr>
            </w:pPr>
            <w:r w:rsidRPr="00C744E0">
              <w:rPr>
                <w:b/>
              </w:rPr>
              <w:t>Measure (computation)</w:t>
            </w:r>
          </w:p>
        </w:tc>
        <w:tc>
          <w:tcPr>
            <w:tcW w:w="4078" w:type="pct"/>
          </w:tcPr>
          <w:p w:rsidR="00BA4127" w:rsidRPr="00BA4127" w:rsidRDefault="00BA4127" w:rsidP="00BA4127">
            <w:pPr>
              <w:pStyle w:val="TableBodyText"/>
              <w:spacing w:after="120"/>
              <w:jc w:val="both"/>
              <w:rPr>
                <w:u w:val="single"/>
              </w:rPr>
            </w:pPr>
            <w:r>
              <w:rPr>
                <w:u w:val="single"/>
              </w:rPr>
              <w:t>Definition</w:t>
            </w:r>
          </w:p>
          <w:p w:rsidR="007B6817" w:rsidRDefault="00BA4127" w:rsidP="00406582">
            <w:pPr>
              <w:pStyle w:val="TableBodyText"/>
              <w:jc w:val="both"/>
            </w:pPr>
            <w:r>
              <w:t xml:space="preserve">The number of </w:t>
            </w:r>
            <w:r w:rsidR="007B6817">
              <w:t>officers who can make enforceable orders of the court. This can include judges, associate judges, magistrates, coroners and judicial registrars.</w:t>
            </w:r>
          </w:p>
          <w:p w:rsidR="007B6817" w:rsidRDefault="007B6817" w:rsidP="00406582">
            <w:pPr>
              <w:pStyle w:val="TableBodyText"/>
              <w:jc w:val="both"/>
            </w:pPr>
            <w:r>
              <w:rPr>
                <w:u w:val="single"/>
              </w:rPr>
              <w:t>Numerator</w:t>
            </w:r>
          </w:p>
          <w:p w:rsidR="007B6817" w:rsidRDefault="007B6817" w:rsidP="00406582">
            <w:pPr>
              <w:pStyle w:val="TableBullet"/>
              <w:numPr>
                <w:ilvl w:val="0"/>
                <w:numId w:val="42"/>
              </w:numPr>
              <w:spacing w:line="220" w:lineRule="exact"/>
              <w:jc w:val="both"/>
            </w:pPr>
            <w:r>
              <w:t>Number of full time equivalent judicial officers</w:t>
            </w:r>
            <w:r w:rsidR="00BA4127">
              <w:t>. Where judicial officers have both judicial and non-judicial work, refers to the proportion of time allocated to judicial work.</w:t>
            </w:r>
          </w:p>
          <w:p w:rsidR="007B6817" w:rsidRPr="005D4651" w:rsidRDefault="007B6817" w:rsidP="00406582">
            <w:pPr>
              <w:pStyle w:val="TableBodyText"/>
              <w:jc w:val="both"/>
            </w:pPr>
            <w:r>
              <w:rPr>
                <w:u w:val="single"/>
              </w:rPr>
              <w:t>Denominator</w:t>
            </w:r>
          </w:p>
          <w:p w:rsidR="007B6817" w:rsidRDefault="007B6817" w:rsidP="00406582">
            <w:pPr>
              <w:pStyle w:val="TableBullet"/>
              <w:numPr>
                <w:ilvl w:val="0"/>
                <w:numId w:val="42"/>
              </w:numPr>
              <w:spacing w:line="220" w:lineRule="exact"/>
              <w:jc w:val="both"/>
            </w:pPr>
            <w:r>
              <w:t>Estimated residential population in</w:t>
            </w:r>
            <w:r w:rsidR="00BA4127">
              <w:t xml:space="preserve"> relevant</w:t>
            </w:r>
            <w:r>
              <w:t xml:space="preserve"> jurisdiction as at 31 December</w:t>
            </w:r>
          </w:p>
          <w:p w:rsidR="00BA4127" w:rsidRPr="00BA4127" w:rsidRDefault="00BA4127" w:rsidP="00BA4127">
            <w:pPr>
              <w:pStyle w:val="DQITableText"/>
              <w:spacing w:after="120"/>
              <w:rPr>
                <w:u w:val="single"/>
              </w:rPr>
            </w:pPr>
            <w:r>
              <w:rPr>
                <w:u w:val="single"/>
              </w:rPr>
              <w:t>Computation</w:t>
            </w:r>
          </w:p>
          <w:p w:rsidR="00016770" w:rsidRPr="00B96E3E" w:rsidRDefault="00BA4127" w:rsidP="00105DC4">
            <w:pPr>
              <w:pStyle w:val="TableBodyText"/>
              <w:spacing w:after="120"/>
              <w:jc w:val="both"/>
            </w:pPr>
            <w:r>
              <w:t>Numerator divided by th</w:t>
            </w:r>
            <w:r w:rsidR="00362FC9">
              <w:t>e denominator multiplied by 100 </w:t>
            </w:r>
            <w:r>
              <w:t>000.</w:t>
            </w:r>
          </w:p>
        </w:tc>
      </w:tr>
      <w:tr w:rsidR="00016770" w:rsidTr="00016770">
        <w:tc>
          <w:tcPr>
            <w:tcW w:w="922" w:type="pct"/>
          </w:tcPr>
          <w:p w:rsidR="00016770" w:rsidRPr="00C744E0" w:rsidRDefault="00016770" w:rsidP="00016770">
            <w:pPr>
              <w:pStyle w:val="TableBodyText"/>
              <w:jc w:val="left"/>
              <w:rPr>
                <w:b/>
              </w:rPr>
            </w:pPr>
            <w:r w:rsidRPr="00C744E0">
              <w:rPr>
                <w:b/>
              </w:rPr>
              <w:t>Data source/s</w:t>
            </w:r>
          </w:p>
        </w:tc>
        <w:tc>
          <w:tcPr>
            <w:tcW w:w="4078" w:type="pct"/>
          </w:tcPr>
          <w:p w:rsidR="007B6817" w:rsidRPr="005267AF" w:rsidRDefault="007B6817" w:rsidP="005C04C8">
            <w:pPr>
              <w:pStyle w:val="TableBodyText"/>
              <w:spacing w:after="120"/>
              <w:jc w:val="both"/>
              <w:rPr>
                <w:u w:val="single"/>
              </w:rPr>
            </w:pPr>
            <w:r>
              <w:rPr>
                <w:u w:val="single"/>
              </w:rPr>
              <w:t>Numerator</w:t>
            </w:r>
          </w:p>
          <w:p w:rsidR="007B6817" w:rsidRDefault="005C04C8" w:rsidP="00105DC4">
            <w:pPr>
              <w:pStyle w:val="TableBodyText"/>
              <w:spacing w:after="120"/>
              <w:jc w:val="both"/>
            </w:pPr>
            <w:r>
              <w:t>D</w:t>
            </w:r>
            <w:r w:rsidR="007B6817">
              <w:t>ata</w:t>
            </w:r>
            <w:r w:rsidR="007B6817" w:rsidRPr="00C34F8E">
              <w:t xml:space="preserve"> are</w:t>
            </w:r>
            <w:r w:rsidR="0069084E">
              <w:t xml:space="preserve"> unpublished and</w:t>
            </w:r>
            <w:r w:rsidR="007B6817" w:rsidRPr="00C34F8E">
              <w:t xml:space="preserve"> sourced from</w:t>
            </w:r>
            <w:r w:rsidR="007B6817">
              <w:t xml:space="preserve"> Australian, State and Territory court</w:t>
            </w:r>
            <w:r w:rsidR="0001275F">
              <w:t>s</w:t>
            </w:r>
            <w:r w:rsidR="007B6817">
              <w:t xml:space="preserve"> authorities and departments.</w:t>
            </w:r>
          </w:p>
          <w:p w:rsidR="007B6817" w:rsidRDefault="007B6817" w:rsidP="005C04C8">
            <w:pPr>
              <w:pStyle w:val="TableBodyText"/>
              <w:spacing w:after="120"/>
              <w:jc w:val="both"/>
              <w:rPr>
                <w:u w:val="single"/>
              </w:rPr>
            </w:pPr>
            <w:r>
              <w:rPr>
                <w:u w:val="single"/>
              </w:rPr>
              <w:t>Denominator</w:t>
            </w:r>
          </w:p>
          <w:p w:rsidR="00016770" w:rsidRPr="00B96E3E" w:rsidRDefault="007B6817" w:rsidP="002941DF">
            <w:pPr>
              <w:pStyle w:val="TableBodyText"/>
              <w:spacing w:after="120"/>
              <w:jc w:val="both"/>
            </w:pPr>
            <w:r>
              <w:t>ABS (Austr</w:t>
            </w:r>
            <w:r w:rsidR="000716D9">
              <w:t>alian Bureau o</w:t>
            </w:r>
            <w:r w:rsidR="005C04C8">
              <w:t>f Statistics) (unpublished) 2015</w:t>
            </w:r>
            <w:r>
              <w:t xml:space="preserve"> and previous years, </w:t>
            </w:r>
            <w:r>
              <w:rPr>
                <w:i/>
              </w:rPr>
              <w:t>Australian Demog</w:t>
            </w:r>
            <w:r w:rsidR="004F5DC6">
              <w:rPr>
                <w:i/>
              </w:rPr>
              <w:t>raphic Statistic</w:t>
            </w:r>
            <w:r w:rsidR="000716D9">
              <w:rPr>
                <w:i/>
              </w:rPr>
              <w:t>s</w:t>
            </w:r>
            <w:r>
              <w:t xml:space="preserve">, Cat no. 3101.0, </w:t>
            </w:r>
            <w:smartTag w:uri="urn:schemas-microsoft-com:office:smarttags" w:element="place">
              <w:smartTag w:uri="urn:schemas-microsoft-com:office:smarttags" w:element="City">
                <w:r>
                  <w:t>Canberra</w:t>
                </w:r>
              </w:smartTag>
            </w:smartTag>
            <w:r>
              <w:t xml:space="preserve">. For more detail about the population data used in the Report see </w:t>
            </w:r>
            <w:proofErr w:type="spellStart"/>
            <w:r>
              <w:t>RoGS</w:t>
            </w:r>
            <w:proofErr w:type="spellEnd"/>
            <w:r>
              <w:t xml:space="preserve"> Attachment Tabl</w:t>
            </w:r>
            <w:r w:rsidR="000716D9">
              <w:t xml:space="preserve">e </w:t>
            </w:r>
            <w:proofErr w:type="spellStart"/>
            <w:r>
              <w:t>2</w:t>
            </w:r>
            <w:r w:rsidR="000716D9">
              <w:t>A</w:t>
            </w:r>
            <w:proofErr w:type="spellEnd"/>
            <w:r w:rsidR="000716D9">
              <w:t xml:space="preserve"> statistical context</w:t>
            </w:r>
            <w:r w:rsidR="004C095B">
              <w:t>.</w:t>
            </w:r>
          </w:p>
        </w:tc>
      </w:tr>
      <w:tr w:rsidR="00016770" w:rsidTr="00016770">
        <w:tc>
          <w:tcPr>
            <w:tcW w:w="5000" w:type="pct"/>
            <w:gridSpan w:val="2"/>
          </w:tcPr>
          <w:p w:rsidR="00016770" w:rsidRPr="00C744E0" w:rsidRDefault="00016770" w:rsidP="002941DF">
            <w:pPr>
              <w:pStyle w:val="TableBodyText"/>
              <w:spacing w:after="120"/>
              <w:jc w:val="both"/>
              <w:rPr>
                <w:b/>
                <w:u w:val="single"/>
              </w:rPr>
            </w:pPr>
            <w:r w:rsidRPr="00C744E0">
              <w:rPr>
                <w:b/>
                <w:u w:val="single"/>
              </w:rPr>
              <w:t>Data Quality Framework Dimensions</w:t>
            </w:r>
          </w:p>
        </w:tc>
      </w:tr>
      <w:tr w:rsidR="00016770" w:rsidTr="00016770">
        <w:tc>
          <w:tcPr>
            <w:tcW w:w="922" w:type="pct"/>
          </w:tcPr>
          <w:p w:rsidR="00016770" w:rsidRPr="00C744E0" w:rsidRDefault="00016770" w:rsidP="00016770">
            <w:pPr>
              <w:pStyle w:val="TableBodyText"/>
              <w:jc w:val="left"/>
              <w:rPr>
                <w:b/>
              </w:rPr>
            </w:pPr>
            <w:r w:rsidRPr="00C744E0">
              <w:rPr>
                <w:b/>
              </w:rPr>
              <w:t>Institutional environment</w:t>
            </w:r>
          </w:p>
        </w:tc>
        <w:tc>
          <w:tcPr>
            <w:tcW w:w="4078" w:type="pct"/>
          </w:tcPr>
          <w:p w:rsidR="00406582" w:rsidRPr="00FA2F8F" w:rsidRDefault="00406582" w:rsidP="002C1ECC">
            <w:pPr>
              <w:pStyle w:val="TableBodyText"/>
              <w:spacing w:after="120"/>
              <w:jc w:val="both"/>
              <w:rPr>
                <w:rFonts w:cs="Arial"/>
              </w:rPr>
            </w:pPr>
            <w:r>
              <w:rPr>
                <w:rFonts w:cs="Arial"/>
                <w:u w:val="single"/>
              </w:rPr>
              <w:t>Numerator</w:t>
            </w:r>
            <w:r>
              <w:rPr>
                <w:rFonts w:cs="Arial"/>
              </w:rPr>
              <w:t xml:space="preserve"> </w:t>
            </w:r>
          </w:p>
          <w:p w:rsidR="00406582" w:rsidRDefault="00406582" w:rsidP="00406582">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sidR="0001275F">
              <w:rPr>
                <w:rFonts w:cs="Arial"/>
              </w:rPr>
              <w:t>authority</w:t>
            </w:r>
            <w:r>
              <w:rPr>
                <w:rFonts w:cs="Arial"/>
              </w:rPr>
              <w:t xml:space="preserve">.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406582" w:rsidRDefault="00406582" w:rsidP="00105DC4">
            <w:pPr>
              <w:pStyle w:val="TableBodyText"/>
              <w:spacing w:after="120"/>
              <w:jc w:val="both"/>
              <w:rPr>
                <w:rFonts w:cs="Arial"/>
              </w:rPr>
            </w:pPr>
            <w:r>
              <w:rPr>
                <w:rFonts w:cs="Arial"/>
              </w:rPr>
              <w:t>The data are requested an</w:t>
            </w:r>
            <w:r w:rsidR="001E1B06">
              <w:rPr>
                <w:rFonts w:cs="Arial"/>
              </w:rPr>
              <w:t xml:space="preserve">d submitted in accordance with </w:t>
            </w:r>
            <w:r>
              <w:rPr>
                <w:rFonts w:cs="Arial"/>
              </w:rPr>
              <w:t xml:space="preserve">the </w:t>
            </w:r>
            <w:r w:rsidRPr="00997DC6">
              <w:rPr>
                <w:color w:val="000000"/>
              </w:rPr>
              <w:t>authority</w:t>
            </w:r>
            <w:r>
              <w:rPr>
                <w:rFonts w:cs="Arial"/>
              </w:rPr>
              <w:t xml:space="preserve"> of the terms of reference of the Review of Government Service Provision.</w:t>
            </w:r>
          </w:p>
          <w:p w:rsidR="00406582" w:rsidRPr="00FA2F8F" w:rsidRDefault="00406582" w:rsidP="002C1ECC">
            <w:pPr>
              <w:pStyle w:val="TableBodyText"/>
              <w:spacing w:after="120"/>
              <w:jc w:val="both"/>
            </w:pPr>
            <w:r w:rsidRPr="00EF61C2">
              <w:rPr>
                <w:u w:val="single"/>
              </w:rPr>
              <w:t>Denominator</w:t>
            </w:r>
            <w:r>
              <w:t xml:space="preserve"> — Estimated residential population</w:t>
            </w:r>
          </w:p>
          <w:p w:rsidR="00406582" w:rsidRPr="00EF61C2" w:rsidRDefault="00406582" w:rsidP="00406582">
            <w:pPr>
              <w:pStyle w:val="TableBodyText"/>
              <w:jc w:val="both"/>
              <w:rPr>
                <w:i/>
                <w:color w:val="000000"/>
              </w:rPr>
            </w:pPr>
            <w:r>
              <w:rPr>
                <w:color w:val="000000"/>
              </w:rPr>
              <w:t xml:space="preserve">For information on the institutional environment of the ABS, including the legislative obligations of the ABS, financial and government arrangements, and mechanisms for scrutiny of ABS operations, see </w:t>
            </w:r>
            <w:r w:rsidRPr="00EF61C2">
              <w:rPr>
                <w:i/>
                <w:color w:val="000000"/>
              </w:rPr>
              <w:t>ABS Institutional Environment.</w:t>
            </w:r>
          </w:p>
          <w:p w:rsidR="00016770" w:rsidRPr="00062F62" w:rsidRDefault="00406582" w:rsidP="00105DC4">
            <w:pPr>
              <w:pStyle w:val="TableBodyText"/>
              <w:keepNext w:val="0"/>
              <w:spacing w:after="120"/>
              <w:jc w:val="both"/>
              <w:rPr>
                <w:rFonts w:cs="Arial"/>
              </w:rPr>
            </w:pPr>
            <w:r>
              <w:rPr>
                <w:color w:val="000000"/>
              </w:rPr>
              <w:t>The</w:t>
            </w:r>
            <w:r w:rsidRPr="00F309D0">
              <w:rPr>
                <w:color w:val="000000"/>
              </w:rPr>
              <w:t xml:space="preserve"> calculations </w:t>
            </w:r>
            <w:r>
              <w:rPr>
                <w:color w:val="000000"/>
              </w:rPr>
              <w:t xml:space="preserve">associated with the use of ABS data are </w:t>
            </w:r>
            <w:r w:rsidRPr="00F309D0">
              <w:rPr>
                <w:color w:val="000000"/>
              </w:rPr>
              <w:t>applie</w:t>
            </w:r>
            <w:r>
              <w:rPr>
                <w:color w:val="000000"/>
              </w:rPr>
              <w:t>d by the Report on Government Services Secretariat.</w:t>
            </w:r>
          </w:p>
        </w:tc>
      </w:tr>
      <w:tr w:rsidR="00016770" w:rsidTr="00016770">
        <w:tc>
          <w:tcPr>
            <w:tcW w:w="922" w:type="pct"/>
          </w:tcPr>
          <w:p w:rsidR="00016770" w:rsidRPr="00C744E0" w:rsidRDefault="00016770" w:rsidP="00016770">
            <w:pPr>
              <w:pStyle w:val="TableBodyText"/>
              <w:jc w:val="left"/>
              <w:rPr>
                <w:b/>
              </w:rPr>
            </w:pPr>
            <w:r w:rsidRPr="00C744E0">
              <w:rPr>
                <w:b/>
              </w:rPr>
              <w:t>Relevance</w:t>
            </w:r>
          </w:p>
        </w:tc>
        <w:tc>
          <w:tcPr>
            <w:tcW w:w="4078" w:type="pct"/>
          </w:tcPr>
          <w:p w:rsidR="00016770" w:rsidRPr="00B96E3E" w:rsidRDefault="00406582" w:rsidP="00FF4683">
            <w:pPr>
              <w:pStyle w:val="TableBullet"/>
              <w:numPr>
                <w:ilvl w:val="0"/>
                <w:numId w:val="0"/>
              </w:numPr>
              <w:spacing w:after="120"/>
              <w:jc w:val="both"/>
            </w:pPr>
            <w:r w:rsidRPr="00EE1308">
              <w:t xml:space="preserve">This indicator </w:t>
            </w:r>
            <w:r>
              <w:t xml:space="preserve">seeks to reflect the availability of judicial officers to the community, by relating the number of judicial officers to the size of the jurisdictional population. </w:t>
            </w:r>
            <w:r w:rsidRPr="00EE1308">
              <w:t>However</w:t>
            </w:r>
            <w:r>
              <w:t xml:space="preserve"> geographical and other</w:t>
            </w:r>
            <w:r w:rsidRPr="00EE1308">
              <w:t xml:space="preserve"> factors such as remoteness of populations and workload, which are not represented in the indicator, need to be considered when comparing results.  </w:t>
            </w:r>
          </w:p>
        </w:tc>
      </w:tr>
      <w:tr w:rsidR="00016770" w:rsidTr="00016770">
        <w:tc>
          <w:tcPr>
            <w:tcW w:w="922" w:type="pct"/>
          </w:tcPr>
          <w:p w:rsidR="00016770" w:rsidRPr="00C744E0" w:rsidRDefault="00016770" w:rsidP="00016770">
            <w:pPr>
              <w:pStyle w:val="TableBodyText"/>
              <w:jc w:val="both"/>
              <w:rPr>
                <w:b/>
              </w:rPr>
            </w:pPr>
            <w:r w:rsidRPr="00C744E0">
              <w:rPr>
                <w:b/>
              </w:rPr>
              <w:t>Timeliness</w:t>
            </w:r>
          </w:p>
        </w:tc>
        <w:tc>
          <w:tcPr>
            <w:tcW w:w="4078" w:type="pct"/>
          </w:tcPr>
          <w:p w:rsidR="00406582" w:rsidRDefault="00406582" w:rsidP="007210E9">
            <w:pPr>
              <w:pStyle w:val="TableBodyText"/>
              <w:keepNext w:val="0"/>
              <w:tabs>
                <w:tab w:val="left" w:pos="369"/>
              </w:tabs>
              <w:spacing w:after="120"/>
              <w:ind w:left="369" w:hanging="363"/>
              <w:jc w:val="both"/>
            </w:pPr>
            <w:r w:rsidRPr="00952528">
              <w:rPr>
                <w:u w:val="single"/>
              </w:rPr>
              <w:t>Numerator</w:t>
            </w:r>
            <w:r>
              <w:t xml:space="preserve"> </w:t>
            </w:r>
          </w:p>
          <w:p w:rsidR="00406582" w:rsidRDefault="00406582" w:rsidP="00406582">
            <w:pPr>
              <w:pStyle w:val="TableBodyText"/>
              <w:keepNext w:val="0"/>
              <w:jc w:val="both"/>
            </w:pPr>
            <w:r>
              <w:t>The reference period</w:t>
            </w:r>
            <w:r w:rsidR="00333779">
              <w:t xml:space="preserve"> is the </w:t>
            </w:r>
            <w:r w:rsidR="007210E9">
              <w:t>2014-15</w:t>
            </w:r>
            <w:r>
              <w:t xml:space="preserve"> financial year. Dat</w:t>
            </w:r>
            <w:r w:rsidR="007210E9">
              <w:t>a are provided in September 2015</w:t>
            </w:r>
            <w:r>
              <w:t>,</w:t>
            </w:r>
            <w:r w:rsidR="008C788C">
              <w:t xml:space="preserve"> for publication in January 201</w:t>
            </w:r>
            <w:r w:rsidR="007210E9">
              <w:t>6</w:t>
            </w:r>
            <w:r>
              <w:t>.</w:t>
            </w:r>
          </w:p>
          <w:p w:rsidR="00406582" w:rsidRDefault="00406582" w:rsidP="00FF4683">
            <w:pPr>
              <w:pStyle w:val="TableBodyText"/>
              <w:keepNext w:val="0"/>
              <w:spacing w:after="120"/>
              <w:jc w:val="both"/>
            </w:pPr>
            <w:r>
              <w:t>Data can be revised retrospectively up to 5 years later.</w:t>
            </w:r>
          </w:p>
          <w:p w:rsidR="00406582" w:rsidRDefault="00406582" w:rsidP="007210E9">
            <w:pPr>
              <w:pStyle w:val="TableBodyText"/>
              <w:keepNext w:val="0"/>
              <w:spacing w:after="120"/>
              <w:jc w:val="both"/>
            </w:pPr>
            <w:r>
              <w:rPr>
                <w:u w:val="single"/>
              </w:rPr>
              <w:t>Denominator</w:t>
            </w:r>
            <w:r>
              <w:t xml:space="preserve"> </w:t>
            </w:r>
          </w:p>
          <w:p w:rsidR="00016770" w:rsidRPr="009F199D" w:rsidRDefault="00406582" w:rsidP="00406582">
            <w:pPr>
              <w:pStyle w:val="TableBodyText"/>
              <w:keepNext w:val="0"/>
              <w:jc w:val="both"/>
            </w:pPr>
            <w:r>
              <w:t xml:space="preserve">The reference period for population data is the financial year midpoint (31 December) </w:t>
            </w:r>
            <w:r>
              <w:lastRenderedPageBreak/>
              <w:t>estimate.</w:t>
            </w:r>
          </w:p>
        </w:tc>
      </w:tr>
      <w:tr w:rsidR="00406582" w:rsidTr="00016770">
        <w:tc>
          <w:tcPr>
            <w:tcW w:w="922" w:type="pct"/>
          </w:tcPr>
          <w:p w:rsidR="00406582" w:rsidRPr="00C744E0" w:rsidRDefault="00406582" w:rsidP="00016770">
            <w:pPr>
              <w:pStyle w:val="TableBodyText"/>
              <w:jc w:val="left"/>
              <w:rPr>
                <w:b/>
              </w:rPr>
            </w:pPr>
            <w:r w:rsidRPr="00C744E0">
              <w:rPr>
                <w:b/>
              </w:rPr>
              <w:lastRenderedPageBreak/>
              <w:t>Accuracy</w:t>
            </w:r>
          </w:p>
        </w:tc>
        <w:tc>
          <w:tcPr>
            <w:tcW w:w="4078" w:type="pct"/>
          </w:tcPr>
          <w:p w:rsidR="00406582" w:rsidRPr="00FC7487" w:rsidRDefault="00406582" w:rsidP="00406582">
            <w:pPr>
              <w:pStyle w:val="TableBullet"/>
              <w:keepNext w:val="0"/>
              <w:numPr>
                <w:ilvl w:val="0"/>
                <w:numId w:val="0"/>
              </w:numPr>
              <w:jc w:val="both"/>
            </w:pPr>
            <w:r w:rsidRPr="00FC7487">
              <w:t xml:space="preserve">The identification of judicial officer numbers </w:t>
            </w:r>
            <w:r>
              <w:t xml:space="preserve">is done using </w:t>
            </w:r>
            <w:r w:rsidRPr="00FC7487">
              <w:t>data in payroll and human re</w:t>
            </w:r>
            <w:r>
              <w:t>s</w:t>
            </w:r>
            <w:r w:rsidRPr="00FC7487">
              <w:t>ource management systems.</w:t>
            </w:r>
            <w:r>
              <w:t xml:space="preserve"> This is mostly electronic with some manual data counting. </w:t>
            </w:r>
            <w:r w:rsidRPr="00FC7487">
              <w:t xml:space="preserve">This is then adjusted to meet the </w:t>
            </w:r>
            <w:proofErr w:type="spellStart"/>
            <w:r>
              <w:t>RoGS</w:t>
            </w:r>
            <w:proofErr w:type="spellEnd"/>
            <w:r>
              <w:t xml:space="preserve"> </w:t>
            </w:r>
            <w:r w:rsidRPr="00FC7487">
              <w:t>data collection rules.</w:t>
            </w:r>
          </w:p>
          <w:p w:rsidR="00406582" w:rsidRDefault="00406582" w:rsidP="008939BB">
            <w:pPr>
              <w:pStyle w:val="TableBullet"/>
              <w:keepNext w:val="0"/>
              <w:numPr>
                <w:ilvl w:val="0"/>
                <w:numId w:val="0"/>
              </w:numPr>
              <w:spacing w:after="120"/>
              <w:jc w:val="both"/>
            </w:pPr>
            <w:r>
              <w:t xml:space="preserve">The data provided are consistent with </w:t>
            </w:r>
            <w:proofErr w:type="spellStart"/>
            <w:r>
              <w:t>RoGS</w:t>
            </w:r>
            <w:proofErr w:type="spellEnd"/>
            <w:r>
              <w:t xml:space="preserve"> c</w:t>
            </w:r>
            <w:r w:rsidR="00A2158B">
              <w:t xml:space="preserve">ounting rules and the </w:t>
            </w:r>
            <w:r>
              <w:t xml:space="preserve">data reported are for all court levels in each jurisdiction. In order to meet the needs of the </w:t>
            </w:r>
            <w:proofErr w:type="spellStart"/>
            <w:r>
              <w:t>RoGS</w:t>
            </w:r>
            <w:proofErr w:type="spellEnd"/>
            <w:r>
              <w:t xml:space="preserve">, </w:t>
            </w:r>
            <w:proofErr w:type="spellStart"/>
            <w:r>
              <w:t>costings</w:t>
            </w:r>
            <w:proofErr w:type="spellEnd"/>
            <w:r>
              <w:t xml:space="preserve"> and resourcing are apportioned across civil and criminal categories. This is mostly done on activity based costing approaches and the use of estimations. This may affect accuracy.</w:t>
            </w:r>
          </w:p>
          <w:p w:rsidR="00406582" w:rsidRPr="00CF5FA0" w:rsidRDefault="00406582" w:rsidP="008939BB">
            <w:pPr>
              <w:pStyle w:val="TableBullet"/>
              <w:keepNext w:val="0"/>
              <w:numPr>
                <w:ilvl w:val="0"/>
                <w:numId w:val="0"/>
              </w:numPr>
              <w:spacing w:after="120"/>
              <w:jc w:val="both"/>
            </w:pPr>
            <w:r w:rsidRPr="00CF5FA0">
              <w:t xml:space="preserve">The </w:t>
            </w:r>
            <w:r>
              <w:t xml:space="preserve">data come </w:t>
            </w:r>
            <w:r w:rsidRPr="00CF5FA0">
              <w:t>from payroll and human re</w:t>
            </w:r>
            <w:r>
              <w:t>s</w:t>
            </w:r>
            <w:r w:rsidRPr="00CF5FA0">
              <w:t>ource management systems, which are subject to the normal legislative financial and administrative controls and reconciliation and validation processes</w:t>
            </w:r>
            <w:r>
              <w:t xml:space="preserve"> to ensure accuracy. Preparation of the data for the </w:t>
            </w:r>
            <w:proofErr w:type="spellStart"/>
            <w:r>
              <w:t>RoGS</w:t>
            </w:r>
            <w:proofErr w:type="spellEnd"/>
            <w:r>
              <w:t xml:space="preserve"> by court authorities also undergoes checking and verification procedures, including investigation of significant variances with previous years.</w:t>
            </w:r>
          </w:p>
        </w:tc>
      </w:tr>
      <w:tr w:rsidR="00406582" w:rsidTr="00016770">
        <w:tc>
          <w:tcPr>
            <w:tcW w:w="922" w:type="pct"/>
          </w:tcPr>
          <w:p w:rsidR="00406582" w:rsidRPr="002162BE" w:rsidRDefault="00406582" w:rsidP="002162BE">
            <w:pPr>
              <w:pStyle w:val="TableBodyText"/>
              <w:jc w:val="left"/>
              <w:rPr>
                <w:b/>
              </w:rPr>
            </w:pPr>
            <w:r w:rsidRPr="002162BE">
              <w:rPr>
                <w:b/>
              </w:rPr>
              <w:t>Coherence</w:t>
            </w:r>
          </w:p>
        </w:tc>
        <w:tc>
          <w:tcPr>
            <w:tcW w:w="4078" w:type="pct"/>
          </w:tcPr>
          <w:p w:rsidR="00406582" w:rsidRPr="00CD04F1" w:rsidRDefault="00406582" w:rsidP="008939BB">
            <w:pPr>
              <w:pStyle w:val="TableBodyText"/>
              <w:keepNext w:val="0"/>
              <w:spacing w:after="120"/>
              <w:ind w:left="0" w:firstLine="6"/>
              <w:jc w:val="both"/>
            </w:pPr>
            <w:r>
              <w:t>F</w:t>
            </w:r>
            <w:r w:rsidRPr="00206536">
              <w:t xml:space="preserve">or </w:t>
            </w:r>
            <w:r>
              <w:t>the last five years the data have</w:t>
            </w:r>
            <w:r w:rsidRPr="00206536">
              <w:t xml:space="preserve"> been counted and reported </w:t>
            </w:r>
            <w:r>
              <w:t xml:space="preserve">relatively </w:t>
            </w:r>
            <w:r w:rsidRPr="00206536">
              <w:t>consistently</w:t>
            </w:r>
            <w:r>
              <w:t xml:space="preserve"> and </w:t>
            </w:r>
            <w:r w:rsidRPr="00206536">
              <w:t xml:space="preserve">no </w:t>
            </w:r>
            <w:r>
              <w:t xml:space="preserve">significant </w:t>
            </w:r>
            <w:r w:rsidRPr="00206536">
              <w:t xml:space="preserve">factors </w:t>
            </w:r>
            <w:r>
              <w:t>have been identified which</w:t>
            </w:r>
            <w:r w:rsidRPr="00206536">
              <w:t xml:space="preserve"> have prevented or affected the consistent compilation of time series data</w:t>
            </w:r>
            <w:r>
              <w:t xml:space="preserve">. </w:t>
            </w:r>
            <w:r w:rsidR="00557A95">
              <w:t xml:space="preserve">Exceptions are noted in attachment tables. </w:t>
            </w:r>
            <w:r w:rsidRPr="00D84159">
              <w:t xml:space="preserve">In some </w:t>
            </w:r>
            <w:r>
              <w:t>jurisdictions</w:t>
            </w:r>
            <w:r w:rsidRPr="00D84159">
              <w:t xml:space="preserve"> there is an alignment with other publications</w:t>
            </w:r>
            <w:r w:rsidR="00557A95">
              <w:t xml:space="preserve">, e.g. annual reports. In </w:t>
            </w:r>
            <w:r>
              <w:t>other jurisdictions</w:t>
            </w:r>
            <w:r w:rsidRPr="00D84159">
              <w:t xml:space="preserve"> there are differences due to the FTE approach and exclusions set </w:t>
            </w:r>
            <w:r>
              <w:t>out i</w:t>
            </w:r>
            <w:r w:rsidRPr="00D84159">
              <w:t xml:space="preserve">n the </w:t>
            </w:r>
            <w:proofErr w:type="spellStart"/>
            <w:r w:rsidRPr="00D84159">
              <w:t>ROGS</w:t>
            </w:r>
            <w:proofErr w:type="spellEnd"/>
            <w:r w:rsidRPr="00D84159">
              <w:t xml:space="preserve"> counting rules.</w:t>
            </w:r>
          </w:p>
        </w:tc>
      </w:tr>
      <w:tr w:rsidR="00406582" w:rsidTr="00016770">
        <w:tc>
          <w:tcPr>
            <w:tcW w:w="922" w:type="pct"/>
          </w:tcPr>
          <w:p w:rsidR="00406582" w:rsidRPr="00C744E0" w:rsidRDefault="00406582" w:rsidP="00016770">
            <w:pPr>
              <w:pStyle w:val="TableBodyText"/>
              <w:jc w:val="left"/>
              <w:rPr>
                <w:b/>
              </w:rPr>
            </w:pPr>
            <w:r w:rsidRPr="00C744E0">
              <w:rPr>
                <w:b/>
              </w:rPr>
              <w:t>Accessibility</w:t>
            </w:r>
          </w:p>
        </w:tc>
        <w:tc>
          <w:tcPr>
            <w:tcW w:w="4078" w:type="pct"/>
          </w:tcPr>
          <w:p w:rsidR="00406582" w:rsidRDefault="00406582" w:rsidP="008939BB">
            <w:pPr>
              <w:pStyle w:val="TableBodyText"/>
              <w:keepNext w:val="0"/>
              <w:spacing w:after="120"/>
              <w:jc w:val="both"/>
            </w:pPr>
            <w:r>
              <w:t xml:space="preserve">Data on judicial officers are supplied for the </w:t>
            </w:r>
            <w:proofErr w:type="spellStart"/>
            <w:r>
              <w:t>RoGS</w:t>
            </w:r>
            <w:proofErr w:type="spellEnd"/>
            <w:r>
              <w:t xml:space="preserve"> according to the specific </w:t>
            </w:r>
            <w:proofErr w:type="spellStart"/>
            <w:r>
              <w:t>RoGS</w:t>
            </w:r>
            <w:proofErr w:type="spellEnd"/>
            <w:r>
              <w:t xml:space="preserve"> counting rules. O</w:t>
            </w:r>
            <w:r w:rsidRPr="00427A31">
              <w:t xml:space="preserve">ther data on </w:t>
            </w:r>
            <w:r>
              <w:t>judicial officers</w:t>
            </w:r>
            <w:r w:rsidRPr="00427A31">
              <w:t xml:space="preserve"> can be accessed through annual reports and court websites wi</w:t>
            </w:r>
            <w:r>
              <w:t>thin most jurisdictions</w:t>
            </w:r>
            <w:r w:rsidRPr="00D84159">
              <w:t xml:space="preserve"> </w:t>
            </w:r>
            <w:r>
              <w:t>and i</w:t>
            </w:r>
            <w:r w:rsidRPr="00D84159">
              <w:t xml:space="preserve">n </w:t>
            </w:r>
            <w:r>
              <w:t>some</w:t>
            </w:r>
            <w:r w:rsidRPr="00D84159">
              <w:t xml:space="preserve"> </w:t>
            </w:r>
            <w:r>
              <w:t>jurisdictions</w:t>
            </w:r>
            <w:r w:rsidRPr="00D84159">
              <w:t xml:space="preserve"> there is an alignment with other publications</w:t>
            </w:r>
            <w:r>
              <w:t xml:space="preserve">, e.g. annual reports. However, some data obtained from these other sources in the other jurisdictions may not align with the </w:t>
            </w:r>
            <w:proofErr w:type="spellStart"/>
            <w:r>
              <w:t>RoGS</w:t>
            </w:r>
            <w:proofErr w:type="spellEnd"/>
            <w:r>
              <w:t xml:space="preserve"> due to the specific </w:t>
            </w:r>
            <w:proofErr w:type="spellStart"/>
            <w:r>
              <w:t>RoGS</w:t>
            </w:r>
            <w:proofErr w:type="spellEnd"/>
            <w:r>
              <w:t xml:space="preserve"> counting rules.</w:t>
            </w:r>
          </w:p>
          <w:p w:rsidR="009A51B7" w:rsidRPr="001A7053" w:rsidRDefault="00406582" w:rsidP="008939BB">
            <w:pPr>
              <w:pStyle w:val="TableBullet"/>
              <w:keepNext w:val="0"/>
              <w:keepLines w:val="0"/>
              <w:numPr>
                <w:ilvl w:val="0"/>
                <w:numId w:val="0"/>
              </w:numPr>
              <w:spacing w:after="120"/>
              <w:jc w:val="both"/>
            </w:pPr>
            <w:r>
              <w:t>Also, whil</w:t>
            </w:r>
            <w:r w:rsidRPr="00427A31">
              <w:t xml:space="preserve">e courts in most </w:t>
            </w:r>
            <w:r>
              <w:t>jurisdictions</w:t>
            </w:r>
            <w:r w:rsidRPr="00427A31">
              <w:t xml:space="preserve"> make </w:t>
            </w:r>
            <w:r>
              <w:t xml:space="preserve">information available as to who holds a commission as a judge or master and which officers of the court are registrars, the information is not necessarily designed to provide a FTE number that can be matched to the number reported in </w:t>
            </w:r>
            <w:proofErr w:type="spellStart"/>
            <w:r>
              <w:t>RoGS</w:t>
            </w:r>
            <w:proofErr w:type="spellEnd"/>
            <w:r>
              <w:t xml:space="preserve">. </w:t>
            </w:r>
          </w:p>
        </w:tc>
      </w:tr>
      <w:tr w:rsidR="00406582" w:rsidTr="00016770">
        <w:tc>
          <w:tcPr>
            <w:tcW w:w="922" w:type="pct"/>
          </w:tcPr>
          <w:p w:rsidR="00406582" w:rsidRPr="00C744E0" w:rsidRDefault="00406582" w:rsidP="00016770">
            <w:pPr>
              <w:pStyle w:val="TableBodyText"/>
              <w:jc w:val="left"/>
              <w:rPr>
                <w:b/>
              </w:rPr>
            </w:pPr>
            <w:r w:rsidRPr="00C744E0">
              <w:rPr>
                <w:b/>
              </w:rPr>
              <w:t>Interpretability</w:t>
            </w:r>
          </w:p>
        </w:tc>
        <w:tc>
          <w:tcPr>
            <w:tcW w:w="4078" w:type="pct"/>
          </w:tcPr>
          <w:p w:rsidR="00406582" w:rsidRPr="00406582" w:rsidRDefault="00406582" w:rsidP="009770CC">
            <w:pPr>
              <w:pStyle w:val="TableBodyText"/>
              <w:keepNext w:val="0"/>
              <w:jc w:val="both"/>
              <w:rPr>
                <w:rFonts w:ascii="Helvetica" w:hAnsi="Helvetica"/>
                <w:lang w:val="en"/>
              </w:rPr>
            </w:pPr>
            <w:r>
              <w:rPr>
                <w:rFonts w:ascii="Helvetica" w:hAnsi="Helvetica"/>
                <w:lang w:val="en"/>
              </w:rPr>
              <w:t>Contextual information for judicial officers data are prov</w:t>
            </w:r>
            <w:r w:rsidR="0001275F">
              <w:rPr>
                <w:rFonts w:ascii="Helvetica" w:hAnsi="Helvetica"/>
                <w:lang w:val="en"/>
              </w:rPr>
              <w:t>ided in the Courts</w:t>
            </w:r>
            <w:r>
              <w:rPr>
                <w:rFonts w:ascii="Helvetica" w:hAnsi="Helvetica"/>
                <w:lang w:val="en"/>
              </w:rPr>
              <w:t xml:space="preserve"> chapter and attachment tables.</w:t>
            </w:r>
          </w:p>
        </w:tc>
      </w:tr>
      <w:tr w:rsidR="00406582" w:rsidTr="00016770">
        <w:tc>
          <w:tcPr>
            <w:tcW w:w="5000" w:type="pct"/>
            <w:gridSpan w:val="2"/>
            <w:shd w:val="clear" w:color="auto" w:fill="auto"/>
          </w:tcPr>
          <w:p w:rsidR="00406582" w:rsidRDefault="00406582" w:rsidP="00016770">
            <w:pPr>
              <w:pStyle w:val="TableBodyText"/>
              <w:jc w:val="left"/>
              <w:rPr>
                <w:b/>
                <w:u w:val="single"/>
              </w:rPr>
            </w:pPr>
          </w:p>
          <w:p w:rsidR="00406582" w:rsidRPr="00C744E0" w:rsidRDefault="00406582" w:rsidP="00016770">
            <w:pPr>
              <w:pStyle w:val="TableBodyText"/>
              <w:jc w:val="left"/>
              <w:rPr>
                <w:b/>
                <w:u w:val="single"/>
              </w:rPr>
            </w:pPr>
            <w:r w:rsidRPr="00C744E0">
              <w:rPr>
                <w:b/>
                <w:u w:val="single"/>
              </w:rPr>
              <w:t>Data Gaps/Issues Analysis</w:t>
            </w:r>
          </w:p>
        </w:tc>
      </w:tr>
      <w:tr w:rsidR="00406582" w:rsidTr="00016770">
        <w:tc>
          <w:tcPr>
            <w:tcW w:w="922" w:type="pct"/>
            <w:shd w:val="clear" w:color="auto" w:fill="auto"/>
          </w:tcPr>
          <w:p w:rsidR="00406582" w:rsidRPr="00C744E0" w:rsidRDefault="00406582" w:rsidP="00016770">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406582" w:rsidRDefault="00406582" w:rsidP="00406582">
            <w:pPr>
              <w:pStyle w:val="TableBodyText"/>
              <w:jc w:val="both"/>
            </w:pPr>
            <w:r w:rsidRPr="00B96E3E">
              <w:t xml:space="preserve">The Steering Committee notes the following key data gaps/issues: </w:t>
            </w:r>
          </w:p>
          <w:p w:rsidR="00406582" w:rsidRDefault="00406582" w:rsidP="008939BB">
            <w:pPr>
              <w:pStyle w:val="TableBullet"/>
              <w:tabs>
                <w:tab w:val="left" w:pos="170"/>
              </w:tabs>
              <w:spacing w:after="120"/>
              <w:ind w:left="176"/>
              <w:jc w:val="both"/>
            </w:pPr>
            <w:r>
              <w:t>Jurisdictions may need to apportion or estimate FTE judicial staff numbers between criminal and civil levels of the magistrates, children’s, district/county and supreme courts. This may affect accuracy and comparability of data.</w:t>
            </w:r>
          </w:p>
          <w:p w:rsidR="00406582" w:rsidRPr="00B96E3E" w:rsidRDefault="00406582" w:rsidP="00406582">
            <w:pPr>
              <w:pStyle w:val="TableBullet"/>
              <w:tabs>
                <w:tab w:val="left" w:pos="170"/>
              </w:tabs>
              <w:ind w:left="176"/>
              <w:jc w:val="both"/>
            </w:pPr>
            <w:r>
              <w:t xml:space="preserve">Not all jurisdictions calculate judicial officer FTEs in the same way for purposes of </w:t>
            </w:r>
            <w:proofErr w:type="spellStart"/>
            <w:r>
              <w:t>RoGS</w:t>
            </w:r>
            <w:proofErr w:type="spellEnd"/>
            <w:r>
              <w:t xml:space="preserve"> data collection. This may affect comparability of data.</w:t>
            </w:r>
          </w:p>
        </w:tc>
      </w:tr>
    </w:tbl>
    <w:p w:rsidR="009B18A0" w:rsidRDefault="009B18A0" w:rsidP="00016770">
      <w:pPr>
        <w:pStyle w:val="Heading3"/>
        <w:spacing w:before="120"/>
      </w:pPr>
    </w:p>
    <w:p w:rsidR="000F287A" w:rsidRPr="00016770" w:rsidRDefault="000F287A" w:rsidP="000F287A">
      <w:pPr>
        <w:pStyle w:val="Heading3"/>
        <w:spacing w:before="120"/>
      </w:pPr>
      <w:r>
        <w:br w:type="page"/>
      </w:r>
      <w:bookmarkStart w:id="11" w:name="_Toc338344190"/>
      <w:r>
        <w:lastRenderedPageBreak/>
        <w:t>Backlog</w:t>
      </w:r>
      <w:bookmarkEnd w:id="11"/>
    </w:p>
    <w:p w:rsidR="000F287A" w:rsidRPr="00101653" w:rsidRDefault="000F287A" w:rsidP="000F287A">
      <w:pPr>
        <w:pStyle w:val="Box"/>
      </w:pPr>
      <w:r w:rsidRPr="00016770">
        <w:t>Data quality information for this indicator has been drafted by the Secretariat in consultation with the Court</w:t>
      </w:r>
      <w:r w:rsidR="0001275F">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0F287A" w:rsidTr="00610CD4">
        <w:tc>
          <w:tcPr>
            <w:tcW w:w="5000" w:type="pct"/>
            <w:gridSpan w:val="2"/>
          </w:tcPr>
          <w:p w:rsidR="000F287A" w:rsidRDefault="000F287A" w:rsidP="00610CD4">
            <w:pPr>
              <w:pStyle w:val="TableBodyText"/>
              <w:jc w:val="both"/>
              <w:rPr>
                <w:b/>
                <w:u w:val="single"/>
              </w:rPr>
            </w:pPr>
          </w:p>
          <w:p w:rsidR="000F287A" w:rsidRDefault="000F287A" w:rsidP="00610CD4">
            <w:pPr>
              <w:pStyle w:val="TableBodyText"/>
              <w:jc w:val="both"/>
            </w:pPr>
            <w:r w:rsidRPr="007D0BFD">
              <w:rPr>
                <w:b/>
                <w:u w:val="single"/>
              </w:rPr>
              <w:t>Indicator definition and description</w:t>
            </w:r>
            <w:r>
              <w:rPr>
                <w:rFonts w:cs="Arial"/>
                <w:b/>
                <w:sz w:val="22"/>
                <w:szCs w:val="22"/>
                <w:u w:val="single"/>
              </w:rPr>
              <w:t xml:space="preserve"> </w:t>
            </w:r>
          </w:p>
        </w:tc>
      </w:tr>
      <w:tr w:rsidR="000F287A" w:rsidTr="00610CD4">
        <w:tc>
          <w:tcPr>
            <w:tcW w:w="922" w:type="pct"/>
          </w:tcPr>
          <w:p w:rsidR="000F287A" w:rsidRPr="00C744E0" w:rsidRDefault="000F287A" w:rsidP="00610CD4">
            <w:pPr>
              <w:pStyle w:val="TableBodyText"/>
              <w:jc w:val="left"/>
              <w:rPr>
                <w:b/>
              </w:rPr>
            </w:pPr>
            <w:r w:rsidRPr="00C744E0">
              <w:rPr>
                <w:b/>
              </w:rPr>
              <w:t>Element</w:t>
            </w:r>
          </w:p>
        </w:tc>
        <w:tc>
          <w:tcPr>
            <w:tcW w:w="4078" w:type="pct"/>
          </w:tcPr>
          <w:p w:rsidR="000F287A" w:rsidRPr="00A1569C" w:rsidRDefault="0001275F" w:rsidP="006E65BD">
            <w:pPr>
              <w:pStyle w:val="TableBodyText"/>
              <w:spacing w:after="120"/>
              <w:jc w:val="both"/>
            </w:pPr>
            <w:r>
              <w:t>Courts</w:t>
            </w:r>
            <w:r w:rsidR="000F287A">
              <w:t xml:space="preserve"> Effectiveness – Access – Timeliness</w:t>
            </w:r>
          </w:p>
        </w:tc>
      </w:tr>
      <w:tr w:rsidR="000F287A" w:rsidTr="00610CD4">
        <w:tc>
          <w:tcPr>
            <w:tcW w:w="922" w:type="pct"/>
          </w:tcPr>
          <w:p w:rsidR="000F287A" w:rsidRPr="00C744E0" w:rsidRDefault="000F287A" w:rsidP="00610CD4">
            <w:pPr>
              <w:pStyle w:val="TableBodyText"/>
              <w:jc w:val="left"/>
              <w:rPr>
                <w:b/>
              </w:rPr>
            </w:pPr>
            <w:r w:rsidRPr="00C744E0">
              <w:rPr>
                <w:b/>
              </w:rPr>
              <w:t>Indicator</w:t>
            </w:r>
          </w:p>
        </w:tc>
        <w:tc>
          <w:tcPr>
            <w:tcW w:w="4078" w:type="pct"/>
          </w:tcPr>
          <w:p w:rsidR="000F287A" w:rsidRPr="00E17A32" w:rsidRDefault="000F287A" w:rsidP="006E65BD">
            <w:pPr>
              <w:pStyle w:val="TableBodyText"/>
              <w:spacing w:after="120"/>
              <w:jc w:val="both"/>
            </w:pPr>
            <w:r>
              <w:t>Backlog</w:t>
            </w:r>
          </w:p>
        </w:tc>
      </w:tr>
      <w:tr w:rsidR="000F287A" w:rsidTr="00610CD4">
        <w:tc>
          <w:tcPr>
            <w:tcW w:w="922" w:type="pct"/>
          </w:tcPr>
          <w:p w:rsidR="000F287A" w:rsidRPr="00C744E0" w:rsidRDefault="000F287A" w:rsidP="00610CD4">
            <w:pPr>
              <w:pStyle w:val="TableBodyText"/>
              <w:jc w:val="left"/>
              <w:rPr>
                <w:b/>
              </w:rPr>
            </w:pPr>
            <w:r w:rsidRPr="00C744E0">
              <w:rPr>
                <w:b/>
              </w:rPr>
              <w:t>Measure (computation)</w:t>
            </w:r>
          </w:p>
        </w:tc>
        <w:tc>
          <w:tcPr>
            <w:tcW w:w="4078" w:type="pct"/>
          </w:tcPr>
          <w:p w:rsidR="00B35BC0" w:rsidRPr="00B35BC0" w:rsidRDefault="00B35BC0" w:rsidP="00B35BC0">
            <w:pPr>
              <w:pStyle w:val="TableBodyText"/>
              <w:spacing w:after="120"/>
              <w:jc w:val="both"/>
              <w:rPr>
                <w:u w:val="single"/>
              </w:rPr>
            </w:pPr>
            <w:r>
              <w:rPr>
                <w:u w:val="single"/>
              </w:rPr>
              <w:t>Definition</w:t>
            </w:r>
          </w:p>
          <w:p w:rsidR="00B35BC0" w:rsidRDefault="00B35BC0" w:rsidP="00B35BC0">
            <w:pPr>
              <w:pStyle w:val="TableBodyText"/>
              <w:spacing w:after="120"/>
              <w:jc w:val="both"/>
            </w:pPr>
            <w:r>
              <w:t>T</w:t>
            </w:r>
            <w:r w:rsidR="00C14E02">
              <w:t>he age of a court’s pending caseload against nominated time standards</w:t>
            </w:r>
            <w:r w:rsidR="000F287A">
              <w:t>.</w:t>
            </w:r>
          </w:p>
          <w:p w:rsidR="000F287A" w:rsidRDefault="000F287A" w:rsidP="00B35BC0">
            <w:pPr>
              <w:pStyle w:val="TableBodyText"/>
              <w:spacing w:after="120"/>
              <w:jc w:val="both"/>
            </w:pPr>
            <w:r>
              <w:rPr>
                <w:u w:val="single"/>
              </w:rPr>
              <w:t>Numerator</w:t>
            </w:r>
          </w:p>
          <w:p w:rsidR="00192BE6" w:rsidRPr="005A5147" w:rsidRDefault="000F287A" w:rsidP="00192BE6">
            <w:pPr>
              <w:pStyle w:val="TableBodyText"/>
              <w:numPr>
                <w:ilvl w:val="0"/>
                <w:numId w:val="42"/>
              </w:numPr>
              <w:jc w:val="left"/>
            </w:pPr>
            <w:r>
              <w:t>Numbe</w:t>
            </w:r>
            <w:r w:rsidR="00192BE6">
              <w:t>r</w:t>
            </w:r>
            <w:r>
              <w:t xml:space="preserve"> </w:t>
            </w:r>
            <w:r w:rsidR="00192BE6" w:rsidRPr="005A5147">
              <w:t>of cases pending longer than 12 months in a financial year (Higher Courts, Federal Court, family courts &amp; Coroners Courts)</w:t>
            </w:r>
          </w:p>
          <w:p w:rsidR="00192BE6" w:rsidRPr="005A5147" w:rsidRDefault="00192BE6" w:rsidP="00192BE6">
            <w:pPr>
              <w:pStyle w:val="TableBodyText"/>
              <w:numPr>
                <w:ilvl w:val="0"/>
                <w:numId w:val="42"/>
              </w:numPr>
              <w:jc w:val="left"/>
            </w:pPr>
            <w:r w:rsidRPr="005A5147">
              <w:t>Number of cases pending longer than 24 months in a financial year (Higher Courts, Federal Court, family courts &amp; Coroners Courts)</w:t>
            </w:r>
          </w:p>
          <w:p w:rsidR="00192BE6" w:rsidRPr="005A5147" w:rsidRDefault="00192BE6" w:rsidP="00192BE6">
            <w:pPr>
              <w:pStyle w:val="TableBodyText"/>
              <w:numPr>
                <w:ilvl w:val="0"/>
                <w:numId w:val="42"/>
              </w:numPr>
              <w:jc w:val="left"/>
            </w:pPr>
            <w:r w:rsidRPr="005A5147">
              <w:t>Number of cases pending longer than 6 months in a fina</w:t>
            </w:r>
            <w:r w:rsidR="00137DBE">
              <w:t>ncial year (Federal Circuit</w:t>
            </w:r>
            <w:r w:rsidRPr="005A5147">
              <w:t xml:space="preserve"> Court, magistrates’ courts and children’s courts)</w:t>
            </w:r>
          </w:p>
          <w:p w:rsidR="000F287A" w:rsidRDefault="00192BE6" w:rsidP="00B35BC0">
            <w:pPr>
              <w:pStyle w:val="TableBodyText"/>
              <w:numPr>
                <w:ilvl w:val="0"/>
                <w:numId w:val="42"/>
              </w:numPr>
              <w:jc w:val="left"/>
            </w:pPr>
            <w:r w:rsidRPr="005A5147">
              <w:t xml:space="preserve">Number of cases pending longer than 12 months in a financial year (Federal </w:t>
            </w:r>
            <w:r w:rsidR="00137DBE">
              <w:t>Circuit</w:t>
            </w:r>
            <w:r w:rsidRPr="005A5147">
              <w:t xml:space="preserve"> Court, magistrates’ courts and children’s courts)</w:t>
            </w:r>
          </w:p>
          <w:p w:rsidR="000F287A" w:rsidRPr="005D4651" w:rsidRDefault="000F287A" w:rsidP="00B35BC0">
            <w:pPr>
              <w:pStyle w:val="TableBodyText"/>
              <w:spacing w:before="120" w:after="120"/>
              <w:jc w:val="both"/>
            </w:pPr>
            <w:r>
              <w:rPr>
                <w:u w:val="single"/>
              </w:rPr>
              <w:t>Denominator</w:t>
            </w:r>
          </w:p>
          <w:p w:rsidR="000F287A" w:rsidRDefault="00192BE6" w:rsidP="00192BE6">
            <w:pPr>
              <w:pStyle w:val="TableBullet"/>
              <w:numPr>
                <w:ilvl w:val="0"/>
                <w:numId w:val="42"/>
              </w:numPr>
              <w:spacing w:line="220" w:lineRule="exact"/>
              <w:jc w:val="both"/>
            </w:pPr>
            <w:r>
              <w:t>To</w:t>
            </w:r>
            <w:r w:rsidR="00E15DC0">
              <w:t>tal number of</w:t>
            </w:r>
            <w:r>
              <w:t xml:space="preserve"> cases</w:t>
            </w:r>
            <w:r w:rsidR="00E15DC0">
              <w:t xml:space="preserve"> pending</w:t>
            </w:r>
            <w:r>
              <w:t xml:space="preserve"> in a financial year</w:t>
            </w:r>
          </w:p>
          <w:p w:rsidR="00B35BC0" w:rsidRDefault="00B35BC0" w:rsidP="00B35BC0">
            <w:pPr>
              <w:pStyle w:val="DQITableText"/>
              <w:spacing w:after="120"/>
              <w:rPr>
                <w:u w:val="single"/>
              </w:rPr>
            </w:pPr>
            <w:r>
              <w:rPr>
                <w:u w:val="single"/>
              </w:rPr>
              <w:t>Computation</w:t>
            </w:r>
          </w:p>
          <w:p w:rsidR="00B35BC0" w:rsidRDefault="00B35BC0" w:rsidP="00B35BC0">
            <w:pPr>
              <w:pStyle w:val="TableBodyText"/>
              <w:jc w:val="both"/>
            </w:pPr>
            <w:r>
              <w:t>The number of cases in the nominated age category is expressed as a percentage of the total pending caseload. It is derived by dividing the numerator by the</w:t>
            </w:r>
            <w:r w:rsidR="00304CF1">
              <w:t xml:space="preserve"> </w:t>
            </w:r>
            <w:r>
              <w:t>denominator</w:t>
            </w:r>
            <w:r w:rsidR="00304CF1">
              <w:t xml:space="preserve"> and multiplied by 100</w:t>
            </w:r>
            <w:r>
              <w:t>.</w:t>
            </w:r>
          </w:p>
          <w:p w:rsidR="00B35BC0" w:rsidRPr="00B35BC0" w:rsidRDefault="00304CF1" w:rsidP="00F62B45">
            <w:pPr>
              <w:pStyle w:val="DQITableText"/>
              <w:spacing w:after="120"/>
              <w:rPr>
                <w:u w:val="single"/>
              </w:rPr>
            </w:pPr>
            <w:r>
              <w:t>In calculating this measure</w:t>
            </w:r>
            <w:r w:rsidR="00B35BC0">
              <w:t xml:space="preserve">, some matters are excluded, </w:t>
            </w:r>
            <w:proofErr w:type="spellStart"/>
            <w:r w:rsidR="00B35BC0">
              <w:t>eg</w:t>
            </w:r>
            <w:proofErr w:type="spellEnd"/>
            <w:r w:rsidR="00B35BC0">
              <w:t>. civil cases affected by deeming rules and matters that are inactive due to the issue of bench warrants that have not been executed</w:t>
            </w:r>
            <w:r>
              <w:t>.</w:t>
            </w:r>
          </w:p>
        </w:tc>
      </w:tr>
      <w:tr w:rsidR="000F287A" w:rsidTr="00610CD4">
        <w:tc>
          <w:tcPr>
            <w:tcW w:w="922" w:type="pct"/>
          </w:tcPr>
          <w:p w:rsidR="000F287A" w:rsidRPr="00C744E0" w:rsidRDefault="000F287A" w:rsidP="00610CD4">
            <w:pPr>
              <w:pStyle w:val="TableBodyText"/>
              <w:jc w:val="left"/>
              <w:rPr>
                <w:b/>
              </w:rPr>
            </w:pPr>
            <w:r w:rsidRPr="00C744E0">
              <w:rPr>
                <w:b/>
              </w:rPr>
              <w:t>Data source/s</w:t>
            </w:r>
          </w:p>
        </w:tc>
        <w:tc>
          <w:tcPr>
            <w:tcW w:w="4078" w:type="pct"/>
          </w:tcPr>
          <w:p w:rsidR="000F287A" w:rsidRPr="00B96E3E" w:rsidRDefault="00B51173" w:rsidP="00F62B45">
            <w:pPr>
              <w:pStyle w:val="TableBodyText"/>
              <w:spacing w:after="120"/>
              <w:jc w:val="both"/>
            </w:pPr>
            <w:r>
              <w:t>Backlog</w:t>
            </w:r>
            <w:r w:rsidR="000F287A">
              <w:t xml:space="preserve"> data</w:t>
            </w:r>
            <w:r w:rsidR="000F287A" w:rsidRPr="00C34F8E">
              <w:t xml:space="preserve"> are </w:t>
            </w:r>
            <w:r w:rsidR="002D57C2">
              <w:t xml:space="preserve">unpublished and </w:t>
            </w:r>
            <w:r w:rsidR="000F287A" w:rsidRPr="00C34F8E">
              <w:t>sourced from</w:t>
            </w:r>
            <w:r w:rsidR="000F287A">
              <w:t xml:space="preserve"> Australian, State and Territory court </w:t>
            </w:r>
            <w:r w:rsidR="002E7D2B">
              <w:t>authorities and departments.</w:t>
            </w:r>
          </w:p>
        </w:tc>
      </w:tr>
      <w:tr w:rsidR="000F287A" w:rsidTr="00610CD4">
        <w:tc>
          <w:tcPr>
            <w:tcW w:w="5000" w:type="pct"/>
            <w:gridSpan w:val="2"/>
          </w:tcPr>
          <w:p w:rsidR="000F287A" w:rsidRPr="00C744E0" w:rsidRDefault="000F287A" w:rsidP="00F62B45">
            <w:pPr>
              <w:pStyle w:val="TableBodyText"/>
              <w:spacing w:after="120"/>
              <w:jc w:val="both"/>
              <w:rPr>
                <w:b/>
                <w:u w:val="single"/>
              </w:rPr>
            </w:pPr>
            <w:r w:rsidRPr="00C744E0">
              <w:rPr>
                <w:b/>
                <w:u w:val="single"/>
              </w:rPr>
              <w:t>Data Quality Framework Dimensions</w:t>
            </w:r>
          </w:p>
        </w:tc>
      </w:tr>
      <w:tr w:rsidR="000F287A" w:rsidTr="00610CD4">
        <w:tc>
          <w:tcPr>
            <w:tcW w:w="922" w:type="pct"/>
          </w:tcPr>
          <w:p w:rsidR="000F287A" w:rsidRPr="00C744E0" w:rsidRDefault="000F287A" w:rsidP="00610CD4">
            <w:pPr>
              <w:pStyle w:val="TableBodyText"/>
              <w:jc w:val="left"/>
              <w:rPr>
                <w:b/>
              </w:rPr>
            </w:pPr>
            <w:r w:rsidRPr="00C744E0">
              <w:rPr>
                <w:b/>
              </w:rPr>
              <w:t>Institutional environment</w:t>
            </w:r>
          </w:p>
        </w:tc>
        <w:tc>
          <w:tcPr>
            <w:tcW w:w="4078" w:type="pct"/>
          </w:tcPr>
          <w:p w:rsidR="000F287A" w:rsidRDefault="000F287A" w:rsidP="00610CD4">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compi</w:t>
            </w:r>
            <w:r w:rsidR="009B2DA8">
              <w:rPr>
                <w:rFonts w:cs="Arial"/>
              </w:rPr>
              <w:t xml:space="preserve">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0F287A" w:rsidRPr="00062F62" w:rsidRDefault="000F287A" w:rsidP="00F62B45">
            <w:pPr>
              <w:pStyle w:val="TableBodyText"/>
              <w:spacing w:after="120"/>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tc>
      </w:tr>
      <w:tr w:rsidR="000F287A" w:rsidTr="00610CD4">
        <w:tc>
          <w:tcPr>
            <w:tcW w:w="922" w:type="pct"/>
          </w:tcPr>
          <w:p w:rsidR="000F287A" w:rsidRPr="00C744E0" w:rsidRDefault="000F287A" w:rsidP="00610CD4">
            <w:pPr>
              <w:pStyle w:val="TableBodyText"/>
              <w:jc w:val="left"/>
              <w:rPr>
                <w:b/>
              </w:rPr>
            </w:pPr>
            <w:r w:rsidRPr="00C744E0">
              <w:rPr>
                <w:b/>
              </w:rPr>
              <w:t>Relevance</w:t>
            </w:r>
          </w:p>
        </w:tc>
        <w:tc>
          <w:tcPr>
            <w:tcW w:w="4078" w:type="pct"/>
          </w:tcPr>
          <w:p w:rsidR="000F287A" w:rsidRPr="00971799" w:rsidRDefault="00DD184D" w:rsidP="00F62B45">
            <w:pPr>
              <w:pStyle w:val="TableBullet"/>
              <w:numPr>
                <w:ilvl w:val="0"/>
                <w:numId w:val="0"/>
              </w:numPr>
              <w:spacing w:after="120"/>
              <w:jc w:val="both"/>
            </w:pPr>
            <w:r>
              <w:t>‘Backlog’ is intended to be an indicator of governments’ achievement against the objective of processing matters in an expeditious and timely manner.</w:t>
            </w:r>
          </w:p>
          <w:p w:rsidR="00CA1E8E" w:rsidRDefault="00CA1E8E" w:rsidP="00CA1E8E">
            <w:pPr>
              <w:pStyle w:val="TableBodyText"/>
              <w:ind w:left="0" w:firstLine="6"/>
              <w:jc w:val="left"/>
            </w:pPr>
            <w:r>
              <w:t>However t</w:t>
            </w:r>
            <w:r w:rsidRPr="00F20BEC">
              <w:t xml:space="preserve">ime taken to process cases is not necessarily </w:t>
            </w:r>
            <w:r w:rsidR="009B2DA8">
              <w:t xml:space="preserve">due to </w:t>
            </w:r>
            <w:r w:rsidRPr="00F20BEC">
              <w:t>court delay. Some delays are caused by factors other than those related to the workload of the court</w:t>
            </w:r>
            <w:r>
              <w:t>.  These factors will vary across jurisdictions and can include any or all of the following:</w:t>
            </w:r>
          </w:p>
          <w:p w:rsidR="00CA1E8E" w:rsidRDefault="00CA1E8E" w:rsidP="00CA1E8E">
            <w:pPr>
              <w:pStyle w:val="TableBodyText"/>
              <w:numPr>
                <w:ilvl w:val="0"/>
                <w:numId w:val="44"/>
              </w:numPr>
              <w:jc w:val="left"/>
            </w:pPr>
            <w:r w:rsidRPr="00B02272">
              <w:t>parties' refusal of the first available hearing date in favour of a later date</w:t>
            </w:r>
          </w:p>
          <w:p w:rsidR="00CA1E8E" w:rsidRDefault="00CA1E8E" w:rsidP="00CA1E8E">
            <w:pPr>
              <w:pStyle w:val="TableBodyText"/>
              <w:numPr>
                <w:ilvl w:val="0"/>
                <w:numId w:val="44"/>
              </w:numPr>
              <w:jc w:val="left"/>
            </w:pPr>
            <w:r w:rsidRPr="00B02272">
              <w:t>referral of cases to diversionary programs, or to alternative dispute resolution lengthen</w:t>
            </w:r>
            <w:r>
              <w:t>ing</w:t>
            </w:r>
            <w:r w:rsidRPr="00B02272">
              <w:t xml:space="preserve"> the duration of a case but offer</w:t>
            </w:r>
            <w:r>
              <w:t>ing</w:t>
            </w:r>
            <w:r w:rsidRPr="00B02272">
              <w:t xml:space="preserve"> better quality and more cost-effective outcomes for parties and the community</w:t>
            </w:r>
          </w:p>
          <w:p w:rsidR="00CA1E8E" w:rsidRDefault="00CA1E8E" w:rsidP="00CA1E8E">
            <w:pPr>
              <w:pStyle w:val="TableBodyText"/>
              <w:numPr>
                <w:ilvl w:val="0"/>
                <w:numId w:val="44"/>
              </w:numPr>
              <w:jc w:val="left"/>
            </w:pPr>
            <w:r w:rsidRPr="00B02272">
              <w:t>time taken to process interlocutory appeals in appellate courts</w:t>
            </w:r>
          </w:p>
          <w:p w:rsidR="00CA1E8E" w:rsidRDefault="00CA1E8E" w:rsidP="00CA1E8E">
            <w:pPr>
              <w:pStyle w:val="TableBodyText"/>
              <w:numPr>
                <w:ilvl w:val="0"/>
                <w:numId w:val="44"/>
              </w:numPr>
              <w:jc w:val="left"/>
            </w:pPr>
            <w:r w:rsidRPr="00B02272">
              <w:t>time taken to ensure that interlocutory or pre-trial issues are resolved s</w:t>
            </w:r>
            <w:r>
              <w:t>o that a fair outcome ensues</w:t>
            </w:r>
          </w:p>
          <w:p w:rsidR="00CA1E8E" w:rsidRDefault="00CA1E8E" w:rsidP="00CA1E8E">
            <w:pPr>
              <w:pStyle w:val="TableBodyText"/>
              <w:numPr>
                <w:ilvl w:val="0"/>
                <w:numId w:val="44"/>
              </w:numPr>
              <w:jc w:val="left"/>
            </w:pPr>
            <w:r w:rsidRPr="00F20BEC">
              <w:t>a witness being unavailable</w:t>
            </w:r>
          </w:p>
          <w:p w:rsidR="00CA1E8E" w:rsidRPr="00EE4F92" w:rsidRDefault="00CA1E8E" w:rsidP="00F62B45">
            <w:pPr>
              <w:pStyle w:val="TableBodyText"/>
              <w:numPr>
                <w:ilvl w:val="0"/>
                <w:numId w:val="44"/>
              </w:numPr>
              <w:spacing w:after="120"/>
              <w:ind w:left="363" w:hanging="357"/>
              <w:jc w:val="left"/>
            </w:pPr>
            <w:r w:rsidRPr="00EE4F92">
              <w:t>delay</w:t>
            </w:r>
            <w:r>
              <w:t>s</w:t>
            </w:r>
            <w:r w:rsidRPr="00EE4F92">
              <w:t xml:space="preserve"> in the finalisation of post mortem reports </w:t>
            </w:r>
            <w:r>
              <w:t xml:space="preserve">for Coroner’s Court in jurisdictions where post mortems are undertaken by agencies </w:t>
            </w:r>
            <w:r w:rsidR="002E7D2B">
              <w:t>outside the court jurisdiction.</w:t>
            </w:r>
          </w:p>
          <w:p w:rsidR="000F287A" w:rsidRPr="00B96E3E" w:rsidRDefault="00CA1E8E" w:rsidP="00D20497">
            <w:pPr>
              <w:pStyle w:val="TableBodyText"/>
              <w:spacing w:after="120"/>
              <w:ind w:left="0" w:firstLine="6"/>
              <w:jc w:val="left"/>
            </w:pPr>
            <w:r w:rsidRPr="00F20BEC">
              <w:lastRenderedPageBreak/>
              <w:t xml:space="preserve">For further information on the backlog indicator refer to </w:t>
            </w:r>
            <w:smartTag w:uri="urn:schemas-microsoft-com:office:smarttags" w:element="address">
              <w:smartTag w:uri="urn:schemas-microsoft-com:office:smarttags" w:element="Street">
                <w:r w:rsidRPr="00F20BEC">
                  <w:t>Box</w:t>
                </w:r>
              </w:smartTag>
              <w:r w:rsidR="009C452B">
                <w:t xml:space="preserve"> 7.9</w:t>
              </w:r>
            </w:smartTag>
            <w:r>
              <w:t xml:space="preserve">, </w:t>
            </w:r>
            <w:smartTag w:uri="urn:schemas-microsoft-com:office:smarttags" w:element="address">
              <w:smartTag w:uri="urn:schemas-microsoft-com:office:smarttags" w:element="Street">
                <w:r>
                  <w:t>B</w:t>
                </w:r>
                <w:r w:rsidRPr="00F20BEC">
                  <w:t>ox</w:t>
                </w:r>
              </w:smartTag>
              <w:r w:rsidR="009C452B">
                <w:t xml:space="preserve"> 7.10</w:t>
              </w:r>
            </w:smartTag>
            <w:r>
              <w:t xml:space="preserve">, and </w:t>
            </w:r>
            <w:smartTag w:uri="urn:schemas-microsoft-com:office:smarttags" w:element="address">
              <w:smartTag w:uri="urn:schemas-microsoft-com:office:smarttags" w:element="Street">
                <w:r>
                  <w:t>Box</w:t>
                </w:r>
              </w:smartTag>
              <w:r w:rsidR="009C452B">
                <w:t xml:space="preserve"> 7.11</w:t>
              </w:r>
            </w:smartTag>
            <w:r w:rsidRPr="00F20BEC">
              <w:t xml:space="preserve"> </w:t>
            </w:r>
            <w:r>
              <w:t xml:space="preserve">in chapter 7 </w:t>
            </w:r>
            <w:r w:rsidRPr="00F20BEC">
              <w:t>of the Report.</w:t>
            </w:r>
          </w:p>
        </w:tc>
      </w:tr>
      <w:tr w:rsidR="00B6345E" w:rsidTr="00610CD4">
        <w:tc>
          <w:tcPr>
            <w:tcW w:w="922" w:type="pct"/>
          </w:tcPr>
          <w:p w:rsidR="00B6345E" w:rsidRPr="00C744E0" w:rsidRDefault="00B6345E" w:rsidP="00805ACC">
            <w:pPr>
              <w:pStyle w:val="TableBodyText"/>
              <w:jc w:val="both"/>
              <w:rPr>
                <w:b/>
              </w:rPr>
            </w:pPr>
            <w:r w:rsidRPr="00C744E0">
              <w:rPr>
                <w:b/>
              </w:rPr>
              <w:lastRenderedPageBreak/>
              <w:t>Timeliness</w:t>
            </w:r>
          </w:p>
        </w:tc>
        <w:tc>
          <w:tcPr>
            <w:tcW w:w="4078" w:type="pct"/>
          </w:tcPr>
          <w:p w:rsidR="00B6345E" w:rsidRDefault="00B6345E" w:rsidP="00805ACC">
            <w:pPr>
              <w:pStyle w:val="TableBodyText"/>
              <w:keepNext w:val="0"/>
              <w:jc w:val="both"/>
            </w:pPr>
            <w:r>
              <w:t xml:space="preserve">The reference period </w:t>
            </w:r>
            <w:r w:rsidR="00EB59DD">
              <w:t>is the 2014</w:t>
            </w:r>
            <w:r>
              <w:t>-1</w:t>
            </w:r>
            <w:r w:rsidR="00EB59DD">
              <w:t>5</w:t>
            </w:r>
            <w:r>
              <w:t xml:space="preserve"> financial year. Dat</w:t>
            </w:r>
            <w:r w:rsidR="00EB59DD">
              <w:t>a are provided in September 2015</w:t>
            </w:r>
            <w:r>
              <w:t>,</w:t>
            </w:r>
            <w:r w:rsidR="00EB59DD">
              <w:t xml:space="preserve"> for publication in January 2016</w:t>
            </w:r>
            <w:r>
              <w:t>.</w:t>
            </w:r>
          </w:p>
          <w:p w:rsidR="00B6345E" w:rsidRPr="009F199D" w:rsidRDefault="00B6345E" w:rsidP="00D20497">
            <w:pPr>
              <w:pStyle w:val="TableBodyText"/>
              <w:keepNext w:val="0"/>
              <w:spacing w:after="120"/>
              <w:jc w:val="both"/>
            </w:pPr>
            <w:r>
              <w:t>Data can be revised retrospectively up to 5 years later.</w:t>
            </w:r>
          </w:p>
        </w:tc>
      </w:tr>
      <w:tr w:rsidR="000F287A" w:rsidTr="00610CD4">
        <w:tc>
          <w:tcPr>
            <w:tcW w:w="922" w:type="pct"/>
          </w:tcPr>
          <w:p w:rsidR="000F287A" w:rsidRPr="00C744E0" w:rsidRDefault="000F287A" w:rsidP="00610CD4">
            <w:pPr>
              <w:pStyle w:val="TableBodyText"/>
              <w:jc w:val="left"/>
              <w:rPr>
                <w:b/>
              </w:rPr>
            </w:pPr>
            <w:r w:rsidRPr="00C744E0">
              <w:rPr>
                <w:b/>
              </w:rPr>
              <w:t>Accuracy</w:t>
            </w:r>
          </w:p>
        </w:tc>
        <w:tc>
          <w:tcPr>
            <w:tcW w:w="4078" w:type="pct"/>
          </w:tcPr>
          <w:p w:rsidR="00F962B8" w:rsidRDefault="00F962B8" w:rsidP="00F962B8">
            <w:pPr>
              <w:pStyle w:val="TableBullet"/>
              <w:numPr>
                <w:ilvl w:val="0"/>
                <w:numId w:val="0"/>
              </w:numPr>
              <w:spacing w:line="220" w:lineRule="exact"/>
              <w:ind w:left="6"/>
            </w:pPr>
            <w:r>
              <w:t xml:space="preserve">The identification of </w:t>
            </w:r>
            <w:r w:rsidR="002309D3">
              <w:t>backlog data</w:t>
            </w:r>
            <w:r>
              <w:t xml:space="preserve"> </w:t>
            </w:r>
            <w:r w:rsidR="002309D3">
              <w:t>is generally</w:t>
            </w:r>
            <w:r>
              <w:t xml:space="preserve"> done using electronic case management reporting s</w:t>
            </w:r>
            <w:r w:rsidR="002309D3">
              <w:t>ystems except for the following. Exceptions are noted in attachment tables.</w:t>
            </w:r>
          </w:p>
          <w:p w:rsidR="000F287A" w:rsidRDefault="000F287A" w:rsidP="00610CD4">
            <w:pPr>
              <w:pStyle w:val="TableBullet"/>
              <w:keepNext w:val="0"/>
              <w:numPr>
                <w:ilvl w:val="0"/>
                <w:numId w:val="0"/>
              </w:numPr>
              <w:jc w:val="both"/>
            </w:pPr>
            <w:r>
              <w:t xml:space="preserve">The data provided are consistent with </w:t>
            </w:r>
            <w:proofErr w:type="spellStart"/>
            <w:r>
              <w:t>RoGS</w:t>
            </w:r>
            <w:proofErr w:type="spellEnd"/>
            <w:r>
              <w:t xml:space="preserve"> counting </w:t>
            </w:r>
            <w:r w:rsidR="00F962B8">
              <w:t xml:space="preserve">rules, </w:t>
            </w:r>
            <w:proofErr w:type="spellStart"/>
            <w:r w:rsidR="00F962B8">
              <w:t>eg</w:t>
            </w:r>
            <w:proofErr w:type="spellEnd"/>
            <w:r w:rsidR="00F962B8">
              <w:t>. rules relating to deeming, warrants, bail matters, consolidations etc. and are reported</w:t>
            </w:r>
            <w:r w:rsidR="005E7E29">
              <w:t xml:space="preserve"> in a consistent manner</w:t>
            </w:r>
            <w:r w:rsidR="00F962B8">
              <w:t xml:space="preserve"> for all court levels in each jurisdiction, except the NSW</w:t>
            </w:r>
            <w:r w:rsidR="009530D9">
              <w:t xml:space="preserve"> c</w:t>
            </w:r>
            <w:r w:rsidR="002309D3">
              <w:t>ivil children’s court.</w:t>
            </w:r>
          </w:p>
          <w:p w:rsidR="00F962B8" w:rsidRPr="00CF5FA0" w:rsidRDefault="00F962B8" w:rsidP="00D20497">
            <w:pPr>
              <w:pStyle w:val="TableBullet"/>
              <w:keepNext w:val="0"/>
              <w:numPr>
                <w:ilvl w:val="0"/>
                <w:numId w:val="0"/>
              </w:numPr>
              <w:spacing w:after="120"/>
              <w:jc w:val="both"/>
            </w:pPr>
            <w:r>
              <w:t>The data are extracted from case management systems which are subject to the normal legislative financial and administrative controls, reconciliation and validation processes to ensure accuracy.</w:t>
            </w:r>
          </w:p>
        </w:tc>
      </w:tr>
      <w:tr w:rsidR="000F287A" w:rsidTr="00610CD4">
        <w:tc>
          <w:tcPr>
            <w:tcW w:w="922" w:type="pct"/>
          </w:tcPr>
          <w:p w:rsidR="000F287A" w:rsidRPr="002162BE" w:rsidRDefault="000F287A" w:rsidP="00610CD4">
            <w:pPr>
              <w:pStyle w:val="TableBodyText"/>
              <w:jc w:val="left"/>
              <w:rPr>
                <w:b/>
              </w:rPr>
            </w:pPr>
            <w:r w:rsidRPr="002162BE">
              <w:rPr>
                <w:b/>
              </w:rPr>
              <w:t>Coherence</w:t>
            </w:r>
          </w:p>
        </w:tc>
        <w:tc>
          <w:tcPr>
            <w:tcW w:w="4078" w:type="pct"/>
          </w:tcPr>
          <w:p w:rsidR="000F287A" w:rsidRDefault="000F287A" w:rsidP="00610CD4">
            <w:pPr>
              <w:pStyle w:val="TableBodyText"/>
              <w:keepNext w:val="0"/>
              <w:ind w:left="0" w:firstLine="6"/>
              <w:jc w:val="both"/>
            </w:pPr>
            <w:r>
              <w:t>F</w:t>
            </w:r>
            <w:r w:rsidRPr="00206536">
              <w:t xml:space="preserve">or </w:t>
            </w:r>
            <w:r w:rsidR="00CE3B5B">
              <w:t>the last five years backlog</w:t>
            </w:r>
            <w:r>
              <w:t xml:space="preserve"> data have</w:t>
            </w:r>
            <w:r w:rsidRPr="00206536">
              <w:t xml:space="preserve"> been counted and reported </w:t>
            </w:r>
            <w:r>
              <w:t xml:space="preserve">relatively </w:t>
            </w:r>
            <w:r w:rsidRPr="00206536">
              <w:t>consistently</w:t>
            </w:r>
            <w:r w:rsidR="00670869">
              <w:t>. Exceptions are noted in attachment tables.</w:t>
            </w:r>
          </w:p>
          <w:p w:rsidR="000F287A" w:rsidRPr="00CD04F1" w:rsidRDefault="00496F93" w:rsidP="00D20497">
            <w:pPr>
              <w:pStyle w:val="TableBodyText"/>
              <w:spacing w:after="120"/>
              <w:jc w:val="both"/>
            </w:pPr>
            <w:r>
              <w:t>In most</w:t>
            </w:r>
            <w:r w:rsidR="000F287A" w:rsidRPr="00D84159">
              <w:t xml:space="preserve"> </w:t>
            </w:r>
            <w:r w:rsidR="000F287A">
              <w:t>jurisdictions</w:t>
            </w:r>
            <w:r w:rsidR="000F287A" w:rsidRPr="00D84159">
              <w:t xml:space="preserve"> there is an alignment with other publications</w:t>
            </w:r>
            <w:r w:rsidR="00800960">
              <w:t xml:space="preserve">, </w:t>
            </w:r>
            <w:proofErr w:type="spellStart"/>
            <w:r w:rsidR="00800960">
              <w:t>e</w:t>
            </w:r>
            <w:r w:rsidR="000F287A">
              <w:t>g</w:t>
            </w:r>
            <w:proofErr w:type="spellEnd"/>
            <w:r w:rsidR="000F287A">
              <w:t xml:space="preserve">. annual reports, </w:t>
            </w:r>
            <w:r>
              <w:t>while</w:t>
            </w:r>
            <w:r w:rsidR="000F287A">
              <w:t xml:space="preserve"> </w:t>
            </w:r>
            <w:r>
              <w:t>i</w:t>
            </w:r>
            <w:r w:rsidR="000F287A" w:rsidRPr="00D84159">
              <w:t xml:space="preserve">n </w:t>
            </w:r>
            <w:r w:rsidR="000F287A">
              <w:t>other jurisdictions</w:t>
            </w:r>
            <w:r w:rsidR="000F287A" w:rsidRPr="00D84159">
              <w:t xml:space="preserve"> there are differences due to the </w:t>
            </w:r>
            <w:proofErr w:type="spellStart"/>
            <w:r w:rsidR="000F287A" w:rsidRPr="00D84159">
              <w:t>ROGS</w:t>
            </w:r>
            <w:proofErr w:type="spellEnd"/>
            <w:r w:rsidR="000F287A" w:rsidRPr="00D84159">
              <w:t xml:space="preserve"> counting rules</w:t>
            </w:r>
            <w:r>
              <w:t xml:space="preserve"> in relation to exclusions</w:t>
            </w:r>
            <w:r w:rsidR="000F287A" w:rsidRPr="00D84159">
              <w:t>.</w:t>
            </w:r>
          </w:p>
        </w:tc>
      </w:tr>
      <w:tr w:rsidR="000F287A" w:rsidTr="00610CD4">
        <w:tc>
          <w:tcPr>
            <w:tcW w:w="922" w:type="pct"/>
          </w:tcPr>
          <w:p w:rsidR="000F287A" w:rsidRPr="00C744E0" w:rsidRDefault="000F287A" w:rsidP="00610CD4">
            <w:pPr>
              <w:pStyle w:val="TableBodyText"/>
              <w:jc w:val="left"/>
              <w:rPr>
                <w:b/>
              </w:rPr>
            </w:pPr>
            <w:r w:rsidRPr="00C744E0">
              <w:rPr>
                <w:b/>
              </w:rPr>
              <w:t>Accessibility</w:t>
            </w:r>
          </w:p>
        </w:tc>
        <w:tc>
          <w:tcPr>
            <w:tcW w:w="4078" w:type="pct"/>
          </w:tcPr>
          <w:p w:rsidR="000F287A" w:rsidRPr="001A7053" w:rsidRDefault="001C6CF8" w:rsidP="00A41287">
            <w:pPr>
              <w:pStyle w:val="TableBodyText"/>
              <w:keepNext w:val="0"/>
              <w:spacing w:after="120"/>
              <w:jc w:val="left"/>
            </w:pPr>
            <w:r>
              <w:t xml:space="preserve">Pending caseload data are provided for the Report on Government Services according to the specific </w:t>
            </w:r>
            <w:proofErr w:type="spellStart"/>
            <w:r>
              <w:t>RoGS</w:t>
            </w:r>
            <w:proofErr w:type="spellEnd"/>
            <w:r>
              <w:t xml:space="preserve"> counting rules. Other data on pending cases is available through court annual reports, court websites, on application from the Chief Jurisdictional Officer in the relevant state, territory or federal jurisdiction. Pending case data for the </w:t>
            </w:r>
            <w:smartTag w:uri="urn:schemas-microsoft-com:office:smarttags" w:element="State">
              <w:smartTag w:uri="urn:schemas-microsoft-com:office:smarttags" w:element="place">
                <w:r>
                  <w:t>Australian Capital Territory</w:t>
                </w:r>
              </w:smartTag>
            </w:smartTag>
            <w:r>
              <w:t xml:space="preserve"> courts can also be found in the </w:t>
            </w:r>
            <w:r w:rsidRPr="00B05873">
              <w:t>Justice &amp; Community Safety Directorate's Annual Report</w:t>
            </w:r>
            <w:r>
              <w:t>.</w:t>
            </w:r>
          </w:p>
        </w:tc>
      </w:tr>
      <w:tr w:rsidR="000F287A" w:rsidTr="00610CD4">
        <w:tc>
          <w:tcPr>
            <w:tcW w:w="922" w:type="pct"/>
          </w:tcPr>
          <w:p w:rsidR="000F287A" w:rsidRPr="00C744E0" w:rsidRDefault="000F287A" w:rsidP="00610CD4">
            <w:pPr>
              <w:pStyle w:val="TableBodyText"/>
              <w:jc w:val="left"/>
              <w:rPr>
                <w:b/>
              </w:rPr>
            </w:pPr>
            <w:r w:rsidRPr="00C744E0">
              <w:rPr>
                <w:b/>
              </w:rPr>
              <w:t>Interpretability</w:t>
            </w:r>
          </w:p>
        </w:tc>
        <w:tc>
          <w:tcPr>
            <w:tcW w:w="4078" w:type="pct"/>
          </w:tcPr>
          <w:p w:rsidR="00C94442" w:rsidRDefault="00C94442" w:rsidP="005E2F78">
            <w:pPr>
              <w:pStyle w:val="TableBodyText"/>
              <w:keepNext w:val="0"/>
              <w:ind w:left="32" w:hanging="26"/>
              <w:jc w:val="left"/>
            </w:pPr>
            <w:r>
              <w:t>B</w:t>
            </w:r>
            <w:r w:rsidRPr="00A06FC4">
              <w:t>acklogs can be caused by factors not associated with th</w:t>
            </w:r>
            <w:r>
              <w:t>e</w:t>
            </w:r>
            <w:r w:rsidRPr="00A06FC4">
              <w:t xml:space="preserve"> performance of the court</w:t>
            </w:r>
            <w:r>
              <w:t xml:space="preserve"> as detailed previously under “Relevance”</w:t>
            </w:r>
            <w:r w:rsidRPr="00A06FC4">
              <w:t xml:space="preserve">. Additionally, </w:t>
            </w:r>
            <w:r>
              <w:t>c</w:t>
            </w:r>
            <w:r w:rsidRPr="00A06FC4">
              <w:t xml:space="preserve">omparisons over time </w:t>
            </w:r>
            <w:r>
              <w:t xml:space="preserve">and between courts </w:t>
            </w:r>
            <w:r w:rsidRPr="00A06FC4">
              <w:t>must take</w:t>
            </w:r>
            <w:r>
              <w:t xml:space="preserve"> into</w:t>
            </w:r>
            <w:r w:rsidRPr="00A06FC4">
              <w:t xml:space="preserve"> </w:t>
            </w:r>
            <w:r>
              <w:t xml:space="preserve">consideration the impact of </w:t>
            </w:r>
            <w:r w:rsidRPr="00A06FC4">
              <w:t>an increase/decrease in t</w:t>
            </w:r>
            <w:r>
              <w:t>he number of complex cases or</w:t>
            </w:r>
            <w:r w:rsidRPr="00A06FC4">
              <w:t xml:space="preserve"> cases that typically take longer to finalise, or alternatively an increase/decrease in the number of undefended or typically straightforward cases that are quickly finalised</w:t>
            </w:r>
            <w:r>
              <w:t>. T</w:t>
            </w:r>
            <w:r w:rsidRPr="00A06FC4">
              <w:t xml:space="preserve">hese will eventually alter the composition of the pending caseload and hence the age profile of that caseload (as measured by the backlog indicator) over time. </w:t>
            </w:r>
          </w:p>
          <w:p w:rsidR="000F287A" w:rsidRPr="00292C41" w:rsidRDefault="00C94442" w:rsidP="00292C41">
            <w:pPr>
              <w:pStyle w:val="TableBodyText"/>
              <w:ind w:left="0" w:firstLine="6"/>
              <w:jc w:val="left"/>
            </w:pPr>
            <w:r w:rsidRPr="00F20BEC">
              <w:t xml:space="preserve">For further information on the backlog indicator refer to </w:t>
            </w:r>
            <w:smartTag w:uri="urn:schemas-microsoft-com:office:smarttags" w:element="address">
              <w:smartTag w:uri="urn:schemas-microsoft-com:office:smarttags" w:element="Street">
                <w:r w:rsidRPr="00F20BEC">
                  <w:t>Box</w:t>
                </w:r>
              </w:smartTag>
              <w:r w:rsidR="00F31A71">
                <w:t xml:space="preserve"> 7.9</w:t>
              </w:r>
            </w:smartTag>
            <w:r>
              <w:t xml:space="preserve">, </w:t>
            </w:r>
            <w:smartTag w:uri="urn:schemas-microsoft-com:office:smarttags" w:element="address">
              <w:smartTag w:uri="urn:schemas-microsoft-com:office:smarttags" w:element="Street">
                <w:r>
                  <w:t>B</w:t>
                </w:r>
                <w:r w:rsidRPr="00F20BEC">
                  <w:t>ox</w:t>
                </w:r>
              </w:smartTag>
              <w:r w:rsidR="00F31A71">
                <w:t xml:space="preserve"> 7.10</w:t>
              </w:r>
            </w:smartTag>
            <w:r>
              <w:t xml:space="preserve">, and </w:t>
            </w:r>
            <w:smartTag w:uri="urn:schemas-microsoft-com:office:smarttags" w:element="address">
              <w:smartTag w:uri="urn:schemas-microsoft-com:office:smarttags" w:element="Street">
                <w:r>
                  <w:t>Box</w:t>
                </w:r>
              </w:smartTag>
              <w:r w:rsidR="00F31A71">
                <w:t xml:space="preserve"> 7.11</w:t>
              </w:r>
            </w:smartTag>
            <w:r w:rsidRPr="00F20BEC">
              <w:t xml:space="preserve"> </w:t>
            </w:r>
            <w:r>
              <w:t xml:space="preserve">in chapter 7 </w:t>
            </w:r>
            <w:r w:rsidRPr="00F20BEC">
              <w:t>of the Report.</w:t>
            </w:r>
          </w:p>
        </w:tc>
      </w:tr>
      <w:tr w:rsidR="000F287A" w:rsidTr="00610CD4">
        <w:tc>
          <w:tcPr>
            <w:tcW w:w="5000" w:type="pct"/>
            <w:gridSpan w:val="2"/>
            <w:shd w:val="clear" w:color="auto" w:fill="auto"/>
          </w:tcPr>
          <w:p w:rsidR="000F287A" w:rsidRDefault="000F287A" w:rsidP="00610CD4">
            <w:pPr>
              <w:pStyle w:val="TableBodyText"/>
              <w:jc w:val="left"/>
              <w:rPr>
                <w:b/>
                <w:u w:val="single"/>
              </w:rPr>
            </w:pPr>
          </w:p>
          <w:p w:rsidR="000F287A" w:rsidRPr="00C744E0" w:rsidRDefault="000F287A" w:rsidP="00A41287">
            <w:pPr>
              <w:pStyle w:val="TableBodyText"/>
              <w:spacing w:after="120"/>
              <w:jc w:val="left"/>
              <w:rPr>
                <w:b/>
                <w:u w:val="single"/>
              </w:rPr>
            </w:pPr>
            <w:r w:rsidRPr="00C744E0">
              <w:rPr>
                <w:b/>
                <w:u w:val="single"/>
              </w:rPr>
              <w:t>Data Gaps/Issues Analysis</w:t>
            </w:r>
          </w:p>
        </w:tc>
      </w:tr>
      <w:tr w:rsidR="000F287A" w:rsidTr="00610CD4">
        <w:tc>
          <w:tcPr>
            <w:tcW w:w="922" w:type="pct"/>
            <w:shd w:val="clear" w:color="auto" w:fill="auto"/>
          </w:tcPr>
          <w:p w:rsidR="000F287A" w:rsidRPr="00C744E0" w:rsidRDefault="000F287A" w:rsidP="00610CD4">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0F287A" w:rsidRDefault="000F287A" w:rsidP="00610CD4">
            <w:pPr>
              <w:pStyle w:val="TableBodyText"/>
              <w:jc w:val="both"/>
            </w:pPr>
            <w:r w:rsidRPr="00B96E3E">
              <w:t xml:space="preserve">The Steering Committee notes the following key data gaps/issues: </w:t>
            </w:r>
          </w:p>
          <w:p w:rsidR="000F287A" w:rsidRPr="00B96E3E" w:rsidRDefault="00A57C86" w:rsidP="00CF55B3">
            <w:pPr>
              <w:pStyle w:val="TableBullet"/>
              <w:tabs>
                <w:tab w:val="left" w:pos="170"/>
              </w:tabs>
              <w:ind w:left="176"/>
              <w:jc w:val="both"/>
            </w:pPr>
            <w:r>
              <w:t xml:space="preserve">Due to limitations of the data management system, </w:t>
            </w:r>
            <w:r w:rsidR="00092B50">
              <w:t>NSW has been</w:t>
            </w:r>
            <w:r>
              <w:t xml:space="preserve"> unable to provide</w:t>
            </w:r>
            <w:r w:rsidR="00C9214D">
              <w:t xml:space="preserve"> pending caseload or backlog data</w:t>
            </w:r>
            <w:r w:rsidR="009530D9">
              <w:t xml:space="preserve"> for the civil c</w:t>
            </w:r>
            <w:r w:rsidR="00092B50">
              <w:t>hildren’s courts. It is hoped that this situation may be rectified for future reports.</w:t>
            </w:r>
            <w:r w:rsidR="00C9214D">
              <w:t xml:space="preserve"> </w:t>
            </w:r>
            <w:r>
              <w:t xml:space="preserve"> </w:t>
            </w:r>
          </w:p>
        </w:tc>
      </w:tr>
    </w:tbl>
    <w:p w:rsidR="009875C5" w:rsidRDefault="009875C5" w:rsidP="000F287A">
      <w:pPr>
        <w:pStyle w:val="BodyText"/>
      </w:pPr>
    </w:p>
    <w:p w:rsidR="009875C5" w:rsidRPr="00016770" w:rsidRDefault="009875C5" w:rsidP="009875C5">
      <w:pPr>
        <w:pStyle w:val="Heading3"/>
        <w:spacing w:before="120"/>
      </w:pPr>
      <w:r>
        <w:br w:type="page"/>
      </w:r>
      <w:bookmarkStart w:id="12" w:name="_Toc338344191"/>
      <w:r>
        <w:lastRenderedPageBreak/>
        <w:t>Attendance</w:t>
      </w:r>
      <w:bookmarkEnd w:id="12"/>
    </w:p>
    <w:p w:rsidR="009875C5" w:rsidRPr="00101653" w:rsidRDefault="009875C5" w:rsidP="009875C5">
      <w:pPr>
        <w:pStyle w:val="Box"/>
      </w:pPr>
      <w:r w:rsidRPr="00016770">
        <w:t>Data quality information for this indicator has been drafted by the Secretariat in consultation with the Court</w:t>
      </w:r>
      <w:r w:rsidR="00043DAC">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7C7A64" w:rsidTr="00610CD4">
        <w:tc>
          <w:tcPr>
            <w:tcW w:w="5000" w:type="pct"/>
            <w:gridSpan w:val="2"/>
          </w:tcPr>
          <w:p w:rsidR="007C7A64" w:rsidRDefault="007C7A64" w:rsidP="00610CD4">
            <w:pPr>
              <w:pStyle w:val="TableBodyText"/>
              <w:jc w:val="both"/>
              <w:rPr>
                <w:b/>
                <w:u w:val="single"/>
              </w:rPr>
            </w:pPr>
          </w:p>
          <w:p w:rsidR="007C7A64" w:rsidRDefault="007C7A64" w:rsidP="00AA1E2A">
            <w:pPr>
              <w:pStyle w:val="TableBodyText"/>
              <w:spacing w:after="120"/>
              <w:jc w:val="both"/>
            </w:pPr>
            <w:r w:rsidRPr="007D0BFD">
              <w:rPr>
                <w:b/>
                <w:u w:val="single"/>
              </w:rPr>
              <w:t>Indicator definition and description</w:t>
            </w:r>
            <w:r>
              <w:rPr>
                <w:rFonts w:cs="Arial"/>
                <w:b/>
                <w:sz w:val="22"/>
                <w:szCs w:val="22"/>
                <w:u w:val="single"/>
              </w:rPr>
              <w:t xml:space="preserve"> </w:t>
            </w:r>
          </w:p>
        </w:tc>
      </w:tr>
      <w:tr w:rsidR="007C7A64" w:rsidTr="00610CD4">
        <w:tc>
          <w:tcPr>
            <w:tcW w:w="922" w:type="pct"/>
          </w:tcPr>
          <w:p w:rsidR="007C7A64" w:rsidRPr="00C744E0" w:rsidRDefault="007C7A64" w:rsidP="00610CD4">
            <w:pPr>
              <w:pStyle w:val="TableBodyText"/>
              <w:jc w:val="left"/>
              <w:rPr>
                <w:b/>
              </w:rPr>
            </w:pPr>
            <w:r w:rsidRPr="00C744E0">
              <w:rPr>
                <w:b/>
              </w:rPr>
              <w:t>Element</w:t>
            </w:r>
          </w:p>
        </w:tc>
        <w:tc>
          <w:tcPr>
            <w:tcW w:w="4078" w:type="pct"/>
          </w:tcPr>
          <w:p w:rsidR="007C7A64" w:rsidRPr="00A1569C" w:rsidRDefault="007C7A64" w:rsidP="00AA1E2A">
            <w:pPr>
              <w:pStyle w:val="TableBodyText"/>
              <w:spacing w:after="120"/>
              <w:jc w:val="both"/>
            </w:pPr>
            <w:r>
              <w:t>Court</w:t>
            </w:r>
            <w:r w:rsidR="00043DAC">
              <w:t>s</w:t>
            </w:r>
            <w:r>
              <w:t xml:space="preserve"> Efficiency – Inputs per unit of output – Attendance</w:t>
            </w:r>
          </w:p>
        </w:tc>
      </w:tr>
      <w:tr w:rsidR="007C7A64" w:rsidTr="00610CD4">
        <w:tc>
          <w:tcPr>
            <w:tcW w:w="922" w:type="pct"/>
          </w:tcPr>
          <w:p w:rsidR="007C7A64" w:rsidRPr="00C744E0" w:rsidRDefault="007C7A64" w:rsidP="00610CD4">
            <w:pPr>
              <w:pStyle w:val="TableBodyText"/>
              <w:jc w:val="left"/>
              <w:rPr>
                <w:b/>
              </w:rPr>
            </w:pPr>
            <w:r w:rsidRPr="00C744E0">
              <w:rPr>
                <w:b/>
              </w:rPr>
              <w:t>Indicator</w:t>
            </w:r>
          </w:p>
        </w:tc>
        <w:tc>
          <w:tcPr>
            <w:tcW w:w="4078" w:type="pct"/>
          </w:tcPr>
          <w:p w:rsidR="007C7A64" w:rsidRPr="00E17A32" w:rsidRDefault="007C7A64" w:rsidP="00AA1E2A">
            <w:pPr>
              <w:pStyle w:val="TableBodyText"/>
              <w:spacing w:after="120"/>
              <w:jc w:val="both"/>
            </w:pPr>
            <w:r>
              <w:t>Attendance indicator</w:t>
            </w:r>
          </w:p>
        </w:tc>
      </w:tr>
      <w:tr w:rsidR="007C7A64" w:rsidTr="00610CD4">
        <w:tc>
          <w:tcPr>
            <w:tcW w:w="922" w:type="pct"/>
          </w:tcPr>
          <w:p w:rsidR="007C7A64" w:rsidRPr="00C744E0" w:rsidRDefault="007C7A64" w:rsidP="00610CD4">
            <w:pPr>
              <w:pStyle w:val="TableBodyText"/>
              <w:jc w:val="left"/>
              <w:rPr>
                <w:b/>
              </w:rPr>
            </w:pPr>
            <w:r w:rsidRPr="00C744E0">
              <w:rPr>
                <w:b/>
              </w:rPr>
              <w:t>Measure (computation)</w:t>
            </w:r>
          </w:p>
        </w:tc>
        <w:tc>
          <w:tcPr>
            <w:tcW w:w="4078" w:type="pct"/>
          </w:tcPr>
          <w:p w:rsidR="00333482" w:rsidRPr="00333482" w:rsidRDefault="00333482" w:rsidP="00610CD4">
            <w:pPr>
              <w:pStyle w:val="TableBodyText"/>
              <w:jc w:val="both"/>
              <w:rPr>
                <w:u w:val="single"/>
              </w:rPr>
            </w:pPr>
            <w:r>
              <w:rPr>
                <w:u w:val="single"/>
              </w:rPr>
              <w:t>Definition</w:t>
            </w:r>
          </w:p>
          <w:p w:rsidR="007C7A64" w:rsidRDefault="007C7A64" w:rsidP="00AA1E2A">
            <w:pPr>
              <w:pStyle w:val="TableBodyText"/>
              <w:spacing w:before="120" w:after="120"/>
              <w:jc w:val="both"/>
            </w:pPr>
            <w:r>
              <w:t>The average number of attendances recorded for those cases that were finalised in a financial year.</w:t>
            </w:r>
            <w:r w:rsidR="00E179EA">
              <w:t xml:space="preserve"> The number of attendances is the number of times that parties or their representatives are required to be present in court to be heard by a judicial officer or mediator/arbitrator where binding orders can be made. The number includes appointments that are adjourned or rescheduled.</w:t>
            </w:r>
          </w:p>
          <w:p w:rsidR="007C7A64" w:rsidRDefault="007C7A64" w:rsidP="00333482">
            <w:pPr>
              <w:pStyle w:val="TableBodyText"/>
              <w:spacing w:after="120"/>
              <w:jc w:val="both"/>
            </w:pPr>
            <w:r>
              <w:rPr>
                <w:u w:val="single"/>
              </w:rPr>
              <w:t>Numerator</w:t>
            </w:r>
          </w:p>
          <w:p w:rsidR="007C7A64" w:rsidRPr="005A5147" w:rsidRDefault="00E179EA" w:rsidP="00610CD4">
            <w:pPr>
              <w:pStyle w:val="TableBodyText"/>
              <w:numPr>
                <w:ilvl w:val="0"/>
                <w:numId w:val="42"/>
              </w:numPr>
              <w:jc w:val="left"/>
            </w:pPr>
            <w:r>
              <w:t>Total number of attendances in a financial year</w:t>
            </w:r>
            <w:r w:rsidR="00333482">
              <w:t>.</w:t>
            </w:r>
          </w:p>
          <w:p w:rsidR="007C7A64" w:rsidRPr="005D4651" w:rsidRDefault="007C7A64" w:rsidP="00333482">
            <w:pPr>
              <w:pStyle w:val="TableBodyText"/>
              <w:spacing w:before="120" w:after="120"/>
              <w:jc w:val="both"/>
            </w:pPr>
            <w:r>
              <w:rPr>
                <w:u w:val="single"/>
              </w:rPr>
              <w:t>Denominator</w:t>
            </w:r>
          </w:p>
          <w:p w:rsidR="007C7A64" w:rsidRDefault="00E179EA" w:rsidP="00610CD4">
            <w:pPr>
              <w:pStyle w:val="TableBullet"/>
              <w:numPr>
                <w:ilvl w:val="0"/>
                <w:numId w:val="42"/>
              </w:numPr>
              <w:spacing w:line="220" w:lineRule="exact"/>
              <w:jc w:val="both"/>
            </w:pPr>
            <w:r>
              <w:t>Total number of cases finalised</w:t>
            </w:r>
            <w:r w:rsidR="007C7A64">
              <w:t xml:space="preserve"> in a financial year</w:t>
            </w:r>
            <w:r w:rsidR="00333482">
              <w:t>.</w:t>
            </w:r>
          </w:p>
          <w:p w:rsidR="00333482" w:rsidRDefault="00333482" w:rsidP="00333482">
            <w:pPr>
              <w:pStyle w:val="DQITableText"/>
            </w:pPr>
            <w:r>
              <w:rPr>
                <w:u w:val="single"/>
              </w:rPr>
              <w:t>Computation</w:t>
            </w:r>
          </w:p>
          <w:p w:rsidR="00333482" w:rsidRPr="00333482" w:rsidRDefault="00333482" w:rsidP="00AA1E2A">
            <w:pPr>
              <w:pStyle w:val="DQITableText"/>
              <w:spacing w:after="120"/>
            </w:pPr>
            <w:r>
              <w:t>Numerator divided by the denominator.</w:t>
            </w:r>
          </w:p>
        </w:tc>
      </w:tr>
      <w:tr w:rsidR="007C7A64" w:rsidTr="00610CD4">
        <w:tc>
          <w:tcPr>
            <w:tcW w:w="922" w:type="pct"/>
          </w:tcPr>
          <w:p w:rsidR="007C7A64" w:rsidRPr="00C744E0" w:rsidRDefault="007C7A64" w:rsidP="00610CD4">
            <w:pPr>
              <w:pStyle w:val="TableBodyText"/>
              <w:jc w:val="left"/>
              <w:rPr>
                <w:b/>
              </w:rPr>
            </w:pPr>
            <w:r w:rsidRPr="00C744E0">
              <w:rPr>
                <w:b/>
              </w:rPr>
              <w:t>Data source/s</w:t>
            </w:r>
          </w:p>
        </w:tc>
        <w:tc>
          <w:tcPr>
            <w:tcW w:w="4078" w:type="pct"/>
          </w:tcPr>
          <w:p w:rsidR="007C7A64" w:rsidRPr="00B96E3E" w:rsidRDefault="00A34D16" w:rsidP="00A34D16">
            <w:pPr>
              <w:pStyle w:val="TableBodyText"/>
              <w:jc w:val="both"/>
            </w:pPr>
            <w:r>
              <w:t>D</w:t>
            </w:r>
            <w:r w:rsidR="007C7A64">
              <w:t>ata</w:t>
            </w:r>
            <w:r w:rsidR="007C7A64" w:rsidRPr="00C34F8E">
              <w:t xml:space="preserve"> are</w:t>
            </w:r>
            <w:r>
              <w:t xml:space="preserve"> unpublished and</w:t>
            </w:r>
            <w:r w:rsidR="007C7A64" w:rsidRPr="00C34F8E">
              <w:t xml:space="preserve"> sourced from</w:t>
            </w:r>
            <w:r w:rsidR="007C7A64">
              <w:t xml:space="preserve"> Australian, State and Territory court </w:t>
            </w:r>
            <w:r w:rsidR="00E179EA">
              <w:t>authorities and departments.</w:t>
            </w:r>
          </w:p>
        </w:tc>
      </w:tr>
      <w:tr w:rsidR="007C7A64" w:rsidTr="00610CD4">
        <w:tc>
          <w:tcPr>
            <w:tcW w:w="5000" w:type="pct"/>
            <w:gridSpan w:val="2"/>
          </w:tcPr>
          <w:p w:rsidR="007C7A64" w:rsidRPr="00C744E0" w:rsidRDefault="007C7A64" w:rsidP="00AA1E2A">
            <w:pPr>
              <w:pStyle w:val="TableBodyText"/>
              <w:spacing w:before="120" w:after="120"/>
              <w:jc w:val="both"/>
              <w:rPr>
                <w:b/>
                <w:u w:val="single"/>
              </w:rPr>
            </w:pPr>
            <w:r w:rsidRPr="00C744E0">
              <w:rPr>
                <w:b/>
                <w:u w:val="single"/>
              </w:rPr>
              <w:t>Data Quality Framework Dimensions</w:t>
            </w:r>
          </w:p>
        </w:tc>
      </w:tr>
      <w:tr w:rsidR="007C7A64" w:rsidTr="00610CD4">
        <w:tc>
          <w:tcPr>
            <w:tcW w:w="922" w:type="pct"/>
          </w:tcPr>
          <w:p w:rsidR="007C7A64" w:rsidRPr="00C744E0" w:rsidRDefault="007C7A64" w:rsidP="00610CD4">
            <w:pPr>
              <w:pStyle w:val="TableBodyText"/>
              <w:jc w:val="left"/>
              <w:rPr>
                <w:b/>
              </w:rPr>
            </w:pPr>
            <w:r w:rsidRPr="00C744E0">
              <w:rPr>
                <w:b/>
              </w:rPr>
              <w:t>Institutional environment</w:t>
            </w:r>
          </w:p>
        </w:tc>
        <w:tc>
          <w:tcPr>
            <w:tcW w:w="4078" w:type="pct"/>
          </w:tcPr>
          <w:p w:rsidR="007C7A64" w:rsidRDefault="007C7A64" w:rsidP="00610CD4">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7C7A64" w:rsidRPr="00062F62" w:rsidRDefault="007C7A64" w:rsidP="00AA1E2A">
            <w:pPr>
              <w:pStyle w:val="TableBodyText"/>
              <w:spacing w:after="120"/>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tc>
      </w:tr>
      <w:tr w:rsidR="007C7A64" w:rsidTr="00610CD4">
        <w:tc>
          <w:tcPr>
            <w:tcW w:w="922" w:type="pct"/>
          </w:tcPr>
          <w:p w:rsidR="007C7A64" w:rsidRPr="00C744E0" w:rsidRDefault="007C7A64" w:rsidP="00610CD4">
            <w:pPr>
              <w:pStyle w:val="TableBodyText"/>
              <w:jc w:val="left"/>
              <w:rPr>
                <w:b/>
              </w:rPr>
            </w:pPr>
            <w:r w:rsidRPr="00C744E0">
              <w:rPr>
                <w:b/>
              </w:rPr>
              <w:t>Relevance</w:t>
            </w:r>
          </w:p>
        </w:tc>
        <w:tc>
          <w:tcPr>
            <w:tcW w:w="4078" w:type="pct"/>
          </w:tcPr>
          <w:p w:rsidR="007C7A64" w:rsidRDefault="00565050" w:rsidP="00610CD4">
            <w:pPr>
              <w:pStyle w:val="TableBullet"/>
              <w:numPr>
                <w:ilvl w:val="0"/>
                <w:numId w:val="0"/>
              </w:numPr>
              <w:jc w:val="both"/>
            </w:pPr>
            <w:r>
              <w:t>‘Attendance</w:t>
            </w:r>
            <w:r w:rsidR="007C7A64">
              <w:t xml:space="preserve">’ is intended to be an indicator of governments’ achievement against the objective of </w:t>
            </w:r>
            <w:r w:rsidR="00543B75">
              <w:t xml:space="preserve">providing court </w:t>
            </w:r>
            <w:r>
              <w:t>services in an efficient manner</w:t>
            </w:r>
            <w:r w:rsidR="007C7A64">
              <w:t>.</w:t>
            </w:r>
            <w:r>
              <w:t xml:space="preserve"> However the results for this indicator may not relate to the performance of the courts as the number of attendances in a case can be influenced by many factors outside the control of the court, </w:t>
            </w:r>
            <w:proofErr w:type="spellStart"/>
            <w:r>
              <w:t>eg</w:t>
            </w:r>
            <w:proofErr w:type="spellEnd"/>
            <w:r>
              <w:t>. prosecution readiness, defence availability, nature of issues and offence, whethe</w:t>
            </w:r>
            <w:r w:rsidR="001640E2">
              <w:t>r a case is defended or undefend</w:t>
            </w:r>
            <w:r>
              <w:t>ed.</w:t>
            </w:r>
          </w:p>
          <w:p w:rsidR="007C7A64" w:rsidRPr="00B96E3E" w:rsidRDefault="007C7A64" w:rsidP="00AA1E2A">
            <w:pPr>
              <w:pStyle w:val="TableBodyText"/>
              <w:spacing w:after="120"/>
              <w:ind w:left="0"/>
              <w:jc w:val="left"/>
            </w:pPr>
            <w:r w:rsidRPr="00F20BEC">
              <w:t>For fu</w:t>
            </w:r>
            <w:r w:rsidR="001640E2">
              <w:t>rther information on the attendance</w:t>
            </w:r>
            <w:r w:rsidRPr="00F20BEC">
              <w:t xml:space="preserve"> indicator refer to </w:t>
            </w:r>
            <w:smartTag w:uri="urn:schemas-microsoft-com:office:smarttags" w:element="address">
              <w:smartTag w:uri="urn:schemas-microsoft-com:office:smarttags" w:element="Street">
                <w:r w:rsidRPr="00F20BEC">
                  <w:t>Box</w:t>
                </w:r>
              </w:smartTag>
              <w:r w:rsidR="001640E2">
                <w:t xml:space="preserve"> 7.12</w:t>
              </w:r>
            </w:smartTag>
            <w:r w:rsidRPr="00F20BEC">
              <w:t xml:space="preserve"> </w:t>
            </w:r>
            <w:r>
              <w:t xml:space="preserve">in chapter 7 </w:t>
            </w:r>
            <w:r w:rsidRPr="00F20BEC">
              <w:t>of the Report.</w:t>
            </w:r>
          </w:p>
        </w:tc>
      </w:tr>
      <w:tr w:rsidR="007C7A64" w:rsidTr="00610CD4">
        <w:tc>
          <w:tcPr>
            <w:tcW w:w="922" w:type="pct"/>
          </w:tcPr>
          <w:p w:rsidR="007C7A64" w:rsidRPr="00C744E0" w:rsidRDefault="007C7A64" w:rsidP="00610CD4">
            <w:pPr>
              <w:pStyle w:val="TableBodyText"/>
              <w:jc w:val="both"/>
              <w:rPr>
                <w:b/>
              </w:rPr>
            </w:pPr>
            <w:r w:rsidRPr="00C744E0">
              <w:rPr>
                <w:b/>
              </w:rPr>
              <w:t>Timeliness</w:t>
            </w:r>
          </w:p>
        </w:tc>
        <w:tc>
          <w:tcPr>
            <w:tcW w:w="4078" w:type="pct"/>
          </w:tcPr>
          <w:p w:rsidR="007C7A64" w:rsidRDefault="007C7A64" w:rsidP="00610CD4">
            <w:pPr>
              <w:pStyle w:val="TableBodyText"/>
              <w:keepNext w:val="0"/>
              <w:jc w:val="both"/>
            </w:pPr>
            <w:r>
              <w:t>The re</w:t>
            </w:r>
            <w:r w:rsidR="00DB03FD">
              <w:t>ference period</w:t>
            </w:r>
            <w:r w:rsidR="00E4119B">
              <w:t xml:space="preserve"> is the 2014-15</w:t>
            </w:r>
            <w:r>
              <w:t xml:space="preserve"> financial year. Data are provided in Se</w:t>
            </w:r>
            <w:r w:rsidR="00DB03FD">
              <w:t>ptember 2015</w:t>
            </w:r>
            <w:r>
              <w:t>,</w:t>
            </w:r>
            <w:r w:rsidR="00DB03FD">
              <w:t xml:space="preserve"> for publication in January 2016</w:t>
            </w:r>
            <w:r>
              <w:t>.</w:t>
            </w:r>
          </w:p>
          <w:p w:rsidR="007C7A64" w:rsidRPr="009F199D" w:rsidRDefault="007C7A64" w:rsidP="00AA1E2A">
            <w:pPr>
              <w:pStyle w:val="TableBodyText"/>
              <w:keepNext w:val="0"/>
              <w:spacing w:after="120"/>
              <w:jc w:val="both"/>
            </w:pPr>
            <w:r>
              <w:t>Data can be revised retrospectively up to 5 years later.</w:t>
            </w:r>
          </w:p>
        </w:tc>
      </w:tr>
      <w:tr w:rsidR="007C7A64" w:rsidTr="00610CD4">
        <w:tc>
          <w:tcPr>
            <w:tcW w:w="922" w:type="pct"/>
          </w:tcPr>
          <w:p w:rsidR="007C7A64" w:rsidRPr="00C744E0" w:rsidRDefault="007C7A64" w:rsidP="00610CD4">
            <w:pPr>
              <w:pStyle w:val="TableBodyText"/>
              <w:jc w:val="left"/>
              <w:rPr>
                <w:b/>
              </w:rPr>
            </w:pPr>
            <w:r w:rsidRPr="00C744E0">
              <w:rPr>
                <w:b/>
              </w:rPr>
              <w:t>Accuracy</w:t>
            </w:r>
          </w:p>
        </w:tc>
        <w:tc>
          <w:tcPr>
            <w:tcW w:w="4078" w:type="pct"/>
          </w:tcPr>
          <w:p w:rsidR="007C7A64" w:rsidRDefault="007C7A64" w:rsidP="00610CD4">
            <w:pPr>
              <w:pStyle w:val="TableBullet"/>
              <w:numPr>
                <w:ilvl w:val="0"/>
                <w:numId w:val="0"/>
              </w:numPr>
              <w:spacing w:line="220" w:lineRule="exact"/>
              <w:ind w:left="6"/>
            </w:pPr>
            <w:r>
              <w:t>Th</w:t>
            </w:r>
            <w:r w:rsidR="00B23193">
              <w:t>e identification of attendances</w:t>
            </w:r>
            <w:r>
              <w:t xml:space="preserve"> is done using</w:t>
            </w:r>
            <w:r w:rsidR="00661B5F">
              <w:t xml:space="preserve"> mainly</w:t>
            </w:r>
            <w:r>
              <w:t xml:space="preserve"> electronic case management reporting </w:t>
            </w:r>
            <w:r w:rsidR="00661B5F">
              <w:t>systems but can also involve manual data extraction. Exceptions are noted in the attachment tables.</w:t>
            </w:r>
          </w:p>
          <w:p w:rsidR="00B5422F" w:rsidRDefault="00B5422F" w:rsidP="00B5422F">
            <w:pPr>
              <w:pStyle w:val="TableBullet"/>
              <w:keepNext w:val="0"/>
              <w:numPr>
                <w:ilvl w:val="0"/>
                <w:numId w:val="0"/>
              </w:numPr>
              <w:jc w:val="both"/>
            </w:pPr>
            <w:r>
              <w:t xml:space="preserve">The data provided are consistent with </w:t>
            </w:r>
            <w:proofErr w:type="spellStart"/>
            <w:r>
              <w:t>RoGS</w:t>
            </w:r>
            <w:proofErr w:type="spellEnd"/>
            <w:r>
              <w:t xml:space="preserve"> counting </w:t>
            </w:r>
            <w:r w:rsidR="00A0153F">
              <w:t xml:space="preserve">rules </w:t>
            </w:r>
            <w:r>
              <w:t xml:space="preserve">and are reported for all court levels in each jurisdiction, except </w:t>
            </w:r>
            <w:r w:rsidR="00661B5F">
              <w:t>the</w:t>
            </w:r>
            <w:r>
              <w:t xml:space="preserve"> NSW </w:t>
            </w:r>
            <w:r w:rsidR="00661B5F">
              <w:t xml:space="preserve">Supreme court, NSW </w:t>
            </w:r>
            <w:r w:rsidR="00174056">
              <w:t xml:space="preserve">children’s </w:t>
            </w:r>
            <w:r w:rsidR="00661B5F">
              <w:t>court and the Victorian Supreme court.</w:t>
            </w:r>
          </w:p>
          <w:p w:rsidR="007C7A64" w:rsidRPr="00CF5FA0" w:rsidRDefault="00B5422F" w:rsidP="00AA1E2A">
            <w:pPr>
              <w:pStyle w:val="TableBullet"/>
              <w:keepNext w:val="0"/>
              <w:numPr>
                <w:ilvl w:val="0"/>
                <w:numId w:val="0"/>
              </w:numPr>
              <w:spacing w:after="120"/>
              <w:jc w:val="both"/>
            </w:pPr>
            <w:r>
              <w:t>The data are subject to the normal legislative financial and administrative controls, reconciliation and validation processes to ensure accuracy.</w:t>
            </w:r>
          </w:p>
        </w:tc>
      </w:tr>
      <w:tr w:rsidR="007C7A64" w:rsidTr="00610CD4">
        <w:tc>
          <w:tcPr>
            <w:tcW w:w="922" w:type="pct"/>
          </w:tcPr>
          <w:p w:rsidR="007C7A64" w:rsidRPr="002162BE" w:rsidRDefault="007C7A64" w:rsidP="00610CD4">
            <w:pPr>
              <w:pStyle w:val="TableBodyText"/>
              <w:jc w:val="left"/>
              <w:rPr>
                <w:b/>
              </w:rPr>
            </w:pPr>
            <w:r w:rsidRPr="002162BE">
              <w:rPr>
                <w:b/>
              </w:rPr>
              <w:t>Coherence</w:t>
            </w:r>
          </w:p>
        </w:tc>
        <w:tc>
          <w:tcPr>
            <w:tcW w:w="4078" w:type="pct"/>
          </w:tcPr>
          <w:p w:rsidR="007C7A64" w:rsidRPr="00CD04F1" w:rsidRDefault="00042685" w:rsidP="00AA1E2A">
            <w:pPr>
              <w:pStyle w:val="TableBodyText"/>
              <w:spacing w:after="120"/>
              <w:jc w:val="both"/>
            </w:pPr>
            <w:r>
              <w:t>Data for 2014-15 are reported for all jurisdictions and court levels except the NSW “Supreme court, the NSW children’s court and the Victorian Supreme court.</w:t>
            </w:r>
            <w:r w:rsidR="00B83878">
              <w:t xml:space="preserve"> </w:t>
            </w:r>
          </w:p>
        </w:tc>
      </w:tr>
      <w:tr w:rsidR="007C7A64" w:rsidTr="00610CD4">
        <w:tc>
          <w:tcPr>
            <w:tcW w:w="922" w:type="pct"/>
          </w:tcPr>
          <w:p w:rsidR="007C7A64" w:rsidRPr="00C744E0" w:rsidRDefault="007C7A64" w:rsidP="00610CD4">
            <w:pPr>
              <w:pStyle w:val="TableBodyText"/>
              <w:jc w:val="left"/>
              <w:rPr>
                <w:b/>
              </w:rPr>
            </w:pPr>
            <w:r w:rsidRPr="00C744E0">
              <w:rPr>
                <w:b/>
              </w:rPr>
              <w:t>Accessibility</w:t>
            </w:r>
          </w:p>
        </w:tc>
        <w:tc>
          <w:tcPr>
            <w:tcW w:w="4078" w:type="pct"/>
          </w:tcPr>
          <w:p w:rsidR="007C7A64" w:rsidRPr="001A7053" w:rsidRDefault="00E86255" w:rsidP="00543B5D">
            <w:pPr>
              <w:pStyle w:val="TableBodyText"/>
              <w:keepNext w:val="0"/>
              <w:spacing w:after="120"/>
              <w:jc w:val="left"/>
            </w:pPr>
            <w:r>
              <w:t>D</w:t>
            </w:r>
            <w:r w:rsidR="00853680">
              <w:t>ata</w:t>
            </w:r>
            <w:r w:rsidR="007C7A64">
              <w:t xml:space="preserve"> are provided for the Report on Government Services according to the specific </w:t>
            </w:r>
            <w:proofErr w:type="spellStart"/>
            <w:r w:rsidR="007C7A64">
              <w:t>RoGS</w:t>
            </w:r>
            <w:proofErr w:type="spellEnd"/>
            <w:r w:rsidR="007C7A64">
              <w:t xml:space="preserve"> counting ru</w:t>
            </w:r>
            <w:r w:rsidR="00853680">
              <w:t>les. Other data on attendances and finalisations may be</w:t>
            </w:r>
            <w:r w:rsidR="007C7A64">
              <w:t xml:space="preserve"> available </w:t>
            </w:r>
            <w:r w:rsidR="007C7A64">
              <w:lastRenderedPageBreak/>
              <w:t>through court annual reports, court websites, on application from the Chief Jurisdictional Officer in the relevant state, territory or fe</w:t>
            </w:r>
            <w:r w:rsidR="00853680">
              <w:t>deral jurisdiction. Attendance</w:t>
            </w:r>
            <w:r w:rsidR="007C7A64">
              <w:t xml:space="preserve"> data for the </w:t>
            </w:r>
            <w:smartTag w:uri="urn:schemas-microsoft-com:office:smarttags" w:element="State">
              <w:smartTag w:uri="urn:schemas-microsoft-com:office:smarttags" w:element="place">
                <w:r w:rsidR="007C7A64">
                  <w:t>Australian Capital Territory</w:t>
                </w:r>
              </w:smartTag>
            </w:smartTag>
            <w:r w:rsidR="007C7A64">
              <w:t xml:space="preserve"> courts can also be found in the </w:t>
            </w:r>
            <w:r w:rsidR="007C7A64" w:rsidRPr="00B05873">
              <w:t>Justice &amp; Community Safety Directorate's Annual Report</w:t>
            </w:r>
            <w:r w:rsidR="007C7A64">
              <w:t>.</w:t>
            </w:r>
            <w:r w:rsidR="000202F7">
              <w:t xml:space="preserve"> </w:t>
            </w:r>
          </w:p>
        </w:tc>
      </w:tr>
      <w:tr w:rsidR="007C7A64" w:rsidTr="00610CD4">
        <w:tc>
          <w:tcPr>
            <w:tcW w:w="922" w:type="pct"/>
          </w:tcPr>
          <w:p w:rsidR="007C7A64" w:rsidRPr="00C744E0" w:rsidRDefault="007C7A64" w:rsidP="00610CD4">
            <w:pPr>
              <w:pStyle w:val="TableBodyText"/>
              <w:jc w:val="left"/>
              <w:rPr>
                <w:b/>
              </w:rPr>
            </w:pPr>
            <w:r w:rsidRPr="00C744E0">
              <w:rPr>
                <w:b/>
              </w:rPr>
              <w:lastRenderedPageBreak/>
              <w:t>Interpretability</w:t>
            </w:r>
          </w:p>
        </w:tc>
        <w:tc>
          <w:tcPr>
            <w:tcW w:w="4078" w:type="pct"/>
          </w:tcPr>
          <w:p w:rsidR="007C7A64" w:rsidRDefault="00726BFF" w:rsidP="00610CD4">
            <w:pPr>
              <w:pStyle w:val="TableBodyText"/>
              <w:keepNext w:val="0"/>
              <w:ind w:left="32" w:hanging="26"/>
              <w:jc w:val="left"/>
            </w:pPr>
            <w:r>
              <w:t>Fewer attendances may suggest a more efficient process. However, this should be balanced</w:t>
            </w:r>
            <w:r w:rsidR="004A3096">
              <w:t xml:space="preserve"> against the likelihood that the number of attendances will increase if rehabilitation or diversionary programs are used, or if intensive case management is used. Both of these paths are believed to improve the quality of outcomes</w:t>
            </w:r>
            <w:r w:rsidR="007C7A64" w:rsidRPr="00A06FC4">
              <w:t>.</w:t>
            </w:r>
            <w:r w:rsidR="004A3096">
              <w:t xml:space="preserve"> </w:t>
            </w:r>
          </w:p>
          <w:p w:rsidR="007C7A64" w:rsidRPr="00292C41" w:rsidRDefault="007C7A64" w:rsidP="00610CD4">
            <w:pPr>
              <w:pStyle w:val="TableBodyText"/>
              <w:ind w:left="0" w:firstLine="6"/>
              <w:jc w:val="left"/>
            </w:pPr>
            <w:r w:rsidRPr="00F20BEC">
              <w:t>For fu</w:t>
            </w:r>
            <w:r w:rsidR="007A4A18">
              <w:t xml:space="preserve">rther information on the attendance indicator refer to </w:t>
            </w:r>
            <w:smartTag w:uri="urn:schemas-microsoft-com:office:smarttags" w:element="address">
              <w:smartTag w:uri="urn:schemas-microsoft-com:office:smarttags" w:element="Street">
                <w:r>
                  <w:t>Box</w:t>
                </w:r>
              </w:smartTag>
              <w:r w:rsidR="007A4A18">
                <w:t xml:space="preserve"> 7.12</w:t>
              </w:r>
            </w:smartTag>
            <w:r w:rsidRPr="00F20BEC">
              <w:t xml:space="preserve"> </w:t>
            </w:r>
            <w:r>
              <w:t xml:space="preserve">in chapter 7 </w:t>
            </w:r>
            <w:r w:rsidRPr="00F20BEC">
              <w:t>of the Report.</w:t>
            </w:r>
          </w:p>
        </w:tc>
      </w:tr>
      <w:tr w:rsidR="007C7A64" w:rsidTr="00610CD4">
        <w:tc>
          <w:tcPr>
            <w:tcW w:w="5000" w:type="pct"/>
            <w:gridSpan w:val="2"/>
            <w:shd w:val="clear" w:color="auto" w:fill="auto"/>
          </w:tcPr>
          <w:p w:rsidR="007C7A64" w:rsidRPr="00C744E0" w:rsidRDefault="007C7A64" w:rsidP="00FB466F">
            <w:pPr>
              <w:pStyle w:val="TableBodyText"/>
              <w:spacing w:before="120" w:after="120"/>
              <w:jc w:val="left"/>
              <w:rPr>
                <w:b/>
                <w:u w:val="single"/>
              </w:rPr>
            </w:pPr>
            <w:r w:rsidRPr="00C744E0">
              <w:rPr>
                <w:b/>
                <w:u w:val="single"/>
              </w:rPr>
              <w:t>Data Gaps/Issues Analysis</w:t>
            </w:r>
          </w:p>
        </w:tc>
      </w:tr>
      <w:tr w:rsidR="007C7A64" w:rsidTr="00610CD4">
        <w:tc>
          <w:tcPr>
            <w:tcW w:w="922" w:type="pct"/>
            <w:shd w:val="clear" w:color="auto" w:fill="auto"/>
          </w:tcPr>
          <w:p w:rsidR="007C7A64" w:rsidRPr="00C744E0" w:rsidRDefault="007C7A64" w:rsidP="00610CD4">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7C7A64" w:rsidRDefault="007C7A64" w:rsidP="00610CD4">
            <w:pPr>
              <w:pStyle w:val="TableBodyText"/>
              <w:jc w:val="both"/>
            </w:pPr>
            <w:r w:rsidRPr="00B96E3E">
              <w:t xml:space="preserve">The Steering Committee notes the following key data gaps/issues: </w:t>
            </w:r>
          </w:p>
          <w:p w:rsidR="007C7A64" w:rsidRPr="00B96E3E" w:rsidRDefault="007C7A64" w:rsidP="00E86255">
            <w:pPr>
              <w:pStyle w:val="TableBullet"/>
              <w:tabs>
                <w:tab w:val="left" w:pos="170"/>
              </w:tabs>
              <w:ind w:left="176"/>
              <w:jc w:val="both"/>
            </w:pPr>
            <w:r>
              <w:t xml:space="preserve">Due to limitations of the data management system, NSW </w:t>
            </w:r>
            <w:r w:rsidR="00E86255">
              <w:t>is currently</w:t>
            </w:r>
            <w:r>
              <w:t xml:space="preserve"> unable to provide </w:t>
            </w:r>
            <w:r w:rsidR="0044003C">
              <w:t>attendance data</w:t>
            </w:r>
            <w:r w:rsidR="00D72A03">
              <w:t xml:space="preserve"> </w:t>
            </w:r>
            <w:r w:rsidR="00E86255">
              <w:t>for the Supreme court or the children’s court. The Victorian supreme court did not provide attendance data for the 2014-15 report.</w:t>
            </w:r>
          </w:p>
        </w:tc>
      </w:tr>
    </w:tbl>
    <w:p w:rsidR="000F287A" w:rsidRDefault="000F287A" w:rsidP="000F287A">
      <w:pPr>
        <w:pStyle w:val="BodyText"/>
      </w:pPr>
    </w:p>
    <w:p w:rsidR="00B325D0" w:rsidRPr="00016770" w:rsidRDefault="00E47988" w:rsidP="00B325D0">
      <w:pPr>
        <w:pStyle w:val="Heading3"/>
        <w:spacing w:before="120"/>
      </w:pPr>
      <w:r>
        <w:br w:type="page"/>
      </w:r>
      <w:bookmarkStart w:id="13" w:name="_Toc338344192"/>
      <w:r w:rsidR="00B325D0">
        <w:lastRenderedPageBreak/>
        <w:t>Clearance</w:t>
      </w:r>
      <w:bookmarkEnd w:id="13"/>
    </w:p>
    <w:p w:rsidR="00B325D0" w:rsidRPr="00101653" w:rsidRDefault="00B325D0" w:rsidP="00B325D0">
      <w:pPr>
        <w:pStyle w:val="Box"/>
      </w:pPr>
      <w:r w:rsidRPr="00016770">
        <w:t>Data quality information for this indicator has been drafted by the Secretariat in consultation with the Court</w:t>
      </w:r>
      <w:r w:rsidR="00543B75">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B325D0" w:rsidTr="00853692">
        <w:tc>
          <w:tcPr>
            <w:tcW w:w="5000" w:type="pct"/>
            <w:gridSpan w:val="2"/>
          </w:tcPr>
          <w:p w:rsidR="00B325D0" w:rsidRDefault="00B325D0" w:rsidP="00853692">
            <w:pPr>
              <w:pStyle w:val="TableBodyText"/>
              <w:jc w:val="both"/>
              <w:rPr>
                <w:b/>
                <w:u w:val="single"/>
              </w:rPr>
            </w:pPr>
          </w:p>
          <w:p w:rsidR="00B325D0" w:rsidRDefault="00B325D0" w:rsidP="00853692">
            <w:pPr>
              <w:pStyle w:val="TableBodyText"/>
              <w:jc w:val="both"/>
            </w:pPr>
            <w:r w:rsidRPr="007D0BFD">
              <w:rPr>
                <w:b/>
                <w:u w:val="single"/>
              </w:rPr>
              <w:t>Indicator definition and description</w:t>
            </w:r>
            <w:r>
              <w:rPr>
                <w:rFonts w:cs="Arial"/>
                <w:b/>
                <w:sz w:val="22"/>
                <w:szCs w:val="22"/>
                <w:u w:val="single"/>
              </w:rPr>
              <w:t xml:space="preserve"> </w:t>
            </w:r>
          </w:p>
        </w:tc>
      </w:tr>
      <w:tr w:rsidR="00B325D0" w:rsidTr="00853692">
        <w:tc>
          <w:tcPr>
            <w:tcW w:w="922" w:type="pct"/>
          </w:tcPr>
          <w:p w:rsidR="00B325D0" w:rsidRPr="00C744E0" w:rsidRDefault="00B325D0" w:rsidP="00853692">
            <w:pPr>
              <w:pStyle w:val="TableBodyText"/>
              <w:jc w:val="left"/>
              <w:rPr>
                <w:b/>
              </w:rPr>
            </w:pPr>
            <w:r w:rsidRPr="00C744E0">
              <w:rPr>
                <w:b/>
              </w:rPr>
              <w:t>Element</w:t>
            </w:r>
          </w:p>
        </w:tc>
        <w:tc>
          <w:tcPr>
            <w:tcW w:w="4078" w:type="pct"/>
          </w:tcPr>
          <w:p w:rsidR="00B325D0" w:rsidRPr="00A1569C" w:rsidRDefault="00B325D0" w:rsidP="005337EE">
            <w:pPr>
              <w:pStyle w:val="TableBodyText"/>
              <w:spacing w:after="120"/>
              <w:jc w:val="both"/>
            </w:pPr>
            <w:r>
              <w:t>Court</w:t>
            </w:r>
            <w:r w:rsidR="00543B75">
              <w:t>s</w:t>
            </w:r>
            <w:r>
              <w:t xml:space="preserve"> Efficiency – Inputs</w:t>
            </w:r>
            <w:r w:rsidR="00327C28">
              <w:t xml:space="preserve"> per unit of output – Clearance</w:t>
            </w:r>
          </w:p>
        </w:tc>
      </w:tr>
      <w:tr w:rsidR="00B325D0" w:rsidTr="00853692">
        <w:tc>
          <w:tcPr>
            <w:tcW w:w="922" w:type="pct"/>
          </w:tcPr>
          <w:p w:rsidR="00B325D0" w:rsidRPr="00C744E0" w:rsidRDefault="00B325D0" w:rsidP="00853692">
            <w:pPr>
              <w:pStyle w:val="TableBodyText"/>
              <w:jc w:val="left"/>
              <w:rPr>
                <w:b/>
              </w:rPr>
            </w:pPr>
            <w:r w:rsidRPr="00C744E0">
              <w:rPr>
                <w:b/>
              </w:rPr>
              <w:t>Indicator</w:t>
            </w:r>
          </w:p>
        </w:tc>
        <w:tc>
          <w:tcPr>
            <w:tcW w:w="4078" w:type="pct"/>
          </w:tcPr>
          <w:p w:rsidR="00B325D0" w:rsidRPr="00E17A32" w:rsidRDefault="00327C28" w:rsidP="005337EE">
            <w:pPr>
              <w:pStyle w:val="TableBodyText"/>
              <w:spacing w:after="120"/>
              <w:jc w:val="both"/>
            </w:pPr>
            <w:r>
              <w:t>Clearance</w:t>
            </w:r>
            <w:r w:rsidR="00B325D0">
              <w:t xml:space="preserve"> indicator</w:t>
            </w:r>
          </w:p>
        </w:tc>
      </w:tr>
      <w:tr w:rsidR="00B325D0" w:rsidTr="00853692">
        <w:tc>
          <w:tcPr>
            <w:tcW w:w="922" w:type="pct"/>
          </w:tcPr>
          <w:p w:rsidR="00B325D0" w:rsidRPr="00C744E0" w:rsidRDefault="00B325D0" w:rsidP="00853692">
            <w:pPr>
              <w:pStyle w:val="TableBodyText"/>
              <w:jc w:val="left"/>
              <w:rPr>
                <w:b/>
              </w:rPr>
            </w:pPr>
            <w:r w:rsidRPr="00C744E0">
              <w:rPr>
                <w:b/>
              </w:rPr>
              <w:t>Measure (computation)</w:t>
            </w:r>
          </w:p>
        </w:tc>
        <w:tc>
          <w:tcPr>
            <w:tcW w:w="4078" w:type="pct"/>
          </w:tcPr>
          <w:p w:rsidR="00FE0E76" w:rsidRPr="00FE0E76" w:rsidRDefault="00FE0E76" w:rsidP="00FE0E76">
            <w:pPr>
              <w:pStyle w:val="TableBodyText"/>
              <w:spacing w:after="120"/>
              <w:jc w:val="both"/>
            </w:pPr>
            <w:r>
              <w:rPr>
                <w:u w:val="single"/>
              </w:rPr>
              <w:t>Definition</w:t>
            </w:r>
          </w:p>
          <w:p w:rsidR="00B325D0" w:rsidRDefault="00FE0E76" w:rsidP="00853692">
            <w:pPr>
              <w:pStyle w:val="TableBodyText"/>
              <w:jc w:val="both"/>
            </w:pPr>
            <w:r>
              <w:t>W</w:t>
            </w:r>
            <w:r w:rsidR="00327C28">
              <w:t>hether the volume</w:t>
            </w:r>
            <w:r w:rsidR="00D85FBD">
              <w:t xml:space="preserve"> of case finalisations has matched the number of case </w:t>
            </w:r>
            <w:proofErr w:type="spellStart"/>
            <w:r w:rsidR="00D85FBD">
              <w:t>lodgments</w:t>
            </w:r>
            <w:proofErr w:type="spellEnd"/>
            <w:r w:rsidR="00D85FBD">
              <w:t xml:space="preserve"> during the reporting period. It can also indicate whether a court’s pending caseload would have increased or decreased over that period.</w:t>
            </w:r>
          </w:p>
          <w:p w:rsidR="00B325D0" w:rsidRDefault="00B325D0" w:rsidP="00FE0E76">
            <w:pPr>
              <w:pStyle w:val="TableBodyText"/>
              <w:spacing w:before="120" w:after="120"/>
              <w:jc w:val="both"/>
            </w:pPr>
            <w:r>
              <w:rPr>
                <w:u w:val="single"/>
              </w:rPr>
              <w:t>Numerator</w:t>
            </w:r>
          </w:p>
          <w:p w:rsidR="00B325D0" w:rsidRPr="005A5147" w:rsidRDefault="00D85FBD" w:rsidP="00853692">
            <w:pPr>
              <w:pStyle w:val="TableBodyText"/>
              <w:numPr>
                <w:ilvl w:val="0"/>
                <w:numId w:val="42"/>
              </w:numPr>
              <w:jc w:val="left"/>
            </w:pPr>
            <w:r>
              <w:t>Total number of cases finalised</w:t>
            </w:r>
            <w:r w:rsidR="00B325D0">
              <w:t xml:space="preserve"> in a financial year</w:t>
            </w:r>
          </w:p>
          <w:p w:rsidR="00B325D0" w:rsidRPr="005D4651" w:rsidRDefault="00B325D0" w:rsidP="00FE0E76">
            <w:pPr>
              <w:pStyle w:val="TableBodyText"/>
              <w:spacing w:before="120" w:after="120"/>
              <w:jc w:val="both"/>
            </w:pPr>
            <w:r>
              <w:rPr>
                <w:u w:val="single"/>
              </w:rPr>
              <w:t>Denominator</w:t>
            </w:r>
          </w:p>
          <w:p w:rsidR="00B325D0" w:rsidRDefault="00D85FBD" w:rsidP="00853692">
            <w:pPr>
              <w:pStyle w:val="TableBullet"/>
              <w:numPr>
                <w:ilvl w:val="0"/>
                <w:numId w:val="42"/>
              </w:numPr>
              <w:spacing w:line="220" w:lineRule="exact"/>
              <w:jc w:val="both"/>
            </w:pPr>
            <w:r>
              <w:t>Total number of cases lodged</w:t>
            </w:r>
            <w:r w:rsidR="00B325D0">
              <w:t xml:space="preserve"> in a financial year</w:t>
            </w:r>
          </w:p>
          <w:p w:rsidR="00FE0E76" w:rsidRDefault="00FE0E76" w:rsidP="00FE0E76">
            <w:pPr>
              <w:pStyle w:val="DQITableText"/>
            </w:pPr>
            <w:r>
              <w:rPr>
                <w:u w:val="single"/>
              </w:rPr>
              <w:t>Computation</w:t>
            </w:r>
          </w:p>
          <w:p w:rsidR="00FE0E76" w:rsidRPr="00FE0E76" w:rsidRDefault="00FE0E76" w:rsidP="005337EE">
            <w:pPr>
              <w:pStyle w:val="DQITableText"/>
              <w:spacing w:after="120"/>
            </w:pPr>
            <w:r>
              <w:t>Numerator divided by the denominator multiplied by 100.</w:t>
            </w:r>
          </w:p>
        </w:tc>
      </w:tr>
      <w:tr w:rsidR="00B325D0" w:rsidTr="00853692">
        <w:tc>
          <w:tcPr>
            <w:tcW w:w="922" w:type="pct"/>
          </w:tcPr>
          <w:p w:rsidR="00B325D0" w:rsidRPr="00C744E0" w:rsidRDefault="00B325D0" w:rsidP="00853692">
            <w:pPr>
              <w:pStyle w:val="TableBodyText"/>
              <w:jc w:val="left"/>
              <w:rPr>
                <w:b/>
              </w:rPr>
            </w:pPr>
            <w:r w:rsidRPr="00C744E0">
              <w:rPr>
                <w:b/>
              </w:rPr>
              <w:t>Data source/s</w:t>
            </w:r>
          </w:p>
        </w:tc>
        <w:tc>
          <w:tcPr>
            <w:tcW w:w="4078" w:type="pct"/>
          </w:tcPr>
          <w:p w:rsidR="00B325D0" w:rsidRPr="00B96E3E" w:rsidRDefault="00FA2E4E" w:rsidP="00FA2E4E">
            <w:pPr>
              <w:pStyle w:val="TableBodyText"/>
              <w:jc w:val="both"/>
            </w:pPr>
            <w:r>
              <w:t>D</w:t>
            </w:r>
            <w:r w:rsidR="00B325D0">
              <w:t>ata</w:t>
            </w:r>
            <w:r w:rsidR="00B325D0" w:rsidRPr="00C34F8E">
              <w:t xml:space="preserve"> are </w:t>
            </w:r>
            <w:r>
              <w:t xml:space="preserve">unpublished and </w:t>
            </w:r>
            <w:r w:rsidR="00B325D0" w:rsidRPr="00C34F8E">
              <w:t>sourced from</w:t>
            </w:r>
            <w:r w:rsidR="00B325D0">
              <w:t xml:space="preserve"> Australian, State and Territory court authorities and departments.</w:t>
            </w:r>
          </w:p>
        </w:tc>
      </w:tr>
      <w:tr w:rsidR="00B325D0" w:rsidTr="00853692">
        <w:tc>
          <w:tcPr>
            <w:tcW w:w="5000" w:type="pct"/>
            <w:gridSpan w:val="2"/>
          </w:tcPr>
          <w:p w:rsidR="00B325D0" w:rsidRPr="00C744E0" w:rsidRDefault="00B325D0" w:rsidP="005337EE">
            <w:pPr>
              <w:pStyle w:val="TableBodyText"/>
              <w:spacing w:before="120" w:after="120"/>
              <w:jc w:val="both"/>
              <w:rPr>
                <w:b/>
                <w:u w:val="single"/>
              </w:rPr>
            </w:pPr>
            <w:r w:rsidRPr="00C744E0">
              <w:rPr>
                <w:b/>
                <w:u w:val="single"/>
              </w:rPr>
              <w:t>Data Quality Framework Dimensions</w:t>
            </w:r>
          </w:p>
        </w:tc>
      </w:tr>
      <w:tr w:rsidR="00B325D0" w:rsidTr="00853692">
        <w:tc>
          <w:tcPr>
            <w:tcW w:w="922" w:type="pct"/>
          </w:tcPr>
          <w:p w:rsidR="00B325D0" w:rsidRPr="00C744E0" w:rsidRDefault="00B325D0" w:rsidP="00853692">
            <w:pPr>
              <w:pStyle w:val="TableBodyText"/>
              <w:jc w:val="left"/>
              <w:rPr>
                <w:b/>
              </w:rPr>
            </w:pPr>
            <w:r w:rsidRPr="00C744E0">
              <w:rPr>
                <w:b/>
              </w:rPr>
              <w:t>Institutional environment</w:t>
            </w:r>
          </w:p>
        </w:tc>
        <w:tc>
          <w:tcPr>
            <w:tcW w:w="4078" w:type="pct"/>
          </w:tcPr>
          <w:p w:rsidR="00B325D0" w:rsidRDefault="00B325D0" w:rsidP="00853692">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009547EA">
              <w:rPr>
                <w:rFonts w:cs="Arial"/>
              </w:rPr>
              <w:t>, data</w:t>
            </w:r>
            <w:r w:rsidRPr="009875F7">
              <w:rPr>
                <w:rFonts w:cs="Arial"/>
              </w:rPr>
              <w:t xml:space="preserve"> </w:t>
            </w:r>
            <w:r w:rsidR="009547EA">
              <w:rPr>
                <w:rFonts w:cs="Arial"/>
              </w:rPr>
              <w:t>are</w:t>
            </w:r>
            <w:r>
              <w:rPr>
                <w:rFonts w:cs="Arial"/>
              </w:rPr>
              <w:t xml:space="preserve"> collected and compiled by governing departments.</w:t>
            </w:r>
          </w:p>
          <w:p w:rsidR="00B325D0" w:rsidRPr="00062F62" w:rsidRDefault="00B325D0" w:rsidP="005337EE">
            <w:pPr>
              <w:pStyle w:val="TableBodyText"/>
              <w:spacing w:after="120"/>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tc>
      </w:tr>
      <w:tr w:rsidR="00B325D0" w:rsidTr="00853692">
        <w:tc>
          <w:tcPr>
            <w:tcW w:w="922" w:type="pct"/>
          </w:tcPr>
          <w:p w:rsidR="00B325D0" w:rsidRPr="00C744E0" w:rsidRDefault="00B325D0" w:rsidP="00853692">
            <w:pPr>
              <w:pStyle w:val="TableBodyText"/>
              <w:jc w:val="left"/>
              <w:rPr>
                <w:b/>
              </w:rPr>
            </w:pPr>
            <w:r w:rsidRPr="00C744E0">
              <w:rPr>
                <w:b/>
              </w:rPr>
              <w:t>Relevance</w:t>
            </w:r>
          </w:p>
        </w:tc>
        <w:tc>
          <w:tcPr>
            <w:tcW w:w="4078" w:type="pct"/>
          </w:tcPr>
          <w:p w:rsidR="00B325D0" w:rsidRDefault="004A3386" w:rsidP="00853692">
            <w:pPr>
              <w:pStyle w:val="TableBullet"/>
              <w:numPr>
                <w:ilvl w:val="0"/>
                <w:numId w:val="0"/>
              </w:numPr>
              <w:jc w:val="both"/>
            </w:pPr>
            <w:r>
              <w:t>‘Clearance</w:t>
            </w:r>
            <w:r w:rsidR="00B325D0">
              <w:t xml:space="preserve">’ is intended to be an indicator of governments’ achievement against the objective of providing court services in an efficient manner. </w:t>
            </w:r>
            <w:r>
              <w:t xml:space="preserve">However variations in the rate over time do not necessarily relate to the performance of the court. The clearance indicator can be affected by external factors outside of the court system which cause changes in </w:t>
            </w:r>
            <w:proofErr w:type="spellStart"/>
            <w:r>
              <w:t>lodgment</w:t>
            </w:r>
            <w:proofErr w:type="spellEnd"/>
            <w:r>
              <w:t xml:space="preserve"> rates, as well as by changes in a court’s case management practices.</w:t>
            </w:r>
          </w:p>
          <w:p w:rsidR="00B325D0" w:rsidRPr="00B96E3E" w:rsidRDefault="00B325D0" w:rsidP="005337EE">
            <w:pPr>
              <w:pStyle w:val="TableBodyText"/>
              <w:spacing w:after="120"/>
              <w:ind w:left="0"/>
              <w:jc w:val="left"/>
            </w:pPr>
            <w:r w:rsidRPr="00F20BEC">
              <w:t>For fu</w:t>
            </w:r>
            <w:r>
              <w:t>rth</w:t>
            </w:r>
            <w:r w:rsidR="005B1714">
              <w:t>er information on the clearance</w:t>
            </w:r>
            <w:r w:rsidRPr="00F20BEC">
              <w:t xml:space="preserve"> indicator refer to </w:t>
            </w:r>
            <w:smartTag w:uri="urn:schemas-microsoft-com:office:smarttags" w:element="address">
              <w:smartTag w:uri="urn:schemas-microsoft-com:office:smarttags" w:element="Street">
                <w:r w:rsidRPr="00F20BEC">
                  <w:t>Box</w:t>
                </w:r>
              </w:smartTag>
              <w:r w:rsidR="005B1714">
                <w:t xml:space="preserve"> 7.13</w:t>
              </w:r>
            </w:smartTag>
            <w:r w:rsidRPr="00F20BEC">
              <w:t xml:space="preserve"> </w:t>
            </w:r>
            <w:r>
              <w:t xml:space="preserve">in chapter 7 </w:t>
            </w:r>
            <w:r w:rsidRPr="00F20BEC">
              <w:t>of the Report.</w:t>
            </w:r>
          </w:p>
        </w:tc>
      </w:tr>
      <w:tr w:rsidR="00B325D0" w:rsidTr="00853692">
        <w:tc>
          <w:tcPr>
            <w:tcW w:w="922" w:type="pct"/>
          </w:tcPr>
          <w:p w:rsidR="00B325D0" w:rsidRPr="00C744E0" w:rsidRDefault="00B325D0" w:rsidP="00853692">
            <w:pPr>
              <w:pStyle w:val="TableBodyText"/>
              <w:jc w:val="both"/>
              <w:rPr>
                <w:b/>
              </w:rPr>
            </w:pPr>
            <w:r w:rsidRPr="00C744E0">
              <w:rPr>
                <w:b/>
              </w:rPr>
              <w:t>Timeliness</w:t>
            </w:r>
          </w:p>
        </w:tc>
        <w:tc>
          <w:tcPr>
            <w:tcW w:w="4078" w:type="pct"/>
          </w:tcPr>
          <w:p w:rsidR="00B325D0" w:rsidRDefault="00B325D0" w:rsidP="00853692">
            <w:pPr>
              <w:pStyle w:val="TableBodyText"/>
              <w:keepNext w:val="0"/>
              <w:jc w:val="both"/>
            </w:pPr>
            <w:r>
              <w:t>The</w:t>
            </w:r>
            <w:r w:rsidR="002A321D">
              <w:t xml:space="preserve"> reference period </w:t>
            </w:r>
            <w:r w:rsidR="000D30BC">
              <w:t>is the 2014</w:t>
            </w:r>
            <w:r w:rsidR="00F07D2A">
              <w:t>-1</w:t>
            </w:r>
            <w:r w:rsidR="000D30BC">
              <w:t>5</w:t>
            </w:r>
            <w:r>
              <w:t xml:space="preserve"> financial year. Dat</w:t>
            </w:r>
            <w:r w:rsidR="009A61A0">
              <w:t>a are provided in S</w:t>
            </w:r>
            <w:r w:rsidR="000D30BC">
              <w:t>eptember 2015</w:t>
            </w:r>
            <w:r>
              <w:t>, f</w:t>
            </w:r>
            <w:r w:rsidR="000D30BC">
              <w:t>or publication in January 2016</w:t>
            </w:r>
            <w:r>
              <w:t>.</w:t>
            </w:r>
          </w:p>
          <w:p w:rsidR="00B325D0" w:rsidRPr="009F199D" w:rsidRDefault="00B325D0" w:rsidP="005337EE">
            <w:pPr>
              <w:pStyle w:val="TableBodyText"/>
              <w:keepNext w:val="0"/>
              <w:spacing w:after="120"/>
              <w:jc w:val="both"/>
            </w:pPr>
            <w:r>
              <w:t>Data can be revised retrospectively up to 5 years later.</w:t>
            </w:r>
          </w:p>
        </w:tc>
      </w:tr>
      <w:tr w:rsidR="00B325D0" w:rsidTr="00853692">
        <w:tc>
          <w:tcPr>
            <w:tcW w:w="922" w:type="pct"/>
          </w:tcPr>
          <w:p w:rsidR="00B325D0" w:rsidRPr="00C744E0" w:rsidRDefault="00B325D0" w:rsidP="00593391">
            <w:pPr>
              <w:pStyle w:val="TableBodyText"/>
              <w:keepNext w:val="0"/>
              <w:ind w:left="0"/>
              <w:jc w:val="left"/>
              <w:rPr>
                <w:b/>
              </w:rPr>
            </w:pPr>
            <w:r w:rsidRPr="00C744E0">
              <w:rPr>
                <w:b/>
              </w:rPr>
              <w:t>Accuracy</w:t>
            </w:r>
          </w:p>
        </w:tc>
        <w:tc>
          <w:tcPr>
            <w:tcW w:w="4078" w:type="pct"/>
          </w:tcPr>
          <w:p w:rsidR="00B325D0" w:rsidRDefault="00B325D0" w:rsidP="00AD1868">
            <w:pPr>
              <w:pStyle w:val="TableBullet"/>
              <w:keepNext w:val="0"/>
              <w:numPr>
                <w:ilvl w:val="0"/>
                <w:numId w:val="0"/>
              </w:numPr>
              <w:jc w:val="both"/>
            </w:pPr>
            <w:r>
              <w:t xml:space="preserve">The data provided are consistent with </w:t>
            </w:r>
            <w:proofErr w:type="spellStart"/>
            <w:r>
              <w:t>RoGS</w:t>
            </w:r>
            <w:proofErr w:type="spellEnd"/>
            <w:r>
              <w:t xml:space="preserve"> counting rules and are reported for all court </w:t>
            </w:r>
            <w:r w:rsidR="00985529">
              <w:t>levels in each jurisdiction.</w:t>
            </w:r>
          </w:p>
          <w:p w:rsidR="00B325D0" w:rsidRPr="00CF5FA0" w:rsidRDefault="00B325D0" w:rsidP="005337EE">
            <w:pPr>
              <w:pStyle w:val="TableBullet"/>
              <w:keepNext w:val="0"/>
              <w:numPr>
                <w:ilvl w:val="0"/>
                <w:numId w:val="0"/>
              </w:numPr>
              <w:spacing w:after="120"/>
              <w:jc w:val="both"/>
            </w:pPr>
            <w:r>
              <w:t>The data are extracted from case management systems which are subject to the normal legislative financial and administrative controls, reconciliation and validation processes to ensure accuracy.</w:t>
            </w:r>
          </w:p>
        </w:tc>
      </w:tr>
      <w:tr w:rsidR="00B325D0" w:rsidTr="00853692">
        <w:tc>
          <w:tcPr>
            <w:tcW w:w="922" w:type="pct"/>
          </w:tcPr>
          <w:p w:rsidR="00B325D0" w:rsidRPr="002162BE" w:rsidRDefault="00B325D0" w:rsidP="00AD1868">
            <w:pPr>
              <w:pStyle w:val="TableBodyText"/>
              <w:keepNext w:val="0"/>
              <w:jc w:val="left"/>
              <w:rPr>
                <w:b/>
              </w:rPr>
            </w:pPr>
            <w:r w:rsidRPr="002162BE">
              <w:rPr>
                <w:b/>
              </w:rPr>
              <w:t>Coherence</w:t>
            </w:r>
          </w:p>
        </w:tc>
        <w:tc>
          <w:tcPr>
            <w:tcW w:w="4078" w:type="pct"/>
          </w:tcPr>
          <w:p w:rsidR="00B325D0" w:rsidRPr="00B01E41" w:rsidRDefault="00B325D0" w:rsidP="00AD1868">
            <w:pPr>
              <w:pStyle w:val="TableBodyText"/>
              <w:keepNext w:val="0"/>
              <w:jc w:val="both"/>
            </w:pPr>
            <w:r>
              <w:t xml:space="preserve">For the last five years </w:t>
            </w:r>
            <w:proofErr w:type="spellStart"/>
            <w:r w:rsidR="00376B9D">
              <w:t>lodg</w:t>
            </w:r>
            <w:r w:rsidR="00EA06AA">
              <w:t>ment</w:t>
            </w:r>
            <w:proofErr w:type="spellEnd"/>
            <w:r w:rsidR="00EA06AA">
              <w:t xml:space="preserve"> and finalisation </w:t>
            </w:r>
            <w:r>
              <w:t>data have been collected, counted and reported relatively consistentl</w:t>
            </w:r>
            <w:r w:rsidR="00B1340D">
              <w:t>y. Exceptions are noted in the attachment tables.</w:t>
            </w:r>
          </w:p>
          <w:p w:rsidR="00B325D0" w:rsidRPr="00CD04F1" w:rsidRDefault="00B325D0" w:rsidP="005337EE">
            <w:pPr>
              <w:pStyle w:val="TableBodyText"/>
              <w:keepNext w:val="0"/>
              <w:spacing w:after="120"/>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 and differing definitions</w:t>
            </w:r>
            <w:r w:rsidRPr="00D84159">
              <w:t>.</w:t>
            </w:r>
            <w:r>
              <w:t xml:space="preserve"> Finalisation counting rules for civil courts in this report also include a “deeming rule” which means that </w:t>
            </w:r>
            <w:proofErr w:type="spellStart"/>
            <w:r>
              <w:t>RoGS</w:t>
            </w:r>
            <w:proofErr w:type="spellEnd"/>
            <w:r>
              <w:t xml:space="preserve"> finalisation data are unlikely to match the court’s own published data. </w:t>
            </w:r>
          </w:p>
        </w:tc>
      </w:tr>
      <w:tr w:rsidR="00B325D0" w:rsidTr="00853692">
        <w:tc>
          <w:tcPr>
            <w:tcW w:w="922" w:type="pct"/>
          </w:tcPr>
          <w:p w:rsidR="00B325D0" w:rsidRPr="00C744E0" w:rsidRDefault="00B325D0" w:rsidP="00825D8C">
            <w:pPr>
              <w:pStyle w:val="TableBodyText"/>
              <w:keepNext w:val="0"/>
              <w:jc w:val="left"/>
              <w:rPr>
                <w:b/>
              </w:rPr>
            </w:pPr>
            <w:r w:rsidRPr="00C744E0">
              <w:rPr>
                <w:b/>
              </w:rPr>
              <w:t>Accessibility</w:t>
            </w:r>
          </w:p>
        </w:tc>
        <w:tc>
          <w:tcPr>
            <w:tcW w:w="4078" w:type="pct"/>
          </w:tcPr>
          <w:p w:rsidR="00B325D0" w:rsidRPr="001A7053" w:rsidRDefault="00CC42B6" w:rsidP="0085336E">
            <w:pPr>
              <w:pStyle w:val="TableBodyText"/>
              <w:keepNext w:val="0"/>
              <w:spacing w:after="120"/>
              <w:jc w:val="left"/>
            </w:pPr>
            <w:proofErr w:type="spellStart"/>
            <w:r>
              <w:t>Lodgment</w:t>
            </w:r>
            <w:proofErr w:type="spellEnd"/>
            <w:r w:rsidR="00B325D0">
              <w:t xml:space="preserve"> and finalisation data are provided for the Report on Government Services according to the specific </w:t>
            </w:r>
            <w:proofErr w:type="spellStart"/>
            <w:r w:rsidR="00B325D0">
              <w:t>RoGS</w:t>
            </w:r>
            <w:proofErr w:type="spellEnd"/>
            <w:r w:rsidR="00B325D0">
              <w:t xml:space="preserve"> counting </w:t>
            </w:r>
            <w:r>
              <w:t xml:space="preserve">rules. Other data on </w:t>
            </w:r>
            <w:proofErr w:type="spellStart"/>
            <w:r>
              <w:t>lodgments</w:t>
            </w:r>
            <w:proofErr w:type="spellEnd"/>
            <w:r w:rsidR="00B325D0">
              <w:t xml:space="preserve"> and finalisations may be available through court annual reports, court websites, on </w:t>
            </w:r>
            <w:r w:rsidR="00B325D0">
              <w:lastRenderedPageBreak/>
              <w:t xml:space="preserve">application from the Chief Jurisdictional Officer in the relevant state, territory or federal jurisdiction. </w:t>
            </w:r>
          </w:p>
        </w:tc>
      </w:tr>
      <w:tr w:rsidR="00B325D0" w:rsidTr="00853692">
        <w:tc>
          <w:tcPr>
            <w:tcW w:w="922" w:type="pct"/>
          </w:tcPr>
          <w:p w:rsidR="00B325D0" w:rsidRPr="00C744E0" w:rsidRDefault="00B325D0" w:rsidP="00853692">
            <w:pPr>
              <w:pStyle w:val="TableBodyText"/>
              <w:jc w:val="left"/>
              <w:rPr>
                <w:b/>
              </w:rPr>
            </w:pPr>
            <w:r w:rsidRPr="00C744E0">
              <w:rPr>
                <w:b/>
              </w:rPr>
              <w:lastRenderedPageBreak/>
              <w:t>Interpretability</w:t>
            </w:r>
          </w:p>
        </w:tc>
        <w:tc>
          <w:tcPr>
            <w:tcW w:w="4078" w:type="pct"/>
          </w:tcPr>
          <w:p w:rsidR="00A10BF8" w:rsidRDefault="00A10BF8" w:rsidP="00853692">
            <w:pPr>
              <w:pStyle w:val="TableBodyText"/>
              <w:keepNext w:val="0"/>
              <w:ind w:left="32" w:hanging="26"/>
              <w:jc w:val="left"/>
            </w:pPr>
            <w:r>
              <w:t xml:space="preserve">The clearance indicator should be interpreted alongside </w:t>
            </w:r>
            <w:proofErr w:type="spellStart"/>
            <w:r>
              <w:t>lodgment</w:t>
            </w:r>
            <w:proofErr w:type="spellEnd"/>
            <w:r>
              <w:t xml:space="preserve"> and finalisation data and the backlog indicator. Trends over time should also be considered. The clearance indicator can be affected by external factors outside of the court system such as complexity of cases, capacity to handle workload, changes in </w:t>
            </w:r>
            <w:proofErr w:type="spellStart"/>
            <w:r w:rsidR="00346FD6">
              <w:t>lodgment</w:t>
            </w:r>
            <w:proofErr w:type="spellEnd"/>
            <w:r>
              <w:t xml:space="preserve"> rates, as well as changes in a court’s case management practices. </w:t>
            </w:r>
          </w:p>
          <w:p w:rsidR="00B325D0" w:rsidRDefault="00B325D0" w:rsidP="00853692">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CE2293" w:rsidRDefault="00CE2293" w:rsidP="00853692">
            <w:pPr>
              <w:pStyle w:val="TableBodyText"/>
              <w:keepNext w:val="0"/>
              <w:ind w:left="32" w:hanging="26"/>
              <w:jc w:val="left"/>
            </w:pPr>
            <w:r>
              <w:t>The usual interpretation is that a clearance rate of 100% or more is good.</w:t>
            </w:r>
            <w:r w:rsidR="006D4850">
              <w:t xml:space="preserve"> The rate at which cases are lodged is as much responsible for the clearance indicator results as is the finalisation rate. Any surge in </w:t>
            </w:r>
            <w:proofErr w:type="spellStart"/>
            <w:r w:rsidR="006D4850">
              <w:t>lodgments</w:t>
            </w:r>
            <w:proofErr w:type="spellEnd"/>
            <w:r w:rsidR="006D4850">
              <w:t xml:space="preserve"> during the final months of the reporting period will worsen the clearance rate result because those cases are unlikely to be ready for finalisation before the reporting period closes. That surge in </w:t>
            </w:r>
            <w:proofErr w:type="spellStart"/>
            <w:r w:rsidR="006D4850">
              <w:t>lodgments</w:t>
            </w:r>
            <w:proofErr w:type="spellEnd"/>
            <w:r w:rsidR="006D4850">
              <w:t xml:space="preserve"> may well produce a surge in finalisations in the following year, </w:t>
            </w:r>
            <w:r w:rsidR="00590388">
              <w:t>which then favourably impact the next reporting period as finalisations – these fluctuations may or may not reflect efficiency.</w:t>
            </w:r>
            <w:r w:rsidR="006D4850">
              <w:t xml:space="preserve"> </w:t>
            </w:r>
          </w:p>
          <w:p w:rsidR="00B325D0" w:rsidRPr="00292C41" w:rsidRDefault="00B325D0" w:rsidP="00853692">
            <w:pPr>
              <w:pStyle w:val="TableBodyText"/>
              <w:ind w:left="0" w:firstLine="6"/>
              <w:jc w:val="left"/>
            </w:pPr>
            <w:r w:rsidRPr="00F20BEC">
              <w:t>For fu</w:t>
            </w:r>
            <w:r>
              <w:t xml:space="preserve">rther information </w:t>
            </w:r>
            <w:r w:rsidR="00590388">
              <w:t>on the clearance</w:t>
            </w:r>
            <w:r>
              <w:t xml:space="preserve"> indicator refer to </w:t>
            </w:r>
            <w:smartTag w:uri="urn:schemas-microsoft-com:office:smarttags" w:element="address">
              <w:smartTag w:uri="urn:schemas-microsoft-com:office:smarttags" w:element="Street">
                <w:r>
                  <w:t>Box</w:t>
                </w:r>
              </w:smartTag>
              <w:r w:rsidR="00590388">
                <w:t xml:space="preserve"> 7.13</w:t>
              </w:r>
            </w:smartTag>
            <w:r w:rsidRPr="00F20BEC">
              <w:t xml:space="preserve"> </w:t>
            </w:r>
            <w:r>
              <w:t xml:space="preserve">in chapter 7 </w:t>
            </w:r>
            <w:r w:rsidRPr="00F20BEC">
              <w:t>of the Report.</w:t>
            </w:r>
          </w:p>
        </w:tc>
      </w:tr>
      <w:tr w:rsidR="00B325D0" w:rsidTr="00853692">
        <w:tc>
          <w:tcPr>
            <w:tcW w:w="5000" w:type="pct"/>
            <w:gridSpan w:val="2"/>
            <w:shd w:val="clear" w:color="auto" w:fill="auto"/>
          </w:tcPr>
          <w:p w:rsidR="00B325D0" w:rsidRPr="00C744E0" w:rsidRDefault="00B325D0" w:rsidP="0085336E">
            <w:pPr>
              <w:pStyle w:val="TableBodyText"/>
              <w:spacing w:before="120" w:after="120"/>
              <w:jc w:val="left"/>
              <w:rPr>
                <w:b/>
                <w:u w:val="single"/>
              </w:rPr>
            </w:pPr>
            <w:r w:rsidRPr="00C744E0">
              <w:rPr>
                <w:b/>
                <w:u w:val="single"/>
              </w:rPr>
              <w:t>Data Gaps/Issues Analysis</w:t>
            </w:r>
          </w:p>
        </w:tc>
      </w:tr>
      <w:tr w:rsidR="00B325D0" w:rsidTr="00853692">
        <w:tc>
          <w:tcPr>
            <w:tcW w:w="922" w:type="pct"/>
            <w:shd w:val="clear" w:color="auto" w:fill="auto"/>
          </w:tcPr>
          <w:p w:rsidR="00B325D0" w:rsidRPr="00C744E0" w:rsidRDefault="00B325D0" w:rsidP="00853692">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B325D0" w:rsidRDefault="00B325D0" w:rsidP="00853692">
            <w:pPr>
              <w:pStyle w:val="TableBodyText"/>
              <w:jc w:val="both"/>
            </w:pPr>
            <w:r w:rsidRPr="00B96E3E">
              <w:t xml:space="preserve">The Steering Committee notes the following key data gaps/issues: </w:t>
            </w:r>
          </w:p>
          <w:p w:rsidR="00B325D0" w:rsidRPr="00B96E3E" w:rsidRDefault="00593391" w:rsidP="00853692">
            <w:pPr>
              <w:pStyle w:val="TableBullet"/>
              <w:tabs>
                <w:tab w:val="left" w:pos="170"/>
              </w:tabs>
              <w:ind w:left="176"/>
              <w:jc w:val="both"/>
            </w:pPr>
            <w:r>
              <w:t xml:space="preserve">As noted under ‘Interpretability’ </w:t>
            </w:r>
          </w:p>
        </w:tc>
      </w:tr>
    </w:tbl>
    <w:p w:rsidR="00A652F1" w:rsidRDefault="00A652F1" w:rsidP="00BA573C">
      <w:pPr>
        <w:pStyle w:val="Heading3"/>
        <w:spacing w:before="120"/>
      </w:pPr>
    </w:p>
    <w:p w:rsidR="00A652F1" w:rsidRPr="00016770" w:rsidRDefault="00A652F1" w:rsidP="00A652F1">
      <w:pPr>
        <w:pStyle w:val="Heading3"/>
        <w:spacing w:before="120"/>
      </w:pPr>
      <w:r>
        <w:br w:type="page"/>
      </w:r>
      <w:bookmarkStart w:id="14" w:name="_Toc338344193"/>
      <w:r>
        <w:lastRenderedPageBreak/>
        <w:t>Judicial officers per 100 finalisations</w:t>
      </w:r>
      <w:bookmarkEnd w:id="14"/>
    </w:p>
    <w:p w:rsidR="00A652F1" w:rsidRPr="00101653" w:rsidRDefault="00A652F1" w:rsidP="00A652F1">
      <w:pPr>
        <w:pStyle w:val="Box"/>
      </w:pPr>
      <w:r w:rsidRPr="00016770">
        <w:t>Data quality information for this indicator has been drafted by the Secretariat in consultation with the Court</w:t>
      </w:r>
      <w:r>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A652F1" w:rsidTr="00F86A7F">
        <w:tc>
          <w:tcPr>
            <w:tcW w:w="5000" w:type="pct"/>
            <w:gridSpan w:val="2"/>
          </w:tcPr>
          <w:p w:rsidR="00A652F1" w:rsidRDefault="00A652F1" w:rsidP="00F86A7F">
            <w:pPr>
              <w:pStyle w:val="TableBodyText"/>
              <w:jc w:val="both"/>
              <w:rPr>
                <w:b/>
                <w:u w:val="single"/>
              </w:rPr>
            </w:pPr>
          </w:p>
          <w:p w:rsidR="00A652F1" w:rsidRDefault="00A652F1" w:rsidP="00802E29">
            <w:pPr>
              <w:pStyle w:val="TableBodyText"/>
              <w:spacing w:after="120"/>
              <w:jc w:val="both"/>
            </w:pPr>
            <w:r w:rsidRPr="007D0BFD">
              <w:rPr>
                <w:b/>
                <w:u w:val="single"/>
              </w:rPr>
              <w:t>Indicator definition and description</w:t>
            </w:r>
            <w:r>
              <w:rPr>
                <w:rFonts w:cs="Arial"/>
                <w:b/>
                <w:sz w:val="22"/>
                <w:szCs w:val="22"/>
                <w:u w:val="single"/>
              </w:rPr>
              <w:t xml:space="preserve"> </w:t>
            </w:r>
          </w:p>
        </w:tc>
      </w:tr>
      <w:tr w:rsidR="00A652F1" w:rsidTr="00F86A7F">
        <w:tc>
          <w:tcPr>
            <w:tcW w:w="922" w:type="pct"/>
          </w:tcPr>
          <w:p w:rsidR="00A652F1" w:rsidRPr="00C744E0" w:rsidRDefault="00A652F1" w:rsidP="00F86A7F">
            <w:pPr>
              <w:pStyle w:val="TableBodyText"/>
              <w:jc w:val="left"/>
              <w:rPr>
                <w:b/>
              </w:rPr>
            </w:pPr>
            <w:r w:rsidRPr="00C744E0">
              <w:rPr>
                <w:b/>
              </w:rPr>
              <w:t>Element</w:t>
            </w:r>
          </w:p>
        </w:tc>
        <w:tc>
          <w:tcPr>
            <w:tcW w:w="4078" w:type="pct"/>
          </w:tcPr>
          <w:p w:rsidR="00A652F1" w:rsidRPr="00A1569C" w:rsidRDefault="00514D33" w:rsidP="00802E29">
            <w:pPr>
              <w:pStyle w:val="TableBodyText"/>
              <w:spacing w:after="120"/>
              <w:jc w:val="both"/>
            </w:pPr>
            <w:r>
              <w:t>Courts</w:t>
            </w:r>
            <w:r w:rsidR="00A652F1">
              <w:t xml:space="preserve"> Efficiency – Input</w:t>
            </w:r>
            <w:r>
              <w:t>s per unit of output – Judicial officers</w:t>
            </w:r>
            <w:r w:rsidR="00A652F1">
              <w:t xml:space="preserve"> per finalisation</w:t>
            </w:r>
          </w:p>
        </w:tc>
      </w:tr>
      <w:tr w:rsidR="00A652F1" w:rsidTr="00F86A7F">
        <w:tc>
          <w:tcPr>
            <w:tcW w:w="922" w:type="pct"/>
          </w:tcPr>
          <w:p w:rsidR="00A652F1" w:rsidRPr="00C744E0" w:rsidRDefault="00A652F1" w:rsidP="00F86A7F">
            <w:pPr>
              <w:pStyle w:val="TableBodyText"/>
              <w:jc w:val="left"/>
              <w:rPr>
                <w:b/>
              </w:rPr>
            </w:pPr>
            <w:r w:rsidRPr="00C744E0">
              <w:rPr>
                <w:b/>
              </w:rPr>
              <w:t>Indicator</w:t>
            </w:r>
          </w:p>
        </w:tc>
        <w:tc>
          <w:tcPr>
            <w:tcW w:w="4078" w:type="pct"/>
          </w:tcPr>
          <w:p w:rsidR="00A652F1" w:rsidRPr="00E17A32" w:rsidRDefault="00514D33" w:rsidP="00802E29">
            <w:pPr>
              <w:pStyle w:val="TableBodyText"/>
              <w:spacing w:after="120"/>
              <w:jc w:val="both"/>
            </w:pPr>
            <w:r>
              <w:t>Judicial officers</w:t>
            </w:r>
            <w:r w:rsidR="00A652F1">
              <w:t xml:space="preserve"> per</w:t>
            </w:r>
            <w:r>
              <w:t xml:space="preserve"> 100</w:t>
            </w:r>
            <w:r w:rsidR="00A652F1">
              <w:t xml:space="preserve"> finalisation</w:t>
            </w:r>
            <w:r>
              <w:t>s</w:t>
            </w:r>
          </w:p>
        </w:tc>
      </w:tr>
      <w:tr w:rsidR="00A652F1" w:rsidTr="00F86A7F">
        <w:tc>
          <w:tcPr>
            <w:tcW w:w="922" w:type="pct"/>
          </w:tcPr>
          <w:p w:rsidR="00A652F1" w:rsidRPr="00C744E0" w:rsidRDefault="00A652F1" w:rsidP="00F86A7F">
            <w:pPr>
              <w:pStyle w:val="TableBodyText"/>
              <w:jc w:val="left"/>
              <w:rPr>
                <w:b/>
              </w:rPr>
            </w:pPr>
            <w:r w:rsidRPr="00C744E0">
              <w:rPr>
                <w:b/>
              </w:rPr>
              <w:t>Measure (computation)</w:t>
            </w:r>
          </w:p>
        </w:tc>
        <w:tc>
          <w:tcPr>
            <w:tcW w:w="4078" w:type="pct"/>
          </w:tcPr>
          <w:p w:rsidR="00D51A7A" w:rsidRPr="00D51A7A" w:rsidRDefault="00D51A7A" w:rsidP="00D51A7A">
            <w:pPr>
              <w:pStyle w:val="TableBodyText"/>
              <w:spacing w:after="120"/>
              <w:jc w:val="both"/>
              <w:rPr>
                <w:u w:val="single"/>
              </w:rPr>
            </w:pPr>
            <w:r>
              <w:rPr>
                <w:u w:val="single"/>
              </w:rPr>
              <w:t>Definition</w:t>
            </w:r>
          </w:p>
          <w:p w:rsidR="00A652F1" w:rsidRDefault="00D51A7A" w:rsidP="00F86A7F">
            <w:pPr>
              <w:pStyle w:val="TableBodyText"/>
              <w:jc w:val="both"/>
            </w:pPr>
            <w:r>
              <w:t>The number of judicial officers per 100 finalisations.</w:t>
            </w:r>
            <w:r w:rsidR="00A652F1">
              <w:t xml:space="preserve"> </w:t>
            </w:r>
          </w:p>
          <w:p w:rsidR="00A652F1" w:rsidRDefault="00A652F1" w:rsidP="00807A4F">
            <w:pPr>
              <w:pStyle w:val="TableBodyText"/>
              <w:spacing w:after="120"/>
              <w:jc w:val="both"/>
            </w:pPr>
            <w:r>
              <w:rPr>
                <w:u w:val="single"/>
              </w:rPr>
              <w:t>Numerator</w:t>
            </w:r>
          </w:p>
          <w:p w:rsidR="00A652F1" w:rsidRPr="005A5147" w:rsidRDefault="000C42C9" w:rsidP="00F86A7F">
            <w:pPr>
              <w:pStyle w:val="TableBodyText"/>
              <w:numPr>
                <w:ilvl w:val="0"/>
                <w:numId w:val="42"/>
              </w:numPr>
              <w:jc w:val="left"/>
            </w:pPr>
            <w:r>
              <w:t>Number of full time equivalent judicial officers</w:t>
            </w:r>
            <w:r w:rsidR="00D51A7A">
              <w:t xml:space="preserve"> within each court level</w:t>
            </w:r>
          </w:p>
          <w:p w:rsidR="00A652F1" w:rsidRPr="005D4651" w:rsidRDefault="00A652F1" w:rsidP="00807A4F">
            <w:pPr>
              <w:pStyle w:val="TableBodyText"/>
              <w:spacing w:after="120"/>
              <w:jc w:val="both"/>
            </w:pPr>
            <w:r>
              <w:rPr>
                <w:u w:val="single"/>
              </w:rPr>
              <w:t>Denominator</w:t>
            </w:r>
          </w:p>
          <w:p w:rsidR="00A652F1" w:rsidRDefault="00A652F1" w:rsidP="00F86A7F">
            <w:pPr>
              <w:pStyle w:val="TableBullet"/>
              <w:numPr>
                <w:ilvl w:val="0"/>
                <w:numId w:val="42"/>
              </w:numPr>
              <w:spacing w:line="220" w:lineRule="exact"/>
              <w:jc w:val="both"/>
            </w:pPr>
            <w:r>
              <w:t>Total number of cases finalised in a financial year</w:t>
            </w:r>
            <w:r w:rsidR="004B7222">
              <w:t>.</w:t>
            </w:r>
          </w:p>
          <w:p w:rsidR="00D51A7A" w:rsidRDefault="00D51A7A" w:rsidP="00D51A7A">
            <w:pPr>
              <w:pStyle w:val="DQITableText"/>
            </w:pPr>
            <w:r>
              <w:rPr>
                <w:u w:val="single"/>
              </w:rPr>
              <w:t>Computation</w:t>
            </w:r>
          </w:p>
          <w:p w:rsidR="00D51A7A" w:rsidRPr="00D51A7A" w:rsidRDefault="00D51A7A" w:rsidP="00802E29">
            <w:pPr>
              <w:pStyle w:val="DQITableText"/>
              <w:spacing w:after="120"/>
            </w:pPr>
            <w:r>
              <w:t>Numerator divided by denominator, multiplied by 100</w:t>
            </w:r>
            <w:r w:rsidR="00807A4F">
              <w:t>.</w:t>
            </w:r>
          </w:p>
        </w:tc>
      </w:tr>
      <w:tr w:rsidR="00A652F1" w:rsidTr="00F86A7F">
        <w:tc>
          <w:tcPr>
            <w:tcW w:w="922" w:type="pct"/>
          </w:tcPr>
          <w:p w:rsidR="00A652F1" w:rsidRPr="00C744E0" w:rsidRDefault="00A652F1" w:rsidP="00F86A7F">
            <w:pPr>
              <w:pStyle w:val="TableBodyText"/>
              <w:jc w:val="left"/>
              <w:rPr>
                <w:b/>
              </w:rPr>
            </w:pPr>
            <w:r w:rsidRPr="00C744E0">
              <w:rPr>
                <w:b/>
              </w:rPr>
              <w:t>Data source/s</w:t>
            </w:r>
          </w:p>
        </w:tc>
        <w:tc>
          <w:tcPr>
            <w:tcW w:w="4078" w:type="pct"/>
          </w:tcPr>
          <w:p w:rsidR="00A652F1" w:rsidRPr="00B96E3E" w:rsidRDefault="00807A4F" w:rsidP="00807A4F">
            <w:pPr>
              <w:pStyle w:val="TableBodyText"/>
              <w:jc w:val="both"/>
            </w:pPr>
            <w:r>
              <w:t xml:space="preserve">Data </w:t>
            </w:r>
            <w:r w:rsidR="000C42C9" w:rsidRPr="00C34F8E">
              <w:t>are</w:t>
            </w:r>
            <w:r>
              <w:t xml:space="preserve"> unpublished and</w:t>
            </w:r>
            <w:r w:rsidR="000C42C9" w:rsidRPr="00C34F8E">
              <w:t xml:space="preserve"> sourced from</w:t>
            </w:r>
            <w:r w:rsidR="000C42C9">
              <w:t xml:space="preserve"> Australian, State and Territory court authorities and departments.</w:t>
            </w:r>
            <w:r w:rsidR="00460766">
              <w:t xml:space="preserve"> </w:t>
            </w:r>
          </w:p>
        </w:tc>
      </w:tr>
      <w:tr w:rsidR="00A652F1" w:rsidTr="00F86A7F">
        <w:tc>
          <w:tcPr>
            <w:tcW w:w="5000" w:type="pct"/>
            <w:gridSpan w:val="2"/>
          </w:tcPr>
          <w:p w:rsidR="00A652F1" w:rsidRPr="00C744E0" w:rsidRDefault="00A652F1" w:rsidP="00802E29">
            <w:pPr>
              <w:pStyle w:val="TableBodyText"/>
              <w:spacing w:before="120" w:after="120"/>
              <w:jc w:val="both"/>
              <w:rPr>
                <w:b/>
                <w:u w:val="single"/>
              </w:rPr>
            </w:pPr>
            <w:r w:rsidRPr="00C744E0">
              <w:rPr>
                <w:b/>
                <w:u w:val="single"/>
              </w:rPr>
              <w:t>Data Quality Framework Dimensions</w:t>
            </w:r>
          </w:p>
        </w:tc>
      </w:tr>
      <w:tr w:rsidR="00A652F1" w:rsidTr="00F86A7F">
        <w:tc>
          <w:tcPr>
            <w:tcW w:w="922" w:type="pct"/>
          </w:tcPr>
          <w:p w:rsidR="00A652F1" w:rsidRPr="00C744E0" w:rsidRDefault="00A652F1" w:rsidP="00F86A7F">
            <w:pPr>
              <w:pStyle w:val="TableBodyText"/>
              <w:jc w:val="left"/>
              <w:rPr>
                <w:b/>
              </w:rPr>
            </w:pPr>
            <w:r w:rsidRPr="00C744E0">
              <w:rPr>
                <w:b/>
              </w:rPr>
              <w:t>Institutional environment</w:t>
            </w:r>
          </w:p>
        </w:tc>
        <w:tc>
          <w:tcPr>
            <w:tcW w:w="4078" w:type="pct"/>
          </w:tcPr>
          <w:p w:rsidR="00A652F1" w:rsidRDefault="00A652F1" w:rsidP="00F86A7F">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A652F1" w:rsidRPr="00062F62" w:rsidRDefault="00A652F1" w:rsidP="00802E29">
            <w:pPr>
              <w:pStyle w:val="TableBodyText"/>
              <w:spacing w:after="120"/>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tc>
      </w:tr>
      <w:tr w:rsidR="00A652F1" w:rsidTr="00F86A7F">
        <w:tc>
          <w:tcPr>
            <w:tcW w:w="922" w:type="pct"/>
          </w:tcPr>
          <w:p w:rsidR="00A652F1" w:rsidRPr="00C744E0" w:rsidRDefault="00A652F1" w:rsidP="00F86A7F">
            <w:pPr>
              <w:pStyle w:val="TableBodyText"/>
              <w:jc w:val="left"/>
              <w:rPr>
                <w:b/>
              </w:rPr>
            </w:pPr>
            <w:r w:rsidRPr="00C744E0">
              <w:rPr>
                <w:b/>
              </w:rPr>
              <w:t>Relevance</w:t>
            </w:r>
          </w:p>
        </w:tc>
        <w:tc>
          <w:tcPr>
            <w:tcW w:w="4078" w:type="pct"/>
          </w:tcPr>
          <w:p w:rsidR="00A652F1" w:rsidRDefault="00ED5EA6" w:rsidP="00F86A7F">
            <w:pPr>
              <w:pStyle w:val="TableBullet"/>
              <w:numPr>
                <w:ilvl w:val="0"/>
                <w:numId w:val="0"/>
              </w:numPr>
              <w:jc w:val="both"/>
            </w:pPr>
            <w:r>
              <w:t xml:space="preserve">‘Judicial officers </w:t>
            </w:r>
            <w:r w:rsidR="00A652F1">
              <w:t>per</w:t>
            </w:r>
            <w:r>
              <w:t xml:space="preserve"> 100</w:t>
            </w:r>
            <w:r w:rsidR="00A652F1">
              <w:t xml:space="preserve"> finalisation</w:t>
            </w:r>
            <w:r>
              <w:t>s</w:t>
            </w:r>
            <w:r w:rsidR="00A652F1">
              <w:t xml:space="preserve">’ is an indicator of governments’ achievement against the objective of providing court services in an efficient manner. </w:t>
            </w:r>
          </w:p>
          <w:p w:rsidR="00A652F1" w:rsidRPr="00B96E3E" w:rsidRDefault="00A652F1" w:rsidP="00240295">
            <w:pPr>
              <w:pStyle w:val="TableBodyText"/>
              <w:spacing w:after="120"/>
              <w:ind w:left="0"/>
              <w:jc w:val="left"/>
            </w:pPr>
            <w:r w:rsidRPr="00F20BEC">
              <w:t>For fu</w:t>
            </w:r>
            <w:r>
              <w:t>rther information on th</w:t>
            </w:r>
            <w:r w:rsidR="00493D0C">
              <w:t>is</w:t>
            </w:r>
            <w:r w:rsidRPr="00F20BEC">
              <w:t xml:space="preserve"> indicator refer to Box</w:t>
            </w:r>
            <w:r w:rsidR="00493D0C">
              <w:t>es 7.7 and</w:t>
            </w:r>
            <w:r>
              <w:t xml:space="preserve"> 7.14</w:t>
            </w:r>
            <w:r w:rsidRPr="00F20BEC">
              <w:t xml:space="preserve"> </w:t>
            </w:r>
            <w:r>
              <w:t xml:space="preserve">in </w:t>
            </w:r>
            <w:r w:rsidR="00493D0C">
              <w:t>C</w:t>
            </w:r>
            <w:r>
              <w:t xml:space="preserve">hapter 7 </w:t>
            </w:r>
            <w:r w:rsidRPr="00F20BEC">
              <w:t>of the Report.</w:t>
            </w:r>
          </w:p>
        </w:tc>
      </w:tr>
      <w:tr w:rsidR="00A652F1" w:rsidTr="00F86A7F">
        <w:tc>
          <w:tcPr>
            <w:tcW w:w="922" w:type="pct"/>
          </w:tcPr>
          <w:p w:rsidR="00A652F1" w:rsidRPr="00C744E0" w:rsidRDefault="00A652F1" w:rsidP="00F86A7F">
            <w:pPr>
              <w:pStyle w:val="TableBodyText"/>
              <w:jc w:val="both"/>
              <w:rPr>
                <w:b/>
              </w:rPr>
            </w:pPr>
            <w:r w:rsidRPr="00C744E0">
              <w:rPr>
                <w:b/>
              </w:rPr>
              <w:t>Timeliness</w:t>
            </w:r>
          </w:p>
        </w:tc>
        <w:tc>
          <w:tcPr>
            <w:tcW w:w="4078" w:type="pct"/>
          </w:tcPr>
          <w:p w:rsidR="00A652F1" w:rsidRDefault="00A652F1" w:rsidP="00F86A7F">
            <w:pPr>
              <w:pStyle w:val="TableBodyText"/>
              <w:keepNext w:val="0"/>
              <w:jc w:val="both"/>
            </w:pPr>
            <w:r>
              <w:t xml:space="preserve">The reference period </w:t>
            </w:r>
            <w:r w:rsidR="00757065">
              <w:t>is the 2014-15</w:t>
            </w:r>
            <w:r>
              <w:t xml:space="preserve"> financial year. Dat</w:t>
            </w:r>
            <w:r w:rsidR="00757065">
              <w:t>a are provided in September 2015</w:t>
            </w:r>
            <w:r>
              <w:t>,</w:t>
            </w:r>
            <w:r w:rsidR="00757065">
              <w:t xml:space="preserve"> for publication in January 2016</w:t>
            </w:r>
            <w:r>
              <w:t>.</w:t>
            </w:r>
          </w:p>
          <w:p w:rsidR="00A652F1" w:rsidRPr="009F199D" w:rsidRDefault="00A652F1" w:rsidP="00240295">
            <w:pPr>
              <w:pStyle w:val="TableBodyText"/>
              <w:keepNext w:val="0"/>
              <w:spacing w:after="120"/>
              <w:jc w:val="both"/>
            </w:pPr>
            <w:r>
              <w:t>Data can be revised retrospectively up to 5 years later.</w:t>
            </w:r>
          </w:p>
        </w:tc>
      </w:tr>
      <w:tr w:rsidR="00A652F1" w:rsidTr="00F86A7F">
        <w:tc>
          <w:tcPr>
            <w:tcW w:w="922" w:type="pct"/>
          </w:tcPr>
          <w:p w:rsidR="00A652F1" w:rsidRPr="00C744E0" w:rsidRDefault="00A652F1" w:rsidP="00F86A7F">
            <w:pPr>
              <w:pStyle w:val="TableBodyText"/>
              <w:keepNext w:val="0"/>
              <w:jc w:val="left"/>
              <w:rPr>
                <w:b/>
              </w:rPr>
            </w:pPr>
            <w:r w:rsidRPr="00C744E0">
              <w:rPr>
                <w:b/>
              </w:rPr>
              <w:t>Accuracy</w:t>
            </w:r>
          </w:p>
        </w:tc>
        <w:tc>
          <w:tcPr>
            <w:tcW w:w="4078" w:type="pct"/>
          </w:tcPr>
          <w:p w:rsidR="00395424" w:rsidRPr="00FC7487" w:rsidRDefault="00395424" w:rsidP="00395424">
            <w:pPr>
              <w:pStyle w:val="TableBullet"/>
              <w:keepNext w:val="0"/>
              <w:numPr>
                <w:ilvl w:val="0"/>
                <w:numId w:val="0"/>
              </w:numPr>
              <w:jc w:val="both"/>
            </w:pPr>
            <w:r w:rsidRPr="00FC7487">
              <w:t xml:space="preserve">The identification of judicial officer numbers </w:t>
            </w:r>
            <w:r>
              <w:t xml:space="preserve">is done using </w:t>
            </w:r>
            <w:r w:rsidRPr="00FC7487">
              <w:t>data in payroll and human re</w:t>
            </w:r>
            <w:r>
              <w:t>s</w:t>
            </w:r>
            <w:r w:rsidRPr="00FC7487">
              <w:t>ource management systems.</w:t>
            </w:r>
            <w:r>
              <w:t xml:space="preserve"> This is mostly electronic with some manual data counting. </w:t>
            </w:r>
            <w:r w:rsidRPr="00FC7487">
              <w:t xml:space="preserve">This is then adjusted to meet the </w:t>
            </w:r>
            <w:proofErr w:type="spellStart"/>
            <w:r>
              <w:t>RoGS</w:t>
            </w:r>
            <w:proofErr w:type="spellEnd"/>
            <w:r>
              <w:t xml:space="preserve"> </w:t>
            </w:r>
            <w:r w:rsidRPr="00FC7487">
              <w:t>data collection rules.</w:t>
            </w:r>
          </w:p>
          <w:p w:rsidR="00395424" w:rsidRDefault="00395424" w:rsidP="00395424">
            <w:pPr>
              <w:pStyle w:val="TableBullet"/>
              <w:keepNext w:val="0"/>
              <w:numPr>
                <w:ilvl w:val="0"/>
                <w:numId w:val="0"/>
              </w:numPr>
              <w:jc w:val="both"/>
            </w:pPr>
            <w:r>
              <w:t xml:space="preserve">The data provided are consistent with </w:t>
            </w:r>
            <w:proofErr w:type="spellStart"/>
            <w:r>
              <w:t>RoGS</w:t>
            </w:r>
            <w:proofErr w:type="spellEnd"/>
            <w:r>
              <w:t xml:space="preserve"> counting rules and the requested data reported are for all court levels in each jurisdiction. In order to meet the needs of the </w:t>
            </w:r>
            <w:proofErr w:type="spellStart"/>
            <w:r>
              <w:t>RoGS</w:t>
            </w:r>
            <w:proofErr w:type="spellEnd"/>
            <w:r>
              <w:t xml:space="preserve">, </w:t>
            </w:r>
            <w:proofErr w:type="spellStart"/>
            <w:r>
              <w:t>costings</w:t>
            </w:r>
            <w:proofErr w:type="spellEnd"/>
            <w:r>
              <w:t xml:space="preserve"> and resourcing are apportioned across civil and criminal categories. This is mostly done on activity based costing approaches and the use of estimations. This may affect accuracy.</w:t>
            </w:r>
          </w:p>
          <w:p w:rsidR="00A652F1" w:rsidRPr="00CF5FA0" w:rsidRDefault="00395424" w:rsidP="00240295">
            <w:pPr>
              <w:pStyle w:val="TableBullet"/>
              <w:keepNext w:val="0"/>
              <w:numPr>
                <w:ilvl w:val="0"/>
                <w:numId w:val="0"/>
              </w:numPr>
              <w:spacing w:after="120" w:line="220" w:lineRule="exact"/>
              <w:ind w:left="6"/>
            </w:pPr>
            <w:r>
              <w:t xml:space="preserve">Preparation of the data for the </w:t>
            </w:r>
            <w:proofErr w:type="spellStart"/>
            <w:r>
              <w:t>RoGS</w:t>
            </w:r>
            <w:proofErr w:type="spellEnd"/>
            <w:r>
              <w:t xml:space="preserve"> by court authorities also undergoes checking and verification procedures, including investigation of significant variances with previous years.</w:t>
            </w:r>
          </w:p>
        </w:tc>
      </w:tr>
      <w:tr w:rsidR="00A652F1" w:rsidTr="00F86A7F">
        <w:tc>
          <w:tcPr>
            <w:tcW w:w="922" w:type="pct"/>
          </w:tcPr>
          <w:p w:rsidR="00A652F1" w:rsidRPr="002162BE" w:rsidRDefault="00A652F1" w:rsidP="00F86A7F">
            <w:pPr>
              <w:pStyle w:val="TableBodyText"/>
              <w:keepNext w:val="0"/>
              <w:jc w:val="left"/>
              <w:rPr>
                <w:b/>
              </w:rPr>
            </w:pPr>
            <w:r w:rsidRPr="002162BE">
              <w:rPr>
                <w:b/>
              </w:rPr>
              <w:t>Coherence</w:t>
            </w:r>
          </w:p>
        </w:tc>
        <w:tc>
          <w:tcPr>
            <w:tcW w:w="4078" w:type="pct"/>
          </w:tcPr>
          <w:p w:rsidR="00B862DC" w:rsidRPr="00206536" w:rsidRDefault="00B862DC" w:rsidP="00DA61A1">
            <w:pPr>
              <w:pStyle w:val="TableBodyText"/>
              <w:keepNext w:val="0"/>
              <w:ind w:left="0" w:firstLine="6"/>
              <w:jc w:val="both"/>
            </w:pPr>
            <w:r>
              <w:t>F</w:t>
            </w:r>
            <w:r w:rsidRPr="00206536">
              <w:t xml:space="preserve">or </w:t>
            </w:r>
            <w:r>
              <w:t>the last five years the data have</w:t>
            </w:r>
            <w:r w:rsidRPr="00206536">
              <w:t xml:space="preserve"> been counted and reported </w:t>
            </w:r>
            <w:r>
              <w:t xml:space="preserve">relatively </w:t>
            </w:r>
            <w:r w:rsidRPr="00206536">
              <w:t>consistently</w:t>
            </w:r>
            <w:r>
              <w:t xml:space="preserve"> and </w:t>
            </w:r>
            <w:r w:rsidRPr="00206536">
              <w:t xml:space="preserve">no </w:t>
            </w:r>
            <w:r>
              <w:t xml:space="preserve">significant </w:t>
            </w:r>
            <w:r w:rsidRPr="00206536">
              <w:t xml:space="preserve">factors </w:t>
            </w:r>
            <w:r>
              <w:t>have been identified which</w:t>
            </w:r>
            <w:r w:rsidRPr="00206536">
              <w:t xml:space="preserve"> have prevented or affected the consistent compilation of time series data</w:t>
            </w:r>
            <w:r w:rsidR="00DA61A1">
              <w:t>. Exceptions are noted in the attachment tables.</w:t>
            </w:r>
          </w:p>
          <w:p w:rsidR="00A652F1" w:rsidRPr="00CD04F1" w:rsidRDefault="00B862DC" w:rsidP="00240295">
            <w:pPr>
              <w:pStyle w:val="TableBullet"/>
              <w:keepNext w:val="0"/>
              <w:numPr>
                <w:ilvl w:val="0"/>
                <w:numId w:val="0"/>
              </w:numPr>
              <w:tabs>
                <w:tab w:val="left" w:pos="359"/>
              </w:tabs>
              <w:spacing w:after="120"/>
            </w:pPr>
            <w:r w:rsidRPr="00D84159">
              <w:t xml:space="preserve">In some </w:t>
            </w:r>
            <w:r>
              <w:t>jurisdictions</w:t>
            </w:r>
            <w:r w:rsidRPr="00D84159">
              <w:t xml:space="preserve"> there is an alignment with other publications</w:t>
            </w:r>
            <w:r>
              <w:t xml:space="preserve">, e.g. annual reports, in relation to judicial officer numbers. </w:t>
            </w:r>
            <w:r w:rsidRPr="00D84159">
              <w:t xml:space="preserve">In the </w:t>
            </w:r>
            <w:r>
              <w:t>other jurisdictions</w:t>
            </w:r>
            <w:r w:rsidRPr="00D84159">
              <w:t xml:space="preserve"> there are differences due to the FTE approach and exclusions set </w:t>
            </w:r>
            <w:r>
              <w:t>out i</w:t>
            </w:r>
            <w:r w:rsidRPr="00D84159">
              <w:t xml:space="preserve">n the </w:t>
            </w:r>
            <w:proofErr w:type="spellStart"/>
            <w:r w:rsidRPr="00D84159">
              <w:t>ROGS</w:t>
            </w:r>
            <w:proofErr w:type="spellEnd"/>
            <w:r w:rsidRPr="00D84159">
              <w:t xml:space="preserve"> counting rules.</w:t>
            </w:r>
            <w:r w:rsidR="00A652F1">
              <w:t xml:space="preserve"> </w:t>
            </w:r>
          </w:p>
        </w:tc>
      </w:tr>
      <w:tr w:rsidR="00A652F1" w:rsidTr="00F86A7F">
        <w:tc>
          <w:tcPr>
            <w:tcW w:w="922" w:type="pct"/>
          </w:tcPr>
          <w:p w:rsidR="00A652F1" w:rsidRPr="00C744E0" w:rsidRDefault="00A652F1" w:rsidP="00F86A7F">
            <w:pPr>
              <w:pStyle w:val="TableBodyText"/>
              <w:keepNext w:val="0"/>
              <w:jc w:val="left"/>
              <w:rPr>
                <w:b/>
              </w:rPr>
            </w:pPr>
            <w:r w:rsidRPr="00C744E0">
              <w:rPr>
                <w:b/>
              </w:rPr>
              <w:t>Accessibility</w:t>
            </w:r>
          </w:p>
        </w:tc>
        <w:tc>
          <w:tcPr>
            <w:tcW w:w="4078" w:type="pct"/>
          </w:tcPr>
          <w:p w:rsidR="008404AF" w:rsidRDefault="008404AF" w:rsidP="008404AF">
            <w:pPr>
              <w:pStyle w:val="TableBodyText"/>
              <w:keepNext w:val="0"/>
              <w:jc w:val="both"/>
            </w:pPr>
            <w:r>
              <w:t xml:space="preserve">Data on judicial officers are supplied for the </w:t>
            </w:r>
            <w:proofErr w:type="spellStart"/>
            <w:r>
              <w:t>RoGS</w:t>
            </w:r>
            <w:proofErr w:type="spellEnd"/>
            <w:r>
              <w:t xml:space="preserve"> according to the specific </w:t>
            </w:r>
            <w:proofErr w:type="spellStart"/>
            <w:r>
              <w:t>RoGS</w:t>
            </w:r>
            <w:proofErr w:type="spellEnd"/>
            <w:r>
              <w:t xml:space="preserve"> counting rules. O</w:t>
            </w:r>
            <w:r w:rsidRPr="00427A31">
              <w:t xml:space="preserve">ther data on </w:t>
            </w:r>
            <w:r>
              <w:t>judicial officers</w:t>
            </w:r>
            <w:r w:rsidRPr="00427A31">
              <w:t xml:space="preserve"> can be accessed through annual reports and court websites wi</w:t>
            </w:r>
            <w:r>
              <w:t>thin most jurisdictions</w:t>
            </w:r>
            <w:r w:rsidRPr="00D84159">
              <w:t xml:space="preserve"> </w:t>
            </w:r>
            <w:r>
              <w:t>and i</w:t>
            </w:r>
            <w:r w:rsidRPr="00D84159">
              <w:t xml:space="preserve">n </w:t>
            </w:r>
            <w:r>
              <w:t>some</w:t>
            </w:r>
            <w:r w:rsidRPr="00D84159">
              <w:t xml:space="preserve"> </w:t>
            </w:r>
            <w:r>
              <w:t>jurisdictions</w:t>
            </w:r>
            <w:r w:rsidRPr="00D84159">
              <w:t xml:space="preserve"> there is an </w:t>
            </w:r>
            <w:r w:rsidRPr="00D84159">
              <w:lastRenderedPageBreak/>
              <w:t>alignment with other publications</w:t>
            </w:r>
            <w:r>
              <w:t xml:space="preserve">, e.g. annual reports. However, some data obtained from these other sources in the other jurisdictions may not align with the </w:t>
            </w:r>
            <w:proofErr w:type="spellStart"/>
            <w:r>
              <w:t>RoGS</w:t>
            </w:r>
            <w:proofErr w:type="spellEnd"/>
            <w:r>
              <w:t xml:space="preserve"> due to the specific </w:t>
            </w:r>
            <w:proofErr w:type="spellStart"/>
            <w:r>
              <w:t>RoGS</w:t>
            </w:r>
            <w:proofErr w:type="spellEnd"/>
            <w:r>
              <w:t xml:space="preserve"> counting rules.</w:t>
            </w:r>
          </w:p>
          <w:p w:rsidR="00A652F1" w:rsidRPr="001A7053" w:rsidRDefault="008404AF" w:rsidP="00240295">
            <w:pPr>
              <w:pStyle w:val="TableBodyText"/>
              <w:keepNext w:val="0"/>
              <w:spacing w:after="120"/>
              <w:jc w:val="left"/>
            </w:pPr>
            <w:r>
              <w:t>Also, whil</w:t>
            </w:r>
            <w:r w:rsidRPr="00427A31">
              <w:t xml:space="preserve">e courts in most </w:t>
            </w:r>
            <w:r>
              <w:t>jurisdictions</w:t>
            </w:r>
            <w:r w:rsidRPr="00427A31">
              <w:t xml:space="preserve"> make </w:t>
            </w:r>
            <w:r>
              <w:t xml:space="preserve">information available as to who holds a commission as a judge or master and which officers of the court are registrars, the information is not necessarily designed to provide a FTE number that can be matched to the number reported in </w:t>
            </w:r>
            <w:proofErr w:type="spellStart"/>
            <w:r>
              <w:t>RoGS</w:t>
            </w:r>
            <w:proofErr w:type="spellEnd"/>
            <w:r>
              <w:t>.</w:t>
            </w:r>
          </w:p>
        </w:tc>
      </w:tr>
      <w:tr w:rsidR="00A652F1" w:rsidTr="00F86A7F">
        <w:tc>
          <w:tcPr>
            <w:tcW w:w="922" w:type="pct"/>
          </w:tcPr>
          <w:p w:rsidR="00A652F1" w:rsidRPr="00C744E0" w:rsidRDefault="00A652F1" w:rsidP="00F86A7F">
            <w:pPr>
              <w:pStyle w:val="TableBodyText"/>
              <w:jc w:val="left"/>
              <w:rPr>
                <w:b/>
              </w:rPr>
            </w:pPr>
            <w:r w:rsidRPr="00C744E0">
              <w:rPr>
                <w:b/>
              </w:rPr>
              <w:lastRenderedPageBreak/>
              <w:t>Interpretability</w:t>
            </w:r>
          </w:p>
        </w:tc>
        <w:tc>
          <w:tcPr>
            <w:tcW w:w="4078" w:type="pct"/>
          </w:tcPr>
          <w:p w:rsidR="00A652F1" w:rsidRPr="00292C41" w:rsidRDefault="003B2C6C" w:rsidP="00DA61A1">
            <w:pPr>
              <w:pStyle w:val="TableBodyText"/>
              <w:keepNext w:val="0"/>
              <w:ind w:left="32" w:hanging="26"/>
              <w:jc w:val="left"/>
            </w:pPr>
            <w:r>
              <w:rPr>
                <w:rFonts w:ascii="Helvetica" w:hAnsi="Helvetica"/>
                <w:lang w:val="en"/>
              </w:rPr>
              <w:t>Contextual information for judicial officers data are provided in the Court</w:t>
            </w:r>
            <w:r w:rsidR="00FB0FCD">
              <w:rPr>
                <w:rFonts w:ascii="Helvetica" w:hAnsi="Helvetica"/>
                <w:lang w:val="en"/>
              </w:rPr>
              <w:t>s</w:t>
            </w:r>
            <w:r>
              <w:rPr>
                <w:rFonts w:ascii="Helvetica" w:hAnsi="Helvetica"/>
                <w:lang w:val="en"/>
              </w:rPr>
              <w:t xml:space="preserve"> chapter and attachment tables.</w:t>
            </w:r>
          </w:p>
        </w:tc>
      </w:tr>
      <w:tr w:rsidR="00A652F1" w:rsidTr="00F86A7F">
        <w:tc>
          <w:tcPr>
            <w:tcW w:w="5000" w:type="pct"/>
            <w:gridSpan w:val="2"/>
            <w:shd w:val="clear" w:color="auto" w:fill="auto"/>
          </w:tcPr>
          <w:p w:rsidR="00A652F1" w:rsidRDefault="00A652F1" w:rsidP="00F86A7F">
            <w:pPr>
              <w:pStyle w:val="TableBodyText"/>
              <w:jc w:val="left"/>
              <w:rPr>
                <w:b/>
                <w:u w:val="single"/>
              </w:rPr>
            </w:pPr>
          </w:p>
          <w:p w:rsidR="00A652F1" w:rsidRPr="00C744E0" w:rsidRDefault="00A652F1" w:rsidP="00F86A7F">
            <w:pPr>
              <w:pStyle w:val="TableBodyText"/>
              <w:jc w:val="left"/>
              <w:rPr>
                <w:b/>
                <w:u w:val="single"/>
              </w:rPr>
            </w:pPr>
            <w:r w:rsidRPr="00C744E0">
              <w:rPr>
                <w:b/>
                <w:u w:val="single"/>
              </w:rPr>
              <w:t>Data Gaps/Issues Analysis</w:t>
            </w:r>
          </w:p>
        </w:tc>
      </w:tr>
      <w:tr w:rsidR="00A652F1" w:rsidTr="00F86A7F">
        <w:tc>
          <w:tcPr>
            <w:tcW w:w="922" w:type="pct"/>
            <w:shd w:val="clear" w:color="auto" w:fill="auto"/>
          </w:tcPr>
          <w:p w:rsidR="00A652F1" w:rsidRPr="00C744E0" w:rsidRDefault="00A652F1" w:rsidP="00F86A7F">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AD7D6A" w:rsidRDefault="00AD7D6A" w:rsidP="00AD7D6A">
            <w:pPr>
              <w:pStyle w:val="TableBodyText"/>
              <w:jc w:val="both"/>
            </w:pPr>
            <w:r w:rsidRPr="00B96E3E">
              <w:t xml:space="preserve">The Steering Committee notes the following key data gaps/issues: </w:t>
            </w:r>
          </w:p>
          <w:p w:rsidR="00AD7D6A" w:rsidRDefault="00AD7D6A" w:rsidP="00AD7D6A">
            <w:pPr>
              <w:pStyle w:val="TableBullet"/>
              <w:tabs>
                <w:tab w:val="left" w:pos="170"/>
              </w:tabs>
              <w:ind w:left="176"/>
              <w:jc w:val="both"/>
            </w:pPr>
            <w:r>
              <w:t>Jurisdictions may need to apportion or estimate FTE judicial staff numbers between criminal and civil levels of the magistrates, children’s, district/county and supreme courts. This may affect accuracy and comparability of data.</w:t>
            </w:r>
          </w:p>
          <w:p w:rsidR="00A652F1" w:rsidRDefault="00AD7D6A" w:rsidP="00AD7D6A">
            <w:pPr>
              <w:pStyle w:val="TableBullet"/>
              <w:tabs>
                <w:tab w:val="left" w:pos="170"/>
              </w:tabs>
              <w:ind w:left="176"/>
              <w:jc w:val="both"/>
            </w:pPr>
            <w:r>
              <w:t xml:space="preserve">Not all jurisdictions calculate judicial officer FTEs in the same way for purposes of </w:t>
            </w:r>
            <w:proofErr w:type="spellStart"/>
            <w:r>
              <w:t>RoGS</w:t>
            </w:r>
            <w:proofErr w:type="spellEnd"/>
            <w:r>
              <w:t xml:space="preserve"> data collection. This may affect comparability of data.</w:t>
            </w:r>
          </w:p>
          <w:p w:rsidR="005000AB" w:rsidRPr="00B96E3E" w:rsidRDefault="005000AB" w:rsidP="00AD7D6A">
            <w:pPr>
              <w:pStyle w:val="TableBullet"/>
              <w:tabs>
                <w:tab w:val="left" w:pos="170"/>
              </w:tabs>
              <w:ind w:left="176"/>
              <w:jc w:val="both"/>
            </w:pPr>
            <w:r>
              <w:t>The deeming rule can complicate the counting of finalisations.</w:t>
            </w:r>
          </w:p>
        </w:tc>
      </w:tr>
    </w:tbl>
    <w:p w:rsidR="00A652F1" w:rsidRDefault="00A652F1" w:rsidP="00A652F1">
      <w:pPr>
        <w:pStyle w:val="BodyText"/>
      </w:pPr>
    </w:p>
    <w:p w:rsidR="0032006C" w:rsidRPr="00016770" w:rsidRDefault="0032006C" w:rsidP="0032006C">
      <w:pPr>
        <w:pStyle w:val="Heading3"/>
        <w:spacing w:before="120"/>
      </w:pPr>
      <w:r>
        <w:br w:type="page"/>
      </w:r>
      <w:bookmarkStart w:id="15" w:name="_Toc338344194"/>
      <w:r>
        <w:lastRenderedPageBreak/>
        <w:t>Full time equivalent (FTE) staff per 100 finalisations</w:t>
      </w:r>
      <w:bookmarkEnd w:id="15"/>
    </w:p>
    <w:p w:rsidR="0032006C" w:rsidRPr="00101653" w:rsidRDefault="0032006C" w:rsidP="0032006C">
      <w:pPr>
        <w:pStyle w:val="Box"/>
      </w:pPr>
      <w:r w:rsidRPr="00016770">
        <w:t>Data quality information for this indicator has been drafted by the Secretariat in consultation with the Court</w:t>
      </w:r>
      <w:r>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32006C" w:rsidTr="00B31FC6">
        <w:tc>
          <w:tcPr>
            <w:tcW w:w="5000" w:type="pct"/>
            <w:gridSpan w:val="2"/>
          </w:tcPr>
          <w:p w:rsidR="0032006C" w:rsidRDefault="0032006C" w:rsidP="00B31FC6">
            <w:pPr>
              <w:pStyle w:val="TableBodyText"/>
              <w:jc w:val="both"/>
              <w:rPr>
                <w:b/>
                <w:u w:val="single"/>
              </w:rPr>
            </w:pPr>
          </w:p>
          <w:p w:rsidR="0032006C" w:rsidRDefault="0032006C" w:rsidP="00B31FC6">
            <w:pPr>
              <w:pStyle w:val="TableBodyText"/>
              <w:jc w:val="both"/>
            </w:pPr>
            <w:r w:rsidRPr="007D0BFD">
              <w:rPr>
                <w:b/>
                <w:u w:val="single"/>
              </w:rPr>
              <w:t>Indicator definition and description</w:t>
            </w:r>
            <w:r>
              <w:rPr>
                <w:rFonts w:cs="Arial"/>
                <w:b/>
                <w:sz w:val="22"/>
                <w:szCs w:val="22"/>
                <w:u w:val="single"/>
              </w:rPr>
              <w:t xml:space="preserve"> </w:t>
            </w:r>
          </w:p>
        </w:tc>
      </w:tr>
      <w:tr w:rsidR="0032006C" w:rsidTr="00B31FC6">
        <w:tc>
          <w:tcPr>
            <w:tcW w:w="922" w:type="pct"/>
          </w:tcPr>
          <w:p w:rsidR="0032006C" w:rsidRPr="00C744E0" w:rsidRDefault="0032006C" w:rsidP="00B31FC6">
            <w:pPr>
              <w:pStyle w:val="TableBodyText"/>
              <w:jc w:val="left"/>
              <w:rPr>
                <w:b/>
              </w:rPr>
            </w:pPr>
            <w:r w:rsidRPr="00C744E0">
              <w:rPr>
                <w:b/>
              </w:rPr>
              <w:t>Element</w:t>
            </w:r>
          </w:p>
        </w:tc>
        <w:tc>
          <w:tcPr>
            <w:tcW w:w="4078" w:type="pct"/>
          </w:tcPr>
          <w:p w:rsidR="0032006C" w:rsidRPr="00A1569C" w:rsidRDefault="0032006C" w:rsidP="00672955">
            <w:pPr>
              <w:pStyle w:val="TableBodyText"/>
              <w:spacing w:after="120"/>
              <w:jc w:val="both"/>
            </w:pPr>
            <w:r>
              <w:t xml:space="preserve">Courts Efficiency – Inputs per unit of output – </w:t>
            </w:r>
            <w:r w:rsidR="00B31FC6">
              <w:t>FTE staff</w:t>
            </w:r>
            <w:r>
              <w:t xml:space="preserve"> per</w:t>
            </w:r>
            <w:r w:rsidR="00B31FC6">
              <w:t xml:space="preserve"> </w:t>
            </w:r>
            <w:r>
              <w:t>finalisation</w:t>
            </w:r>
          </w:p>
        </w:tc>
      </w:tr>
      <w:tr w:rsidR="0032006C" w:rsidTr="00B31FC6">
        <w:tc>
          <w:tcPr>
            <w:tcW w:w="922" w:type="pct"/>
          </w:tcPr>
          <w:p w:rsidR="0032006C" w:rsidRPr="00C744E0" w:rsidRDefault="0032006C" w:rsidP="00B31FC6">
            <w:pPr>
              <w:pStyle w:val="TableBodyText"/>
              <w:jc w:val="left"/>
              <w:rPr>
                <w:b/>
              </w:rPr>
            </w:pPr>
            <w:r w:rsidRPr="00C744E0">
              <w:rPr>
                <w:b/>
              </w:rPr>
              <w:t>Indicator</w:t>
            </w:r>
          </w:p>
        </w:tc>
        <w:tc>
          <w:tcPr>
            <w:tcW w:w="4078" w:type="pct"/>
          </w:tcPr>
          <w:p w:rsidR="0032006C" w:rsidRPr="00E17A32" w:rsidRDefault="00B31FC6" w:rsidP="00B31FC6">
            <w:pPr>
              <w:pStyle w:val="TableBodyText"/>
              <w:jc w:val="both"/>
            </w:pPr>
            <w:r>
              <w:t>Full time equivalent staff</w:t>
            </w:r>
            <w:r w:rsidR="0032006C">
              <w:t xml:space="preserve"> per 100 finalisations</w:t>
            </w:r>
          </w:p>
        </w:tc>
      </w:tr>
      <w:tr w:rsidR="0032006C" w:rsidTr="00B31FC6">
        <w:tc>
          <w:tcPr>
            <w:tcW w:w="922" w:type="pct"/>
          </w:tcPr>
          <w:p w:rsidR="0032006C" w:rsidRPr="00C744E0" w:rsidRDefault="0032006C" w:rsidP="00B31FC6">
            <w:pPr>
              <w:pStyle w:val="TableBodyText"/>
              <w:jc w:val="left"/>
              <w:rPr>
                <w:b/>
              </w:rPr>
            </w:pPr>
            <w:r w:rsidRPr="00C744E0">
              <w:rPr>
                <w:b/>
              </w:rPr>
              <w:t>Measure (computation)</w:t>
            </w:r>
          </w:p>
        </w:tc>
        <w:tc>
          <w:tcPr>
            <w:tcW w:w="4078" w:type="pct"/>
          </w:tcPr>
          <w:p w:rsidR="00E01B32" w:rsidRPr="00E01B32" w:rsidRDefault="00E01B32" w:rsidP="00E01B32">
            <w:pPr>
              <w:pStyle w:val="DQITableText"/>
              <w:spacing w:after="120"/>
              <w:rPr>
                <w:u w:val="single"/>
              </w:rPr>
            </w:pPr>
            <w:r>
              <w:rPr>
                <w:u w:val="single"/>
              </w:rPr>
              <w:t>Definition</w:t>
            </w:r>
          </w:p>
          <w:p w:rsidR="00E01B32" w:rsidRDefault="00E01B32" w:rsidP="00B31FC6">
            <w:pPr>
              <w:pStyle w:val="TableBodyText"/>
              <w:jc w:val="both"/>
            </w:pPr>
            <w:r>
              <w:t>Number of full time equivalent staff (including judicial officers) per 100 matters finalised.</w:t>
            </w:r>
          </w:p>
          <w:p w:rsidR="0032006C" w:rsidRDefault="0032006C" w:rsidP="007716BB">
            <w:pPr>
              <w:pStyle w:val="TableBodyText"/>
              <w:spacing w:before="120" w:after="120"/>
              <w:jc w:val="both"/>
            </w:pPr>
            <w:r>
              <w:rPr>
                <w:u w:val="single"/>
              </w:rPr>
              <w:t>Numerator</w:t>
            </w:r>
          </w:p>
          <w:p w:rsidR="0032006C" w:rsidRPr="005A5147" w:rsidRDefault="0032006C" w:rsidP="00B31FC6">
            <w:pPr>
              <w:pStyle w:val="TableBodyText"/>
              <w:numPr>
                <w:ilvl w:val="0"/>
                <w:numId w:val="42"/>
              </w:numPr>
              <w:jc w:val="left"/>
            </w:pPr>
            <w:r>
              <w:t xml:space="preserve">Number of full time equivalent </w:t>
            </w:r>
            <w:r w:rsidR="00B31FC6">
              <w:t>staff employed by courts or umbrella authorities</w:t>
            </w:r>
          </w:p>
          <w:p w:rsidR="0032006C" w:rsidRPr="005D4651" w:rsidRDefault="0032006C" w:rsidP="007716BB">
            <w:pPr>
              <w:pStyle w:val="TableBodyText"/>
              <w:spacing w:before="120"/>
              <w:jc w:val="both"/>
            </w:pPr>
            <w:r>
              <w:rPr>
                <w:u w:val="single"/>
              </w:rPr>
              <w:t>Denominator</w:t>
            </w:r>
          </w:p>
          <w:p w:rsidR="0032006C" w:rsidRDefault="0032006C" w:rsidP="00B31FC6">
            <w:pPr>
              <w:pStyle w:val="TableBullet"/>
              <w:numPr>
                <w:ilvl w:val="0"/>
                <w:numId w:val="42"/>
              </w:numPr>
              <w:spacing w:line="220" w:lineRule="exact"/>
              <w:jc w:val="both"/>
            </w:pPr>
            <w:r>
              <w:t>Total number of cases finalised in a financial year.</w:t>
            </w:r>
          </w:p>
          <w:p w:rsidR="00E01B32" w:rsidRDefault="00E01B32" w:rsidP="00E01B32">
            <w:pPr>
              <w:pStyle w:val="DQITableText"/>
            </w:pPr>
            <w:r>
              <w:rPr>
                <w:u w:val="single"/>
              </w:rPr>
              <w:t>Computation</w:t>
            </w:r>
          </w:p>
          <w:p w:rsidR="00E01B32" w:rsidRPr="00E01B32" w:rsidRDefault="00E01B32" w:rsidP="00672955">
            <w:pPr>
              <w:pStyle w:val="DQITableText"/>
              <w:spacing w:after="120"/>
            </w:pPr>
            <w:r>
              <w:t>Numerato</w:t>
            </w:r>
            <w:r w:rsidR="00672955">
              <w:t>r divided by the denominator</w:t>
            </w:r>
            <w:r>
              <w:t xml:space="preserve"> multipl</w:t>
            </w:r>
            <w:r w:rsidR="00672955">
              <w:t>ied</w:t>
            </w:r>
            <w:r>
              <w:t xml:space="preserve"> by 100.</w:t>
            </w:r>
          </w:p>
        </w:tc>
      </w:tr>
      <w:tr w:rsidR="0032006C" w:rsidTr="00B31FC6">
        <w:tc>
          <w:tcPr>
            <w:tcW w:w="922" w:type="pct"/>
          </w:tcPr>
          <w:p w:rsidR="0032006C" w:rsidRPr="00C744E0" w:rsidRDefault="0032006C" w:rsidP="00B31FC6">
            <w:pPr>
              <w:pStyle w:val="TableBodyText"/>
              <w:jc w:val="left"/>
              <w:rPr>
                <w:b/>
              </w:rPr>
            </w:pPr>
            <w:r w:rsidRPr="00C744E0">
              <w:rPr>
                <w:b/>
              </w:rPr>
              <w:t>Data source/s</w:t>
            </w:r>
          </w:p>
        </w:tc>
        <w:tc>
          <w:tcPr>
            <w:tcW w:w="4078" w:type="pct"/>
          </w:tcPr>
          <w:p w:rsidR="0032006C" w:rsidRPr="00B96E3E" w:rsidRDefault="007716BB" w:rsidP="00E008A7">
            <w:pPr>
              <w:pStyle w:val="TableBodyText"/>
              <w:spacing w:after="120"/>
              <w:jc w:val="both"/>
            </w:pPr>
            <w:r>
              <w:t>D</w:t>
            </w:r>
            <w:r w:rsidR="0032006C">
              <w:t>ata</w:t>
            </w:r>
            <w:r w:rsidR="0032006C" w:rsidRPr="00C34F8E">
              <w:t xml:space="preserve"> are</w:t>
            </w:r>
            <w:r>
              <w:t xml:space="preserve"> unpublished and</w:t>
            </w:r>
            <w:r w:rsidR="0032006C" w:rsidRPr="00C34F8E">
              <w:t xml:space="preserve"> sourced from</w:t>
            </w:r>
            <w:r w:rsidR="0032006C">
              <w:t xml:space="preserve"> Austral</w:t>
            </w:r>
            <w:r w:rsidR="00FB0FCD">
              <w:t>ian, State and Territory court</w:t>
            </w:r>
            <w:r w:rsidR="0032006C">
              <w:t xml:space="preserve"> authorities and departments. </w:t>
            </w:r>
          </w:p>
        </w:tc>
      </w:tr>
      <w:tr w:rsidR="0032006C" w:rsidTr="00B31FC6">
        <w:tc>
          <w:tcPr>
            <w:tcW w:w="5000" w:type="pct"/>
            <w:gridSpan w:val="2"/>
          </w:tcPr>
          <w:p w:rsidR="0032006C" w:rsidRPr="00C744E0" w:rsidRDefault="0032006C" w:rsidP="00E008A7">
            <w:pPr>
              <w:pStyle w:val="TableBodyText"/>
              <w:spacing w:after="120"/>
              <w:jc w:val="both"/>
              <w:rPr>
                <w:b/>
                <w:u w:val="single"/>
              </w:rPr>
            </w:pPr>
            <w:r w:rsidRPr="00C744E0">
              <w:rPr>
                <w:b/>
                <w:u w:val="single"/>
              </w:rPr>
              <w:t>Data Quality Framework Dimensions</w:t>
            </w:r>
          </w:p>
        </w:tc>
      </w:tr>
      <w:tr w:rsidR="0032006C" w:rsidTr="00B31FC6">
        <w:tc>
          <w:tcPr>
            <w:tcW w:w="922" w:type="pct"/>
          </w:tcPr>
          <w:p w:rsidR="0032006C" w:rsidRPr="00C744E0" w:rsidRDefault="0032006C" w:rsidP="00B31FC6">
            <w:pPr>
              <w:pStyle w:val="TableBodyText"/>
              <w:jc w:val="left"/>
              <w:rPr>
                <w:b/>
              </w:rPr>
            </w:pPr>
            <w:r w:rsidRPr="00C744E0">
              <w:rPr>
                <w:b/>
              </w:rPr>
              <w:t>Institutional environment</w:t>
            </w:r>
          </w:p>
        </w:tc>
        <w:tc>
          <w:tcPr>
            <w:tcW w:w="4078" w:type="pct"/>
          </w:tcPr>
          <w:p w:rsidR="0032006C" w:rsidRDefault="0032006C" w:rsidP="00B31FC6">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32006C" w:rsidRPr="00062F62" w:rsidRDefault="0032006C" w:rsidP="00E008A7">
            <w:pPr>
              <w:pStyle w:val="TableBodyText"/>
              <w:spacing w:after="120"/>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tc>
      </w:tr>
      <w:tr w:rsidR="0032006C" w:rsidTr="00B31FC6">
        <w:tc>
          <w:tcPr>
            <w:tcW w:w="922" w:type="pct"/>
          </w:tcPr>
          <w:p w:rsidR="0032006C" w:rsidRPr="00C744E0" w:rsidRDefault="0032006C" w:rsidP="00B31FC6">
            <w:pPr>
              <w:pStyle w:val="TableBodyText"/>
              <w:jc w:val="left"/>
              <w:rPr>
                <w:b/>
              </w:rPr>
            </w:pPr>
            <w:r w:rsidRPr="00C744E0">
              <w:rPr>
                <w:b/>
              </w:rPr>
              <w:t>Relevance</w:t>
            </w:r>
          </w:p>
        </w:tc>
        <w:tc>
          <w:tcPr>
            <w:tcW w:w="4078" w:type="pct"/>
          </w:tcPr>
          <w:p w:rsidR="0032006C" w:rsidRDefault="00876E0E" w:rsidP="00B31FC6">
            <w:pPr>
              <w:pStyle w:val="TableBullet"/>
              <w:numPr>
                <w:ilvl w:val="0"/>
                <w:numId w:val="0"/>
              </w:numPr>
              <w:jc w:val="both"/>
            </w:pPr>
            <w:r>
              <w:t>‘Total FTE staff</w:t>
            </w:r>
            <w:r w:rsidR="0032006C">
              <w:t xml:space="preserve"> per 100 finalisations’ is an indicator of governments’ achievement against the objective of providing court services in an efficient manner. </w:t>
            </w:r>
          </w:p>
          <w:p w:rsidR="0032006C" w:rsidRPr="00B96E3E" w:rsidRDefault="0032006C" w:rsidP="00E008A7">
            <w:pPr>
              <w:pStyle w:val="TableBodyText"/>
              <w:spacing w:after="120"/>
              <w:ind w:left="0"/>
              <w:jc w:val="left"/>
            </w:pPr>
            <w:r w:rsidRPr="00F20BEC">
              <w:t>For fu</w:t>
            </w:r>
            <w:r>
              <w:t>rther information on this</w:t>
            </w:r>
            <w:r w:rsidRPr="00F20BEC">
              <w:t xml:space="preserve"> indicator refer to </w:t>
            </w:r>
            <w:r w:rsidR="004712E3">
              <w:t xml:space="preserve">Box </w:t>
            </w:r>
            <w:r>
              <w:t>7.1</w:t>
            </w:r>
            <w:r w:rsidR="005B3662">
              <w:t>5</w:t>
            </w:r>
            <w:r w:rsidRPr="00F20BEC">
              <w:t xml:space="preserve"> </w:t>
            </w:r>
            <w:r>
              <w:t xml:space="preserve">in Chapter 7 </w:t>
            </w:r>
            <w:r w:rsidRPr="00F20BEC">
              <w:t>of the Report.</w:t>
            </w:r>
          </w:p>
        </w:tc>
      </w:tr>
      <w:tr w:rsidR="0032006C" w:rsidTr="00B31FC6">
        <w:tc>
          <w:tcPr>
            <w:tcW w:w="922" w:type="pct"/>
          </w:tcPr>
          <w:p w:rsidR="0032006C" w:rsidRPr="00C744E0" w:rsidRDefault="0032006C" w:rsidP="00B31FC6">
            <w:pPr>
              <w:pStyle w:val="TableBodyText"/>
              <w:jc w:val="both"/>
              <w:rPr>
                <w:b/>
              </w:rPr>
            </w:pPr>
            <w:r w:rsidRPr="00C744E0">
              <w:rPr>
                <w:b/>
              </w:rPr>
              <w:t>Timeliness</w:t>
            </w:r>
          </w:p>
        </w:tc>
        <w:tc>
          <w:tcPr>
            <w:tcW w:w="4078" w:type="pct"/>
          </w:tcPr>
          <w:p w:rsidR="0032006C" w:rsidRDefault="0032006C" w:rsidP="00B31FC6">
            <w:pPr>
              <w:pStyle w:val="TableBodyText"/>
              <w:keepNext w:val="0"/>
              <w:jc w:val="both"/>
            </w:pPr>
            <w:r>
              <w:t xml:space="preserve">The reference period </w:t>
            </w:r>
            <w:r w:rsidR="002621F9">
              <w:t>is the 2014-15</w:t>
            </w:r>
            <w:r>
              <w:t xml:space="preserve"> financial year. Dat</w:t>
            </w:r>
            <w:r w:rsidR="002621F9">
              <w:t>a are provided in September 2015</w:t>
            </w:r>
            <w:r>
              <w:t>,</w:t>
            </w:r>
            <w:r w:rsidR="002621F9">
              <w:t xml:space="preserve"> for publication in January 2016</w:t>
            </w:r>
            <w:r>
              <w:t>.</w:t>
            </w:r>
          </w:p>
          <w:p w:rsidR="0032006C" w:rsidRPr="009F199D" w:rsidRDefault="0032006C" w:rsidP="00E008A7">
            <w:pPr>
              <w:pStyle w:val="TableBodyText"/>
              <w:keepNext w:val="0"/>
              <w:spacing w:after="120"/>
              <w:jc w:val="both"/>
            </w:pPr>
            <w:r>
              <w:t>Data can be revised retrospectively up to 5 years later.</w:t>
            </w:r>
          </w:p>
        </w:tc>
      </w:tr>
      <w:tr w:rsidR="0032006C" w:rsidTr="00B31FC6">
        <w:tc>
          <w:tcPr>
            <w:tcW w:w="922" w:type="pct"/>
          </w:tcPr>
          <w:p w:rsidR="0032006C" w:rsidRPr="00C744E0" w:rsidRDefault="0032006C" w:rsidP="00B31FC6">
            <w:pPr>
              <w:pStyle w:val="TableBodyText"/>
              <w:keepNext w:val="0"/>
              <w:jc w:val="left"/>
              <w:rPr>
                <w:b/>
              </w:rPr>
            </w:pPr>
            <w:r w:rsidRPr="00C744E0">
              <w:rPr>
                <w:b/>
              </w:rPr>
              <w:t>Accuracy</w:t>
            </w:r>
          </w:p>
        </w:tc>
        <w:tc>
          <w:tcPr>
            <w:tcW w:w="4078" w:type="pct"/>
          </w:tcPr>
          <w:p w:rsidR="0032006C" w:rsidRPr="00FC7487" w:rsidRDefault="0032006C" w:rsidP="00B31FC6">
            <w:pPr>
              <w:pStyle w:val="TableBullet"/>
              <w:keepNext w:val="0"/>
              <w:numPr>
                <w:ilvl w:val="0"/>
                <w:numId w:val="0"/>
              </w:numPr>
              <w:jc w:val="both"/>
            </w:pPr>
            <w:r w:rsidRPr="00FC7487">
              <w:t xml:space="preserve">The identification of </w:t>
            </w:r>
            <w:r w:rsidR="00B74774">
              <w:t>total FTE staff</w:t>
            </w:r>
            <w:r w:rsidRPr="00FC7487">
              <w:t xml:space="preserve"> numbers </w:t>
            </w:r>
            <w:r>
              <w:t xml:space="preserve">is done using </w:t>
            </w:r>
            <w:r w:rsidRPr="00FC7487">
              <w:t>data in payroll and human re</w:t>
            </w:r>
            <w:r>
              <w:t>s</w:t>
            </w:r>
            <w:r w:rsidRPr="00FC7487">
              <w:t>ource management systems.</w:t>
            </w:r>
            <w:r>
              <w:t xml:space="preserve"> This is mostly electronic with some manual data counting. </w:t>
            </w:r>
            <w:r w:rsidRPr="00FC7487">
              <w:t xml:space="preserve">This is then adjusted to meet the </w:t>
            </w:r>
            <w:proofErr w:type="spellStart"/>
            <w:r>
              <w:t>RoGS</w:t>
            </w:r>
            <w:proofErr w:type="spellEnd"/>
            <w:r>
              <w:t xml:space="preserve"> </w:t>
            </w:r>
            <w:r w:rsidRPr="00FC7487">
              <w:t>data collection rules.</w:t>
            </w:r>
          </w:p>
          <w:p w:rsidR="0032006C" w:rsidRDefault="0032006C" w:rsidP="00B31FC6">
            <w:pPr>
              <w:pStyle w:val="TableBullet"/>
              <w:keepNext w:val="0"/>
              <w:numPr>
                <w:ilvl w:val="0"/>
                <w:numId w:val="0"/>
              </w:numPr>
              <w:jc w:val="both"/>
            </w:pPr>
            <w:r>
              <w:t xml:space="preserve">The data provided are consistent with </w:t>
            </w:r>
            <w:proofErr w:type="spellStart"/>
            <w:r>
              <w:t>RoGS</w:t>
            </w:r>
            <w:proofErr w:type="spellEnd"/>
            <w:r>
              <w:t xml:space="preserve"> counting rules and the requested data reported are for all court levels in each jurisdiction. In order to meet the needs of the </w:t>
            </w:r>
            <w:proofErr w:type="spellStart"/>
            <w:r>
              <w:t>RoGS</w:t>
            </w:r>
            <w:proofErr w:type="spellEnd"/>
            <w:r>
              <w:t xml:space="preserve">, </w:t>
            </w:r>
            <w:proofErr w:type="spellStart"/>
            <w:r>
              <w:t>costings</w:t>
            </w:r>
            <w:proofErr w:type="spellEnd"/>
            <w:r>
              <w:t xml:space="preserve"> and resourcing are apportioned across civil and criminal categories. This is mostly done on activity based costing approaches and the use of estimations. This may affect accuracy.</w:t>
            </w:r>
          </w:p>
          <w:p w:rsidR="0032006C" w:rsidRPr="00CF5FA0" w:rsidRDefault="0032006C" w:rsidP="00E008A7">
            <w:pPr>
              <w:pStyle w:val="TableBullet"/>
              <w:keepNext w:val="0"/>
              <w:numPr>
                <w:ilvl w:val="0"/>
                <w:numId w:val="0"/>
              </w:numPr>
              <w:spacing w:after="120" w:line="220" w:lineRule="exact"/>
              <w:ind w:left="6"/>
            </w:pPr>
            <w:r w:rsidRPr="00CF5FA0">
              <w:t xml:space="preserve">The </w:t>
            </w:r>
            <w:r>
              <w:t xml:space="preserve">data come </w:t>
            </w:r>
            <w:r w:rsidRPr="00CF5FA0">
              <w:t>from payroll and human re</w:t>
            </w:r>
            <w:r>
              <w:t>s</w:t>
            </w:r>
            <w:r w:rsidRPr="00CF5FA0">
              <w:t>ource management systems, which are subject to the normal legislative financial and administrative controls and reconciliation and validation processes</w:t>
            </w:r>
            <w:r>
              <w:t xml:space="preserve"> to ensure accuracy. Preparation of the data for the </w:t>
            </w:r>
            <w:proofErr w:type="spellStart"/>
            <w:r>
              <w:t>RoGS</w:t>
            </w:r>
            <w:proofErr w:type="spellEnd"/>
            <w:r>
              <w:t xml:space="preserve"> by court authorities also undergoes checking and verification procedures, including investigation of significant variances with previous years.</w:t>
            </w:r>
          </w:p>
        </w:tc>
      </w:tr>
      <w:tr w:rsidR="0032006C" w:rsidTr="00B31FC6">
        <w:tc>
          <w:tcPr>
            <w:tcW w:w="922" w:type="pct"/>
          </w:tcPr>
          <w:p w:rsidR="0032006C" w:rsidRPr="002162BE" w:rsidRDefault="0032006C" w:rsidP="00B31FC6">
            <w:pPr>
              <w:pStyle w:val="TableBodyText"/>
              <w:keepNext w:val="0"/>
              <w:jc w:val="left"/>
              <w:rPr>
                <w:b/>
              </w:rPr>
            </w:pPr>
            <w:r w:rsidRPr="002162BE">
              <w:rPr>
                <w:b/>
              </w:rPr>
              <w:t>Coherence</w:t>
            </w:r>
          </w:p>
        </w:tc>
        <w:tc>
          <w:tcPr>
            <w:tcW w:w="4078" w:type="pct"/>
          </w:tcPr>
          <w:p w:rsidR="0032006C" w:rsidRDefault="0032006C" w:rsidP="00B31FC6">
            <w:pPr>
              <w:pStyle w:val="TableBodyText"/>
              <w:keepNext w:val="0"/>
              <w:ind w:left="0" w:firstLine="6"/>
              <w:jc w:val="both"/>
            </w:pPr>
            <w:r>
              <w:t>F</w:t>
            </w:r>
            <w:r w:rsidRPr="00206536">
              <w:t xml:space="preserve">or </w:t>
            </w:r>
            <w:r w:rsidR="00B64AE5">
              <w:t>the last three</w:t>
            </w:r>
            <w:r>
              <w:t xml:space="preserve"> years the data have</w:t>
            </w:r>
            <w:r w:rsidRPr="00206536">
              <w:t xml:space="preserve"> been counted and reported </w:t>
            </w:r>
            <w:r>
              <w:t xml:space="preserve">relatively </w:t>
            </w:r>
            <w:r w:rsidRPr="00206536">
              <w:t>consistently</w:t>
            </w:r>
            <w:r>
              <w:t xml:space="preserve"> and </w:t>
            </w:r>
            <w:r w:rsidRPr="00206536">
              <w:t xml:space="preserve">no </w:t>
            </w:r>
            <w:r>
              <w:t xml:space="preserve">significant </w:t>
            </w:r>
            <w:r w:rsidRPr="00206536">
              <w:t xml:space="preserve">factors </w:t>
            </w:r>
            <w:r>
              <w:t>have been identified which</w:t>
            </w:r>
            <w:r w:rsidRPr="00206536">
              <w:t xml:space="preserve"> have prevented or affected the consistent compilation of time series data</w:t>
            </w:r>
            <w:r>
              <w:t xml:space="preserve">. </w:t>
            </w:r>
            <w:r w:rsidR="00B64AE5">
              <w:t>Exceptions are noted in attachment tables</w:t>
            </w:r>
            <w:r>
              <w:t>.</w:t>
            </w:r>
          </w:p>
          <w:p w:rsidR="0032006C" w:rsidRPr="00CD04F1" w:rsidRDefault="0032006C" w:rsidP="00E008A7">
            <w:pPr>
              <w:pStyle w:val="TableBullet"/>
              <w:keepNext w:val="0"/>
              <w:numPr>
                <w:ilvl w:val="0"/>
                <w:numId w:val="0"/>
              </w:numPr>
              <w:tabs>
                <w:tab w:val="left" w:pos="359"/>
              </w:tabs>
              <w:spacing w:after="120"/>
            </w:pPr>
            <w:r w:rsidRPr="00D84159">
              <w:t xml:space="preserve">In some </w:t>
            </w:r>
            <w:r>
              <w:t>jurisdictions</w:t>
            </w:r>
            <w:r w:rsidRPr="00D84159">
              <w:t xml:space="preserve"> there is an alignment with other publications</w:t>
            </w:r>
            <w:r>
              <w:t xml:space="preserve">, e.g. annual reports, in relation to judicial officer numbers. </w:t>
            </w:r>
            <w:r w:rsidRPr="00D84159">
              <w:t xml:space="preserve">In the </w:t>
            </w:r>
            <w:r>
              <w:t>other jurisdictions</w:t>
            </w:r>
            <w:r w:rsidRPr="00D84159">
              <w:t xml:space="preserve"> there are differences due to the FTE approach and exclusions set </w:t>
            </w:r>
            <w:r>
              <w:t>out i</w:t>
            </w:r>
            <w:r w:rsidRPr="00D84159">
              <w:t xml:space="preserve">n the </w:t>
            </w:r>
            <w:proofErr w:type="spellStart"/>
            <w:r w:rsidRPr="00D84159">
              <w:t>ROGS</w:t>
            </w:r>
            <w:proofErr w:type="spellEnd"/>
            <w:r w:rsidRPr="00D84159">
              <w:t xml:space="preserve"> counting rules.</w:t>
            </w:r>
            <w:r>
              <w:t xml:space="preserve"> </w:t>
            </w:r>
          </w:p>
        </w:tc>
      </w:tr>
      <w:tr w:rsidR="0032006C" w:rsidTr="00B31FC6">
        <w:tc>
          <w:tcPr>
            <w:tcW w:w="922" w:type="pct"/>
          </w:tcPr>
          <w:p w:rsidR="0032006C" w:rsidRPr="00C744E0" w:rsidRDefault="0032006C" w:rsidP="00B31FC6">
            <w:pPr>
              <w:pStyle w:val="TableBodyText"/>
              <w:keepNext w:val="0"/>
              <w:jc w:val="left"/>
              <w:rPr>
                <w:b/>
              </w:rPr>
            </w:pPr>
            <w:r w:rsidRPr="00C744E0">
              <w:rPr>
                <w:b/>
              </w:rPr>
              <w:t>Accessibility</w:t>
            </w:r>
          </w:p>
        </w:tc>
        <w:tc>
          <w:tcPr>
            <w:tcW w:w="4078" w:type="pct"/>
          </w:tcPr>
          <w:p w:rsidR="0032006C" w:rsidRDefault="0032006C" w:rsidP="00E008A7">
            <w:pPr>
              <w:pStyle w:val="TableBodyText"/>
              <w:keepNext w:val="0"/>
              <w:spacing w:after="120"/>
              <w:jc w:val="both"/>
            </w:pPr>
            <w:r>
              <w:t xml:space="preserve">Data on </w:t>
            </w:r>
            <w:r w:rsidR="00B74774">
              <w:t>FTE staff</w:t>
            </w:r>
            <w:r>
              <w:t xml:space="preserve"> are supplied for the </w:t>
            </w:r>
            <w:proofErr w:type="spellStart"/>
            <w:r>
              <w:t>RoGS</w:t>
            </w:r>
            <w:proofErr w:type="spellEnd"/>
            <w:r>
              <w:t xml:space="preserve"> according to the specific </w:t>
            </w:r>
            <w:proofErr w:type="spellStart"/>
            <w:r>
              <w:t>RoGS</w:t>
            </w:r>
            <w:proofErr w:type="spellEnd"/>
            <w:r>
              <w:t xml:space="preserve"> counting rules. </w:t>
            </w:r>
          </w:p>
          <w:p w:rsidR="0032006C" w:rsidRPr="001A7053" w:rsidRDefault="0032006C" w:rsidP="00E008A7">
            <w:pPr>
              <w:pStyle w:val="TableBodyText"/>
              <w:keepNext w:val="0"/>
              <w:spacing w:after="120"/>
              <w:jc w:val="left"/>
            </w:pPr>
            <w:r>
              <w:lastRenderedPageBreak/>
              <w:t>Also, whil</w:t>
            </w:r>
            <w:r w:rsidRPr="00427A31">
              <w:t xml:space="preserve">e courts in most </w:t>
            </w:r>
            <w:r>
              <w:t>jurisdictions</w:t>
            </w:r>
            <w:r w:rsidRPr="00427A31">
              <w:t xml:space="preserve"> make </w:t>
            </w:r>
            <w:r>
              <w:t xml:space="preserve">information available as to who holds a commission as a judge or master and which officers of the court are registrars, the information is not necessarily designed to provide a FTE number that can be matched to the number reported in </w:t>
            </w:r>
            <w:proofErr w:type="spellStart"/>
            <w:r>
              <w:t>RoGS</w:t>
            </w:r>
            <w:proofErr w:type="spellEnd"/>
            <w:r>
              <w:t>.</w:t>
            </w:r>
          </w:p>
        </w:tc>
      </w:tr>
      <w:tr w:rsidR="0032006C" w:rsidTr="00B31FC6">
        <w:tc>
          <w:tcPr>
            <w:tcW w:w="922" w:type="pct"/>
          </w:tcPr>
          <w:p w:rsidR="0032006C" w:rsidRPr="00C744E0" w:rsidRDefault="0032006C" w:rsidP="00B31FC6">
            <w:pPr>
              <w:pStyle w:val="TableBodyText"/>
              <w:jc w:val="left"/>
              <w:rPr>
                <w:b/>
              </w:rPr>
            </w:pPr>
            <w:r w:rsidRPr="00C744E0">
              <w:rPr>
                <w:b/>
              </w:rPr>
              <w:lastRenderedPageBreak/>
              <w:t>Interpretability</w:t>
            </w:r>
          </w:p>
        </w:tc>
        <w:tc>
          <w:tcPr>
            <w:tcW w:w="4078" w:type="pct"/>
          </w:tcPr>
          <w:p w:rsidR="0032006C" w:rsidRPr="00292C41" w:rsidRDefault="0032006C" w:rsidP="00452148">
            <w:pPr>
              <w:pStyle w:val="TableBodyText"/>
              <w:keepNext w:val="0"/>
              <w:ind w:left="32" w:hanging="26"/>
              <w:jc w:val="left"/>
            </w:pPr>
            <w:r>
              <w:rPr>
                <w:rFonts w:ascii="Helvetica" w:hAnsi="Helvetica"/>
                <w:lang w:val="en"/>
              </w:rPr>
              <w:t xml:space="preserve">Contextual information for </w:t>
            </w:r>
            <w:r w:rsidR="00B74774">
              <w:rPr>
                <w:rFonts w:ascii="Helvetica" w:hAnsi="Helvetica"/>
                <w:lang w:val="en"/>
              </w:rPr>
              <w:t>total FTE staff</w:t>
            </w:r>
            <w:r>
              <w:rPr>
                <w:rFonts w:ascii="Helvetica" w:hAnsi="Helvetica"/>
                <w:lang w:val="en"/>
              </w:rPr>
              <w:t xml:space="preserve"> data are provided in the Court</w:t>
            </w:r>
            <w:r w:rsidR="00FB0FCD">
              <w:rPr>
                <w:rFonts w:ascii="Helvetica" w:hAnsi="Helvetica"/>
                <w:lang w:val="en"/>
              </w:rPr>
              <w:t>s</w:t>
            </w:r>
            <w:r>
              <w:rPr>
                <w:rFonts w:ascii="Helvetica" w:hAnsi="Helvetica"/>
                <w:lang w:val="en"/>
              </w:rPr>
              <w:t xml:space="preserve"> chapter and attachment tables.</w:t>
            </w:r>
          </w:p>
        </w:tc>
      </w:tr>
      <w:tr w:rsidR="0032006C" w:rsidTr="00B31FC6">
        <w:tc>
          <w:tcPr>
            <w:tcW w:w="5000" w:type="pct"/>
            <w:gridSpan w:val="2"/>
            <w:shd w:val="clear" w:color="auto" w:fill="auto"/>
          </w:tcPr>
          <w:p w:rsidR="0032006C" w:rsidRPr="00C744E0" w:rsidRDefault="0032006C" w:rsidP="00E008A7">
            <w:pPr>
              <w:pStyle w:val="TableBodyText"/>
              <w:spacing w:before="120" w:after="120"/>
              <w:jc w:val="left"/>
              <w:rPr>
                <w:b/>
                <w:u w:val="single"/>
              </w:rPr>
            </w:pPr>
            <w:r w:rsidRPr="00C744E0">
              <w:rPr>
                <w:b/>
                <w:u w:val="single"/>
              </w:rPr>
              <w:t>Data Gaps/Issues Analysis</w:t>
            </w:r>
          </w:p>
        </w:tc>
      </w:tr>
      <w:tr w:rsidR="0032006C" w:rsidTr="00B31FC6">
        <w:tc>
          <w:tcPr>
            <w:tcW w:w="922" w:type="pct"/>
            <w:shd w:val="clear" w:color="auto" w:fill="auto"/>
          </w:tcPr>
          <w:p w:rsidR="0032006C" w:rsidRPr="00C744E0" w:rsidRDefault="0032006C" w:rsidP="00B31FC6">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32006C" w:rsidRDefault="0032006C" w:rsidP="00B31FC6">
            <w:pPr>
              <w:pStyle w:val="TableBodyText"/>
              <w:jc w:val="both"/>
            </w:pPr>
            <w:r w:rsidRPr="00B96E3E">
              <w:t xml:space="preserve">The Steering Committee notes the following key data gaps/issues: </w:t>
            </w:r>
          </w:p>
          <w:p w:rsidR="0032006C" w:rsidRDefault="0032006C" w:rsidP="00B31FC6">
            <w:pPr>
              <w:pStyle w:val="TableBullet"/>
              <w:tabs>
                <w:tab w:val="left" w:pos="170"/>
              </w:tabs>
              <w:ind w:left="176"/>
              <w:jc w:val="both"/>
            </w:pPr>
            <w:r>
              <w:t xml:space="preserve">Jurisdictions may need to apportion or estimate </w:t>
            </w:r>
            <w:r w:rsidR="00B62BEA">
              <w:t>FTE</w:t>
            </w:r>
            <w:r>
              <w:t xml:space="preserve"> staff numbers between criminal and civil levels of the magistrates, children’s, district/county and supreme courts. This may affect accuracy and comparability of data.</w:t>
            </w:r>
          </w:p>
          <w:p w:rsidR="0032006C" w:rsidRPr="00B96E3E" w:rsidRDefault="0032006C" w:rsidP="00B31FC6">
            <w:pPr>
              <w:pStyle w:val="TableBullet"/>
              <w:tabs>
                <w:tab w:val="left" w:pos="170"/>
              </w:tabs>
              <w:ind w:left="176"/>
              <w:jc w:val="both"/>
            </w:pPr>
            <w:r>
              <w:t>The deeming rule can complicate the counting of finalisations.</w:t>
            </w:r>
          </w:p>
        </w:tc>
      </w:tr>
    </w:tbl>
    <w:p w:rsidR="0032006C" w:rsidRDefault="0032006C" w:rsidP="0032006C">
      <w:pPr>
        <w:pStyle w:val="BodyText"/>
      </w:pPr>
    </w:p>
    <w:p w:rsidR="00BA573C" w:rsidRDefault="00BA573C" w:rsidP="00A652F1">
      <w:pPr>
        <w:pStyle w:val="BodyText"/>
      </w:pPr>
    </w:p>
    <w:p w:rsidR="00BA573C" w:rsidRPr="00016770" w:rsidRDefault="00BA573C" w:rsidP="00BA573C">
      <w:pPr>
        <w:pStyle w:val="Heading3"/>
        <w:spacing w:before="120"/>
      </w:pPr>
      <w:r>
        <w:br w:type="page"/>
      </w:r>
      <w:bookmarkStart w:id="16" w:name="_Toc338344195"/>
      <w:r>
        <w:lastRenderedPageBreak/>
        <w:t>Cost per finalisation</w:t>
      </w:r>
      <w:bookmarkEnd w:id="16"/>
    </w:p>
    <w:p w:rsidR="00BA573C" w:rsidRPr="00101653" w:rsidRDefault="00BA573C" w:rsidP="00BA573C">
      <w:pPr>
        <w:pStyle w:val="Box"/>
      </w:pPr>
      <w:r w:rsidRPr="00016770">
        <w:t>Data quality information for this indicator has been drafted by the Secretariat in consultation with the Court</w:t>
      </w:r>
      <w:r w:rsidR="00FB0FCD">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BA573C" w:rsidTr="009F68FC">
        <w:tc>
          <w:tcPr>
            <w:tcW w:w="5000" w:type="pct"/>
            <w:gridSpan w:val="2"/>
          </w:tcPr>
          <w:p w:rsidR="00BA573C" w:rsidRDefault="00BA573C" w:rsidP="009F68FC">
            <w:pPr>
              <w:pStyle w:val="TableBodyText"/>
              <w:jc w:val="both"/>
              <w:rPr>
                <w:b/>
                <w:u w:val="single"/>
              </w:rPr>
            </w:pPr>
          </w:p>
          <w:p w:rsidR="00BA573C" w:rsidRDefault="00BA573C" w:rsidP="009F68FC">
            <w:pPr>
              <w:pStyle w:val="TableBodyText"/>
              <w:jc w:val="both"/>
            </w:pPr>
            <w:r w:rsidRPr="007D0BFD">
              <w:rPr>
                <w:b/>
                <w:u w:val="single"/>
              </w:rPr>
              <w:t>Indicator definition and description</w:t>
            </w:r>
            <w:r>
              <w:rPr>
                <w:rFonts w:cs="Arial"/>
                <w:b/>
                <w:sz w:val="22"/>
                <w:szCs w:val="22"/>
                <w:u w:val="single"/>
              </w:rPr>
              <w:t xml:space="preserve"> </w:t>
            </w:r>
          </w:p>
        </w:tc>
      </w:tr>
      <w:tr w:rsidR="00BA573C" w:rsidTr="009F68FC">
        <w:tc>
          <w:tcPr>
            <w:tcW w:w="922" w:type="pct"/>
          </w:tcPr>
          <w:p w:rsidR="00BA573C" w:rsidRPr="00C744E0" w:rsidRDefault="00BA573C" w:rsidP="009F68FC">
            <w:pPr>
              <w:pStyle w:val="TableBodyText"/>
              <w:jc w:val="left"/>
              <w:rPr>
                <w:b/>
              </w:rPr>
            </w:pPr>
            <w:r w:rsidRPr="00C744E0">
              <w:rPr>
                <w:b/>
              </w:rPr>
              <w:t>Element</w:t>
            </w:r>
          </w:p>
        </w:tc>
        <w:tc>
          <w:tcPr>
            <w:tcW w:w="4078" w:type="pct"/>
          </w:tcPr>
          <w:p w:rsidR="00BA573C" w:rsidRPr="00A1569C" w:rsidRDefault="00BA573C" w:rsidP="00DC666E">
            <w:pPr>
              <w:pStyle w:val="TableBodyText"/>
              <w:spacing w:after="120"/>
              <w:jc w:val="both"/>
            </w:pPr>
            <w:r>
              <w:t>Court Efficiency – Input</w:t>
            </w:r>
            <w:r w:rsidR="00A27B5C">
              <w:t>s per unit of output – Cost per finalisation</w:t>
            </w:r>
          </w:p>
        </w:tc>
      </w:tr>
      <w:tr w:rsidR="00BA573C" w:rsidTr="009F68FC">
        <w:tc>
          <w:tcPr>
            <w:tcW w:w="922" w:type="pct"/>
          </w:tcPr>
          <w:p w:rsidR="00BA573C" w:rsidRPr="00C744E0" w:rsidRDefault="00BA573C" w:rsidP="009F68FC">
            <w:pPr>
              <w:pStyle w:val="TableBodyText"/>
              <w:jc w:val="left"/>
              <w:rPr>
                <w:b/>
              </w:rPr>
            </w:pPr>
            <w:r w:rsidRPr="00C744E0">
              <w:rPr>
                <w:b/>
              </w:rPr>
              <w:t>Indicator</w:t>
            </w:r>
          </w:p>
        </w:tc>
        <w:tc>
          <w:tcPr>
            <w:tcW w:w="4078" w:type="pct"/>
          </w:tcPr>
          <w:p w:rsidR="00BA573C" w:rsidRPr="00E17A32" w:rsidRDefault="00A27B5C" w:rsidP="009F68FC">
            <w:pPr>
              <w:pStyle w:val="TableBodyText"/>
              <w:jc w:val="both"/>
            </w:pPr>
            <w:r>
              <w:t>Cost per finalisation</w:t>
            </w:r>
          </w:p>
        </w:tc>
      </w:tr>
      <w:tr w:rsidR="00BA573C" w:rsidTr="009F68FC">
        <w:tc>
          <w:tcPr>
            <w:tcW w:w="922" w:type="pct"/>
          </w:tcPr>
          <w:p w:rsidR="00BA573C" w:rsidRPr="00C744E0" w:rsidRDefault="00BA573C" w:rsidP="009F68FC">
            <w:pPr>
              <w:pStyle w:val="TableBodyText"/>
              <w:jc w:val="left"/>
              <w:rPr>
                <w:b/>
              </w:rPr>
            </w:pPr>
            <w:r w:rsidRPr="00C744E0">
              <w:rPr>
                <w:b/>
              </w:rPr>
              <w:t>Measure (computation)</w:t>
            </w:r>
          </w:p>
        </w:tc>
        <w:tc>
          <w:tcPr>
            <w:tcW w:w="4078" w:type="pct"/>
          </w:tcPr>
          <w:p w:rsidR="0006405E" w:rsidRPr="0006405E" w:rsidRDefault="0006405E" w:rsidP="0006405E">
            <w:pPr>
              <w:pStyle w:val="DQITableText"/>
              <w:spacing w:after="120"/>
              <w:rPr>
                <w:u w:val="single"/>
              </w:rPr>
            </w:pPr>
            <w:r>
              <w:rPr>
                <w:u w:val="single"/>
              </w:rPr>
              <w:t>Definition</w:t>
            </w:r>
          </w:p>
          <w:p w:rsidR="00BA573C" w:rsidRDefault="0006405E" w:rsidP="009F68FC">
            <w:pPr>
              <w:pStyle w:val="TableBodyText"/>
              <w:jc w:val="both"/>
            </w:pPr>
            <w:r>
              <w:t>Cost per case finalised, excluding payroll tax. This is not a measure of the actual cost per case.</w:t>
            </w:r>
          </w:p>
          <w:p w:rsidR="00BA573C" w:rsidRDefault="00BA573C" w:rsidP="0006405E">
            <w:pPr>
              <w:pStyle w:val="TableBodyText"/>
              <w:spacing w:before="120" w:after="120"/>
              <w:jc w:val="both"/>
            </w:pPr>
            <w:r>
              <w:rPr>
                <w:u w:val="single"/>
              </w:rPr>
              <w:t>Numerator</w:t>
            </w:r>
          </w:p>
          <w:p w:rsidR="00BA573C" w:rsidRPr="005A5147" w:rsidRDefault="00BA573C" w:rsidP="009F68FC">
            <w:pPr>
              <w:pStyle w:val="TableBodyText"/>
              <w:numPr>
                <w:ilvl w:val="0"/>
                <w:numId w:val="42"/>
              </w:numPr>
              <w:jc w:val="left"/>
            </w:pPr>
            <w:r>
              <w:t xml:space="preserve">Total </w:t>
            </w:r>
            <w:r w:rsidR="00A27B5C">
              <w:t>net recurrent expenditure</w:t>
            </w:r>
            <w:r>
              <w:t xml:space="preserve"> in a financial year</w:t>
            </w:r>
            <w:r w:rsidR="0006405E">
              <w:t>, excluding payroll tax</w:t>
            </w:r>
          </w:p>
          <w:p w:rsidR="00BA573C" w:rsidRPr="005D4651" w:rsidRDefault="00BA573C" w:rsidP="0006405E">
            <w:pPr>
              <w:pStyle w:val="TableBodyText"/>
              <w:spacing w:before="120" w:after="120"/>
              <w:jc w:val="both"/>
            </w:pPr>
            <w:r>
              <w:rPr>
                <w:u w:val="single"/>
              </w:rPr>
              <w:t>Denominator</w:t>
            </w:r>
          </w:p>
          <w:p w:rsidR="00BA573C" w:rsidRDefault="00A27B5C" w:rsidP="009F68FC">
            <w:pPr>
              <w:pStyle w:val="TableBullet"/>
              <w:numPr>
                <w:ilvl w:val="0"/>
                <w:numId w:val="42"/>
              </w:numPr>
              <w:spacing w:line="220" w:lineRule="exact"/>
              <w:jc w:val="both"/>
            </w:pPr>
            <w:r>
              <w:t>Total number of cases finalised</w:t>
            </w:r>
            <w:r w:rsidR="00BA573C">
              <w:t xml:space="preserve"> in a financial year</w:t>
            </w:r>
          </w:p>
          <w:p w:rsidR="0006405E" w:rsidRDefault="0006405E" w:rsidP="0006405E">
            <w:pPr>
              <w:pStyle w:val="DQITableText"/>
              <w:rPr>
                <w:u w:val="single"/>
              </w:rPr>
            </w:pPr>
            <w:r>
              <w:rPr>
                <w:u w:val="single"/>
              </w:rPr>
              <w:t>Computation</w:t>
            </w:r>
          </w:p>
          <w:p w:rsidR="0006405E" w:rsidRPr="0006405E" w:rsidRDefault="0006405E" w:rsidP="00DC666E">
            <w:pPr>
              <w:pStyle w:val="DQITableText"/>
              <w:spacing w:after="120"/>
            </w:pPr>
            <w:r>
              <w:t>Numerator divided by denominator.</w:t>
            </w:r>
          </w:p>
        </w:tc>
      </w:tr>
      <w:tr w:rsidR="00BA573C" w:rsidTr="009F68FC">
        <w:tc>
          <w:tcPr>
            <w:tcW w:w="922" w:type="pct"/>
          </w:tcPr>
          <w:p w:rsidR="00BA573C" w:rsidRPr="00C744E0" w:rsidRDefault="00BA573C" w:rsidP="009F68FC">
            <w:pPr>
              <w:pStyle w:val="TableBodyText"/>
              <w:jc w:val="left"/>
              <w:rPr>
                <w:b/>
              </w:rPr>
            </w:pPr>
            <w:r w:rsidRPr="00C744E0">
              <w:rPr>
                <w:b/>
              </w:rPr>
              <w:t>Data source/s</w:t>
            </w:r>
          </w:p>
        </w:tc>
        <w:tc>
          <w:tcPr>
            <w:tcW w:w="4078" w:type="pct"/>
          </w:tcPr>
          <w:p w:rsidR="00BA573C" w:rsidRPr="00B96E3E" w:rsidRDefault="0014734D" w:rsidP="00FB0FCD">
            <w:pPr>
              <w:pStyle w:val="TableBodyText"/>
              <w:jc w:val="both"/>
            </w:pPr>
            <w:r>
              <w:t xml:space="preserve">Expenditure, income </w:t>
            </w:r>
            <w:r w:rsidR="00BA573C">
              <w:t>and case finalisation data</w:t>
            </w:r>
            <w:r w:rsidR="00BA573C" w:rsidRPr="00C34F8E">
              <w:t xml:space="preserve"> are sourced from</w:t>
            </w:r>
            <w:r w:rsidR="00BA573C">
              <w:t xml:space="preserve"> administrative data collected by</w:t>
            </w:r>
            <w:r w:rsidR="00BA573C" w:rsidRPr="00C34F8E">
              <w:t xml:space="preserve"> </w:t>
            </w:r>
            <w:r w:rsidR="00BA573C">
              <w:t>Australian, State and Territory court authorities and departments.</w:t>
            </w:r>
          </w:p>
        </w:tc>
      </w:tr>
      <w:tr w:rsidR="00BA573C" w:rsidTr="009F68FC">
        <w:tc>
          <w:tcPr>
            <w:tcW w:w="5000" w:type="pct"/>
            <w:gridSpan w:val="2"/>
          </w:tcPr>
          <w:p w:rsidR="00BA573C" w:rsidRDefault="00BA573C" w:rsidP="009F68FC">
            <w:pPr>
              <w:pStyle w:val="TableBodyText"/>
              <w:jc w:val="both"/>
              <w:rPr>
                <w:b/>
                <w:u w:val="single"/>
              </w:rPr>
            </w:pPr>
          </w:p>
          <w:p w:rsidR="00BA573C" w:rsidRPr="00C744E0" w:rsidRDefault="00BA573C" w:rsidP="00D1765F">
            <w:pPr>
              <w:pStyle w:val="TableBodyText"/>
              <w:spacing w:after="120"/>
              <w:jc w:val="both"/>
              <w:rPr>
                <w:b/>
                <w:u w:val="single"/>
              </w:rPr>
            </w:pPr>
            <w:r w:rsidRPr="00C744E0">
              <w:rPr>
                <w:b/>
                <w:u w:val="single"/>
              </w:rPr>
              <w:t>Data Quality Framework Dimensions</w:t>
            </w:r>
          </w:p>
        </w:tc>
      </w:tr>
      <w:tr w:rsidR="00BA573C" w:rsidTr="009F68FC">
        <w:tc>
          <w:tcPr>
            <w:tcW w:w="922" w:type="pct"/>
          </w:tcPr>
          <w:p w:rsidR="00BA573C" w:rsidRPr="00C744E0" w:rsidRDefault="00BA573C" w:rsidP="009F68FC">
            <w:pPr>
              <w:pStyle w:val="TableBodyText"/>
              <w:jc w:val="left"/>
              <w:rPr>
                <w:b/>
              </w:rPr>
            </w:pPr>
            <w:r w:rsidRPr="00C744E0">
              <w:rPr>
                <w:b/>
              </w:rPr>
              <w:t>Institutional environment</w:t>
            </w:r>
          </w:p>
        </w:tc>
        <w:tc>
          <w:tcPr>
            <w:tcW w:w="4078" w:type="pct"/>
          </w:tcPr>
          <w:p w:rsidR="00BA573C" w:rsidRDefault="00BA573C" w:rsidP="009F68FC">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BA573C" w:rsidRPr="00062F62" w:rsidRDefault="00BA573C" w:rsidP="00D1765F">
            <w:pPr>
              <w:pStyle w:val="TableBodyText"/>
              <w:spacing w:after="120"/>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tc>
      </w:tr>
      <w:tr w:rsidR="00BA573C" w:rsidTr="009F68FC">
        <w:tc>
          <w:tcPr>
            <w:tcW w:w="922" w:type="pct"/>
          </w:tcPr>
          <w:p w:rsidR="00BA573C" w:rsidRPr="00C744E0" w:rsidRDefault="00BA573C" w:rsidP="009F68FC">
            <w:pPr>
              <w:pStyle w:val="TableBodyText"/>
              <w:jc w:val="left"/>
              <w:rPr>
                <w:b/>
              </w:rPr>
            </w:pPr>
            <w:r w:rsidRPr="00C744E0">
              <w:rPr>
                <w:b/>
              </w:rPr>
              <w:t>Relevance</w:t>
            </w:r>
          </w:p>
        </w:tc>
        <w:tc>
          <w:tcPr>
            <w:tcW w:w="4078" w:type="pct"/>
          </w:tcPr>
          <w:p w:rsidR="00BA573C" w:rsidRDefault="00AC1903" w:rsidP="009F68FC">
            <w:pPr>
              <w:pStyle w:val="TableBullet"/>
              <w:numPr>
                <w:ilvl w:val="0"/>
                <w:numId w:val="0"/>
              </w:numPr>
              <w:jc w:val="both"/>
            </w:pPr>
            <w:r>
              <w:t>‘Cost per finalisation’ is</w:t>
            </w:r>
            <w:r w:rsidR="00BA573C">
              <w:t xml:space="preserve"> an indicator of governments’ achievement against the objective of providing court services in an efficient manner. </w:t>
            </w:r>
            <w:r>
              <w:t>This indicator is not a measure of the actual cost per case.</w:t>
            </w:r>
          </w:p>
          <w:p w:rsidR="00BA573C" w:rsidRPr="00B96E3E" w:rsidRDefault="00BA573C" w:rsidP="00D1765F">
            <w:pPr>
              <w:pStyle w:val="TableBodyText"/>
              <w:spacing w:after="120"/>
              <w:ind w:left="0"/>
              <w:jc w:val="left"/>
            </w:pPr>
            <w:r w:rsidRPr="00F20BEC">
              <w:t>For fu</w:t>
            </w:r>
            <w:r>
              <w:t>rth</w:t>
            </w:r>
            <w:r w:rsidR="00FC5C8B">
              <w:t>er information on the cost per finalisation</w:t>
            </w:r>
            <w:r w:rsidRPr="00F20BEC">
              <w:t xml:space="preserve"> indicator refer to </w:t>
            </w:r>
            <w:smartTag w:uri="urn:schemas-microsoft-com:office:smarttags" w:element="Street">
              <w:r w:rsidRPr="00F20BEC">
                <w:t>Box</w:t>
              </w:r>
            </w:smartTag>
            <w:r w:rsidR="0079676E">
              <w:t xml:space="preserve"> 7.16</w:t>
            </w:r>
            <w:r w:rsidRPr="00F20BEC">
              <w:t xml:space="preserve"> </w:t>
            </w:r>
            <w:r>
              <w:t xml:space="preserve">in chapter 7 </w:t>
            </w:r>
            <w:r w:rsidRPr="00F20BEC">
              <w:t>of the Report.</w:t>
            </w:r>
          </w:p>
        </w:tc>
      </w:tr>
      <w:tr w:rsidR="00BA573C" w:rsidTr="009F68FC">
        <w:tc>
          <w:tcPr>
            <w:tcW w:w="922" w:type="pct"/>
          </w:tcPr>
          <w:p w:rsidR="00BA573C" w:rsidRPr="00C744E0" w:rsidRDefault="00BA573C" w:rsidP="009F68FC">
            <w:pPr>
              <w:pStyle w:val="TableBodyText"/>
              <w:jc w:val="both"/>
              <w:rPr>
                <w:b/>
              </w:rPr>
            </w:pPr>
            <w:r w:rsidRPr="00C744E0">
              <w:rPr>
                <w:b/>
              </w:rPr>
              <w:t>Timeliness</w:t>
            </w:r>
          </w:p>
        </w:tc>
        <w:tc>
          <w:tcPr>
            <w:tcW w:w="4078" w:type="pct"/>
          </w:tcPr>
          <w:p w:rsidR="00BA573C" w:rsidRDefault="00BA573C" w:rsidP="009F68FC">
            <w:pPr>
              <w:pStyle w:val="TableBodyText"/>
              <w:keepNext w:val="0"/>
              <w:jc w:val="both"/>
            </w:pPr>
            <w:r>
              <w:t xml:space="preserve">The reference period </w:t>
            </w:r>
            <w:r w:rsidR="0085082D">
              <w:t>is the 2014-15</w:t>
            </w:r>
            <w:r>
              <w:t xml:space="preserve"> financial year. Dat</w:t>
            </w:r>
            <w:r w:rsidR="0079676E">
              <w:t>a are provided in September 201</w:t>
            </w:r>
            <w:r w:rsidR="0085082D">
              <w:t>5</w:t>
            </w:r>
            <w:r>
              <w:t>,</w:t>
            </w:r>
            <w:r w:rsidR="0085082D">
              <w:t xml:space="preserve"> for publication in January 2016</w:t>
            </w:r>
            <w:r>
              <w:t>.</w:t>
            </w:r>
          </w:p>
          <w:p w:rsidR="00BA573C" w:rsidRPr="009F199D" w:rsidRDefault="00BA573C" w:rsidP="00D1765F">
            <w:pPr>
              <w:pStyle w:val="TableBodyText"/>
              <w:keepNext w:val="0"/>
              <w:spacing w:after="120"/>
              <w:jc w:val="both"/>
            </w:pPr>
            <w:r>
              <w:t>Data can be revised retrospectively up to 5 years later.</w:t>
            </w:r>
          </w:p>
        </w:tc>
      </w:tr>
      <w:tr w:rsidR="00BA573C" w:rsidTr="009F68FC">
        <w:tc>
          <w:tcPr>
            <w:tcW w:w="922" w:type="pct"/>
          </w:tcPr>
          <w:p w:rsidR="00BA573C" w:rsidRPr="00C744E0" w:rsidRDefault="00BA573C" w:rsidP="009F68FC">
            <w:pPr>
              <w:pStyle w:val="TableBodyText"/>
              <w:keepNext w:val="0"/>
              <w:jc w:val="left"/>
              <w:rPr>
                <w:b/>
              </w:rPr>
            </w:pPr>
            <w:r w:rsidRPr="00C744E0">
              <w:rPr>
                <w:b/>
              </w:rPr>
              <w:t>Accuracy</w:t>
            </w:r>
          </w:p>
        </w:tc>
        <w:tc>
          <w:tcPr>
            <w:tcW w:w="4078" w:type="pct"/>
          </w:tcPr>
          <w:p w:rsidR="0026307C" w:rsidRDefault="0026307C" w:rsidP="009F68FC">
            <w:pPr>
              <w:pStyle w:val="TableBullet"/>
              <w:keepNext w:val="0"/>
              <w:numPr>
                <w:ilvl w:val="0"/>
                <w:numId w:val="0"/>
              </w:numPr>
              <w:spacing w:line="220" w:lineRule="exact"/>
              <w:ind w:left="6"/>
            </w:pPr>
            <w:r>
              <w:t xml:space="preserve">In all jurisdictions the </w:t>
            </w:r>
            <w:r w:rsidR="003E3FB1">
              <w:t xml:space="preserve">identification of </w:t>
            </w:r>
            <w:r>
              <w:t>total net recurrent expenditure</w:t>
            </w:r>
            <w:r w:rsidR="00BA573C">
              <w:t xml:space="preserve"> is done using electronic case management</w:t>
            </w:r>
            <w:r>
              <w:t xml:space="preserve"> and financial</w:t>
            </w:r>
            <w:r w:rsidR="00BA573C">
              <w:t xml:space="preserve"> systems </w:t>
            </w:r>
            <w:r>
              <w:t>which are subject to the normal legislative financial and administrative controls, reconciliation and validation processes to ensure accuracy. Due to the financial nature of the data it is also independently audited</w:t>
            </w:r>
            <w:r w:rsidR="0085082D">
              <w:t xml:space="preserve"> at jurisdictional level</w:t>
            </w:r>
            <w:r>
              <w:t xml:space="preserve"> for annual reporting purposes.</w:t>
            </w:r>
          </w:p>
          <w:p w:rsidR="00BA573C" w:rsidRPr="00CF5FA0" w:rsidRDefault="0026307C" w:rsidP="00D1765F">
            <w:pPr>
              <w:pStyle w:val="TableBullet"/>
              <w:keepNext w:val="0"/>
              <w:numPr>
                <w:ilvl w:val="0"/>
                <w:numId w:val="0"/>
              </w:numPr>
              <w:spacing w:after="120" w:line="220" w:lineRule="exact"/>
              <w:ind w:left="6"/>
            </w:pPr>
            <w:r>
              <w:t xml:space="preserve">The data provided are consistent with </w:t>
            </w:r>
            <w:proofErr w:type="spellStart"/>
            <w:r>
              <w:t>RoGS</w:t>
            </w:r>
            <w:proofErr w:type="spellEnd"/>
            <w:r>
              <w:t xml:space="preserve"> counting rules and the requested data reported are for all co</w:t>
            </w:r>
            <w:r w:rsidR="0085082D">
              <w:t>urt levels in each jurisdiction</w:t>
            </w:r>
            <w:r w:rsidR="00BA573C">
              <w:t>.</w:t>
            </w:r>
          </w:p>
        </w:tc>
      </w:tr>
      <w:tr w:rsidR="00BA573C" w:rsidTr="009F68FC">
        <w:tc>
          <w:tcPr>
            <w:tcW w:w="922" w:type="pct"/>
          </w:tcPr>
          <w:p w:rsidR="00BA573C" w:rsidRPr="002162BE" w:rsidRDefault="00BA573C" w:rsidP="009F68FC">
            <w:pPr>
              <w:pStyle w:val="TableBodyText"/>
              <w:keepNext w:val="0"/>
              <w:jc w:val="left"/>
              <w:rPr>
                <w:b/>
              </w:rPr>
            </w:pPr>
            <w:r w:rsidRPr="002162BE">
              <w:rPr>
                <w:b/>
              </w:rPr>
              <w:t>Coherence</w:t>
            </w:r>
          </w:p>
        </w:tc>
        <w:tc>
          <w:tcPr>
            <w:tcW w:w="4078" w:type="pct"/>
          </w:tcPr>
          <w:p w:rsidR="00BA573C" w:rsidRDefault="00BA573C" w:rsidP="009F68FC">
            <w:pPr>
              <w:pStyle w:val="TableBodyText"/>
              <w:keepNext w:val="0"/>
              <w:jc w:val="both"/>
            </w:pPr>
            <w:r>
              <w:t xml:space="preserve">For the last five years </w:t>
            </w:r>
            <w:r w:rsidR="003D6908">
              <w:t>data associated with net recurrent expenditure</w:t>
            </w:r>
            <w:r>
              <w:t xml:space="preserve"> have been </w:t>
            </w:r>
            <w:r w:rsidR="00C344D0">
              <w:t>reported relatively consistently. Exceptions are noted in the attachment tables.</w:t>
            </w:r>
          </w:p>
          <w:p w:rsidR="00BA573C" w:rsidRPr="00CD04F1" w:rsidRDefault="009C29F7" w:rsidP="00D1765F">
            <w:pPr>
              <w:pStyle w:val="TableBullet"/>
              <w:keepNext w:val="0"/>
              <w:numPr>
                <w:ilvl w:val="0"/>
                <w:numId w:val="0"/>
              </w:numPr>
              <w:tabs>
                <w:tab w:val="left" w:pos="359"/>
              </w:tabs>
              <w:spacing w:after="120"/>
            </w:pPr>
            <w:r>
              <w:t>Data are comparable (subject to caveats) within jurisdictions over time but are not comparable across jurisdictions</w:t>
            </w:r>
            <w:r w:rsidR="00B5251C">
              <w:t>.</w:t>
            </w:r>
            <w:r w:rsidR="00BA573C">
              <w:t xml:space="preserve"> </w:t>
            </w:r>
          </w:p>
        </w:tc>
      </w:tr>
      <w:tr w:rsidR="00BA573C" w:rsidTr="009F68FC">
        <w:tc>
          <w:tcPr>
            <w:tcW w:w="922" w:type="pct"/>
          </w:tcPr>
          <w:p w:rsidR="00BA573C" w:rsidRPr="00C744E0" w:rsidRDefault="00BA573C" w:rsidP="009F68FC">
            <w:pPr>
              <w:pStyle w:val="TableBodyText"/>
              <w:keepNext w:val="0"/>
              <w:jc w:val="left"/>
              <w:rPr>
                <w:b/>
              </w:rPr>
            </w:pPr>
            <w:r w:rsidRPr="00C744E0">
              <w:rPr>
                <w:b/>
              </w:rPr>
              <w:t>Accessibility</w:t>
            </w:r>
          </w:p>
        </w:tc>
        <w:tc>
          <w:tcPr>
            <w:tcW w:w="4078" w:type="pct"/>
          </w:tcPr>
          <w:p w:rsidR="00BA573C" w:rsidRPr="001A7053" w:rsidRDefault="008B7C76" w:rsidP="009F68FC">
            <w:pPr>
              <w:pStyle w:val="TableBodyText"/>
              <w:keepNext w:val="0"/>
              <w:jc w:val="left"/>
            </w:pPr>
            <w:r>
              <w:t>Data on net recurrent expenditure and finalised cases</w:t>
            </w:r>
            <w:r w:rsidR="00BA573C">
              <w:t xml:space="preserve"> are provided for the Report on Government Services according to the specific </w:t>
            </w:r>
            <w:proofErr w:type="spellStart"/>
            <w:r w:rsidR="00BA573C">
              <w:t>RoGS</w:t>
            </w:r>
            <w:proofErr w:type="spellEnd"/>
            <w:r w:rsidR="00BA573C">
              <w:t xml:space="preserve"> countin</w:t>
            </w:r>
            <w:r>
              <w:t>g rules. Other data on net recurrent expenditure</w:t>
            </w:r>
            <w:r w:rsidR="00BA573C">
              <w:t xml:space="preserve"> and finalisations may be available through court annual reports, court websites, on application from the Chief Jurisdictional Officer in the relevant state, territory or federal jurisdiction. </w:t>
            </w:r>
          </w:p>
        </w:tc>
      </w:tr>
      <w:tr w:rsidR="00BA573C" w:rsidTr="009F68FC">
        <w:tc>
          <w:tcPr>
            <w:tcW w:w="922" w:type="pct"/>
          </w:tcPr>
          <w:p w:rsidR="00BA573C" w:rsidRPr="00C744E0" w:rsidRDefault="00BA573C" w:rsidP="009F68FC">
            <w:pPr>
              <w:pStyle w:val="TableBodyText"/>
              <w:jc w:val="left"/>
              <w:rPr>
                <w:b/>
              </w:rPr>
            </w:pPr>
            <w:r w:rsidRPr="00C744E0">
              <w:rPr>
                <w:b/>
              </w:rPr>
              <w:lastRenderedPageBreak/>
              <w:t>Interpretability</w:t>
            </w:r>
          </w:p>
        </w:tc>
        <w:tc>
          <w:tcPr>
            <w:tcW w:w="4078" w:type="pct"/>
          </w:tcPr>
          <w:p w:rsidR="00BA573C" w:rsidRDefault="00BA573C" w:rsidP="009F68FC">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BA573C" w:rsidRPr="00292C41" w:rsidRDefault="00BA573C" w:rsidP="009F68FC">
            <w:pPr>
              <w:pStyle w:val="TableBodyText"/>
              <w:ind w:left="0" w:firstLine="6"/>
              <w:jc w:val="left"/>
            </w:pPr>
            <w:r w:rsidRPr="00F20BEC">
              <w:t>For fu</w:t>
            </w:r>
            <w:r w:rsidR="00AD1400">
              <w:t>rther information on the cost per finalisation</w:t>
            </w:r>
            <w:r w:rsidR="001F3CF1">
              <w:t xml:space="preserve"> indicator refer to </w:t>
            </w:r>
            <w:smartTag w:uri="urn:schemas-microsoft-com:office:smarttags" w:element="Street">
              <w:r w:rsidR="001F3CF1">
                <w:t>Box</w:t>
              </w:r>
            </w:smartTag>
            <w:r w:rsidR="00190D71">
              <w:t xml:space="preserve"> 7.16</w:t>
            </w:r>
            <w:r w:rsidRPr="00F20BEC">
              <w:t xml:space="preserve"> </w:t>
            </w:r>
            <w:r>
              <w:t xml:space="preserve">in chapter 7 </w:t>
            </w:r>
            <w:r w:rsidRPr="00F20BEC">
              <w:t>of the Report.</w:t>
            </w:r>
          </w:p>
        </w:tc>
      </w:tr>
      <w:tr w:rsidR="00BA573C" w:rsidTr="009F68FC">
        <w:tc>
          <w:tcPr>
            <w:tcW w:w="5000" w:type="pct"/>
            <w:gridSpan w:val="2"/>
            <w:shd w:val="clear" w:color="auto" w:fill="auto"/>
          </w:tcPr>
          <w:p w:rsidR="00BA573C" w:rsidRPr="00C744E0" w:rsidRDefault="00BA573C" w:rsidP="00D1765F">
            <w:pPr>
              <w:pStyle w:val="TableBodyText"/>
              <w:spacing w:before="120" w:after="120"/>
              <w:jc w:val="left"/>
              <w:rPr>
                <w:b/>
                <w:u w:val="single"/>
              </w:rPr>
            </w:pPr>
            <w:r w:rsidRPr="00C744E0">
              <w:rPr>
                <w:b/>
                <w:u w:val="single"/>
              </w:rPr>
              <w:t>Data Gaps/Issues Analysis</w:t>
            </w:r>
          </w:p>
        </w:tc>
      </w:tr>
      <w:tr w:rsidR="00BA573C" w:rsidTr="009F68FC">
        <w:tc>
          <w:tcPr>
            <w:tcW w:w="922" w:type="pct"/>
            <w:shd w:val="clear" w:color="auto" w:fill="auto"/>
          </w:tcPr>
          <w:p w:rsidR="00BA573C" w:rsidRPr="00C744E0" w:rsidRDefault="00BA573C" w:rsidP="009F68FC">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BA573C" w:rsidRDefault="00BA573C" w:rsidP="009F68FC">
            <w:pPr>
              <w:pStyle w:val="TableBodyText"/>
              <w:jc w:val="both"/>
            </w:pPr>
            <w:r w:rsidRPr="00B96E3E">
              <w:t xml:space="preserve">The Steering Committee notes the following key data gaps/issues: </w:t>
            </w:r>
          </w:p>
          <w:p w:rsidR="00BA573C" w:rsidRPr="00B96E3E" w:rsidRDefault="00AD1400" w:rsidP="009F68FC">
            <w:pPr>
              <w:pStyle w:val="TableBullet"/>
              <w:tabs>
                <w:tab w:val="left" w:pos="170"/>
              </w:tabs>
              <w:ind w:left="176"/>
              <w:jc w:val="both"/>
            </w:pPr>
            <w:r>
              <w:t xml:space="preserve">The ‘cost per finalisation’ indicator is not yet directly comparable across jurisdictions and is under ongoing review to improve consistency and comparability in how income and expenditure data are extracted and reported. </w:t>
            </w:r>
          </w:p>
        </w:tc>
      </w:tr>
    </w:tbl>
    <w:p w:rsidR="00BA573C" w:rsidRDefault="00BA573C" w:rsidP="00BA573C">
      <w:pPr>
        <w:pStyle w:val="BodyText"/>
      </w:pPr>
    </w:p>
    <w:p w:rsidR="00BA573C" w:rsidRDefault="00BA573C" w:rsidP="000F287A">
      <w:pPr>
        <w:pStyle w:val="BodyText"/>
      </w:pPr>
    </w:p>
    <w:p w:rsidR="00E47988" w:rsidRPr="00BA573C" w:rsidRDefault="00BA573C" w:rsidP="00BA573C">
      <w:pPr>
        <w:pStyle w:val="BodyText"/>
        <w:tabs>
          <w:tab w:val="left" w:pos="2745"/>
        </w:tabs>
      </w:pPr>
      <w:r>
        <w:tab/>
      </w:r>
    </w:p>
    <w:sectPr w:rsidR="00E47988" w:rsidRPr="00BA573C" w:rsidSect="00F417E4">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BB6" w:rsidRDefault="00553BB6">
      <w:r>
        <w:separator/>
      </w:r>
    </w:p>
  </w:endnote>
  <w:endnote w:type="continuationSeparator" w:id="0">
    <w:p w:rsidR="00553BB6" w:rsidRDefault="0055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53BB6" w:rsidTr="00553BB6">
      <w:trPr>
        <w:trHeight w:hRule="exact" w:val="567"/>
      </w:trPr>
      <w:tc>
        <w:tcPr>
          <w:tcW w:w="510" w:type="dxa"/>
        </w:tcPr>
        <w:p w:rsidR="00553BB6" w:rsidRPr="00A24443" w:rsidRDefault="00553BB6"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76B4F">
            <w:rPr>
              <w:rStyle w:val="PageNumber"/>
              <w:caps w:val="0"/>
              <w:noProof/>
            </w:rPr>
            <w:t>2</w:t>
          </w:r>
          <w:r w:rsidRPr="00A24443">
            <w:rPr>
              <w:rStyle w:val="PageNumber"/>
              <w:caps w:val="0"/>
            </w:rPr>
            <w:fldChar w:fldCharType="end"/>
          </w:r>
        </w:p>
      </w:tc>
      <w:tc>
        <w:tcPr>
          <w:tcW w:w="7767" w:type="dxa"/>
        </w:tcPr>
        <w:p w:rsidR="00553BB6" w:rsidRPr="0013739A" w:rsidRDefault="00105DC4" w:rsidP="00126FEE">
          <w:pPr>
            <w:pStyle w:val="Footer"/>
            <w:rPr>
              <w:rFonts w:cs="Arial"/>
            </w:rPr>
          </w:pPr>
          <w:r>
            <w:rPr>
              <w:rFonts w:cs="Arial"/>
            </w:rPr>
            <w:t>Report on Government Services 2016</w:t>
          </w:r>
          <w:bookmarkStart w:id="17" w:name="DraftReportEven"/>
          <w:bookmarkEnd w:id="17"/>
        </w:p>
      </w:tc>
      <w:tc>
        <w:tcPr>
          <w:tcW w:w="510" w:type="dxa"/>
        </w:tcPr>
        <w:p w:rsidR="00553BB6" w:rsidRDefault="00553BB6" w:rsidP="0019293B">
          <w:pPr>
            <w:pStyle w:val="Footer"/>
          </w:pPr>
        </w:p>
      </w:tc>
    </w:tr>
  </w:tbl>
  <w:p w:rsidR="00553BB6" w:rsidRDefault="00553BB6" w:rsidP="0019293B">
    <w:pPr>
      <w:pStyle w:val="FooterEnd"/>
    </w:pPr>
  </w:p>
  <w:p w:rsidR="00553BB6" w:rsidRDefault="00553BB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53BB6" w:rsidTr="00553BB6">
      <w:trPr>
        <w:trHeight w:hRule="exact" w:val="567"/>
      </w:trPr>
      <w:tc>
        <w:tcPr>
          <w:tcW w:w="510" w:type="dxa"/>
        </w:tcPr>
        <w:p w:rsidR="00553BB6" w:rsidRDefault="00553BB6">
          <w:pPr>
            <w:pStyle w:val="Footer"/>
            <w:ind w:right="360" w:firstLine="360"/>
          </w:pPr>
        </w:p>
      </w:tc>
      <w:tc>
        <w:tcPr>
          <w:tcW w:w="7767" w:type="dxa"/>
        </w:tcPr>
        <w:p w:rsidR="00553BB6" w:rsidRPr="00BA5B14" w:rsidRDefault="00105DC4" w:rsidP="00553BB6">
          <w:pPr>
            <w:pStyle w:val="Footer"/>
            <w:jc w:val="right"/>
            <w:rPr>
              <w:rFonts w:cs="Arial"/>
            </w:rPr>
          </w:pPr>
          <w:r>
            <w:rPr>
              <w:rFonts w:cs="Arial"/>
            </w:rPr>
            <w:t xml:space="preserve">Courts </w:t>
          </w:r>
          <w:proofErr w:type="spellStart"/>
          <w:r>
            <w:rPr>
              <w:rFonts w:cs="Arial"/>
            </w:rPr>
            <w:t>DQI</w:t>
          </w:r>
          <w:proofErr w:type="spellEnd"/>
        </w:p>
      </w:tc>
      <w:tc>
        <w:tcPr>
          <w:tcW w:w="510" w:type="dxa"/>
        </w:tcPr>
        <w:p w:rsidR="00553BB6" w:rsidRPr="00A24443" w:rsidRDefault="00553BB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76B4F">
            <w:rPr>
              <w:rStyle w:val="PageNumber"/>
              <w:caps w:val="0"/>
              <w:noProof/>
            </w:rPr>
            <w:t>1</w:t>
          </w:r>
          <w:r w:rsidRPr="00A24443">
            <w:rPr>
              <w:rStyle w:val="PageNumber"/>
              <w:caps w:val="0"/>
            </w:rPr>
            <w:fldChar w:fldCharType="end"/>
          </w:r>
        </w:p>
      </w:tc>
    </w:tr>
  </w:tbl>
  <w:p w:rsidR="00553BB6" w:rsidRDefault="00553BB6">
    <w:pPr>
      <w:pStyle w:val="FooterEnd"/>
    </w:pPr>
  </w:p>
  <w:p w:rsidR="00553BB6" w:rsidRDefault="00553BB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BB6" w:rsidRDefault="00553BB6">
      <w:r>
        <w:separator/>
      </w:r>
    </w:p>
  </w:footnote>
  <w:footnote w:type="continuationSeparator" w:id="0">
    <w:p w:rsidR="00553BB6" w:rsidRDefault="00553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53BB6" w:rsidTr="0019293B">
      <w:tc>
        <w:tcPr>
          <w:tcW w:w="2155" w:type="dxa"/>
          <w:tcBorders>
            <w:top w:val="single" w:sz="24" w:space="0" w:color="auto"/>
          </w:tcBorders>
        </w:tcPr>
        <w:p w:rsidR="00553BB6" w:rsidRDefault="00553BB6" w:rsidP="0019293B">
          <w:pPr>
            <w:pStyle w:val="HeaderEven"/>
          </w:pPr>
        </w:p>
      </w:tc>
      <w:tc>
        <w:tcPr>
          <w:tcW w:w="6634" w:type="dxa"/>
          <w:tcBorders>
            <w:top w:val="single" w:sz="6" w:space="0" w:color="auto"/>
          </w:tcBorders>
        </w:tcPr>
        <w:p w:rsidR="00553BB6" w:rsidRDefault="00553BB6" w:rsidP="00B84204">
          <w:pPr>
            <w:pStyle w:val="HeaderEven"/>
            <w:tabs>
              <w:tab w:val="left" w:pos="285"/>
            </w:tabs>
          </w:pPr>
        </w:p>
      </w:tc>
    </w:tr>
  </w:tbl>
  <w:p w:rsidR="00553BB6" w:rsidRDefault="00553BB6"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53BB6" w:rsidTr="00E669E2">
      <w:tc>
        <w:tcPr>
          <w:tcW w:w="6634" w:type="dxa"/>
          <w:tcBorders>
            <w:top w:val="single" w:sz="6" w:space="0" w:color="auto"/>
          </w:tcBorders>
        </w:tcPr>
        <w:p w:rsidR="00553BB6" w:rsidRDefault="00553BB6" w:rsidP="00321407">
          <w:pPr>
            <w:pStyle w:val="HeaderOdd"/>
          </w:pPr>
        </w:p>
      </w:tc>
      <w:tc>
        <w:tcPr>
          <w:tcW w:w="2155" w:type="dxa"/>
          <w:tcBorders>
            <w:top w:val="single" w:sz="24" w:space="0" w:color="auto"/>
          </w:tcBorders>
        </w:tcPr>
        <w:p w:rsidR="00553BB6" w:rsidRDefault="00553BB6" w:rsidP="00E669E2">
          <w:pPr>
            <w:pStyle w:val="HeaderOdd"/>
          </w:pPr>
        </w:p>
      </w:tc>
    </w:tr>
  </w:tbl>
  <w:p w:rsidR="00553BB6" w:rsidRDefault="00553BB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7057F34"/>
    <w:multiLevelType w:val="singleLevel"/>
    <w:tmpl w:val="ED98921A"/>
    <w:lvl w:ilvl="0">
      <w:start w:val="1"/>
      <w:numFmt w:val="decimal"/>
      <w:lvlText w:val="%1."/>
      <w:legacy w:legacy="1" w:legacySpace="0" w:legacyIndent="340"/>
      <w:lvlJc w:val="left"/>
      <w:pPr>
        <w:ind w:left="340" w:hanging="340"/>
      </w:pPr>
    </w:lvl>
  </w:abstractNum>
  <w:abstractNum w:abstractNumId="12">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96B1AA1"/>
    <w:multiLevelType w:val="hybridMultilevel"/>
    <w:tmpl w:val="7884F700"/>
    <w:lvl w:ilvl="0" w:tplc="0C090001">
      <w:start w:val="1"/>
      <w:numFmt w:val="bullet"/>
      <w:lvlText w:val=""/>
      <w:lvlJc w:val="left"/>
      <w:pPr>
        <w:tabs>
          <w:tab w:val="num" w:pos="366"/>
        </w:tabs>
        <w:ind w:left="366" w:hanging="360"/>
      </w:pPr>
      <w:rPr>
        <w:rFonts w:ascii="Symbol" w:hAnsi="Symbol" w:hint="default"/>
      </w:rPr>
    </w:lvl>
    <w:lvl w:ilvl="1" w:tplc="0C090003" w:tentative="1">
      <w:start w:val="1"/>
      <w:numFmt w:val="bullet"/>
      <w:lvlText w:val="o"/>
      <w:lvlJc w:val="left"/>
      <w:pPr>
        <w:tabs>
          <w:tab w:val="num" w:pos="1086"/>
        </w:tabs>
        <w:ind w:left="1086" w:hanging="360"/>
      </w:pPr>
      <w:rPr>
        <w:rFonts w:ascii="Courier New" w:hAnsi="Courier New" w:cs="Courier New" w:hint="default"/>
      </w:rPr>
    </w:lvl>
    <w:lvl w:ilvl="2" w:tplc="0C090005" w:tentative="1">
      <w:start w:val="1"/>
      <w:numFmt w:val="bullet"/>
      <w:lvlText w:val=""/>
      <w:lvlJc w:val="left"/>
      <w:pPr>
        <w:tabs>
          <w:tab w:val="num" w:pos="1806"/>
        </w:tabs>
        <w:ind w:left="1806" w:hanging="360"/>
      </w:pPr>
      <w:rPr>
        <w:rFonts w:ascii="Wingdings" w:hAnsi="Wingdings" w:hint="default"/>
      </w:rPr>
    </w:lvl>
    <w:lvl w:ilvl="3" w:tplc="0C090001" w:tentative="1">
      <w:start w:val="1"/>
      <w:numFmt w:val="bullet"/>
      <w:lvlText w:val=""/>
      <w:lvlJc w:val="left"/>
      <w:pPr>
        <w:tabs>
          <w:tab w:val="num" w:pos="2526"/>
        </w:tabs>
        <w:ind w:left="2526" w:hanging="360"/>
      </w:pPr>
      <w:rPr>
        <w:rFonts w:ascii="Symbol" w:hAnsi="Symbol" w:hint="default"/>
      </w:rPr>
    </w:lvl>
    <w:lvl w:ilvl="4" w:tplc="0C090003" w:tentative="1">
      <w:start w:val="1"/>
      <w:numFmt w:val="bullet"/>
      <w:lvlText w:val="o"/>
      <w:lvlJc w:val="left"/>
      <w:pPr>
        <w:tabs>
          <w:tab w:val="num" w:pos="3246"/>
        </w:tabs>
        <w:ind w:left="3246" w:hanging="360"/>
      </w:pPr>
      <w:rPr>
        <w:rFonts w:ascii="Courier New" w:hAnsi="Courier New" w:cs="Courier New" w:hint="default"/>
      </w:rPr>
    </w:lvl>
    <w:lvl w:ilvl="5" w:tplc="0C090005" w:tentative="1">
      <w:start w:val="1"/>
      <w:numFmt w:val="bullet"/>
      <w:lvlText w:val=""/>
      <w:lvlJc w:val="left"/>
      <w:pPr>
        <w:tabs>
          <w:tab w:val="num" w:pos="3966"/>
        </w:tabs>
        <w:ind w:left="3966" w:hanging="360"/>
      </w:pPr>
      <w:rPr>
        <w:rFonts w:ascii="Wingdings" w:hAnsi="Wingdings" w:hint="default"/>
      </w:rPr>
    </w:lvl>
    <w:lvl w:ilvl="6" w:tplc="0C090001" w:tentative="1">
      <w:start w:val="1"/>
      <w:numFmt w:val="bullet"/>
      <w:lvlText w:val=""/>
      <w:lvlJc w:val="left"/>
      <w:pPr>
        <w:tabs>
          <w:tab w:val="num" w:pos="4686"/>
        </w:tabs>
        <w:ind w:left="4686" w:hanging="360"/>
      </w:pPr>
      <w:rPr>
        <w:rFonts w:ascii="Symbol" w:hAnsi="Symbol" w:hint="default"/>
      </w:rPr>
    </w:lvl>
    <w:lvl w:ilvl="7" w:tplc="0C090003" w:tentative="1">
      <w:start w:val="1"/>
      <w:numFmt w:val="bullet"/>
      <w:lvlText w:val="o"/>
      <w:lvlJc w:val="left"/>
      <w:pPr>
        <w:tabs>
          <w:tab w:val="num" w:pos="5406"/>
        </w:tabs>
        <w:ind w:left="5406" w:hanging="360"/>
      </w:pPr>
      <w:rPr>
        <w:rFonts w:ascii="Courier New" w:hAnsi="Courier New" w:cs="Courier New" w:hint="default"/>
      </w:rPr>
    </w:lvl>
    <w:lvl w:ilvl="8" w:tplc="0C090005" w:tentative="1">
      <w:start w:val="1"/>
      <w:numFmt w:val="bullet"/>
      <w:lvlText w:val=""/>
      <w:lvlJc w:val="left"/>
      <w:pPr>
        <w:tabs>
          <w:tab w:val="num" w:pos="6126"/>
        </w:tabs>
        <w:ind w:left="6126" w:hanging="360"/>
      </w:pPr>
      <w:rPr>
        <w:rFonts w:ascii="Wingdings" w:hAnsi="Wingding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79710F2"/>
    <w:multiLevelType w:val="hybridMultilevel"/>
    <w:tmpl w:val="A41EC57A"/>
    <w:lvl w:ilvl="0" w:tplc="4DFAC978">
      <w:start w:val="16"/>
      <w:numFmt w:val="decimal"/>
      <w:lvlText w:val="%1"/>
      <w:lvlJc w:val="left"/>
      <w:pPr>
        <w:tabs>
          <w:tab w:val="num" w:pos="1260"/>
        </w:tabs>
        <w:ind w:left="1260" w:hanging="90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3F71E3"/>
    <w:multiLevelType w:val="hybridMultilevel"/>
    <w:tmpl w:val="9CC23DC0"/>
    <w:lvl w:ilvl="0" w:tplc="0C090001">
      <w:start w:val="1"/>
      <w:numFmt w:val="bullet"/>
      <w:lvlText w:val=""/>
      <w:lvlJc w:val="left"/>
      <w:pPr>
        <w:tabs>
          <w:tab w:val="num" w:pos="366"/>
        </w:tabs>
        <w:ind w:left="366" w:hanging="360"/>
      </w:pPr>
      <w:rPr>
        <w:rFonts w:ascii="Symbol" w:hAnsi="Symbol" w:hint="default"/>
      </w:rPr>
    </w:lvl>
    <w:lvl w:ilvl="1" w:tplc="0C090003" w:tentative="1">
      <w:start w:val="1"/>
      <w:numFmt w:val="bullet"/>
      <w:lvlText w:val="o"/>
      <w:lvlJc w:val="left"/>
      <w:pPr>
        <w:tabs>
          <w:tab w:val="num" w:pos="1086"/>
        </w:tabs>
        <w:ind w:left="1086" w:hanging="360"/>
      </w:pPr>
      <w:rPr>
        <w:rFonts w:ascii="Courier New" w:hAnsi="Courier New" w:cs="Courier New" w:hint="default"/>
      </w:rPr>
    </w:lvl>
    <w:lvl w:ilvl="2" w:tplc="0C090005" w:tentative="1">
      <w:start w:val="1"/>
      <w:numFmt w:val="bullet"/>
      <w:lvlText w:val=""/>
      <w:lvlJc w:val="left"/>
      <w:pPr>
        <w:tabs>
          <w:tab w:val="num" w:pos="1806"/>
        </w:tabs>
        <w:ind w:left="1806" w:hanging="360"/>
      </w:pPr>
      <w:rPr>
        <w:rFonts w:ascii="Wingdings" w:hAnsi="Wingdings" w:hint="default"/>
      </w:rPr>
    </w:lvl>
    <w:lvl w:ilvl="3" w:tplc="0C090001" w:tentative="1">
      <w:start w:val="1"/>
      <w:numFmt w:val="bullet"/>
      <w:lvlText w:val=""/>
      <w:lvlJc w:val="left"/>
      <w:pPr>
        <w:tabs>
          <w:tab w:val="num" w:pos="2526"/>
        </w:tabs>
        <w:ind w:left="2526" w:hanging="360"/>
      </w:pPr>
      <w:rPr>
        <w:rFonts w:ascii="Symbol" w:hAnsi="Symbol" w:hint="default"/>
      </w:rPr>
    </w:lvl>
    <w:lvl w:ilvl="4" w:tplc="0C090003" w:tentative="1">
      <w:start w:val="1"/>
      <w:numFmt w:val="bullet"/>
      <w:lvlText w:val="o"/>
      <w:lvlJc w:val="left"/>
      <w:pPr>
        <w:tabs>
          <w:tab w:val="num" w:pos="3246"/>
        </w:tabs>
        <w:ind w:left="3246" w:hanging="360"/>
      </w:pPr>
      <w:rPr>
        <w:rFonts w:ascii="Courier New" w:hAnsi="Courier New" w:cs="Courier New" w:hint="default"/>
      </w:rPr>
    </w:lvl>
    <w:lvl w:ilvl="5" w:tplc="0C090005" w:tentative="1">
      <w:start w:val="1"/>
      <w:numFmt w:val="bullet"/>
      <w:lvlText w:val=""/>
      <w:lvlJc w:val="left"/>
      <w:pPr>
        <w:tabs>
          <w:tab w:val="num" w:pos="3966"/>
        </w:tabs>
        <w:ind w:left="3966" w:hanging="360"/>
      </w:pPr>
      <w:rPr>
        <w:rFonts w:ascii="Wingdings" w:hAnsi="Wingdings" w:hint="default"/>
      </w:rPr>
    </w:lvl>
    <w:lvl w:ilvl="6" w:tplc="0C090001" w:tentative="1">
      <w:start w:val="1"/>
      <w:numFmt w:val="bullet"/>
      <w:lvlText w:val=""/>
      <w:lvlJc w:val="left"/>
      <w:pPr>
        <w:tabs>
          <w:tab w:val="num" w:pos="4686"/>
        </w:tabs>
        <w:ind w:left="4686" w:hanging="360"/>
      </w:pPr>
      <w:rPr>
        <w:rFonts w:ascii="Symbol" w:hAnsi="Symbol" w:hint="default"/>
      </w:rPr>
    </w:lvl>
    <w:lvl w:ilvl="7" w:tplc="0C090003" w:tentative="1">
      <w:start w:val="1"/>
      <w:numFmt w:val="bullet"/>
      <w:lvlText w:val="o"/>
      <w:lvlJc w:val="left"/>
      <w:pPr>
        <w:tabs>
          <w:tab w:val="num" w:pos="5406"/>
        </w:tabs>
        <w:ind w:left="5406" w:hanging="360"/>
      </w:pPr>
      <w:rPr>
        <w:rFonts w:ascii="Courier New" w:hAnsi="Courier New" w:cs="Courier New" w:hint="default"/>
      </w:rPr>
    </w:lvl>
    <w:lvl w:ilvl="8" w:tplc="0C090005" w:tentative="1">
      <w:start w:val="1"/>
      <w:numFmt w:val="bullet"/>
      <w:lvlText w:val=""/>
      <w:lvlJc w:val="left"/>
      <w:pPr>
        <w:tabs>
          <w:tab w:val="num" w:pos="6126"/>
        </w:tabs>
        <w:ind w:left="6126" w:hanging="360"/>
      </w:pPr>
      <w:rPr>
        <w:rFonts w:ascii="Wingdings" w:hAnsi="Wingdings" w:hint="default"/>
      </w:r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ECF1E67"/>
    <w:multiLevelType w:val="hybridMultilevel"/>
    <w:tmpl w:val="FA3A24D8"/>
    <w:lvl w:ilvl="0" w:tplc="A7223F54">
      <w:numFmt w:val="bullet"/>
      <w:lvlText w:val=""/>
      <w:lvlJc w:val="left"/>
      <w:pPr>
        <w:tabs>
          <w:tab w:val="num" w:pos="366"/>
        </w:tabs>
        <w:ind w:left="346" w:hanging="340"/>
      </w:pPr>
      <w:rPr>
        <w:rFonts w:ascii="Symbol" w:hAnsi="Symbol" w:hint="default"/>
        <w:sz w:val="18"/>
      </w:rPr>
    </w:lvl>
    <w:lvl w:ilvl="1" w:tplc="0C090001">
      <w:start w:val="1"/>
      <w:numFmt w:val="bullet"/>
      <w:lvlText w:val=""/>
      <w:lvlJc w:val="left"/>
      <w:pPr>
        <w:tabs>
          <w:tab w:val="num" w:pos="1446"/>
        </w:tabs>
        <w:ind w:left="1446" w:hanging="360"/>
      </w:pPr>
      <w:rPr>
        <w:rFonts w:ascii="Symbol" w:hAnsi="Symbol" w:hint="default"/>
        <w:sz w:val="18"/>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cs="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cs="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5"/>
  </w:num>
  <w:num w:numId="4">
    <w:abstractNumId w:val="7"/>
  </w:num>
  <w:num w:numId="5">
    <w:abstractNumId w:val="5"/>
  </w:num>
  <w:num w:numId="6">
    <w:abstractNumId w:val="25"/>
  </w:num>
  <w:num w:numId="7">
    <w:abstractNumId w:val="3"/>
  </w:num>
  <w:num w:numId="8">
    <w:abstractNumId w:val="9"/>
  </w:num>
  <w:num w:numId="9">
    <w:abstractNumId w:val="2"/>
  </w:num>
  <w:num w:numId="10">
    <w:abstractNumId w:val="39"/>
  </w:num>
  <w:num w:numId="11">
    <w:abstractNumId w:val="4"/>
  </w:num>
  <w:num w:numId="12">
    <w:abstractNumId w:val="1"/>
  </w:num>
  <w:num w:numId="13">
    <w:abstractNumId w:val="0"/>
  </w:num>
  <w:num w:numId="14">
    <w:abstractNumId w:val="28"/>
  </w:num>
  <w:num w:numId="15">
    <w:abstractNumId w:val="46"/>
  </w:num>
  <w:num w:numId="16">
    <w:abstractNumId w:val="17"/>
  </w:num>
  <w:num w:numId="17">
    <w:abstractNumId w:val="15"/>
  </w:num>
  <w:num w:numId="18">
    <w:abstractNumId w:val="26"/>
  </w:num>
  <w:num w:numId="19">
    <w:abstractNumId w:val="11"/>
  </w:num>
  <w:num w:numId="20">
    <w:abstractNumId w:val="35"/>
  </w:num>
  <w:num w:numId="21">
    <w:abstractNumId w:val="38"/>
  </w:num>
  <w:num w:numId="22">
    <w:abstractNumId w:val="24"/>
  </w:num>
  <w:num w:numId="23">
    <w:abstractNumId w:val="27"/>
  </w:num>
  <w:num w:numId="24">
    <w:abstractNumId w:val="30"/>
  </w:num>
  <w:num w:numId="25">
    <w:abstractNumId w:val="44"/>
  </w:num>
  <w:num w:numId="26">
    <w:abstractNumId w:val="34"/>
  </w:num>
  <w:num w:numId="27">
    <w:abstractNumId w:val="40"/>
  </w:num>
  <w:num w:numId="28">
    <w:abstractNumId w:val="41"/>
  </w:num>
  <w:num w:numId="29">
    <w:abstractNumId w:val="32"/>
  </w:num>
  <w:num w:numId="30">
    <w:abstractNumId w:val="22"/>
  </w:num>
  <w:num w:numId="31">
    <w:abstractNumId w:val="48"/>
  </w:num>
  <w:num w:numId="32">
    <w:abstractNumId w:val="14"/>
  </w:num>
  <w:num w:numId="33">
    <w:abstractNumId w:val="8"/>
  </w:num>
  <w:num w:numId="34">
    <w:abstractNumId w:val="18"/>
  </w:num>
  <w:num w:numId="35">
    <w:abstractNumId w:val="43"/>
  </w:num>
  <w:num w:numId="36">
    <w:abstractNumId w:val="33"/>
  </w:num>
  <w:num w:numId="37">
    <w:abstractNumId w:val="12"/>
  </w:num>
  <w:num w:numId="38">
    <w:abstractNumId w:val="37"/>
  </w:num>
  <w:num w:numId="39">
    <w:abstractNumId w:val="13"/>
  </w:num>
  <w:num w:numId="40">
    <w:abstractNumId w:val="17"/>
  </w:num>
  <w:num w:numId="41">
    <w:abstractNumId w:val="29"/>
  </w:num>
  <w:num w:numId="42">
    <w:abstractNumId w:val="47"/>
  </w:num>
  <w:num w:numId="43">
    <w:abstractNumId w:val="42"/>
  </w:num>
  <w:num w:numId="44">
    <w:abstractNumId w:val="19"/>
  </w:num>
  <w:num w:numId="45">
    <w:abstractNumId w:val="20"/>
  </w:num>
  <w:num w:numId="46">
    <w:abstractNumId w:val="31"/>
  </w:num>
  <w:num w:numId="47">
    <w:abstractNumId w:val="23"/>
  </w:num>
  <w:num w:numId="48">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9">
    <w:abstractNumId w:val="36"/>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Court administration DQI"/>
    <w:docVar w:name="ShortReportTitle" w:val="Report on Government Services 2012 "/>
  </w:docVars>
  <w:rsids>
    <w:rsidRoot w:val="00B96E3E"/>
    <w:rsid w:val="0000233F"/>
    <w:rsid w:val="000026B1"/>
    <w:rsid w:val="00003A8C"/>
    <w:rsid w:val="00010854"/>
    <w:rsid w:val="0001085B"/>
    <w:rsid w:val="0001275F"/>
    <w:rsid w:val="000153D0"/>
    <w:rsid w:val="00016770"/>
    <w:rsid w:val="000202F7"/>
    <w:rsid w:val="00027718"/>
    <w:rsid w:val="00034BFB"/>
    <w:rsid w:val="00035368"/>
    <w:rsid w:val="0003664B"/>
    <w:rsid w:val="0004111F"/>
    <w:rsid w:val="00042685"/>
    <w:rsid w:val="00043C13"/>
    <w:rsid w:val="00043DAC"/>
    <w:rsid w:val="00045013"/>
    <w:rsid w:val="00047A42"/>
    <w:rsid w:val="0005114F"/>
    <w:rsid w:val="00051463"/>
    <w:rsid w:val="000542F4"/>
    <w:rsid w:val="00062F62"/>
    <w:rsid w:val="0006405E"/>
    <w:rsid w:val="000659D4"/>
    <w:rsid w:val="00066833"/>
    <w:rsid w:val="0006762E"/>
    <w:rsid w:val="0007150B"/>
    <w:rsid w:val="000716D9"/>
    <w:rsid w:val="0008198B"/>
    <w:rsid w:val="00090523"/>
    <w:rsid w:val="00092B50"/>
    <w:rsid w:val="000938F5"/>
    <w:rsid w:val="00095E5B"/>
    <w:rsid w:val="0009623A"/>
    <w:rsid w:val="00096F99"/>
    <w:rsid w:val="000A0627"/>
    <w:rsid w:val="000A4E5B"/>
    <w:rsid w:val="000B3C24"/>
    <w:rsid w:val="000B601B"/>
    <w:rsid w:val="000B71E3"/>
    <w:rsid w:val="000C207E"/>
    <w:rsid w:val="000C3450"/>
    <w:rsid w:val="000C3AC0"/>
    <w:rsid w:val="000C42C9"/>
    <w:rsid w:val="000C4901"/>
    <w:rsid w:val="000D221E"/>
    <w:rsid w:val="000D30BC"/>
    <w:rsid w:val="000E04D3"/>
    <w:rsid w:val="000E31CA"/>
    <w:rsid w:val="000E3B7C"/>
    <w:rsid w:val="000E6F99"/>
    <w:rsid w:val="000F287A"/>
    <w:rsid w:val="000F4744"/>
    <w:rsid w:val="00101653"/>
    <w:rsid w:val="00101759"/>
    <w:rsid w:val="00102E46"/>
    <w:rsid w:val="00105DC4"/>
    <w:rsid w:val="00110116"/>
    <w:rsid w:val="00126EB8"/>
    <w:rsid w:val="00126FEE"/>
    <w:rsid w:val="001363AA"/>
    <w:rsid w:val="00137DBE"/>
    <w:rsid w:val="0014734D"/>
    <w:rsid w:val="00150654"/>
    <w:rsid w:val="00153D0C"/>
    <w:rsid w:val="00163E8D"/>
    <w:rsid w:val="001640E2"/>
    <w:rsid w:val="00164472"/>
    <w:rsid w:val="00165A9D"/>
    <w:rsid w:val="00167887"/>
    <w:rsid w:val="00174056"/>
    <w:rsid w:val="0018111E"/>
    <w:rsid w:val="00182776"/>
    <w:rsid w:val="00190192"/>
    <w:rsid w:val="00190D71"/>
    <w:rsid w:val="00192597"/>
    <w:rsid w:val="0019293B"/>
    <w:rsid w:val="00192BE6"/>
    <w:rsid w:val="00195291"/>
    <w:rsid w:val="00196C5B"/>
    <w:rsid w:val="00196EAD"/>
    <w:rsid w:val="0019761A"/>
    <w:rsid w:val="001A14AB"/>
    <w:rsid w:val="001A41D0"/>
    <w:rsid w:val="001A462C"/>
    <w:rsid w:val="001A49A9"/>
    <w:rsid w:val="001A6779"/>
    <w:rsid w:val="001A6E25"/>
    <w:rsid w:val="001A7053"/>
    <w:rsid w:val="001A7971"/>
    <w:rsid w:val="001B21B3"/>
    <w:rsid w:val="001B7363"/>
    <w:rsid w:val="001C0865"/>
    <w:rsid w:val="001C3ABA"/>
    <w:rsid w:val="001C4615"/>
    <w:rsid w:val="001C6CF8"/>
    <w:rsid w:val="001D35B6"/>
    <w:rsid w:val="001D39E9"/>
    <w:rsid w:val="001D633C"/>
    <w:rsid w:val="001E117C"/>
    <w:rsid w:val="001E1B06"/>
    <w:rsid w:val="001E57BC"/>
    <w:rsid w:val="001E77A6"/>
    <w:rsid w:val="001E7BE8"/>
    <w:rsid w:val="001F0248"/>
    <w:rsid w:val="001F19D2"/>
    <w:rsid w:val="001F3CF1"/>
    <w:rsid w:val="001F424E"/>
    <w:rsid w:val="001F7398"/>
    <w:rsid w:val="001F7EF6"/>
    <w:rsid w:val="00201BAA"/>
    <w:rsid w:val="00201BBB"/>
    <w:rsid w:val="00202C2C"/>
    <w:rsid w:val="00203D32"/>
    <w:rsid w:val="00206097"/>
    <w:rsid w:val="00206133"/>
    <w:rsid w:val="00210245"/>
    <w:rsid w:val="00211652"/>
    <w:rsid w:val="00211855"/>
    <w:rsid w:val="00213E85"/>
    <w:rsid w:val="00214AB2"/>
    <w:rsid w:val="002162BE"/>
    <w:rsid w:val="002217BA"/>
    <w:rsid w:val="00221CEE"/>
    <w:rsid w:val="00227152"/>
    <w:rsid w:val="002309D3"/>
    <w:rsid w:val="0023416C"/>
    <w:rsid w:val="002362B1"/>
    <w:rsid w:val="00237E9A"/>
    <w:rsid w:val="00240295"/>
    <w:rsid w:val="00240478"/>
    <w:rsid w:val="00242279"/>
    <w:rsid w:val="00247C3F"/>
    <w:rsid w:val="00247F7B"/>
    <w:rsid w:val="0025439F"/>
    <w:rsid w:val="002621F9"/>
    <w:rsid w:val="0026307C"/>
    <w:rsid w:val="002714B9"/>
    <w:rsid w:val="00277B72"/>
    <w:rsid w:val="00282B08"/>
    <w:rsid w:val="0028336E"/>
    <w:rsid w:val="00286C06"/>
    <w:rsid w:val="00291B40"/>
    <w:rsid w:val="00291D34"/>
    <w:rsid w:val="00292C41"/>
    <w:rsid w:val="002941DF"/>
    <w:rsid w:val="00294909"/>
    <w:rsid w:val="00297E80"/>
    <w:rsid w:val="002A02D9"/>
    <w:rsid w:val="002A09F6"/>
    <w:rsid w:val="002A321D"/>
    <w:rsid w:val="002B287E"/>
    <w:rsid w:val="002B3B8E"/>
    <w:rsid w:val="002B4008"/>
    <w:rsid w:val="002C1ECC"/>
    <w:rsid w:val="002C5D2B"/>
    <w:rsid w:val="002D0E8E"/>
    <w:rsid w:val="002D57C2"/>
    <w:rsid w:val="002E75EF"/>
    <w:rsid w:val="002E7D2B"/>
    <w:rsid w:val="002F70F5"/>
    <w:rsid w:val="00300F25"/>
    <w:rsid w:val="00301189"/>
    <w:rsid w:val="00304CF1"/>
    <w:rsid w:val="0030516A"/>
    <w:rsid w:val="0030756B"/>
    <w:rsid w:val="0032006C"/>
    <w:rsid w:val="00321407"/>
    <w:rsid w:val="0032345F"/>
    <w:rsid w:val="00323E09"/>
    <w:rsid w:val="00327C28"/>
    <w:rsid w:val="003302AE"/>
    <w:rsid w:val="0033121A"/>
    <w:rsid w:val="00331500"/>
    <w:rsid w:val="00333482"/>
    <w:rsid w:val="00333779"/>
    <w:rsid w:val="00333932"/>
    <w:rsid w:val="00341EC5"/>
    <w:rsid w:val="0034473B"/>
    <w:rsid w:val="00345091"/>
    <w:rsid w:val="00346FD6"/>
    <w:rsid w:val="003518AA"/>
    <w:rsid w:val="00351C54"/>
    <w:rsid w:val="00353182"/>
    <w:rsid w:val="00353CC5"/>
    <w:rsid w:val="00356250"/>
    <w:rsid w:val="0035697E"/>
    <w:rsid w:val="00357160"/>
    <w:rsid w:val="003602E1"/>
    <w:rsid w:val="003607ED"/>
    <w:rsid w:val="00361415"/>
    <w:rsid w:val="00362FC9"/>
    <w:rsid w:val="00366111"/>
    <w:rsid w:val="00371240"/>
    <w:rsid w:val="00372E9C"/>
    <w:rsid w:val="00374731"/>
    <w:rsid w:val="003755F6"/>
    <w:rsid w:val="00376B9D"/>
    <w:rsid w:val="00377BB6"/>
    <w:rsid w:val="003815E2"/>
    <w:rsid w:val="00382139"/>
    <w:rsid w:val="003831B0"/>
    <w:rsid w:val="00386EFF"/>
    <w:rsid w:val="00391AC1"/>
    <w:rsid w:val="00395424"/>
    <w:rsid w:val="00395D4C"/>
    <w:rsid w:val="003968F4"/>
    <w:rsid w:val="003B2856"/>
    <w:rsid w:val="003B2C6C"/>
    <w:rsid w:val="003B4629"/>
    <w:rsid w:val="003C38B5"/>
    <w:rsid w:val="003C5D99"/>
    <w:rsid w:val="003C6E88"/>
    <w:rsid w:val="003D08D5"/>
    <w:rsid w:val="003D6908"/>
    <w:rsid w:val="003E012A"/>
    <w:rsid w:val="003E3FB1"/>
    <w:rsid w:val="003F0789"/>
    <w:rsid w:val="003F3047"/>
    <w:rsid w:val="003F51AC"/>
    <w:rsid w:val="00401882"/>
    <w:rsid w:val="00404F8B"/>
    <w:rsid w:val="004052E5"/>
    <w:rsid w:val="00406582"/>
    <w:rsid w:val="00406F53"/>
    <w:rsid w:val="004100C8"/>
    <w:rsid w:val="00412ACE"/>
    <w:rsid w:val="004223F4"/>
    <w:rsid w:val="00425A99"/>
    <w:rsid w:val="00425CF8"/>
    <w:rsid w:val="004279EE"/>
    <w:rsid w:val="00431249"/>
    <w:rsid w:val="00434C19"/>
    <w:rsid w:val="00434DBC"/>
    <w:rsid w:val="004366E5"/>
    <w:rsid w:val="0044003C"/>
    <w:rsid w:val="00442BDE"/>
    <w:rsid w:val="00450810"/>
    <w:rsid w:val="00452148"/>
    <w:rsid w:val="00453488"/>
    <w:rsid w:val="00455E7B"/>
    <w:rsid w:val="00460766"/>
    <w:rsid w:val="00463135"/>
    <w:rsid w:val="004633B4"/>
    <w:rsid w:val="00464422"/>
    <w:rsid w:val="00464ABC"/>
    <w:rsid w:val="004671F8"/>
    <w:rsid w:val="0047028A"/>
    <w:rsid w:val="004712E3"/>
    <w:rsid w:val="0047376D"/>
    <w:rsid w:val="00474C81"/>
    <w:rsid w:val="004753E9"/>
    <w:rsid w:val="00476EF2"/>
    <w:rsid w:val="00477144"/>
    <w:rsid w:val="004812E7"/>
    <w:rsid w:val="004817C1"/>
    <w:rsid w:val="004932E5"/>
    <w:rsid w:val="00493D0C"/>
    <w:rsid w:val="0049459F"/>
    <w:rsid w:val="00495A49"/>
    <w:rsid w:val="00495FF8"/>
    <w:rsid w:val="00496F93"/>
    <w:rsid w:val="00496FAE"/>
    <w:rsid w:val="004A0321"/>
    <w:rsid w:val="004A3096"/>
    <w:rsid w:val="004A31E2"/>
    <w:rsid w:val="004A3386"/>
    <w:rsid w:val="004A6E56"/>
    <w:rsid w:val="004A6FD8"/>
    <w:rsid w:val="004B43AE"/>
    <w:rsid w:val="004B7222"/>
    <w:rsid w:val="004B7494"/>
    <w:rsid w:val="004B7CE8"/>
    <w:rsid w:val="004C0637"/>
    <w:rsid w:val="004C095B"/>
    <w:rsid w:val="004C30ED"/>
    <w:rsid w:val="004C7CE7"/>
    <w:rsid w:val="004E5241"/>
    <w:rsid w:val="004E6E5C"/>
    <w:rsid w:val="004F3440"/>
    <w:rsid w:val="004F37A7"/>
    <w:rsid w:val="004F536B"/>
    <w:rsid w:val="004F5DC6"/>
    <w:rsid w:val="004F62FD"/>
    <w:rsid w:val="004F7B50"/>
    <w:rsid w:val="004F7C4C"/>
    <w:rsid w:val="005000AB"/>
    <w:rsid w:val="0050738F"/>
    <w:rsid w:val="00507BC7"/>
    <w:rsid w:val="00513314"/>
    <w:rsid w:val="0051376F"/>
    <w:rsid w:val="00514D33"/>
    <w:rsid w:val="00515589"/>
    <w:rsid w:val="005167FD"/>
    <w:rsid w:val="0052571E"/>
    <w:rsid w:val="005337EE"/>
    <w:rsid w:val="00543B5D"/>
    <w:rsid w:val="00543B75"/>
    <w:rsid w:val="00544E63"/>
    <w:rsid w:val="005455AC"/>
    <w:rsid w:val="00546B24"/>
    <w:rsid w:val="00550BDB"/>
    <w:rsid w:val="00553BB6"/>
    <w:rsid w:val="00557A95"/>
    <w:rsid w:val="0056248A"/>
    <w:rsid w:val="0056338F"/>
    <w:rsid w:val="00565050"/>
    <w:rsid w:val="005670B8"/>
    <w:rsid w:val="00575A80"/>
    <w:rsid w:val="00581748"/>
    <w:rsid w:val="00583C39"/>
    <w:rsid w:val="00590388"/>
    <w:rsid w:val="005909CF"/>
    <w:rsid w:val="00591227"/>
    <w:rsid w:val="00591E71"/>
    <w:rsid w:val="00593391"/>
    <w:rsid w:val="00593810"/>
    <w:rsid w:val="00593F78"/>
    <w:rsid w:val="005A0D14"/>
    <w:rsid w:val="005B11D7"/>
    <w:rsid w:val="005B1714"/>
    <w:rsid w:val="005B3662"/>
    <w:rsid w:val="005B48D6"/>
    <w:rsid w:val="005B62D5"/>
    <w:rsid w:val="005C04C8"/>
    <w:rsid w:val="005C7CE6"/>
    <w:rsid w:val="005D2CE5"/>
    <w:rsid w:val="005E066E"/>
    <w:rsid w:val="005E2F78"/>
    <w:rsid w:val="005E4DB3"/>
    <w:rsid w:val="005E605C"/>
    <w:rsid w:val="005E7E29"/>
    <w:rsid w:val="00604F9C"/>
    <w:rsid w:val="00607BAA"/>
    <w:rsid w:val="00607BF1"/>
    <w:rsid w:val="00610CD4"/>
    <w:rsid w:val="00612D94"/>
    <w:rsid w:val="00615A57"/>
    <w:rsid w:val="00630A81"/>
    <w:rsid w:val="00630D4D"/>
    <w:rsid w:val="00632A74"/>
    <w:rsid w:val="006340A3"/>
    <w:rsid w:val="00636B8C"/>
    <w:rsid w:val="006400FE"/>
    <w:rsid w:val="00640802"/>
    <w:rsid w:val="00641768"/>
    <w:rsid w:val="00644B3E"/>
    <w:rsid w:val="00651191"/>
    <w:rsid w:val="00661B5F"/>
    <w:rsid w:val="00663F16"/>
    <w:rsid w:val="00666D1D"/>
    <w:rsid w:val="00670869"/>
    <w:rsid w:val="00672955"/>
    <w:rsid w:val="006731B5"/>
    <w:rsid w:val="006771D1"/>
    <w:rsid w:val="00681AF5"/>
    <w:rsid w:val="0068325A"/>
    <w:rsid w:val="00684DB8"/>
    <w:rsid w:val="0069084E"/>
    <w:rsid w:val="0069744C"/>
    <w:rsid w:val="006979C7"/>
    <w:rsid w:val="006A10EE"/>
    <w:rsid w:val="006A4655"/>
    <w:rsid w:val="006A4838"/>
    <w:rsid w:val="006A7AC9"/>
    <w:rsid w:val="006B0837"/>
    <w:rsid w:val="006B2216"/>
    <w:rsid w:val="006B5F7E"/>
    <w:rsid w:val="006B61B4"/>
    <w:rsid w:val="006C3528"/>
    <w:rsid w:val="006C7038"/>
    <w:rsid w:val="006D4850"/>
    <w:rsid w:val="006D4EA2"/>
    <w:rsid w:val="006E0230"/>
    <w:rsid w:val="006E343A"/>
    <w:rsid w:val="006E6135"/>
    <w:rsid w:val="006E65BD"/>
    <w:rsid w:val="006E73EF"/>
    <w:rsid w:val="006F0D3C"/>
    <w:rsid w:val="006F5A92"/>
    <w:rsid w:val="00701D79"/>
    <w:rsid w:val="007021DE"/>
    <w:rsid w:val="00702250"/>
    <w:rsid w:val="00703A69"/>
    <w:rsid w:val="007064E9"/>
    <w:rsid w:val="007066FD"/>
    <w:rsid w:val="0071029E"/>
    <w:rsid w:val="007137BC"/>
    <w:rsid w:val="00715236"/>
    <w:rsid w:val="007210E9"/>
    <w:rsid w:val="007225E3"/>
    <w:rsid w:val="00722AD4"/>
    <w:rsid w:val="00722C3E"/>
    <w:rsid w:val="0072391B"/>
    <w:rsid w:val="00726BFF"/>
    <w:rsid w:val="00730827"/>
    <w:rsid w:val="00731481"/>
    <w:rsid w:val="00735300"/>
    <w:rsid w:val="0073795D"/>
    <w:rsid w:val="00741E5E"/>
    <w:rsid w:val="00753362"/>
    <w:rsid w:val="00757065"/>
    <w:rsid w:val="0076026E"/>
    <w:rsid w:val="007604BB"/>
    <w:rsid w:val="00765BDA"/>
    <w:rsid w:val="007716BB"/>
    <w:rsid w:val="00772DAD"/>
    <w:rsid w:val="0077693A"/>
    <w:rsid w:val="00776B66"/>
    <w:rsid w:val="0078627F"/>
    <w:rsid w:val="00794145"/>
    <w:rsid w:val="00794F08"/>
    <w:rsid w:val="0079676E"/>
    <w:rsid w:val="007A0D49"/>
    <w:rsid w:val="007A21EB"/>
    <w:rsid w:val="007A265A"/>
    <w:rsid w:val="007A4A18"/>
    <w:rsid w:val="007B3ABE"/>
    <w:rsid w:val="007B63F5"/>
    <w:rsid w:val="007B6817"/>
    <w:rsid w:val="007B6EEF"/>
    <w:rsid w:val="007C2C24"/>
    <w:rsid w:val="007C36C9"/>
    <w:rsid w:val="007C736C"/>
    <w:rsid w:val="007C79D3"/>
    <w:rsid w:val="007C79DA"/>
    <w:rsid w:val="007C7A64"/>
    <w:rsid w:val="007D0BFD"/>
    <w:rsid w:val="007D66CA"/>
    <w:rsid w:val="007E01E4"/>
    <w:rsid w:val="007E1567"/>
    <w:rsid w:val="007E2755"/>
    <w:rsid w:val="007E6B15"/>
    <w:rsid w:val="007F2378"/>
    <w:rsid w:val="007F7107"/>
    <w:rsid w:val="00800960"/>
    <w:rsid w:val="00802E29"/>
    <w:rsid w:val="00803FAD"/>
    <w:rsid w:val="00807A4F"/>
    <w:rsid w:val="00807A8D"/>
    <w:rsid w:val="0081030F"/>
    <w:rsid w:val="00813ABE"/>
    <w:rsid w:val="00814046"/>
    <w:rsid w:val="0082087D"/>
    <w:rsid w:val="00823B25"/>
    <w:rsid w:val="00825D8C"/>
    <w:rsid w:val="008353B9"/>
    <w:rsid w:val="008377E7"/>
    <w:rsid w:val="008404AF"/>
    <w:rsid w:val="008442FA"/>
    <w:rsid w:val="008447A7"/>
    <w:rsid w:val="0085082D"/>
    <w:rsid w:val="0085336E"/>
    <w:rsid w:val="00853680"/>
    <w:rsid w:val="00853692"/>
    <w:rsid w:val="00854AF1"/>
    <w:rsid w:val="00857672"/>
    <w:rsid w:val="0086082C"/>
    <w:rsid w:val="00862A64"/>
    <w:rsid w:val="00864ADC"/>
    <w:rsid w:val="00873488"/>
    <w:rsid w:val="00874DB4"/>
    <w:rsid w:val="00876057"/>
    <w:rsid w:val="00876E0E"/>
    <w:rsid w:val="00880153"/>
    <w:rsid w:val="00880F97"/>
    <w:rsid w:val="00881299"/>
    <w:rsid w:val="0088133A"/>
    <w:rsid w:val="00883DCF"/>
    <w:rsid w:val="00885C6B"/>
    <w:rsid w:val="00886146"/>
    <w:rsid w:val="0089195E"/>
    <w:rsid w:val="00891D67"/>
    <w:rsid w:val="0089285E"/>
    <w:rsid w:val="008939BB"/>
    <w:rsid w:val="0089436C"/>
    <w:rsid w:val="00897974"/>
    <w:rsid w:val="008A112E"/>
    <w:rsid w:val="008A3514"/>
    <w:rsid w:val="008A3C20"/>
    <w:rsid w:val="008A48B7"/>
    <w:rsid w:val="008B77F5"/>
    <w:rsid w:val="008B79AA"/>
    <w:rsid w:val="008B7C76"/>
    <w:rsid w:val="008C00BE"/>
    <w:rsid w:val="008C788C"/>
    <w:rsid w:val="008E323F"/>
    <w:rsid w:val="008F2084"/>
    <w:rsid w:val="008F4871"/>
    <w:rsid w:val="009012EA"/>
    <w:rsid w:val="00902529"/>
    <w:rsid w:val="00902803"/>
    <w:rsid w:val="009030BF"/>
    <w:rsid w:val="00905E38"/>
    <w:rsid w:val="00906994"/>
    <w:rsid w:val="009106F0"/>
    <w:rsid w:val="0091129D"/>
    <w:rsid w:val="009122D6"/>
    <w:rsid w:val="00914368"/>
    <w:rsid w:val="00916C59"/>
    <w:rsid w:val="009178BD"/>
    <w:rsid w:val="00920A25"/>
    <w:rsid w:val="00924754"/>
    <w:rsid w:val="00926692"/>
    <w:rsid w:val="0092739D"/>
    <w:rsid w:val="009309BB"/>
    <w:rsid w:val="00931076"/>
    <w:rsid w:val="009345D9"/>
    <w:rsid w:val="00934B15"/>
    <w:rsid w:val="00942B62"/>
    <w:rsid w:val="00944C01"/>
    <w:rsid w:val="00944D4A"/>
    <w:rsid w:val="009530D9"/>
    <w:rsid w:val="009547EA"/>
    <w:rsid w:val="00955B16"/>
    <w:rsid w:val="009564F2"/>
    <w:rsid w:val="009568C6"/>
    <w:rsid w:val="00956A0C"/>
    <w:rsid w:val="00956BD9"/>
    <w:rsid w:val="00962489"/>
    <w:rsid w:val="00964D1A"/>
    <w:rsid w:val="00965610"/>
    <w:rsid w:val="00970DA4"/>
    <w:rsid w:val="00971073"/>
    <w:rsid w:val="0097125C"/>
    <w:rsid w:val="009770CC"/>
    <w:rsid w:val="009774CE"/>
    <w:rsid w:val="00980182"/>
    <w:rsid w:val="00980CE7"/>
    <w:rsid w:val="00984DC3"/>
    <w:rsid w:val="00985529"/>
    <w:rsid w:val="00986035"/>
    <w:rsid w:val="009875C5"/>
    <w:rsid w:val="00987B77"/>
    <w:rsid w:val="00995521"/>
    <w:rsid w:val="0099620F"/>
    <w:rsid w:val="009A51B7"/>
    <w:rsid w:val="009A5C10"/>
    <w:rsid w:val="009A61A0"/>
    <w:rsid w:val="009A6E2F"/>
    <w:rsid w:val="009B18A0"/>
    <w:rsid w:val="009B1A18"/>
    <w:rsid w:val="009B2DA8"/>
    <w:rsid w:val="009C1776"/>
    <w:rsid w:val="009C29F7"/>
    <w:rsid w:val="009C3EC1"/>
    <w:rsid w:val="009C452B"/>
    <w:rsid w:val="009C51EF"/>
    <w:rsid w:val="009D488E"/>
    <w:rsid w:val="009D5D88"/>
    <w:rsid w:val="009E2666"/>
    <w:rsid w:val="009E4070"/>
    <w:rsid w:val="009E5ABB"/>
    <w:rsid w:val="009E76E0"/>
    <w:rsid w:val="009F199D"/>
    <w:rsid w:val="009F68FC"/>
    <w:rsid w:val="009F696D"/>
    <w:rsid w:val="009F6BC6"/>
    <w:rsid w:val="00A0153F"/>
    <w:rsid w:val="00A048FF"/>
    <w:rsid w:val="00A0683E"/>
    <w:rsid w:val="00A10958"/>
    <w:rsid w:val="00A10BF8"/>
    <w:rsid w:val="00A12288"/>
    <w:rsid w:val="00A16EAC"/>
    <w:rsid w:val="00A17328"/>
    <w:rsid w:val="00A1758B"/>
    <w:rsid w:val="00A2158B"/>
    <w:rsid w:val="00A24340"/>
    <w:rsid w:val="00A248D3"/>
    <w:rsid w:val="00A254D5"/>
    <w:rsid w:val="00A2703A"/>
    <w:rsid w:val="00A27B5C"/>
    <w:rsid w:val="00A31A65"/>
    <w:rsid w:val="00A3292F"/>
    <w:rsid w:val="00A33879"/>
    <w:rsid w:val="00A33DA6"/>
    <w:rsid w:val="00A33DFF"/>
    <w:rsid w:val="00A3455F"/>
    <w:rsid w:val="00A34D16"/>
    <w:rsid w:val="00A35115"/>
    <w:rsid w:val="00A3758E"/>
    <w:rsid w:val="00A377A9"/>
    <w:rsid w:val="00A41287"/>
    <w:rsid w:val="00A413E7"/>
    <w:rsid w:val="00A53D85"/>
    <w:rsid w:val="00A554AB"/>
    <w:rsid w:val="00A57C86"/>
    <w:rsid w:val="00A60B54"/>
    <w:rsid w:val="00A652F1"/>
    <w:rsid w:val="00A7432A"/>
    <w:rsid w:val="00A74563"/>
    <w:rsid w:val="00A75B94"/>
    <w:rsid w:val="00A75C96"/>
    <w:rsid w:val="00A90324"/>
    <w:rsid w:val="00A917F7"/>
    <w:rsid w:val="00A918A7"/>
    <w:rsid w:val="00A94225"/>
    <w:rsid w:val="00A94FA6"/>
    <w:rsid w:val="00A95137"/>
    <w:rsid w:val="00A95241"/>
    <w:rsid w:val="00AA1E2A"/>
    <w:rsid w:val="00AA362F"/>
    <w:rsid w:val="00AA6710"/>
    <w:rsid w:val="00AB0681"/>
    <w:rsid w:val="00AB09FE"/>
    <w:rsid w:val="00AB1021"/>
    <w:rsid w:val="00AC1903"/>
    <w:rsid w:val="00AD1400"/>
    <w:rsid w:val="00AD1868"/>
    <w:rsid w:val="00AD77E4"/>
    <w:rsid w:val="00AD7D6A"/>
    <w:rsid w:val="00AE1D2B"/>
    <w:rsid w:val="00AE2DAF"/>
    <w:rsid w:val="00AE2DD3"/>
    <w:rsid w:val="00AE44A7"/>
    <w:rsid w:val="00AE6FBC"/>
    <w:rsid w:val="00AE79F4"/>
    <w:rsid w:val="00AF6AC7"/>
    <w:rsid w:val="00B01E41"/>
    <w:rsid w:val="00B02629"/>
    <w:rsid w:val="00B10B3B"/>
    <w:rsid w:val="00B11DFF"/>
    <w:rsid w:val="00B1340D"/>
    <w:rsid w:val="00B216F7"/>
    <w:rsid w:val="00B23193"/>
    <w:rsid w:val="00B27081"/>
    <w:rsid w:val="00B303E8"/>
    <w:rsid w:val="00B31FC6"/>
    <w:rsid w:val="00B325D0"/>
    <w:rsid w:val="00B35BC0"/>
    <w:rsid w:val="00B478CF"/>
    <w:rsid w:val="00B50306"/>
    <w:rsid w:val="00B51173"/>
    <w:rsid w:val="00B512B7"/>
    <w:rsid w:val="00B5251C"/>
    <w:rsid w:val="00B53114"/>
    <w:rsid w:val="00B53E7E"/>
    <w:rsid w:val="00B5422F"/>
    <w:rsid w:val="00B60836"/>
    <w:rsid w:val="00B62BEA"/>
    <w:rsid w:val="00B62DE7"/>
    <w:rsid w:val="00B6342E"/>
    <w:rsid w:val="00B6345E"/>
    <w:rsid w:val="00B64AE5"/>
    <w:rsid w:val="00B651D5"/>
    <w:rsid w:val="00B66525"/>
    <w:rsid w:val="00B66D5C"/>
    <w:rsid w:val="00B7113F"/>
    <w:rsid w:val="00B74774"/>
    <w:rsid w:val="00B76C5D"/>
    <w:rsid w:val="00B83878"/>
    <w:rsid w:val="00B84204"/>
    <w:rsid w:val="00B862DC"/>
    <w:rsid w:val="00B9194C"/>
    <w:rsid w:val="00B95CAB"/>
    <w:rsid w:val="00B96E3E"/>
    <w:rsid w:val="00B9773E"/>
    <w:rsid w:val="00B97B19"/>
    <w:rsid w:val="00BA4127"/>
    <w:rsid w:val="00BA573C"/>
    <w:rsid w:val="00BA73B6"/>
    <w:rsid w:val="00BB2AD6"/>
    <w:rsid w:val="00BB4FCD"/>
    <w:rsid w:val="00BB52CD"/>
    <w:rsid w:val="00BB531B"/>
    <w:rsid w:val="00BC16F8"/>
    <w:rsid w:val="00BC3AA3"/>
    <w:rsid w:val="00BC4D3B"/>
    <w:rsid w:val="00BD13EA"/>
    <w:rsid w:val="00BE0209"/>
    <w:rsid w:val="00BE375B"/>
    <w:rsid w:val="00BE3808"/>
    <w:rsid w:val="00BE7173"/>
    <w:rsid w:val="00BF05A6"/>
    <w:rsid w:val="00BF206B"/>
    <w:rsid w:val="00BF56E9"/>
    <w:rsid w:val="00BF5DA0"/>
    <w:rsid w:val="00BF6F75"/>
    <w:rsid w:val="00C01491"/>
    <w:rsid w:val="00C039AF"/>
    <w:rsid w:val="00C062E9"/>
    <w:rsid w:val="00C13721"/>
    <w:rsid w:val="00C13C0D"/>
    <w:rsid w:val="00C13DB6"/>
    <w:rsid w:val="00C14E02"/>
    <w:rsid w:val="00C174BF"/>
    <w:rsid w:val="00C174E2"/>
    <w:rsid w:val="00C17B56"/>
    <w:rsid w:val="00C341A4"/>
    <w:rsid w:val="00C344D0"/>
    <w:rsid w:val="00C42E39"/>
    <w:rsid w:val="00C43E88"/>
    <w:rsid w:val="00C45D2C"/>
    <w:rsid w:val="00C543F4"/>
    <w:rsid w:val="00C60423"/>
    <w:rsid w:val="00C61376"/>
    <w:rsid w:val="00C6291C"/>
    <w:rsid w:val="00C633CB"/>
    <w:rsid w:val="00C65CBE"/>
    <w:rsid w:val="00C66FA0"/>
    <w:rsid w:val="00C722E2"/>
    <w:rsid w:val="00C73605"/>
    <w:rsid w:val="00C74137"/>
    <w:rsid w:val="00C744E0"/>
    <w:rsid w:val="00C77D0D"/>
    <w:rsid w:val="00C822ED"/>
    <w:rsid w:val="00C8762C"/>
    <w:rsid w:val="00C90BD4"/>
    <w:rsid w:val="00C9163B"/>
    <w:rsid w:val="00C9214D"/>
    <w:rsid w:val="00C933F7"/>
    <w:rsid w:val="00C94442"/>
    <w:rsid w:val="00CA00F9"/>
    <w:rsid w:val="00CA1294"/>
    <w:rsid w:val="00CA1E8E"/>
    <w:rsid w:val="00CA243A"/>
    <w:rsid w:val="00CA2961"/>
    <w:rsid w:val="00CA481F"/>
    <w:rsid w:val="00CB2B41"/>
    <w:rsid w:val="00CB50D7"/>
    <w:rsid w:val="00CB6200"/>
    <w:rsid w:val="00CB7177"/>
    <w:rsid w:val="00CC1998"/>
    <w:rsid w:val="00CC2599"/>
    <w:rsid w:val="00CC42B6"/>
    <w:rsid w:val="00CC4946"/>
    <w:rsid w:val="00CC5BFC"/>
    <w:rsid w:val="00CC6152"/>
    <w:rsid w:val="00CE0D65"/>
    <w:rsid w:val="00CE2293"/>
    <w:rsid w:val="00CE3B5B"/>
    <w:rsid w:val="00CE6811"/>
    <w:rsid w:val="00CF55B3"/>
    <w:rsid w:val="00D032B3"/>
    <w:rsid w:val="00D1110B"/>
    <w:rsid w:val="00D15ADD"/>
    <w:rsid w:val="00D1765F"/>
    <w:rsid w:val="00D20497"/>
    <w:rsid w:val="00D2412D"/>
    <w:rsid w:val="00D270A4"/>
    <w:rsid w:val="00D27589"/>
    <w:rsid w:val="00D34E1B"/>
    <w:rsid w:val="00D406AF"/>
    <w:rsid w:val="00D41320"/>
    <w:rsid w:val="00D46537"/>
    <w:rsid w:val="00D51456"/>
    <w:rsid w:val="00D51A7A"/>
    <w:rsid w:val="00D51D9F"/>
    <w:rsid w:val="00D54CFC"/>
    <w:rsid w:val="00D603CA"/>
    <w:rsid w:val="00D6158F"/>
    <w:rsid w:val="00D63D73"/>
    <w:rsid w:val="00D66E1E"/>
    <w:rsid w:val="00D72A03"/>
    <w:rsid w:val="00D74185"/>
    <w:rsid w:val="00D74546"/>
    <w:rsid w:val="00D75722"/>
    <w:rsid w:val="00D76509"/>
    <w:rsid w:val="00D7788E"/>
    <w:rsid w:val="00D82381"/>
    <w:rsid w:val="00D85FBD"/>
    <w:rsid w:val="00D867B1"/>
    <w:rsid w:val="00D91108"/>
    <w:rsid w:val="00D94811"/>
    <w:rsid w:val="00D95B0F"/>
    <w:rsid w:val="00D96DB7"/>
    <w:rsid w:val="00DA085C"/>
    <w:rsid w:val="00DA1CC9"/>
    <w:rsid w:val="00DA36CD"/>
    <w:rsid w:val="00DA4992"/>
    <w:rsid w:val="00DA4F5D"/>
    <w:rsid w:val="00DA61A1"/>
    <w:rsid w:val="00DB03FD"/>
    <w:rsid w:val="00DB67C9"/>
    <w:rsid w:val="00DC0C95"/>
    <w:rsid w:val="00DC6090"/>
    <w:rsid w:val="00DC666E"/>
    <w:rsid w:val="00DD0678"/>
    <w:rsid w:val="00DD184D"/>
    <w:rsid w:val="00DD3D61"/>
    <w:rsid w:val="00DD6580"/>
    <w:rsid w:val="00DE2E51"/>
    <w:rsid w:val="00DE36F2"/>
    <w:rsid w:val="00DE5856"/>
    <w:rsid w:val="00DE5F34"/>
    <w:rsid w:val="00E008A7"/>
    <w:rsid w:val="00E01822"/>
    <w:rsid w:val="00E01B32"/>
    <w:rsid w:val="00E15DC0"/>
    <w:rsid w:val="00E16D0A"/>
    <w:rsid w:val="00E179EA"/>
    <w:rsid w:val="00E17C72"/>
    <w:rsid w:val="00E21372"/>
    <w:rsid w:val="00E232A4"/>
    <w:rsid w:val="00E24E83"/>
    <w:rsid w:val="00E2640B"/>
    <w:rsid w:val="00E352C4"/>
    <w:rsid w:val="00E35673"/>
    <w:rsid w:val="00E37635"/>
    <w:rsid w:val="00E4119B"/>
    <w:rsid w:val="00E46C79"/>
    <w:rsid w:val="00E47988"/>
    <w:rsid w:val="00E5459B"/>
    <w:rsid w:val="00E669E2"/>
    <w:rsid w:val="00E67440"/>
    <w:rsid w:val="00E70B71"/>
    <w:rsid w:val="00E7156F"/>
    <w:rsid w:val="00E74300"/>
    <w:rsid w:val="00E76135"/>
    <w:rsid w:val="00E7685D"/>
    <w:rsid w:val="00E817EA"/>
    <w:rsid w:val="00E83407"/>
    <w:rsid w:val="00E86255"/>
    <w:rsid w:val="00E862F3"/>
    <w:rsid w:val="00E86448"/>
    <w:rsid w:val="00E877F6"/>
    <w:rsid w:val="00E96FD9"/>
    <w:rsid w:val="00EA06AA"/>
    <w:rsid w:val="00EA2AAB"/>
    <w:rsid w:val="00EB1CE3"/>
    <w:rsid w:val="00EB36A1"/>
    <w:rsid w:val="00EB59DD"/>
    <w:rsid w:val="00EB61E7"/>
    <w:rsid w:val="00EB7905"/>
    <w:rsid w:val="00EC35FC"/>
    <w:rsid w:val="00EC5697"/>
    <w:rsid w:val="00EC651C"/>
    <w:rsid w:val="00ED1FB1"/>
    <w:rsid w:val="00ED3AA8"/>
    <w:rsid w:val="00ED5EA6"/>
    <w:rsid w:val="00EE3D80"/>
    <w:rsid w:val="00EF17BC"/>
    <w:rsid w:val="00EF5328"/>
    <w:rsid w:val="00EF71BA"/>
    <w:rsid w:val="00EF7BAE"/>
    <w:rsid w:val="00F056FC"/>
    <w:rsid w:val="00F07D2A"/>
    <w:rsid w:val="00F135D8"/>
    <w:rsid w:val="00F26C33"/>
    <w:rsid w:val="00F30B63"/>
    <w:rsid w:val="00F30C6C"/>
    <w:rsid w:val="00F31299"/>
    <w:rsid w:val="00F31A71"/>
    <w:rsid w:val="00F3263B"/>
    <w:rsid w:val="00F3353C"/>
    <w:rsid w:val="00F3534A"/>
    <w:rsid w:val="00F417E4"/>
    <w:rsid w:val="00F4327E"/>
    <w:rsid w:val="00F44863"/>
    <w:rsid w:val="00F47708"/>
    <w:rsid w:val="00F51954"/>
    <w:rsid w:val="00F62B45"/>
    <w:rsid w:val="00F63109"/>
    <w:rsid w:val="00F64578"/>
    <w:rsid w:val="00F646F6"/>
    <w:rsid w:val="00F72A6A"/>
    <w:rsid w:val="00F76B4F"/>
    <w:rsid w:val="00F85325"/>
    <w:rsid w:val="00F86A7F"/>
    <w:rsid w:val="00F90328"/>
    <w:rsid w:val="00F915CD"/>
    <w:rsid w:val="00F95183"/>
    <w:rsid w:val="00F96165"/>
    <w:rsid w:val="00F962B8"/>
    <w:rsid w:val="00F97881"/>
    <w:rsid w:val="00FA003C"/>
    <w:rsid w:val="00FA05D6"/>
    <w:rsid w:val="00FA20C6"/>
    <w:rsid w:val="00FA2E4E"/>
    <w:rsid w:val="00FB0FCD"/>
    <w:rsid w:val="00FB466F"/>
    <w:rsid w:val="00FC5287"/>
    <w:rsid w:val="00FC5421"/>
    <w:rsid w:val="00FC5C8B"/>
    <w:rsid w:val="00FC74D4"/>
    <w:rsid w:val="00FD068D"/>
    <w:rsid w:val="00FD21F9"/>
    <w:rsid w:val="00FD22B1"/>
    <w:rsid w:val="00FD3878"/>
    <w:rsid w:val="00FE0448"/>
    <w:rsid w:val="00FE0E76"/>
    <w:rsid w:val="00FF24E3"/>
    <w:rsid w:val="00FF25B8"/>
    <w:rsid w:val="00FF468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76B4F"/>
    <w:rPr>
      <w:sz w:val="24"/>
      <w:szCs w:val="24"/>
    </w:rPr>
  </w:style>
  <w:style w:type="paragraph" w:styleId="Heading1">
    <w:name w:val="heading 1"/>
    <w:basedOn w:val="BodyText"/>
    <w:next w:val="BodyText"/>
    <w:rsid w:val="00F76B4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76B4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76B4F"/>
    <w:pPr>
      <w:spacing w:before="560" w:line="320" w:lineRule="exact"/>
      <w:ind w:left="0" w:firstLine="0"/>
      <w:outlineLvl w:val="2"/>
    </w:pPr>
    <w:rPr>
      <w:sz w:val="26"/>
    </w:rPr>
  </w:style>
  <w:style w:type="paragraph" w:styleId="Heading4">
    <w:name w:val="heading 4"/>
    <w:basedOn w:val="Heading3"/>
    <w:next w:val="BodyText"/>
    <w:qFormat/>
    <w:rsid w:val="00F76B4F"/>
    <w:pPr>
      <w:spacing w:before="480"/>
      <w:outlineLvl w:val="3"/>
    </w:pPr>
    <w:rPr>
      <w:b w:val="0"/>
      <w:sz w:val="24"/>
    </w:rPr>
  </w:style>
  <w:style w:type="paragraph" w:styleId="Heading5">
    <w:name w:val="heading 5"/>
    <w:basedOn w:val="Heading4"/>
    <w:next w:val="BodyText"/>
    <w:link w:val="Heading5Char"/>
    <w:qFormat/>
    <w:rsid w:val="00F76B4F"/>
    <w:pPr>
      <w:outlineLvl w:val="4"/>
    </w:pPr>
    <w:rPr>
      <w:i/>
      <w:sz w:val="22"/>
    </w:rPr>
  </w:style>
  <w:style w:type="paragraph" w:styleId="Heading6">
    <w:name w:val="heading 6"/>
    <w:basedOn w:val="BodyText"/>
    <w:next w:val="BodyText"/>
    <w:rsid w:val="00F76B4F"/>
    <w:pPr>
      <w:spacing w:after="60"/>
      <w:jc w:val="left"/>
      <w:outlineLvl w:val="5"/>
    </w:pPr>
    <w:rPr>
      <w:i/>
      <w:sz w:val="22"/>
    </w:rPr>
  </w:style>
  <w:style w:type="paragraph" w:styleId="Heading7">
    <w:name w:val="heading 7"/>
    <w:basedOn w:val="BodyText"/>
    <w:next w:val="BodyText"/>
    <w:rsid w:val="00F76B4F"/>
    <w:pPr>
      <w:spacing w:after="60" w:line="240" w:lineRule="auto"/>
      <w:jc w:val="left"/>
      <w:outlineLvl w:val="6"/>
    </w:pPr>
    <w:rPr>
      <w:rFonts w:ascii="Arial" w:hAnsi="Arial"/>
      <w:sz w:val="20"/>
    </w:rPr>
  </w:style>
  <w:style w:type="paragraph" w:styleId="Heading8">
    <w:name w:val="heading 8"/>
    <w:basedOn w:val="BodyText"/>
    <w:next w:val="BodyText"/>
    <w:rsid w:val="00F76B4F"/>
    <w:pPr>
      <w:spacing w:after="60" w:line="240" w:lineRule="auto"/>
      <w:jc w:val="left"/>
      <w:outlineLvl w:val="7"/>
    </w:pPr>
    <w:rPr>
      <w:rFonts w:ascii="Arial" w:hAnsi="Arial"/>
      <w:i/>
      <w:sz w:val="20"/>
    </w:rPr>
  </w:style>
  <w:style w:type="paragraph" w:styleId="Heading9">
    <w:name w:val="heading 9"/>
    <w:basedOn w:val="BodyText"/>
    <w:next w:val="BodyText"/>
    <w:rsid w:val="00F76B4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76B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B4F"/>
  </w:style>
  <w:style w:type="paragraph" w:styleId="BodyText">
    <w:name w:val="Body Text"/>
    <w:link w:val="BodyTextChar"/>
    <w:qFormat/>
    <w:rsid w:val="00F76B4F"/>
    <w:pPr>
      <w:spacing w:before="240" w:line="300" w:lineRule="atLeast"/>
      <w:jc w:val="both"/>
    </w:pPr>
    <w:rPr>
      <w:sz w:val="24"/>
    </w:rPr>
  </w:style>
  <w:style w:type="paragraph" w:styleId="Footer">
    <w:name w:val="footer"/>
    <w:basedOn w:val="BodyText"/>
    <w:link w:val="FooterChar"/>
    <w:rsid w:val="00F76B4F"/>
    <w:pPr>
      <w:spacing w:before="80" w:line="200" w:lineRule="exact"/>
      <w:ind w:right="6"/>
      <w:jc w:val="left"/>
    </w:pPr>
    <w:rPr>
      <w:rFonts w:ascii="Arial" w:hAnsi="Arial"/>
      <w:caps/>
      <w:spacing w:val="-4"/>
      <w:sz w:val="16"/>
    </w:rPr>
  </w:style>
  <w:style w:type="paragraph" w:customStyle="1" w:styleId="FooterEnd">
    <w:name w:val="Footer End"/>
    <w:basedOn w:val="Footer"/>
    <w:rsid w:val="00F76B4F"/>
    <w:pPr>
      <w:spacing w:before="0" w:line="20" w:lineRule="exact"/>
    </w:pPr>
  </w:style>
  <w:style w:type="paragraph" w:styleId="Header">
    <w:name w:val="header"/>
    <w:basedOn w:val="BodyText"/>
    <w:rsid w:val="00F76B4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76B4F"/>
    <w:pPr>
      <w:spacing w:line="20" w:lineRule="exact"/>
    </w:pPr>
    <w:rPr>
      <w:sz w:val="16"/>
    </w:rPr>
  </w:style>
  <w:style w:type="paragraph" w:customStyle="1" w:styleId="HeaderEven">
    <w:name w:val="Header Even"/>
    <w:basedOn w:val="Header"/>
    <w:semiHidden/>
    <w:rsid w:val="00F76B4F"/>
  </w:style>
  <w:style w:type="paragraph" w:customStyle="1" w:styleId="HeaderOdd">
    <w:name w:val="Header Odd"/>
    <w:basedOn w:val="Header"/>
    <w:semiHidden/>
    <w:rsid w:val="00F76B4F"/>
  </w:style>
  <w:style w:type="character" w:styleId="PageNumber">
    <w:name w:val="page number"/>
    <w:basedOn w:val="DefaultParagraphFont"/>
    <w:rsid w:val="00F76B4F"/>
    <w:rPr>
      <w:rFonts w:ascii="Arial" w:hAnsi="Arial"/>
      <w:b/>
      <w:sz w:val="16"/>
    </w:rPr>
  </w:style>
  <w:style w:type="paragraph" w:customStyle="1" w:styleId="Abbreviation">
    <w:name w:val="Abbreviation"/>
    <w:basedOn w:val="BodyText"/>
    <w:rsid w:val="00F76B4F"/>
    <w:pPr>
      <w:spacing w:before="120"/>
      <w:ind w:left="2381" w:hanging="2381"/>
      <w:jc w:val="left"/>
    </w:pPr>
  </w:style>
  <w:style w:type="paragraph" w:customStyle="1" w:styleId="Box">
    <w:name w:val="Box"/>
    <w:basedOn w:val="BodyText"/>
    <w:link w:val="BoxChar"/>
    <w:qFormat/>
    <w:rsid w:val="00F76B4F"/>
    <w:pPr>
      <w:keepNext/>
      <w:spacing w:before="120" w:line="260" w:lineRule="atLeast"/>
    </w:pPr>
    <w:rPr>
      <w:rFonts w:ascii="Arial" w:hAnsi="Arial"/>
      <w:sz w:val="20"/>
    </w:rPr>
  </w:style>
  <w:style w:type="paragraph" w:customStyle="1" w:styleId="BoxContinued">
    <w:name w:val="Box Continued"/>
    <w:basedOn w:val="BodyText"/>
    <w:next w:val="BodyText"/>
    <w:semiHidden/>
    <w:rsid w:val="00F76B4F"/>
    <w:pPr>
      <w:spacing w:before="180" w:line="220" w:lineRule="exact"/>
      <w:jc w:val="right"/>
    </w:pPr>
    <w:rPr>
      <w:rFonts w:ascii="Arial" w:hAnsi="Arial"/>
      <w:sz w:val="18"/>
    </w:rPr>
  </w:style>
  <w:style w:type="paragraph" w:customStyle="1" w:styleId="BoxHeading1">
    <w:name w:val="Box Heading 1"/>
    <w:basedOn w:val="BodyText"/>
    <w:next w:val="Box"/>
    <w:rsid w:val="00F76B4F"/>
    <w:pPr>
      <w:keepNext/>
      <w:spacing w:before="200" w:line="280" w:lineRule="atLeast"/>
    </w:pPr>
    <w:rPr>
      <w:rFonts w:ascii="Arial" w:hAnsi="Arial"/>
      <w:b/>
      <w:sz w:val="22"/>
    </w:rPr>
  </w:style>
  <w:style w:type="paragraph" w:customStyle="1" w:styleId="BoxHeading2">
    <w:name w:val="Box Heading 2"/>
    <w:basedOn w:val="BoxHeading1"/>
    <w:next w:val="Normal"/>
    <w:rsid w:val="00F76B4F"/>
    <w:rPr>
      <w:b w:val="0"/>
      <w:i/>
    </w:rPr>
  </w:style>
  <w:style w:type="paragraph" w:customStyle="1" w:styleId="BoxListBullet">
    <w:name w:val="Box List Bullet"/>
    <w:basedOn w:val="BodyText"/>
    <w:rsid w:val="00F76B4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F76B4F"/>
    <w:pPr>
      <w:numPr>
        <w:numId w:val="2"/>
      </w:numPr>
      <w:ind w:left="568" w:hanging="284"/>
    </w:pPr>
  </w:style>
  <w:style w:type="paragraph" w:customStyle="1" w:styleId="BoxListNumber">
    <w:name w:val="Box List Number"/>
    <w:basedOn w:val="BodyText"/>
    <w:rsid w:val="00F76B4F"/>
    <w:pPr>
      <w:keepNext/>
      <w:numPr>
        <w:numId w:val="39"/>
      </w:numPr>
      <w:spacing w:before="100" w:line="260" w:lineRule="atLeast"/>
    </w:pPr>
    <w:rPr>
      <w:rFonts w:ascii="Arial" w:hAnsi="Arial"/>
      <w:sz w:val="20"/>
    </w:rPr>
  </w:style>
  <w:style w:type="paragraph" w:customStyle="1" w:styleId="BoxListNumber2">
    <w:name w:val="Box List Number 2"/>
    <w:basedOn w:val="BoxListNumber"/>
    <w:rsid w:val="00F76B4F"/>
    <w:pPr>
      <w:numPr>
        <w:ilvl w:val="1"/>
      </w:numPr>
      <w:ind w:left="681" w:hanging="397"/>
    </w:pPr>
  </w:style>
  <w:style w:type="paragraph" w:customStyle="1" w:styleId="BoxQuote">
    <w:name w:val="Box Quote"/>
    <w:basedOn w:val="BodyText"/>
    <w:next w:val="Box"/>
    <w:qFormat/>
    <w:rsid w:val="00F76B4F"/>
    <w:pPr>
      <w:keepNext/>
      <w:spacing w:before="60" w:line="240" w:lineRule="exact"/>
      <w:ind w:left="284"/>
    </w:pPr>
    <w:rPr>
      <w:rFonts w:ascii="Arial" w:hAnsi="Arial"/>
      <w:sz w:val="18"/>
    </w:rPr>
  </w:style>
  <w:style w:type="paragraph" w:customStyle="1" w:styleId="Note">
    <w:name w:val="Note"/>
    <w:basedOn w:val="BodyText"/>
    <w:next w:val="BodyText"/>
    <w:rsid w:val="00F76B4F"/>
    <w:pPr>
      <w:keepLines/>
      <w:spacing w:before="80" w:line="220" w:lineRule="exact"/>
    </w:pPr>
    <w:rPr>
      <w:rFonts w:ascii="Arial" w:hAnsi="Arial"/>
      <w:sz w:val="18"/>
    </w:rPr>
  </w:style>
  <w:style w:type="paragraph" w:customStyle="1" w:styleId="Source">
    <w:name w:val="Source"/>
    <w:basedOn w:val="Normal"/>
    <w:next w:val="BodyText"/>
    <w:rsid w:val="00F76B4F"/>
    <w:pPr>
      <w:keepLines/>
      <w:spacing w:before="80" w:line="220" w:lineRule="exact"/>
      <w:jc w:val="both"/>
    </w:pPr>
    <w:rPr>
      <w:rFonts w:ascii="Arial" w:hAnsi="Arial"/>
      <w:sz w:val="18"/>
      <w:szCs w:val="20"/>
    </w:rPr>
  </w:style>
  <w:style w:type="paragraph" w:customStyle="1" w:styleId="BoxSource">
    <w:name w:val="Box Source"/>
    <w:basedOn w:val="Source"/>
    <w:next w:val="BodyText"/>
    <w:rsid w:val="00F76B4F"/>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F76B4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76B4F"/>
    <w:pPr>
      <w:spacing w:before="120" w:after="0"/>
    </w:pPr>
  </w:style>
  <w:style w:type="paragraph" w:customStyle="1" w:styleId="BoxSubtitle">
    <w:name w:val="Box Subtitle"/>
    <w:basedOn w:val="BoxTitle"/>
    <w:next w:val="Normal"/>
    <w:rsid w:val="00F76B4F"/>
    <w:pPr>
      <w:spacing w:after="80" w:line="200" w:lineRule="exact"/>
      <w:ind w:firstLine="0"/>
    </w:pPr>
    <w:rPr>
      <w:b w:val="0"/>
      <w:sz w:val="20"/>
    </w:rPr>
  </w:style>
  <w:style w:type="paragraph" w:customStyle="1" w:styleId="Chapter">
    <w:name w:val="Chapter"/>
    <w:basedOn w:val="Heading1"/>
    <w:next w:val="BodyText"/>
    <w:semiHidden/>
    <w:rsid w:val="00F76B4F"/>
    <w:pPr>
      <w:ind w:left="0" w:firstLine="0"/>
      <w:outlineLvl w:val="9"/>
    </w:pPr>
  </w:style>
  <w:style w:type="paragraph" w:customStyle="1" w:styleId="ChapterSummary">
    <w:name w:val="Chapter Summary"/>
    <w:basedOn w:val="BodyText"/>
    <w:rsid w:val="00F76B4F"/>
    <w:pPr>
      <w:spacing w:line="280" w:lineRule="atLeast"/>
      <w:ind w:left="907"/>
    </w:pPr>
    <w:rPr>
      <w:rFonts w:ascii="Arial" w:hAnsi="Arial"/>
      <w:b/>
      <w:sz w:val="20"/>
    </w:rPr>
  </w:style>
  <w:style w:type="character" w:styleId="CommentReference">
    <w:name w:val="annotation reference"/>
    <w:basedOn w:val="DefaultParagraphFont"/>
    <w:semiHidden/>
    <w:rsid w:val="00F76B4F"/>
    <w:rPr>
      <w:b/>
      <w:vanish/>
      <w:color w:val="FF00FF"/>
      <w:sz w:val="20"/>
    </w:rPr>
  </w:style>
  <w:style w:type="paragraph" w:styleId="CommentText">
    <w:name w:val="annotation text"/>
    <w:basedOn w:val="Normal"/>
    <w:semiHidden/>
    <w:rsid w:val="00F76B4F"/>
    <w:pPr>
      <w:spacing w:before="120" w:line="240" w:lineRule="atLeast"/>
      <w:ind w:left="567" w:hanging="567"/>
    </w:pPr>
    <w:rPr>
      <w:sz w:val="20"/>
    </w:rPr>
  </w:style>
  <w:style w:type="paragraph" w:customStyle="1" w:styleId="Continued">
    <w:name w:val="Continued"/>
    <w:basedOn w:val="BoxContinued"/>
    <w:next w:val="BodyText"/>
    <w:rsid w:val="00F76B4F"/>
  </w:style>
  <w:style w:type="character" w:customStyle="1" w:styleId="DocumentInfo">
    <w:name w:val="Document Info"/>
    <w:basedOn w:val="DefaultParagraphFont"/>
    <w:semiHidden/>
    <w:rsid w:val="00F76B4F"/>
    <w:rPr>
      <w:rFonts w:ascii="Arial" w:hAnsi="Arial"/>
      <w:sz w:val="14"/>
    </w:rPr>
  </w:style>
  <w:style w:type="character" w:customStyle="1" w:styleId="DraftingNote">
    <w:name w:val="Drafting Note"/>
    <w:basedOn w:val="DefaultParagraphFont"/>
    <w:rsid w:val="00F76B4F"/>
    <w:rPr>
      <w:b/>
      <w:color w:val="FF0000"/>
      <w:sz w:val="24"/>
      <w:u w:val="dotted"/>
    </w:rPr>
  </w:style>
  <w:style w:type="paragraph" w:customStyle="1" w:styleId="Figure">
    <w:name w:val="Figure"/>
    <w:basedOn w:val="BodyText"/>
    <w:rsid w:val="00F76B4F"/>
    <w:pPr>
      <w:keepNext/>
      <w:spacing w:before="120" w:after="120" w:line="240" w:lineRule="atLeast"/>
      <w:jc w:val="center"/>
    </w:pPr>
  </w:style>
  <w:style w:type="paragraph" w:customStyle="1" w:styleId="FigureTitle">
    <w:name w:val="Figure Title"/>
    <w:basedOn w:val="Caption"/>
    <w:next w:val="Subtitle"/>
    <w:rsid w:val="00F76B4F"/>
    <w:pPr>
      <w:spacing w:before="120"/>
    </w:pPr>
  </w:style>
  <w:style w:type="paragraph" w:styleId="Subtitle">
    <w:name w:val="Subtitle"/>
    <w:basedOn w:val="Caption"/>
    <w:link w:val="SubtitleChar"/>
    <w:qFormat/>
    <w:rsid w:val="00F76B4F"/>
    <w:pPr>
      <w:spacing w:before="0" w:line="200" w:lineRule="exact"/>
      <w:ind w:firstLine="0"/>
    </w:pPr>
    <w:rPr>
      <w:b w:val="0"/>
      <w:sz w:val="20"/>
    </w:rPr>
  </w:style>
  <w:style w:type="paragraph" w:customStyle="1" w:styleId="Finding">
    <w:name w:val="Finding"/>
    <w:basedOn w:val="BodyText"/>
    <w:rsid w:val="00F76B4F"/>
    <w:pPr>
      <w:keepLines/>
      <w:spacing w:before="120" w:line="280" w:lineRule="atLeast"/>
    </w:pPr>
    <w:rPr>
      <w:rFonts w:ascii="Arial" w:hAnsi="Arial"/>
      <w:sz w:val="22"/>
    </w:rPr>
  </w:style>
  <w:style w:type="paragraph" w:customStyle="1" w:styleId="FindingBullet">
    <w:name w:val="Finding Bullet"/>
    <w:basedOn w:val="Finding"/>
    <w:rsid w:val="00F76B4F"/>
    <w:pPr>
      <w:numPr>
        <w:numId w:val="3"/>
      </w:numPr>
      <w:spacing w:before="80"/>
    </w:pPr>
  </w:style>
  <w:style w:type="paragraph" w:customStyle="1" w:styleId="FindingNoTitle">
    <w:name w:val="Finding NoTitle"/>
    <w:basedOn w:val="Finding"/>
    <w:rsid w:val="00F76B4F"/>
    <w:pPr>
      <w:spacing w:before="240"/>
    </w:pPr>
  </w:style>
  <w:style w:type="paragraph" w:customStyle="1" w:styleId="RecTitle">
    <w:name w:val="Rec Title"/>
    <w:basedOn w:val="BodyText"/>
    <w:next w:val="Rec"/>
    <w:qFormat/>
    <w:rsid w:val="00F76B4F"/>
    <w:pPr>
      <w:keepNext/>
      <w:keepLines/>
      <w:spacing w:line="280" w:lineRule="atLeast"/>
    </w:pPr>
    <w:rPr>
      <w:rFonts w:ascii="Arial" w:hAnsi="Arial"/>
      <w:caps/>
      <w:sz w:val="18"/>
    </w:rPr>
  </w:style>
  <w:style w:type="paragraph" w:customStyle="1" w:styleId="FindingTitle">
    <w:name w:val="Finding Title"/>
    <w:basedOn w:val="RecTitle"/>
    <w:next w:val="Finding"/>
    <w:rsid w:val="00F76B4F"/>
  </w:style>
  <w:style w:type="character" w:styleId="FootnoteReference">
    <w:name w:val="footnote reference"/>
    <w:basedOn w:val="DefaultParagraphFont"/>
    <w:semiHidden/>
    <w:rsid w:val="00F76B4F"/>
    <w:rPr>
      <w:rFonts w:ascii="Times New Roman" w:hAnsi="Times New Roman"/>
      <w:position w:val="6"/>
      <w:sz w:val="20"/>
      <w:vertAlign w:val="baseline"/>
    </w:rPr>
  </w:style>
  <w:style w:type="paragraph" w:styleId="FootnoteText">
    <w:name w:val="footnote text"/>
    <w:basedOn w:val="BodyText"/>
    <w:rsid w:val="00F76B4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F76B4F"/>
    <w:rPr>
      <w:i/>
    </w:rPr>
  </w:style>
  <w:style w:type="paragraph" w:customStyle="1" w:styleId="Jurisdictioncommentsbodytext">
    <w:name w:val="Jurisdiction comments body text"/>
    <w:rsid w:val="00F76B4F"/>
    <w:pPr>
      <w:spacing w:after="140"/>
      <w:jc w:val="both"/>
    </w:pPr>
    <w:rPr>
      <w:rFonts w:ascii="Arial" w:hAnsi="Arial"/>
      <w:sz w:val="24"/>
      <w:lang w:eastAsia="en-US"/>
    </w:rPr>
  </w:style>
  <w:style w:type="paragraph" w:customStyle="1" w:styleId="Jurisdictioncommentsheading">
    <w:name w:val="Jurisdiction comments heading"/>
    <w:rsid w:val="00F76B4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76B4F"/>
    <w:pPr>
      <w:numPr>
        <w:numId w:val="4"/>
      </w:numPr>
      <w:spacing w:after="140"/>
      <w:jc w:val="both"/>
    </w:pPr>
    <w:rPr>
      <w:rFonts w:ascii="Arial" w:hAnsi="Arial"/>
      <w:sz w:val="24"/>
      <w:lang w:eastAsia="en-US"/>
    </w:rPr>
  </w:style>
  <w:style w:type="paragraph" w:styleId="ListBullet">
    <w:name w:val="List Bullet"/>
    <w:basedOn w:val="BodyText"/>
    <w:rsid w:val="00F76B4F"/>
    <w:pPr>
      <w:numPr>
        <w:numId w:val="6"/>
      </w:numPr>
      <w:spacing w:before="120"/>
    </w:pPr>
  </w:style>
  <w:style w:type="paragraph" w:styleId="ListBullet2">
    <w:name w:val="List Bullet 2"/>
    <w:basedOn w:val="BodyText"/>
    <w:rsid w:val="00F76B4F"/>
    <w:pPr>
      <w:numPr>
        <w:numId w:val="8"/>
      </w:numPr>
      <w:spacing w:before="120"/>
    </w:pPr>
  </w:style>
  <w:style w:type="paragraph" w:styleId="ListBullet3">
    <w:name w:val="List Bullet 3"/>
    <w:basedOn w:val="BodyText"/>
    <w:rsid w:val="00F76B4F"/>
    <w:pPr>
      <w:numPr>
        <w:numId w:val="10"/>
      </w:numPr>
      <w:spacing w:before="120"/>
      <w:ind w:left="1020" w:hanging="340"/>
    </w:pPr>
  </w:style>
  <w:style w:type="paragraph" w:styleId="ListNumber">
    <w:name w:val="List Number"/>
    <w:basedOn w:val="BodyText"/>
    <w:rsid w:val="00F76B4F"/>
    <w:pPr>
      <w:numPr>
        <w:numId w:val="32"/>
      </w:numPr>
      <w:spacing w:before="120"/>
    </w:pPr>
  </w:style>
  <w:style w:type="paragraph" w:styleId="ListNumber2">
    <w:name w:val="List Number 2"/>
    <w:basedOn w:val="ListNumber"/>
    <w:rsid w:val="00F76B4F"/>
    <w:pPr>
      <w:numPr>
        <w:ilvl w:val="1"/>
      </w:numPr>
    </w:pPr>
  </w:style>
  <w:style w:type="paragraph" w:styleId="ListNumber3">
    <w:name w:val="List Number 3"/>
    <w:basedOn w:val="ListNumber2"/>
    <w:rsid w:val="00F76B4F"/>
    <w:pPr>
      <w:numPr>
        <w:ilvl w:val="2"/>
      </w:numPr>
    </w:pPr>
  </w:style>
  <w:style w:type="character" w:customStyle="1" w:styleId="NoteLabel">
    <w:name w:val="Note Label"/>
    <w:basedOn w:val="DefaultParagraphFont"/>
    <w:rsid w:val="00F76B4F"/>
    <w:rPr>
      <w:rFonts w:ascii="Arial" w:hAnsi="Arial"/>
      <w:b/>
      <w:position w:val="6"/>
      <w:sz w:val="18"/>
    </w:rPr>
  </w:style>
  <w:style w:type="paragraph" w:customStyle="1" w:styleId="PartDivider">
    <w:name w:val="Part Divider"/>
    <w:basedOn w:val="BodyText"/>
    <w:next w:val="BodyText"/>
    <w:semiHidden/>
    <w:rsid w:val="00F76B4F"/>
    <w:pPr>
      <w:spacing w:before="0" w:line="40" w:lineRule="exact"/>
      <w:jc w:val="right"/>
    </w:pPr>
    <w:rPr>
      <w:smallCaps/>
      <w:sz w:val="16"/>
    </w:rPr>
  </w:style>
  <w:style w:type="paragraph" w:customStyle="1" w:styleId="PartNumber">
    <w:name w:val="Part Number"/>
    <w:basedOn w:val="BodyText"/>
    <w:next w:val="BodyText"/>
    <w:semiHidden/>
    <w:rsid w:val="00F76B4F"/>
    <w:pPr>
      <w:spacing w:before="4000" w:line="320" w:lineRule="exact"/>
      <w:ind w:left="6634"/>
      <w:jc w:val="right"/>
    </w:pPr>
    <w:rPr>
      <w:smallCaps/>
      <w:spacing w:val="60"/>
      <w:sz w:val="32"/>
    </w:rPr>
  </w:style>
  <w:style w:type="paragraph" w:customStyle="1" w:styleId="PartTitle">
    <w:name w:val="Part Title"/>
    <w:basedOn w:val="BodyText"/>
    <w:semiHidden/>
    <w:rsid w:val="00F76B4F"/>
    <w:pPr>
      <w:spacing w:before="160" w:after="1360" w:line="520" w:lineRule="exact"/>
      <w:ind w:right="2381"/>
      <w:jc w:val="right"/>
    </w:pPr>
    <w:rPr>
      <w:smallCaps/>
      <w:sz w:val="52"/>
    </w:rPr>
  </w:style>
  <w:style w:type="paragraph" w:styleId="Quote">
    <w:name w:val="Quote"/>
    <w:basedOn w:val="BodyText"/>
    <w:next w:val="BodyText"/>
    <w:qFormat/>
    <w:rsid w:val="00F76B4F"/>
    <w:pPr>
      <w:spacing w:before="120" w:line="280" w:lineRule="exact"/>
      <w:ind w:left="340"/>
    </w:pPr>
    <w:rPr>
      <w:sz w:val="22"/>
    </w:rPr>
  </w:style>
  <w:style w:type="paragraph" w:customStyle="1" w:styleId="QuoteBullet">
    <w:name w:val="Quote Bullet"/>
    <w:basedOn w:val="Quote"/>
    <w:rsid w:val="00F76B4F"/>
    <w:pPr>
      <w:numPr>
        <w:numId w:val="14"/>
      </w:numPr>
    </w:pPr>
  </w:style>
  <w:style w:type="paragraph" w:customStyle="1" w:styleId="Rec">
    <w:name w:val="Rec"/>
    <w:basedOn w:val="BodyText"/>
    <w:qFormat/>
    <w:rsid w:val="00F76B4F"/>
    <w:pPr>
      <w:keepLines/>
      <w:spacing w:before="120" w:line="280" w:lineRule="atLeast"/>
    </w:pPr>
    <w:rPr>
      <w:rFonts w:ascii="Arial" w:hAnsi="Arial"/>
      <w:sz w:val="22"/>
    </w:rPr>
  </w:style>
  <w:style w:type="paragraph" w:customStyle="1" w:styleId="RecBullet">
    <w:name w:val="Rec Bullet"/>
    <w:basedOn w:val="Rec"/>
    <w:rsid w:val="00F76B4F"/>
    <w:pPr>
      <w:numPr>
        <w:numId w:val="15"/>
      </w:numPr>
      <w:spacing w:before="80"/>
    </w:pPr>
  </w:style>
  <w:style w:type="paragraph" w:customStyle="1" w:styleId="RecB">
    <w:name w:val="RecB"/>
    <w:basedOn w:val="Normal"/>
    <w:rsid w:val="00F76B4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76B4F"/>
    <w:pPr>
      <w:numPr>
        <w:numId w:val="16"/>
      </w:numPr>
      <w:spacing w:before="80"/>
    </w:pPr>
  </w:style>
  <w:style w:type="paragraph" w:customStyle="1" w:styleId="RecBNoTitle">
    <w:name w:val="RecB NoTitle"/>
    <w:basedOn w:val="RecB"/>
    <w:rsid w:val="00F76B4F"/>
    <w:pPr>
      <w:spacing w:before="240"/>
    </w:pPr>
  </w:style>
  <w:style w:type="paragraph" w:customStyle="1" w:styleId="Reference">
    <w:name w:val="Reference"/>
    <w:basedOn w:val="BodyText"/>
    <w:rsid w:val="00F76B4F"/>
    <w:pPr>
      <w:spacing w:before="120"/>
      <w:ind w:left="340" w:hanging="340"/>
    </w:pPr>
  </w:style>
  <w:style w:type="paragraph" w:customStyle="1" w:styleId="SequenceInfo">
    <w:name w:val="Sequence Info"/>
    <w:basedOn w:val="BodyText"/>
    <w:semiHidden/>
    <w:rsid w:val="00F76B4F"/>
    <w:rPr>
      <w:vanish/>
      <w:sz w:val="16"/>
    </w:rPr>
  </w:style>
  <w:style w:type="paragraph" w:customStyle="1" w:styleId="SideNote">
    <w:name w:val="Side Note"/>
    <w:basedOn w:val="BodyText"/>
    <w:next w:val="BodyText"/>
    <w:semiHidden/>
    <w:rsid w:val="00F76B4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76B4F"/>
    <w:pPr>
      <w:framePr w:wrap="around"/>
      <w:numPr>
        <w:numId w:val="17"/>
      </w:numPr>
      <w:tabs>
        <w:tab w:val="left" w:pos="227"/>
      </w:tabs>
    </w:pPr>
  </w:style>
  <w:style w:type="paragraph" w:customStyle="1" w:styleId="SideNoteGraphic">
    <w:name w:val="Side Note Graphic"/>
    <w:basedOn w:val="SideNote"/>
    <w:next w:val="BodyText"/>
    <w:semiHidden/>
    <w:rsid w:val="00F76B4F"/>
    <w:pPr>
      <w:framePr w:wrap="around"/>
    </w:pPr>
  </w:style>
  <w:style w:type="paragraph" w:customStyle="1" w:styleId="TableBodyText">
    <w:name w:val="Table Body Text"/>
    <w:basedOn w:val="BodyText"/>
    <w:link w:val="TableBodyTextChar"/>
    <w:rsid w:val="00F76B4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F76B4F"/>
    <w:pPr>
      <w:numPr>
        <w:numId w:val="18"/>
      </w:numPr>
      <w:jc w:val="left"/>
    </w:pPr>
  </w:style>
  <w:style w:type="paragraph" w:customStyle="1" w:styleId="TableColumnHeading">
    <w:name w:val="Table Column Heading"/>
    <w:basedOn w:val="TableBodyText"/>
    <w:rsid w:val="00F76B4F"/>
    <w:pPr>
      <w:spacing w:before="80" w:after="80"/>
    </w:pPr>
    <w:rPr>
      <w:i/>
    </w:rPr>
  </w:style>
  <w:style w:type="paragraph" w:styleId="TOC2">
    <w:name w:val="toc 2"/>
    <w:basedOn w:val="TOC1"/>
    <w:rsid w:val="00F76B4F"/>
    <w:pPr>
      <w:ind w:left="1134" w:hanging="624"/>
    </w:pPr>
    <w:rPr>
      <w:b w:val="0"/>
    </w:rPr>
  </w:style>
  <w:style w:type="paragraph" w:styleId="TOC3">
    <w:name w:val="toc 3"/>
    <w:basedOn w:val="TOC2"/>
    <w:rsid w:val="00F76B4F"/>
    <w:pPr>
      <w:spacing w:before="60"/>
      <w:ind w:left="1190" w:hanging="680"/>
    </w:pPr>
  </w:style>
  <w:style w:type="paragraph" w:styleId="TableofFigures">
    <w:name w:val="table of figures"/>
    <w:basedOn w:val="TOC3"/>
    <w:next w:val="BodyText"/>
    <w:semiHidden/>
    <w:rsid w:val="00F76B4F"/>
    <w:pPr>
      <w:ind w:left="737" w:hanging="737"/>
    </w:pPr>
  </w:style>
  <w:style w:type="paragraph" w:customStyle="1" w:styleId="TableTitle">
    <w:name w:val="Table Title"/>
    <w:basedOn w:val="Caption"/>
    <w:next w:val="Subtitle"/>
    <w:qFormat/>
    <w:rsid w:val="00F76B4F"/>
    <w:pPr>
      <w:spacing w:before="120"/>
    </w:pPr>
  </w:style>
  <w:style w:type="paragraph" w:customStyle="1" w:styleId="TableUnitsRow">
    <w:name w:val="Table Units Row"/>
    <w:basedOn w:val="TableBodyText"/>
    <w:rsid w:val="00F76B4F"/>
    <w:pPr>
      <w:spacing w:before="40"/>
    </w:pPr>
  </w:style>
  <w:style w:type="paragraph" w:styleId="TOC1">
    <w:name w:val="toc 1"/>
    <w:basedOn w:val="Normal"/>
    <w:next w:val="TOC2"/>
    <w:link w:val="TOC1Char"/>
    <w:rsid w:val="00F76B4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F76B4F"/>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C77D0D"/>
    <w:rPr>
      <w:rFonts w:ascii="Arial" w:hAnsi="Arial"/>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rsid w:val="00062F62"/>
    <w:rPr>
      <w:rFonts w:ascii="Arial" w:hAnsi="Arial"/>
      <w:sz w:val="18"/>
    </w:rPr>
  </w:style>
  <w:style w:type="character" w:customStyle="1" w:styleId="TableBulletChar">
    <w:name w:val="Table Bullet Char"/>
    <w:link w:val="TableBullet"/>
    <w:rsid w:val="00062F62"/>
    <w:rPr>
      <w:rFonts w:ascii="Arial" w:hAnsi="Arial"/>
      <w:sz w:val="18"/>
    </w:rPr>
  </w:style>
  <w:style w:type="paragraph" w:styleId="BalloonText">
    <w:name w:val="Balloon Text"/>
    <w:basedOn w:val="Normal"/>
    <w:link w:val="BalloonTextChar"/>
    <w:rsid w:val="00F76B4F"/>
    <w:rPr>
      <w:rFonts w:ascii="Tahoma" w:hAnsi="Tahoma" w:cs="Tahoma"/>
      <w:sz w:val="16"/>
      <w:szCs w:val="16"/>
    </w:rPr>
  </w:style>
  <w:style w:type="character" w:customStyle="1" w:styleId="BalloonTextChar">
    <w:name w:val="Balloon Text Char"/>
    <w:basedOn w:val="DefaultParagraphFont"/>
    <w:link w:val="BalloonText"/>
    <w:rsid w:val="00F76B4F"/>
    <w:rPr>
      <w:rFonts w:ascii="Tahoma" w:hAnsi="Tahoma" w:cs="Tahoma"/>
      <w:sz w:val="16"/>
      <w:szCs w:val="16"/>
    </w:rPr>
  </w:style>
  <w:style w:type="character" w:customStyle="1" w:styleId="FooterChar">
    <w:name w:val="Footer Char"/>
    <w:basedOn w:val="BodyTextChar"/>
    <w:link w:val="Footer"/>
    <w:rsid w:val="00F76B4F"/>
    <w:rPr>
      <w:rFonts w:ascii="Arial" w:hAnsi="Arial"/>
      <w:caps/>
      <w:spacing w:val="-4"/>
      <w:sz w:val="16"/>
    </w:rPr>
  </w:style>
  <w:style w:type="paragraph" w:customStyle="1" w:styleId="BoxSpaceAbove">
    <w:name w:val="Box Space Above"/>
    <w:basedOn w:val="BodyText"/>
    <w:rsid w:val="00F76B4F"/>
    <w:pPr>
      <w:keepNext/>
      <w:spacing w:before="360" w:line="80" w:lineRule="exact"/>
      <w:jc w:val="left"/>
    </w:pPr>
  </w:style>
  <w:style w:type="paragraph" w:customStyle="1" w:styleId="RecBBullet2">
    <w:name w:val="RecB Bullet 2"/>
    <w:basedOn w:val="ListBullet2"/>
    <w:semiHidden/>
    <w:rsid w:val="00F76B4F"/>
    <w:pPr>
      <w:pBdr>
        <w:left w:val="single" w:sz="24" w:space="29" w:color="C0C0C0"/>
      </w:pBdr>
    </w:pPr>
    <w:rPr>
      <w:b/>
      <w:i/>
    </w:rPr>
  </w:style>
  <w:style w:type="character" w:customStyle="1" w:styleId="SubtitleChar">
    <w:name w:val="Subtitle Char"/>
    <w:basedOn w:val="DefaultParagraphFont"/>
    <w:link w:val="Subtitle"/>
    <w:rsid w:val="00F76B4F"/>
    <w:rPr>
      <w:rFonts w:ascii="Arial" w:hAnsi="Arial"/>
      <w:szCs w:val="24"/>
    </w:rPr>
  </w:style>
  <w:style w:type="paragraph" w:customStyle="1" w:styleId="BoxListBullet3">
    <w:name w:val="Box List Bullet 3"/>
    <w:basedOn w:val="ListBullet3"/>
    <w:rsid w:val="00F76B4F"/>
    <w:pPr>
      <w:numPr>
        <w:numId w:val="46"/>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76B4F"/>
    <w:rPr>
      <w:i/>
      <w:iCs/>
    </w:rPr>
  </w:style>
  <w:style w:type="paragraph" w:customStyle="1" w:styleId="BoxQuoteBullet">
    <w:name w:val="Box Quote Bullet"/>
    <w:basedOn w:val="BoxQuote"/>
    <w:next w:val="Box"/>
    <w:rsid w:val="00F76B4F"/>
    <w:pPr>
      <w:numPr>
        <w:numId w:val="45"/>
      </w:numPr>
      <w:ind w:left="568" w:hanging="284"/>
    </w:pPr>
  </w:style>
  <w:style w:type="paragraph" w:customStyle="1" w:styleId="InformationRequestBullet">
    <w:name w:val="Information Request Bullet"/>
    <w:basedOn w:val="ListBullet"/>
    <w:next w:val="BodyText"/>
    <w:rsid w:val="00F76B4F"/>
    <w:pPr>
      <w:numPr>
        <w:numId w:val="47"/>
      </w:numPr>
      <w:spacing w:before="80" w:line="280" w:lineRule="atLeast"/>
      <w:ind w:left="357" w:hanging="357"/>
    </w:pPr>
    <w:rPr>
      <w:rFonts w:ascii="Arial" w:hAnsi="Arial"/>
      <w:i/>
      <w:sz w:val="22"/>
    </w:rPr>
  </w:style>
  <w:style w:type="paragraph" w:customStyle="1" w:styleId="BoxSpaceBelow">
    <w:name w:val="Box Space Below"/>
    <w:basedOn w:val="Box"/>
    <w:rsid w:val="00F76B4F"/>
    <w:pPr>
      <w:keepNext w:val="0"/>
      <w:spacing w:before="60" w:after="60" w:line="80" w:lineRule="exact"/>
    </w:pPr>
    <w:rPr>
      <w:sz w:val="14"/>
    </w:rPr>
  </w:style>
  <w:style w:type="paragraph" w:customStyle="1" w:styleId="KeyPointsListBullet">
    <w:name w:val="Key Points List Bullet"/>
    <w:basedOn w:val="Normal"/>
    <w:qFormat/>
    <w:rsid w:val="00F76B4F"/>
    <w:pPr>
      <w:keepNext/>
      <w:numPr>
        <w:numId w:val="4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76B4F"/>
    <w:pPr>
      <w:numPr>
        <w:numId w:val="50"/>
      </w:numPr>
      <w:ind w:left="568" w:hanging="284"/>
    </w:pPr>
  </w:style>
  <w:style w:type="paragraph" w:customStyle="1" w:styleId="InformationRequestTitle">
    <w:name w:val="Information Request Title"/>
    <w:basedOn w:val="FindingTitle"/>
    <w:next w:val="InformationRequest"/>
    <w:rsid w:val="00F76B4F"/>
    <w:rPr>
      <w:i/>
    </w:rPr>
  </w:style>
  <w:style w:type="paragraph" w:customStyle="1" w:styleId="Space">
    <w:name w:val="Space"/>
    <w:basedOn w:val="Normal"/>
    <w:rsid w:val="00F76B4F"/>
    <w:pPr>
      <w:keepNext/>
      <w:spacing w:line="120" w:lineRule="exact"/>
      <w:jc w:val="both"/>
    </w:pPr>
    <w:rPr>
      <w:rFonts w:ascii="Arial" w:hAnsi="Arial"/>
      <w:sz w:val="20"/>
      <w:szCs w:val="20"/>
    </w:rPr>
  </w:style>
  <w:style w:type="paragraph" w:customStyle="1" w:styleId="Heading1nochapterno">
    <w:name w:val="Heading 1 (no chapter no.)"/>
    <w:basedOn w:val="Heading1"/>
    <w:rsid w:val="00F76B4F"/>
    <w:pPr>
      <w:spacing w:before="0"/>
      <w:ind w:left="0" w:firstLine="0"/>
    </w:pPr>
  </w:style>
  <w:style w:type="paragraph" w:customStyle="1" w:styleId="Heading2nosectionno">
    <w:name w:val="Heading 2 (no section no.)"/>
    <w:basedOn w:val="Heading2"/>
    <w:rsid w:val="00F76B4F"/>
    <w:pPr>
      <w:ind w:left="0" w:firstLine="0"/>
    </w:pPr>
  </w:style>
  <w:style w:type="character" w:customStyle="1" w:styleId="Heading5Char">
    <w:name w:val="Heading 5 Char"/>
    <w:basedOn w:val="DefaultParagraphFont"/>
    <w:link w:val="Heading5"/>
    <w:rsid w:val="00F76B4F"/>
    <w:rPr>
      <w:rFonts w:ascii="Arial" w:hAnsi="Arial"/>
      <w:i/>
      <w:sz w:val="22"/>
    </w:rPr>
  </w:style>
  <w:style w:type="paragraph" w:customStyle="1" w:styleId="Figurespace">
    <w:name w:val="Figure space"/>
    <w:basedOn w:val="Box"/>
    <w:rsid w:val="00F76B4F"/>
    <w:pPr>
      <w:spacing w:before="0" w:line="120" w:lineRule="exact"/>
    </w:pPr>
  </w:style>
  <w:style w:type="paragraph" w:customStyle="1" w:styleId="FooterDraftReport">
    <w:name w:val="FooterDraftReport"/>
    <w:basedOn w:val="Footer"/>
    <w:link w:val="FooterDraftReportChar"/>
    <w:rsid w:val="00F76B4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F76B4F"/>
    <w:rPr>
      <w:sz w:val="24"/>
    </w:rPr>
  </w:style>
  <w:style w:type="character" w:customStyle="1" w:styleId="FooterDraftReportChar">
    <w:name w:val="FooterDraftReport Char"/>
    <w:basedOn w:val="FooterChar"/>
    <w:link w:val="FooterDraftReport"/>
    <w:rsid w:val="00F76B4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76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6B4F"/>
    <w:rPr>
      <w:rFonts w:ascii="Arial" w:hAnsi="Arial"/>
      <w:b/>
      <w:sz w:val="26"/>
      <w:szCs w:val="26"/>
      <w:lang w:eastAsia="en-US"/>
    </w:rPr>
  </w:style>
  <w:style w:type="paragraph" w:customStyle="1" w:styleId="DQIContentsTitle">
    <w:name w:val="DQI Contents Title"/>
    <w:basedOn w:val="Heading5"/>
    <w:next w:val="TOC3"/>
    <w:qFormat/>
    <w:rsid w:val="0008198B"/>
    <w:rPr>
      <w:b/>
      <w:i w:val="0"/>
      <w:sz w:val="24"/>
      <w:szCs w:val="24"/>
    </w:rPr>
  </w:style>
  <w:style w:type="paragraph" w:customStyle="1" w:styleId="DQITableText">
    <w:name w:val="DQI Table Text"/>
    <w:basedOn w:val="TableBodyText"/>
    <w:qFormat/>
    <w:rsid w:val="00C722E2"/>
    <w:pPr>
      <w:spacing w:before="120" w:after="0"/>
      <w:ind w:left="0" w:right="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76B4F"/>
    <w:rPr>
      <w:sz w:val="24"/>
      <w:szCs w:val="24"/>
    </w:rPr>
  </w:style>
  <w:style w:type="paragraph" w:styleId="Heading1">
    <w:name w:val="heading 1"/>
    <w:basedOn w:val="BodyText"/>
    <w:next w:val="BodyText"/>
    <w:rsid w:val="00F76B4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76B4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76B4F"/>
    <w:pPr>
      <w:spacing w:before="560" w:line="320" w:lineRule="exact"/>
      <w:ind w:left="0" w:firstLine="0"/>
      <w:outlineLvl w:val="2"/>
    </w:pPr>
    <w:rPr>
      <w:sz w:val="26"/>
    </w:rPr>
  </w:style>
  <w:style w:type="paragraph" w:styleId="Heading4">
    <w:name w:val="heading 4"/>
    <w:basedOn w:val="Heading3"/>
    <w:next w:val="BodyText"/>
    <w:qFormat/>
    <w:rsid w:val="00F76B4F"/>
    <w:pPr>
      <w:spacing w:before="480"/>
      <w:outlineLvl w:val="3"/>
    </w:pPr>
    <w:rPr>
      <w:b w:val="0"/>
      <w:sz w:val="24"/>
    </w:rPr>
  </w:style>
  <w:style w:type="paragraph" w:styleId="Heading5">
    <w:name w:val="heading 5"/>
    <w:basedOn w:val="Heading4"/>
    <w:next w:val="BodyText"/>
    <w:link w:val="Heading5Char"/>
    <w:qFormat/>
    <w:rsid w:val="00F76B4F"/>
    <w:pPr>
      <w:outlineLvl w:val="4"/>
    </w:pPr>
    <w:rPr>
      <w:i/>
      <w:sz w:val="22"/>
    </w:rPr>
  </w:style>
  <w:style w:type="paragraph" w:styleId="Heading6">
    <w:name w:val="heading 6"/>
    <w:basedOn w:val="BodyText"/>
    <w:next w:val="BodyText"/>
    <w:rsid w:val="00F76B4F"/>
    <w:pPr>
      <w:spacing w:after="60"/>
      <w:jc w:val="left"/>
      <w:outlineLvl w:val="5"/>
    </w:pPr>
    <w:rPr>
      <w:i/>
      <w:sz w:val="22"/>
    </w:rPr>
  </w:style>
  <w:style w:type="paragraph" w:styleId="Heading7">
    <w:name w:val="heading 7"/>
    <w:basedOn w:val="BodyText"/>
    <w:next w:val="BodyText"/>
    <w:rsid w:val="00F76B4F"/>
    <w:pPr>
      <w:spacing w:after="60" w:line="240" w:lineRule="auto"/>
      <w:jc w:val="left"/>
      <w:outlineLvl w:val="6"/>
    </w:pPr>
    <w:rPr>
      <w:rFonts w:ascii="Arial" w:hAnsi="Arial"/>
      <w:sz w:val="20"/>
    </w:rPr>
  </w:style>
  <w:style w:type="paragraph" w:styleId="Heading8">
    <w:name w:val="heading 8"/>
    <w:basedOn w:val="BodyText"/>
    <w:next w:val="BodyText"/>
    <w:rsid w:val="00F76B4F"/>
    <w:pPr>
      <w:spacing w:after="60" w:line="240" w:lineRule="auto"/>
      <w:jc w:val="left"/>
      <w:outlineLvl w:val="7"/>
    </w:pPr>
    <w:rPr>
      <w:rFonts w:ascii="Arial" w:hAnsi="Arial"/>
      <w:i/>
      <w:sz w:val="20"/>
    </w:rPr>
  </w:style>
  <w:style w:type="paragraph" w:styleId="Heading9">
    <w:name w:val="heading 9"/>
    <w:basedOn w:val="BodyText"/>
    <w:next w:val="BodyText"/>
    <w:rsid w:val="00F76B4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76B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B4F"/>
  </w:style>
  <w:style w:type="paragraph" w:styleId="BodyText">
    <w:name w:val="Body Text"/>
    <w:link w:val="BodyTextChar"/>
    <w:qFormat/>
    <w:rsid w:val="00F76B4F"/>
    <w:pPr>
      <w:spacing w:before="240" w:line="300" w:lineRule="atLeast"/>
      <w:jc w:val="both"/>
    </w:pPr>
    <w:rPr>
      <w:sz w:val="24"/>
    </w:rPr>
  </w:style>
  <w:style w:type="paragraph" w:styleId="Footer">
    <w:name w:val="footer"/>
    <w:basedOn w:val="BodyText"/>
    <w:link w:val="FooterChar"/>
    <w:rsid w:val="00F76B4F"/>
    <w:pPr>
      <w:spacing w:before="80" w:line="200" w:lineRule="exact"/>
      <w:ind w:right="6"/>
      <w:jc w:val="left"/>
    </w:pPr>
    <w:rPr>
      <w:rFonts w:ascii="Arial" w:hAnsi="Arial"/>
      <w:caps/>
      <w:spacing w:val="-4"/>
      <w:sz w:val="16"/>
    </w:rPr>
  </w:style>
  <w:style w:type="paragraph" w:customStyle="1" w:styleId="FooterEnd">
    <w:name w:val="Footer End"/>
    <w:basedOn w:val="Footer"/>
    <w:rsid w:val="00F76B4F"/>
    <w:pPr>
      <w:spacing w:before="0" w:line="20" w:lineRule="exact"/>
    </w:pPr>
  </w:style>
  <w:style w:type="paragraph" w:styleId="Header">
    <w:name w:val="header"/>
    <w:basedOn w:val="BodyText"/>
    <w:rsid w:val="00F76B4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76B4F"/>
    <w:pPr>
      <w:spacing w:line="20" w:lineRule="exact"/>
    </w:pPr>
    <w:rPr>
      <w:sz w:val="16"/>
    </w:rPr>
  </w:style>
  <w:style w:type="paragraph" w:customStyle="1" w:styleId="HeaderEven">
    <w:name w:val="Header Even"/>
    <w:basedOn w:val="Header"/>
    <w:semiHidden/>
    <w:rsid w:val="00F76B4F"/>
  </w:style>
  <w:style w:type="paragraph" w:customStyle="1" w:styleId="HeaderOdd">
    <w:name w:val="Header Odd"/>
    <w:basedOn w:val="Header"/>
    <w:semiHidden/>
    <w:rsid w:val="00F76B4F"/>
  </w:style>
  <w:style w:type="character" w:styleId="PageNumber">
    <w:name w:val="page number"/>
    <w:basedOn w:val="DefaultParagraphFont"/>
    <w:rsid w:val="00F76B4F"/>
    <w:rPr>
      <w:rFonts w:ascii="Arial" w:hAnsi="Arial"/>
      <w:b/>
      <w:sz w:val="16"/>
    </w:rPr>
  </w:style>
  <w:style w:type="paragraph" w:customStyle="1" w:styleId="Abbreviation">
    <w:name w:val="Abbreviation"/>
    <w:basedOn w:val="BodyText"/>
    <w:rsid w:val="00F76B4F"/>
    <w:pPr>
      <w:spacing w:before="120"/>
      <w:ind w:left="2381" w:hanging="2381"/>
      <w:jc w:val="left"/>
    </w:pPr>
  </w:style>
  <w:style w:type="paragraph" w:customStyle="1" w:styleId="Box">
    <w:name w:val="Box"/>
    <w:basedOn w:val="BodyText"/>
    <w:link w:val="BoxChar"/>
    <w:qFormat/>
    <w:rsid w:val="00F76B4F"/>
    <w:pPr>
      <w:keepNext/>
      <w:spacing w:before="120" w:line="260" w:lineRule="atLeast"/>
    </w:pPr>
    <w:rPr>
      <w:rFonts w:ascii="Arial" w:hAnsi="Arial"/>
      <w:sz w:val="20"/>
    </w:rPr>
  </w:style>
  <w:style w:type="paragraph" w:customStyle="1" w:styleId="BoxContinued">
    <w:name w:val="Box Continued"/>
    <w:basedOn w:val="BodyText"/>
    <w:next w:val="BodyText"/>
    <w:semiHidden/>
    <w:rsid w:val="00F76B4F"/>
    <w:pPr>
      <w:spacing w:before="180" w:line="220" w:lineRule="exact"/>
      <w:jc w:val="right"/>
    </w:pPr>
    <w:rPr>
      <w:rFonts w:ascii="Arial" w:hAnsi="Arial"/>
      <w:sz w:val="18"/>
    </w:rPr>
  </w:style>
  <w:style w:type="paragraph" w:customStyle="1" w:styleId="BoxHeading1">
    <w:name w:val="Box Heading 1"/>
    <w:basedOn w:val="BodyText"/>
    <w:next w:val="Box"/>
    <w:rsid w:val="00F76B4F"/>
    <w:pPr>
      <w:keepNext/>
      <w:spacing w:before="200" w:line="280" w:lineRule="atLeast"/>
    </w:pPr>
    <w:rPr>
      <w:rFonts w:ascii="Arial" w:hAnsi="Arial"/>
      <w:b/>
      <w:sz w:val="22"/>
    </w:rPr>
  </w:style>
  <w:style w:type="paragraph" w:customStyle="1" w:styleId="BoxHeading2">
    <w:name w:val="Box Heading 2"/>
    <w:basedOn w:val="BoxHeading1"/>
    <w:next w:val="Normal"/>
    <w:rsid w:val="00F76B4F"/>
    <w:rPr>
      <w:b w:val="0"/>
      <w:i/>
    </w:rPr>
  </w:style>
  <w:style w:type="paragraph" w:customStyle="1" w:styleId="BoxListBullet">
    <w:name w:val="Box List Bullet"/>
    <w:basedOn w:val="BodyText"/>
    <w:rsid w:val="00F76B4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F76B4F"/>
    <w:pPr>
      <w:numPr>
        <w:numId w:val="2"/>
      </w:numPr>
      <w:ind w:left="568" w:hanging="284"/>
    </w:pPr>
  </w:style>
  <w:style w:type="paragraph" w:customStyle="1" w:styleId="BoxListNumber">
    <w:name w:val="Box List Number"/>
    <w:basedOn w:val="BodyText"/>
    <w:rsid w:val="00F76B4F"/>
    <w:pPr>
      <w:keepNext/>
      <w:numPr>
        <w:numId w:val="39"/>
      </w:numPr>
      <w:spacing w:before="100" w:line="260" w:lineRule="atLeast"/>
    </w:pPr>
    <w:rPr>
      <w:rFonts w:ascii="Arial" w:hAnsi="Arial"/>
      <w:sz w:val="20"/>
    </w:rPr>
  </w:style>
  <w:style w:type="paragraph" w:customStyle="1" w:styleId="BoxListNumber2">
    <w:name w:val="Box List Number 2"/>
    <w:basedOn w:val="BoxListNumber"/>
    <w:rsid w:val="00F76B4F"/>
    <w:pPr>
      <w:numPr>
        <w:ilvl w:val="1"/>
      </w:numPr>
      <w:ind w:left="681" w:hanging="397"/>
    </w:pPr>
  </w:style>
  <w:style w:type="paragraph" w:customStyle="1" w:styleId="BoxQuote">
    <w:name w:val="Box Quote"/>
    <w:basedOn w:val="BodyText"/>
    <w:next w:val="Box"/>
    <w:qFormat/>
    <w:rsid w:val="00F76B4F"/>
    <w:pPr>
      <w:keepNext/>
      <w:spacing w:before="60" w:line="240" w:lineRule="exact"/>
      <w:ind w:left="284"/>
    </w:pPr>
    <w:rPr>
      <w:rFonts w:ascii="Arial" w:hAnsi="Arial"/>
      <w:sz w:val="18"/>
    </w:rPr>
  </w:style>
  <w:style w:type="paragraph" w:customStyle="1" w:styleId="Note">
    <w:name w:val="Note"/>
    <w:basedOn w:val="BodyText"/>
    <w:next w:val="BodyText"/>
    <w:rsid w:val="00F76B4F"/>
    <w:pPr>
      <w:keepLines/>
      <w:spacing w:before="80" w:line="220" w:lineRule="exact"/>
    </w:pPr>
    <w:rPr>
      <w:rFonts w:ascii="Arial" w:hAnsi="Arial"/>
      <w:sz w:val="18"/>
    </w:rPr>
  </w:style>
  <w:style w:type="paragraph" w:customStyle="1" w:styleId="Source">
    <w:name w:val="Source"/>
    <w:basedOn w:val="Normal"/>
    <w:next w:val="BodyText"/>
    <w:rsid w:val="00F76B4F"/>
    <w:pPr>
      <w:keepLines/>
      <w:spacing w:before="80" w:line="220" w:lineRule="exact"/>
      <w:jc w:val="both"/>
    </w:pPr>
    <w:rPr>
      <w:rFonts w:ascii="Arial" w:hAnsi="Arial"/>
      <w:sz w:val="18"/>
      <w:szCs w:val="20"/>
    </w:rPr>
  </w:style>
  <w:style w:type="paragraph" w:customStyle="1" w:styleId="BoxSource">
    <w:name w:val="Box Source"/>
    <w:basedOn w:val="Source"/>
    <w:next w:val="BodyText"/>
    <w:rsid w:val="00F76B4F"/>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F76B4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76B4F"/>
    <w:pPr>
      <w:spacing w:before="120" w:after="0"/>
    </w:pPr>
  </w:style>
  <w:style w:type="paragraph" w:customStyle="1" w:styleId="BoxSubtitle">
    <w:name w:val="Box Subtitle"/>
    <w:basedOn w:val="BoxTitle"/>
    <w:next w:val="Normal"/>
    <w:rsid w:val="00F76B4F"/>
    <w:pPr>
      <w:spacing w:after="80" w:line="200" w:lineRule="exact"/>
      <w:ind w:firstLine="0"/>
    </w:pPr>
    <w:rPr>
      <w:b w:val="0"/>
      <w:sz w:val="20"/>
    </w:rPr>
  </w:style>
  <w:style w:type="paragraph" w:customStyle="1" w:styleId="Chapter">
    <w:name w:val="Chapter"/>
    <w:basedOn w:val="Heading1"/>
    <w:next w:val="BodyText"/>
    <w:semiHidden/>
    <w:rsid w:val="00F76B4F"/>
    <w:pPr>
      <w:ind w:left="0" w:firstLine="0"/>
      <w:outlineLvl w:val="9"/>
    </w:pPr>
  </w:style>
  <w:style w:type="paragraph" w:customStyle="1" w:styleId="ChapterSummary">
    <w:name w:val="Chapter Summary"/>
    <w:basedOn w:val="BodyText"/>
    <w:rsid w:val="00F76B4F"/>
    <w:pPr>
      <w:spacing w:line="280" w:lineRule="atLeast"/>
      <w:ind w:left="907"/>
    </w:pPr>
    <w:rPr>
      <w:rFonts w:ascii="Arial" w:hAnsi="Arial"/>
      <w:b/>
      <w:sz w:val="20"/>
    </w:rPr>
  </w:style>
  <w:style w:type="character" w:styleId="CommentReference">
    <w:name w:val="annotation reference"/>
    <w:basedOn w:val="DefaultParagraphFont"/>
    <w:semiHidden/>
    <w:rsid w:val="00F76B4F"/>
    <w:rPr>
      <w:b/>
      <w:vanish/>
      <w:color w:val="FF00FF"/>
      <w:sz w:val="20"/>
    </w:rPr>
  </w:style>
  <w:style w:type="paragraph" w:styleId="CommentText">
    <w:name w:val="annotation text"/>
    <w:basedOn w:val="Normal"/>
    <w:semiHidden/>
    <w:rsid w:val="00F76B4F"/>
    <w:pPr>
      <w:spacing w:before="120" w:line="240" w:lineRule="atLeast"/>
      <w:ind w:left="567" w:hanging="567"/>
    </w:pPr>
    <w:rPr>
      <w:sz w:val="20"/>
    </w:rPr>
  </w:style>
  <w:style w:type="paragraph" w:customStyle="1" w:styleId="Continued">
    <w:name w:val="Continued"/>
    <w:basedOn w:val="BoxContinued"/>
    <w:next w:val="BodyText"/>
    <w:rsid w:val="00F76B4F"/>
  </w:style>
  <w:style w:type="character" w:customStyle="1" w:styleId="DocumentInfo">
    <w:name w:val="Document Info"/>
    <w:basedOn w:val="DefaultParagraphFont"/>
    <w:semiHidden/>
    <w:rsid w:val="00F76B4F"/>
    <w:rPr>
      <w:rFonts w:ascii="Arial" w:hAnsi="Arial"/>
      <w:sz w:val="14"/>
    </w:rPr>
  </w:style>
  <w:style w:type="character" w:customStyle="1" w:styleId="DraftingNote">
    <w:name w:val="Drafting Note"/>
    <w:basedOn w:val="DefaultParagraphFont"/>
    <w:rsid w:val="00F76B4F"/>
    <w:rPr>
      <w:b/>
      <w:color w:val="FF0000"/>
      <w:sz w:val="24"/>
      <w:u w:val="dotted"/>
    </w:rPr>
  </w:style>
  <w:style w:type="paragraph" w:customStyle="1" w:styleId="Figure">
    <w:name w:val="Figure"/>
    <w:basedOn w:val="BodyText"/>
    <w:rsid w:val="00F76B4F"/>
    <w:pPr>
      <w:keepNext/>
      <w:spacing w:before="120" w:after="120" w:line="240" w:lineRule="atLeast"/>
      <w:jc w:val="center"/>
    </w:pPr>
  </w:style>
  <w:style w:type="paragraph" w:customStyle="1" w:styleId="FigureTitle">
    <w:name w:val="Figure Title"/>
    <w:basedOn w:val="Caption"/>
    <w:next w:val="Subtitle"/>
    <w:rsid w:val="00F76B4F"/>
    <w:pPr>
      <w:spacing w:before="120"/>
    </w:pPr>
  </w:style>
  <w:style w:type="paragraph" w:styleId="Subtitle">
    <w:name w:val="Subtitle"/>
    <w:basedOn w:val="Caption"/>
    <w:link w:val="SubtitleChar"/>
    <w:qFormat/>
    <w:rsid w:val="00F76B4F"/>
    <w:pPr>
      <w:spacing w:before="0" w:line="200" w:lineRule="exact"/>
      <w:ind w:firstLine="0"/>
    </w:pPr>
    <w:rPr>
      <w:b w:val="0"/>
      <w:sz w:val="20"/>
    </w:rPr>
  </w:style>
  <w:style w:type="paragraph" w:customStyle="1" w:styleId="Finding">
    <w:name w:val="Finding"/>
    <w:basedOn w:val="BodyText"/>
    <w:rsid w:val="00F76B4F"/>
    <w:pPr>
      <w:keepLines/>
      <w:spacing w:before="120" w:line="280" w:lineRule="atLeast"/>
    </w:pPr>
    <w:rPr>
      <w:rFonts w:ascii="Arial" w:hAnsi="Arial"/>
      <w:sz w:val="22"/>
    </w:rPr>
  </w:style>
  <w:style w:type="paragraph" w:customStyle="1" w:styleId="FindingBullet">
    <w:name w:val="Finding Bullet"/>
    <w:basedOn w:val="Finding"/>
    <w:rsid w:val="00F76B4F"/>
    <w:pPr>
      <w:numPr>
        <w:numId w:val="3"/>
      </w:numPr>
      <w:spacing w:before="80"/>
    </w:pPr>
  </w:style>
  <w:style w:type="paragraph" w:customStyle="1" w:styleId="FindingNoTitle">
    <w:name w:val="Finding NoTitle"/>
    <w:basedOn w:val="Finding"/>
    <w:rsid w:val="00F76B4F"/>
    <w:pPr>
      <w:spacing w:before="240"/>
    </w:pPr>
  </w:style>
  <w:style w:type="paragraph" w:customStyle="1" w:styleId="RecTitle">
    <w:name w:val="Rec Title"/>
    <w:basedOn w:val="BodyText"/>
    <w:next w:val="Rec"/>
    <w:qFormat/>
    <w:rsid w:val="00F76B4F"/>
    <w:pPr>
      <w:keepNext/>
      <w:keepLines/>
      <w:spacing w:line="280" w:lineRule="atLeast"/>
    </w:pPr>
    <w:rPr>
      <w:rFonts w:ascii="Arial" w:hAnsi="Arial"/>
      <w:caps/>
      <w:sz w:val="18"/>
    </w:rPr>
  </w:style>
  <w:style w:type="paragraph" w:customStyle="1" w:styleId="FindingTitle">
    <w:name w:val="Finding Title"/>
    <w:basedOn w:val="RecTitle"/>
    <w:next w:val="Finding"/>
    <w:rsid w:val="00F76B4F"/>
  </w:style>
  <w:style w:type="character" w:styleId="FootnoteReference">
    <w:name w:val="footnote reference"/>
    <w:basedOn w:val="DefaultParagraphFont"/>
    <w:semiHidden/>
    <w:rsid w:val="00F76B4F"/>
    <w:rPr>
      <w:rFonts w:ascii="Times New Roman" w:hAnsi="Times New Roman"/>
      <w:position w:val="6"/>
      <w:sz w:val="20"/>
      <w:vertAlign w:val="baseline"/>
    </w:rPr>
  </w:style>
  <w:style w:type="paragraph" w:styleId="FootnoteText">
    <w:name w:val="footnote text"/>
    <w:basedOn w:val="BodyText"/>
    <w:rsid w:val="00F76B4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F76B4F"/>
    <w:rPr>
      <w:i/>
    </w:rPr>
  </w:style>
  <w:style w:type="paragraph" w:customStyle="1" w:styleId="Jurisdictioncommentsbodytext">
    <w:name w:val="Jurisdiction comments body text"/>
    <w:rsid w:val="00F76B4F"/>
    <w:pPr>
      <w:spacing w:after="140"/>
      <w:jc w:val="both"/>
    </w:pPr>
    <w:rPr>
      <w:rFonts w:ascii="Arial" w:hAnsi="Arial"/>
      <w:sz w:val="24"/>
      <w:lang w:eastAsia="en-US"/>
    </w:rPr>
  </w:style>
  <w:style w:type="paragraph" w:customStyle="1" w:styleId="Jurisdictioncommentsheading">
    <w:name w:val="Jurisdiction comments heading"/>
    <w:rsid w:val="00F76B4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76B4F"/>
    <w:pPr>
      <w:numPr>
        <w:numId w:val="4"/>
      </w:numPr>
      <w:spacing w:after="140"/>
      <w:jc w:val="both"/>
    </w:pPr>
    <w:rPr>
      <w:rFonts w:ascii="Arial" w:hAnsi="Arial"/>
      <w:sz w:val="24"/>
      <w:lang w:eastAsia="en-US"/>
    </w:rPr>
  </w:style>
  <w:style w:type="paragraph" w:styleId="ListBullet">
    <w:name w:val="List Bullet"/>
    <w:basedOn w:val="BodyText"/>
    <w:rsid w:val="00F76B4F"/>
    <w:pPr>
      <w:numPr>
        <w:numId w:val="6"/>
      </w:numPr>
      <w:spacing w:before="120"/>
    </w:pPr>
  </w:style>
  <w:style w:type="paragraph" w:styleId="ListBullet2">
    <w:name w:val="List Bullet 2"/>
    <w:basedOn w:val="BodyText"/>
    <w:rsid w:val="00F76B4F"/>
    <w:pPr>
      <w:numPr>
        <w:numId w:val="8"/>
      </w:numPr>
      <w:spacing w:before="120"/>
    </w:pPr>
  </w:style>
  <w:style w:type="paragraph" w:styleId="ListBullet3">
    <w:name w:val="List Bullet 3"/>
    <w:basedOn w:val="BodyText"/>
    <w:rsid w:val="00F76B4F"/>
    <w:pPr>
      <w:numPr>
        <w:numId w:val="10"/>
      </w:numPr>
      <w:spacing w:before="120"/>
      <w:ind w:left="1020" w:hanging="340"/>
    </w:pPr>
  </w:style>
  <w:style w:type="paragraph" w:styleId="ListNumber">
    <w:name w:val="List Number"/>
    <w:basedOn w:val="BodyText"/>
    <w:rsid w:val="00F76B4F"/>
    <w:pPr>
      <w:numPr>
        <w:numId w:val="32"/>
      </w:numPr>
      <w:spacing w:before="120"/>
    </w:pPr>
  </w:style>
  <w:style w:type="paragraph" w:styleId="ListNumber2">
    <w:name w:val="List Number 2"/>
    <w:basedOn w:val="ListNumber"/>
    <w:rsid w:val="00F76B4F"/>
    <w:pPr>
      <w:numPr>
        <w:ilvl w:val="1"/>
      </w:numPr>
    </w:pPr>
  </w:style>
  <w:style w:type="paragraph" w:styleId="ListNumber3">
    <w:name w:val="List Number 3"/>
    <w:basedOn w:val="ListNumber2"/>
    <w:rsid w:val="00F76B4F"/>
    <w:pPr>
      <w:numPr>
        <w:ilvl w:val="2"/>
      </w:numPr>
    </w:pPr>
  </w:style>
  <w:style w:type="character" w:customStyle="1" w:styleId="NoteLabel">
    <w:name w:val="Note Label"/>
    <w:basedOn w:val="DefaultParagraphFont"/>
    <w:rsid w:val="00F76B4F"/>
    <w:rPr>
      <w:rFonts w:ascii="Arial" w:hAnsi="Arial"/>
      <w:b/>
      <w:position w:val="6"/>
      <w:sz w:val="18"/>
    </w:rPr>
  </w:style>
  <w:style w:type="paragraph" w:customStyle="1" w:styleId="PartDivider">
    <w:name w:val="Part Divider"/>
    <w:basedOn w:val="BodyText"/>
    <w:next w:val="BodyText"/>
    <w:semiHidden/>
    <w:rsid w:val="00F76B4F"/>
    <w:pPr>
      <w:spacing w:before="0" w:line="40" w:lineRule="exact"/>
      <w:jc w:val="right"/>
    </w:pPr>
    <w:rPr>
      <w:smallCaps/>
      <w:sz w:val="16"/>
    </w:rPr>
  </w:style>
  <w:style w:type="paragraph" w:customStyle="1" w:styleId="PartNumber">
    <w:name w:val="Part Number"/>
    <w:basedOn w:val="BodyText"/>
    <w:next w:val="BodyText"/>
    <w:semiHidden/>
    <w:rsid w:val="00F76B4F"/>
    <w:pPr>
      <w:spacing w:before="4000" w:line="320" w:lineRule="exact"/>
      <w:ind w:left="6634"/>
      <w:jc w:val="right"/>
    </w:pPr>
    <w:rPr>
      <w:smallCaps/>
      <w:spacing w:val="60"/>
      <w:sz w:val="32"/>
    </w:rPr>
  </w:style>
  <w:style w:type="paragraph" w:customStyle="1" w:styleId="PartTitle">
    <w:name w:val="Part Title"/>
    <w:basedOn w:val="BodyText"/>
    <w:semiHidden/>
    <w:rsid w:val="00F76B4F"/>
    <w:pPr>
      <w:spacing w:before="160" w:after="1360" w:line="520" w:lineRule="exact"/>
      <w:ind w:right="2381"/>
      <w:jc w:val="right"/>
    </w:pPr>
    <w:rPr>
      <w:smallCaps/>
      <w:sz w:val="52"/>
    </w:rPr>
  </w:style>
  <w:style w:type="paragraph" w:styleId="Quote">
    <w:name w:val="Quote"/>
    <w:basedOn w:val="BodyText"/>
    <w:next w:val="BodyText"/>
    <w:qFormat/>
    <w:rsid w:val="00F76B4F"/>
    <w:pPr>
      <w:spacing w:before="120" w:line="280" w:lineRule="exact"/>
      <w:ind w:left="340"/>
    </w:pPr>
    <w:rPr>
      <w:sz w:val="22"/>
    </w:rPr>
  </w:style>
  <w:style w:type="paragraph" w:customStyle="1" w:styleId="QuoteBullet">
    <w:name w:val="Quote Bullet"/>
    <w:basedOn w:val="Quote"/>
    <w:rsid w:val="00F76B4F"/>
    <w:pPr>
      <w:numPr>
        <w:numId w:val="14"/>
      </w:numPr>
    </w:pPr>
  </w:style>
  <w:style w:type="paragraph" w:customStyle="1" w:styleId="Rec">
    <w:name w:val="Rec"/>
    <w:basedOn w:val="BodyText"/>
    <w:qFormat/>
    <w:rsid w:val="00F76B4F"/>
    <w:pPr>
      <w:keepLines/>
      <w:spacing w:before="120" w:line="280" w:lineRule="atLeast"/>
    </w:pPr>
    <w:rPr>
      <w:rFonts w:ascii="Arial" w:hAnsi="Arial"/>
      <w:sz w:val="22"/>
    </w:rPr>
  </w:style>
  <w:style w:type="paragraph" w:customStyle="1" w:styleId="RecBullet">
    <w:name w:val="Rec Bullet"/>
    <w:basedOn w:val="Rec"/>
    <w:rsid w:val="00F76B4F"/>
    <w:pPr>
      <w:numPr>
        <w:numId w:val="15"/>
      </w:numPr>
      <w:spacing w:before="80"/>
    </w:pPr>
  </w:style>
  <w:style w:type="paragraph" w:customStyle="1" w:styleId="RecB">
    <w:name w:val="RecB"/>
    <w:basedOn w:val="Normal"/>
    <w:rsid w:val="00F76B4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76B4F"/>
    <w:pPr>
      <w:numPr>
        <w:numId w:val="16"/>
      </w:numPr>
      <w:spacing w:before="80"/>
    </w:pPr>
  </w:style>
  <w:style w:type="paragraph" w:customStyle="1" w:styleId="RecBNoTitle">
    <w:name w:val="RecB NoTitle"/>
    <w:basedOn w:val="RecB"/>
    <w:rsid w:val="00F76B4F"/>
    <w:pPr>
      <w:spacing w:before="240"/>
    </w:pPr>
  </w:style>
  <w:style w:type="paragraph" w:customStyle="1" w:styleId="Reference">
    <w:name w:val="Reference"/>
    <w:basedOn w:val="BodyText"/>
    <w:rsid w:val="00F76B4F"/>
    <w:pPr>
      <w:spacing w:before="120"/>
      <w:ind w:left="340" w:hanging="340"/>
    </w:pPr>
  </w:style>
  <w:style w:type="paragraph" w:customStyle="1" w:styleId="SequenceInfo">
    <w:name w:val="Sequence Info"/>
    <w:basedOn w:val="BodyText"/>
    <w:semiHidden/>
    <w:rsid w:val="00F76B4F"/>
    <w:rPr>
      <w:vanish/>
      <w:sz w:val="16"/>
    </w:rPr>
  </w:style>
  <w:style w:type="paragraph" w:customStyle="1" w:styleId="SideNote">
    <w:name w:val="Side Note"/>
    <w:basedOn w:val="BodyText"/>
    <w:next w:val="BodyText"/>
    <w:semiHidden/>
    <w:rsid w:val="00F76B4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76B4F"/>
    <w:pPr>
      <w:framePr w:wrap="around"/>
      <w:numPr>
        <w:numId w:val="17"/>
      </w:numPr>
      <w:tabs>
        <w:tab w:val="left" w:pos="227"/>
      </w:tabs>
    </w:pPr>
  </w:style>
  <w:style w:type="paragraph" w:customStyle="1" w:styleId="SideNoteGraphic">
    <w:name w:val="Side Note Graphic"/>
    <w:basedOn w:val="SideNote"/>
    <w:next w:val="BodyText"/>
    <w:semiHidden/>
    <w:rsid w:val="00F76B4F"/>
    <w:pPr>
      <w:framePr w:wrap="around"/>
    </w:pPr>
  </w:style>
  <w:style w:type="paragraph" w:customStyle="1" w:styleId="TableBodyText">
    <w:name w:val="Table Body Text"/>
    <w:basedOn w:val="BodyText"/>
    <w:link w:val="TableBodyTextChar"/>
    <w:rsid w:val="00F76B4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F76B4F"/>
    <w:pPr>
      <w:numPr>
        <w:numId w:val="18"/>
      </w:numPr>
      <w:jc w:val="left"/>
    </w:pPr>
  </w:style>
  <w:style w:type="paragraph" w:customStyle="1" w:styleId="TableColumnHeading">
    <w:name w:val="Table Column Heading"/>
    <w:basedOn w:val="TableBodyText"/>
    <w:rsid w:val="00F76B4F"/>
    <w:pPr>
      <w:spacing w:before="80" w:after="80"/>
    </w:pPr>
    <w:rPr>
      <w:i/>
    </w:rPr>
  </w:style>
  <w:style w:type="paragraph" w:styleId="TOC2">
    <w:name w:val="toc 2"/>
    <w:basedOn w:val="TOC1"/>
    <w:rsid w:val="00F76B4F"/>
    <w:pPr>
      <w:ind w:left="1134" w:hanging="624"/>
    </w:pPr>
    <w:rPr>
      <w:b w:val="0"/>
    </w:rPr>
  </w:style>
  <w:style w:type="paragraph" w:styleId="TOC3">
    <w:name w:val="toc 3"/>
    <w:basedOn w:val="TOC2"/>
    <w:rsid w:val="00F76B4F"/>
    <w:pPr>
      <w:spacing w:before="60"/>
      <w:ind w:left="1190" w:hanging="680"/>
    </w:pPr>
  </w:style>
  <w:style w:type="paragraph" w:styleId="TableofFigures">
    <w:name w:val="table of figures"/>
    <w:basedOn w:val="TOC3"/>
    <w:next w:val="BodyText"/>
    <w:semiHidden/>
    <w:rsid w:val="00F76B4F"/>
    <w:pPr>
      <w:ind w:left="737" w:hanging="737"/>
    </w:pPr>
  </w:style>
  <w:style w:type="paragraph" w:customStyle="1" w:styleId="TableTitle">
    <w:name w:val="Table Title"/>
    <w:basedOn w:val="Caption"/>
    <w:next w:val="Subtitle"/>
    <w:qFormat/>
    <w:rsid w:val="00F76B4F"/>
    <w:pPr>
      <w:spacing w:before="120"/>
    </w:pPr>
  </w:style>
  <w:style w:type="paragraph" w:customStyle="1" w:styleId="TableUnitsRow">
    <w:name w:val="Table Units Row"/>
    <w:basedOn w:val="TableBodyText"/>
    <w:rsid w:val="00F76B4F"/>
    <w:pPr>
      <w:spacing w:before="40"/>
    </w:pPr>
  </w:style>
  <w:style w:type="paragraph" w:styleId="TOC1">
    <w:name w:val="toc 1"/>
    <w:basedOn w:val="Normal"/>
    <w:next w:val="TOC2"/>
    <w:link w:val="TOC1Char"/>
    <w:rsid w:val="00F76B4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F76B4F"/>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C77D0D"/>
    <w:rPr>
      <w:rFonts w:ascii="Arial" w:hAnsi="Arial"/>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rsid w:val="00062F62"/>
    <w:rPr>
      <w:rFonts w:ascii="Arial" w:hAnsi="Arial"/>
      <w:sz w:val="18"/>
    </w:rPr>
  </w:style>
  <w:style w:type="character" w:customStyle="1" w:styleId="TableBulletChar">
    <w:name w:val="Table Bullet Char"/>
    <w:link w:val="TableBullet"/>
    <w:rsid w:val="00062F62"/>
    <w:rPr>
      <w:rFonts w:ascii="Arial" w:hAnsi="Arial"/>
      <w:sz w:val="18"/>
    </w:rPr>
  </w:style>
  <w:style w:type="paragraph" w:styleId="BalloonText">
    <w:name w:val="Balloon Text"/>
    <w:basedOn w:val="Normal"/>
    <w:link w:val="BalloonTextChar"/>
    <w:rsid w:val="00F76B4F"/>
    <w:rPr>
      <w:rFonts w:ascii="Tahoma" w:hAnsi="Tahoma" w:cs="Tahoma"/>
      <w:sz w:val="16"/>
      <w:szCs w:val="16"/>
    </w:rPr>
  </w:style>
  <w:style w:type="character" w:customStyle="1" w:styleId="BalloonTextChar">
    <w:name w:val="Balloon Text Char"/>
    <w:basedOn w:val="DefaultParagraphFont"/>
    <w:link w:val="BalloonText"/>
    <w:rsid w:val="00F76B4F"/>
    <w:rPr>
      <w:rFonts w:ascii="Tahoma" w:hAnsi="Tahoma" w:cs="Tahoma"/>
      <w:sz w:val="16"/>
      <w:szCs w:val="16"/>
    </w:rPr>
  </w:style>
  <w:style w:type="character" w:customStyle="1" w:styleId="FooterChar">
    <w:name w:val="Footer Char"/>
    <w:basedOn w:val="BodyTextChar"/>
    <w:link w:val="Footer"/>
    <w:rsid w:val="00F76B4F"/>
    <w:rPr>
      <w:rFonts w:ascii="Arial" w:hAnsi="Arial"/>
      <w:caps/>
      <w:spacing w:val="-4"/>
      <w:sz w:val="16"/>
    </w:rPr>
  </w:style>
  <w:style w:type="paragraph" w:customStyle="1" w:styleId="BoxSpaceAbove">
    <w:name w:val="Box Space Above"/>
    <w:basedOn w:val="BodyText"/>
    <w:rsid w:val="00F76B4F"/>
    <w:pPr>
      <w:keepNext/>
      <w:spacing w:before="360" w:line="80" w:lineRule="exact"/>
      <w:jc w:val="left"/>
    </w:pPr>
  </w:style>
  <w:style w:type="paragraph" w:customStyle="1" w:styleId="RecBBullet2">
    <w:name w:val="RecB Bullet 2"/>
    <w:basedOn w:val="ListBullet2"/>
    <w:semiHidden/>
    <w:rsid w:val="00F76B4F"/>
    <w:pPr>
      <w:pBdr>
        <w:left w:val="single" w:sz="24" w:space="29" w:color="C0C0C0"/>
      </w:pBdr>
    </w:pPr>
    <w:rPr>
      <w:b/>
      <w:i/>
    </w:rPr>
  </w:style>
  <w:style w:type="character" w:customStyle="1" w:styleId="SubtitleChar">
    <w:name w:val="Subtitle Char"/>
    <w:basedOn w:val="DefaultParagraphFont"/>
    <w:link w:val="Subtitle"/>
    <w:rsid w:val="00F76B4F"/>
    <w:rPr>
      <w:rFonts w:ascii="Arial" w:hAnsi="Arial"/>
      <w:szCs w:val="24"/>
    </w:rPr>
  </w:style>
  <w:style w:type="paragraph" w:customStyle="1" w:styleId="BoxListBullet3">
    <w:name w:val="Box List Bullet 3"/>
    <w:basedOn w:val="ListBullet3"/>
    <w:rsid w:val="00F76B4F"/>
    <w:pPr>
      <w:numPr>
        <w:numId w:val="46"/>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76B4F"/>
    <w:rPr>
      <w:i/>
      <w:iCs/>
    </w:rPr>
  </w:style>
  <w:style w:type="paragraph" w:customStyle="1" w:styleId="BoxQuoteBullet">
    <w:name w:val="Box Quote Bullet"/>
    <w:basedOn w:val="BoxQuote"/>
    <w:next w:val="Box"/>
    <w:rsid w:val="00F76B4F"/>
    <w:pPr>
      <w:numPr>
        <w:numId w:val="45"/>
      </w:numPr>
      <w:ind w:left="568" w:hanging="284"/>
    </w:pPr>
  </w:style>
  <w:style w:type="paragraph" w:customStyle="1" w:styleId="InformationRequestBullet">
    <w:name w:val="Information Request Bullet"/>
    <w:basedOn w:val="ListBullet"/>
    <w:next w:val="BodyText"/>
    <w:rsid w:val="00F76B4F"/>
    <w:pPr>
      <w:numPr>
        <w:numId w:val="47"/>
      </w:numPr>
      <w:spacing w:before="80" w:line="280" w:lineRule="atLeast"/>
      <w:ind w:left="357" w:hanging="357"/>
    </w:pPr>
    <w:rPr>
      <w:rFonts w:ascii="Arial" w:hAnsi="Arial"/>
      <w:i/>
      <w:sz w:val="22"/>
    </w:rPr>
  </w:style>
  <w:style w:type="paragraph" w:customStyle="1" w:styleId="BoxSpaceBelow">
    <w:name w:val="Box Space Below"/>
    <w:basedOn w:val="Box"/>
    <w:rsid w:val="00F76B4F"/>
    <w:pPr>
      <w:keepNext w:val="0"/>
      <w:spacing w:before="60" w:after="60" w:line="80" w:lineRule="exact"/>
    </w:pPr>
    <w:rPr>
      <w:sz w:val="14"/>
    </w:rPr>
  </w:style>
  <w:style w:type="paragraph" w:customStyle="1" w:styleId="KeyPointsListBullet">
    <w:name w:val="Key Points List Bullet"/>
    <w:basedOn w:val="Normal"/>
    <w:qFormat/>
    <w:rsid w:val="00F76B4F"/>
    <w:pPr>
      <w:keepNext/>
      <w:numPr>
        <w:numId w:val="4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76B4F"/>
    <w:pPr>
      <w:numPr>
        <w:numId w:val="50"/>
      </w:numPr>
      <w:ind w:left="568" w:hanging="284"/>
    </w:pPr>
  </w:style>
  <w:style w:type="paragraph" w:customStyle="1" w:styleId="InformationRequestTitle">
    <w:name w:val="Information Request Title"/>
    <w:basedOn w:val="FindingTitle"/>
    <w:next w:val="InformationRequest"/>
    <w:rsid w:val="00F76B4F"/>
    <w:rPr>
      <w:i/>
    </w:rPr>
  </w:style>
  <w:style w:type="paragraph" w:customStyle="1" w:styleId="Space">
    <w:name w:val="Space"/>
    <w:basedOn w:val="Normal"/>
    <w:rsid w:val="00F76B4F"/>
    <w:pPr>
      <w:keepNext/>
      <w:spacing w:line="120" w:lineRule="exact"/>
      <w:jc w:val="both"/>
    </w:pPr>
    <w:rPr>
      <w:rFonts w:ascii="Arial" w:hAnsi="Arial"/>
      <w:sz w:val="20"/>
      <w:szCs w:val="20"/>
    </w:rPr>
  </w:style>
  <w:style w:type="paragraph" w:customStyle="1" w:styleId="Heading1nochapterno">
    <w:name w:val="Heading 1 (no chapter no.)"/>
    <w:basedOn w:val="Heading1"/>
    <w:rsid w:val="00F76B4F"/>
    <w:pPr>
      <w:spacing w:before="0"/>
      <w:ind w:left="0" w:firstLine="0"/>
    </w:pPr>
  </w:style>
  <w:style w:type="paragraph" w:customStyle="1" w:styleId="Heading2nosectionno">
    <w:name w:val="Heading 2 (no section no.)"/>
    <w:basedOn w:val="Heading2"/>
    <w:rsid w:val="00F76B4F"/>
    <w:pPr>
      <w:ind w:left="0" w:firstLine="0"/>
    </w:pPr>
  </w:style>
  <w:style w:type="character" w:customStyle="1" w:styleId="Heading5Char">
    <w:name w:val="Heading 5 Char"/>
    <w:basedOn w:val="DefaultParagraphFont"/>
    <w:link w:val="Heading5"/>
    <w:rsid w:val="00F76B4F"/>
    <w:rPr>
      <w:rFonts w:ascii="Arial" w:hAnsi="Arial"/>
      <w:i/>
      <w:sz w:val="22"/>
    </w:rPr>
  </w:style>
  <w:style w:type="paragraph" w:customStyle="1" w:styleId="Figurespace">
    <w:name w:val="Figure space"/>
    <w:basedOn w:val="Box"/>
    <w:rsid w:val="00F76B4F"/>
    <w:pPr>
      <w:spacing w:before="0" w:line="120" w:lineRule="exact"/>
    </w:pPr>
  </w:style>
  <w:style w:type="paragraph" w:customStyle="1" w:styleId="FooterDraftReport">
    <w:name w:val="FooterDraftReport"/>
    <w:basedOn w:val="Footer"/>
    <w:link w:val="FooterDraftReportChar"/>
    <w:rsid w:val="00F76B4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F76B4F"/>
    <w:rPr>
      <w:sz w:val="24"/>
    </w:rPr>
  </w:style>
  <w:style w:type="character" w:customStyle="1" w:styleId="FooterDraftReportChar">
    <w:name w:val="FooterDraftReport Char"/>
    <w:basedOn w:val="FooterChar"/>
    <w:link w:val="FooterDraftReport"/>
    <w:rsid w:val="00F76B4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76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6B4F"/>
    <w:rPr>
      <w:rFonts w:ascii="Arial" w:hAnsi="Arial"/>
      <w:b/>
      <w:sz w:val="26"/>
      <w:szCs w:val="26"/>
      <w:lang w:eastAsia="en-US"/>
    </w:rPr>
  </w:style>
  <w:style w:type="paragraph" w:customStyle="1" w:styleId="DQIContentsTitle">
    <w:name w:val="DQI Contents Title"/>
    <w:basedOn w:val="Heading5"/>
    <w:next w:val="TOC3"/>
    <w:qFormat/>
    <w:rsid w:val="0008198B"/>
    <w:rPr>
      <w:b/>
      <w:i w:val="0"/>
      <w:sz w:val="24"/>
      <w:szCs w:val="24"/>
    </w:rPr>
  </w:style>
  <w:style w:type="paragraph" w:customStyle="1" w:styleId="DQITableText">
    <w:name w:val="DQI Table Text"/>
    <w:basedOn w:val="TableBodyText"/>
    <w:qFormat/>
    <w:rsid w:val="00C722E2"/>
    <w:pPr>
      <w:spacing w:before="120" w:after="0"/>
      <w:ind w:left="0" w:right="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C764F-FB92-48B2-8D97-B248F4DC4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39</TotalTime>
  <Pages>17</Pages>
  <Words>5599</Words>
  <Characters>32373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DQI 7 Courts - Report on Government Services 2016</vt:lpstr>
    </vt:vector>
  </TitlesOfParts>
  <Company>Productivity Commission</Company>
  <LinksUpToDate>false</LinksUpToDate>
  <CharactersWithSpaces>37897</CharactersWithSpaces>
  <SharedDoc>false</SharedDoc>
  <HLinks>
    <vt:vector size="60" baseType="variant">
      <vt:variant>
        <vt:i4>1966199</vt:i4>
      </vt:variant>
      <vt:variant>
        <vt:i4>57</vt:i4>
      </vt:variant>
      <vt:variant>
        <vt:i4>0</vt:i4>
      </vt:variant>
      <vt:variant>
        <vt:i4>5</vt:i4>
      </vt:variant>
      <vt:variant>
        <vt:lpwstr>http://www.pc.gov.au/__data/assets/pdf_file/0005/93974/69-appendixa.pdf</vt:lpwstr>
      </vt:variant>
      <vt:variant>
        <vt:lpwstr/>
      </vt:variant>
      <vt:variant>
        <vt:i4>1703998</vt:i4>
      </vt:variant>
      <vt:variant>
        <vt:i4>50</vt:i4>
      </vt:variant>
      <vt:variant>
        <vt:i4>0</vt:i4>
      </vt:variant>
      <vt:variant>
        <vt:i4>5</vt:i4>
      </vt:variant>
      <vt:variant>
        <vt:lpwstr/>
      </vt:variant>
      <vt:variant>
        <vt:lpwstr>_Toc338344195</vt:lpwstr>
      </vt:variant>
      <vt:variant>
        <vt:i4>1703998</vt:i4>
      </vt:variant>
      <vt:variant>
        <vt:i4>44</vt:i4>
      </vt:variant>
      <vt:variant>
        <vt:i4>0</vt:i4>
      </vt:variant>
      <vt:variant>
        <vt:i4>5</vt:i4>
      </vt:variant>
      <vt:variant>
        <vt:lpwstr/>
      </vt:variant>
      <vt:variant>
        <vt:lpwstr>_Toc338344194</vt:lpwstr>
      </vt:variant>
      <vt:variant>
        <vt:i4>1703998</vt:i4>
      </vt:variant>
      <vt:variant>
        <vt:i4>38</vt:i4>
      </vt:variant>
      <vt:variant>
        <vt:i4>0</vt:i4>
      </vt:variant>
      <vt:variant>
        <vt:i4>5</vt:i4>
      </vt:variant>
      <vt:variant>
        <vt:lpwstr/>
      </vt:variant>
      <vt:variant>
        <vt:lpwstr>_Toc338344193</vt:lpwstr>
      </vt:variant>
      <vt:variant>
        <vt:i4>1703998</vt:i4>
      </vt:variant>
      <vt:variant>
        <vt:i4>32</vt:i4>
      </vt:variant>
      <vt:variant>
        <vt:i4>0</vt:i4>
      </vt:variant>
      <vt:variant>
        <vt:i4>5</vt:i4>
      </vt:variant>
      <vt:variant>
        <vt:lpwstr/>
      </vt:variant>
      <vt:variant>
        <vt:lpwstr>_Toc338344192</vt:lpwstr>
      </vt:variant>
      <vt:variant>
        <vt:i4>1703998</vt:i4>
      </vt:variant>
      <vt:variant>
        <vt:i4>26</vt:i4>
      </vt:variant>
      <vt:variant>
        <vt:i4>0</vt:i4>
      </vt:variant>
      <vt:variant>
        <vt:i4>5</vt:i4>
      </vt:variant>
      <vt:variant>
        <vt:lpwstr/>
      </vt:variant>
      <vt:variant>
        <vt:lpwstr>_Toc338344191</vt:lpwstr>
      </vt:variant>
      <vt:variant>
        <vt:i4>1703998</vt:i4>
      </vt:variant>
      <vt:variant>
        <vt:i4>20</vt:i4>
      </vt:variant>
      <vt:variant>
        <vt:i4>0</vt:i4>
      </vt:variant>
      <vt:variant>
        <vt:i4>5</vt:i4>
      </vt:variant>
      <vt:variant>
        <vt:lpwstr/>
      </vt:variant>
      <vt:variant>
        <vt:lpwstr>_Toc338344190</vt:lpwstr>
      </vt:variant>
      <vt:variant>
        <vt:i4>1769534</vt:i4>
      </vt:variant>
      <vt:variant>
        <vt:i4>14</vt:i4>
      </vt:variant>
      <vt:variant>
        <vt:i4>0</vt:i4>
      </vt:variant>
      <vt:variant>
        <vt:i4>5</vt:i4>
      </vt:variant>
      <vt:variant>
        <vt:lpwstr/>
      </vt:variant>
      <vt:variant>
        <vt:lpwstr>_Toc338344189</vt:lpwstr>
      </vt:variant>
      <vt:variant>
        <vt:i4>1769534</vt:i4>
      </vt:variant>
      <vt:variant>
        <vt:i4>8</vt:i4>
      </vt:variant>
      <vt:variant>
        <vt:i4>0</vt:i4>
      </vt:variant>
      <vt:variant>
        <vt:i4>5</vt:i4>
      </vt:variant>
      <vt:variant>
        <vt:lpwstr/>
      </vt:variant>
      <vt:variant>
        <vt:lpwstr>_Toc338344188</vt:lpwstr>
      </vt:variant>
      <vt:variant>
        <vt:i4>1769534</vt:i4>
      </vt:variant>
      <vt:variant>
        <vt:i4>2</vt:i4>
      </vt:variant>
      <vt:variant>
        <vt:i4>0</vt:i4>
      </vt:variant>
      <vt:variant>
        <vt:i4>5</vt:i4>
      </vt:variant>
      <vt:variant>
        <vt:lpwstr/>
      </vt:variant>
      <vt:variant>
        <vt:lpwstr>_Toc338344187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7 Courts - Report on Government Services 2016</dc:title>
  <dc:subject/>
  <dc:creator>Steering Committee for the Review of Government Service Provision</dc:creator>
  <dc:description/>
  <cp:lastModifiedBy>Frech, Tanya</cp:lastModifiedBy>
  <cp:revision>27</cp:revision>
  <cp:lastPrinted>2015-11-26T23:54:00Z</cp:lastPrinted>
  <dcterms:created xsi:type="dcterms:W3CDTF">2015-11-27T04:30:00Z</dcterms:created>
  <dcterms:modified xsi:type="dcterms:W3CDTF">2015-12-20T20:44:00Z</dcterms:modified>
</cp:coreProperties>
</file>