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7466B9" w:rsidRDefault="00200321" w:rsidP="007466B9">
      <w:pPr>
        <w:pStyle w:val="Heading1"/>
      </w:pPr>
      <w:bookmarkStart w:id="0" w:name="ChapterNumber"/>
      <w:bookmarkStart w:id="1" w:name="_Toc430872599"/>
      <w:bookmarkStart w:id="2" w:name="_Toc430872643"/>
      <w:bookmarkStart w:id="3" w:name="_Toc431920756"/>
      <w:bookmarkStart w:id="4" w:name="_Toc432170523"/>
      <w:bookmarkStart w:id="5" w:name="_GoBack"/>
      <w:bookmarkEnd w:id="5"/>
      <w:r w:rsidRPr="007466B9">
        <w:t>13</w:t>
      </w:r>
      <w:bookmarkEnd w:id="0"/>
      <w:r w:rsidRPr="007466B9">
        <w:tab/>
      </w:r>
      <w:bookmarkStart w:id="6" w:name="ChapterTitle"/>
      <w:r w:rsidRPr="007466B9">
        <w:t>Aged care services</w:t>
      </w:r>
      <w:bookmarkEnd w:id="6"/>
      <w:bookmarkEnd w:id="1"/>
      <w:bookmarkEnd w:id="2"/>
      <w:bookmarkEnd w:id="3"/>
      <w:bookmarkEnd w:id="4"/>
    </w:p>
    <w:p w:rsidR="005712D3" w:rsidRPr="00425EA1" w:rsidRDefault="00187CE7" w:rsidP="009A26D3">
      <w:pPr>
        <w:pStyle w:val="Heading4"/>
        <w:rPr>
          <w:noProof/>
        </w:rPr>
      </w:pPr>
      <w:bookmarkStart w:id="7" w:name="begin"/>
      <w:bookmarkEnd w:id="7"/>
      <w:r w:rsidRPr="00425EA1">
        <w:t>CONTENTS</w:t>
      </w:r>
    </w:p>
    <w:p w:rsidR="005712D3" w:rsidRDefault="005712D3">
      <w:pPr>
        <w:pStyle w:val="TOC2"/>
        <w:tabs>
          <w:tab w:val="left" w:pos="1320"/>
        </w:tabs>
        <w:rPr>
          <w:rFonts w:asciiTheme="minorHAnsi" w:eastAsiaTheme="minorEastAsia" w:hAnsiTheme="minorHAnsi" w:cstheme="minorBidi"/>
          <w:noProof/>
          <w:sz w:val="22"/>
          <w:szCs w:val="22"/>
          <w:lang w:eastAsia="en-AU"/>
        </w:rPr>
      </w:pPr>
      <w:r>
        <w:rPr>
          <w:noProof/>
        </w:rPr>
        <w:t>13.1</w:t>
      </w:r>
      <w:r w:rsidR="001328CB">
        <w:rPr>
          <w:rFonts w:asciiTheme="minorHAnsi" w:eastAsiaTheme="minorEastAsia" w:hAnsiTheme="minorHAnsi" w:cstheme="minorBidi"/>
          <w:noProof/>
          <w:sz w:val="22"/>
          <w:szCs w:val="22"/>
          <w:lang w:eastAsia="en-AU"/>
        </w:rPr>
        <w:tab/>
      </w:r>
      <w:r>
        <w:rPr>
          <w:noProof/>
        </w:rPr>
        <w:t>Profile of aged care services</w:t>
      </w:r>
      <w:r>
        <w:rPr>
          <w:noProof/>
        </w:rPr>
        <w:tab/>
        <w:t>13.</w:t>
      </w:r>
      <w:r w:rsidR="00F132AA">
        <w:rPr>
          <w:noProof/>
        </w:rPr>
        <w:t>2</w:t>
      </w:r>
    </w:p>
    <w:p w:rsidR="005712D3" w:rsidRDefault="005712D3">
      <w:pPr>
        <w:pStyle w:val="TOC2"/>
        <w:tabs>
          <w:tab w:val="left" w:pos="132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Framework of performance indicators</w:t>
      </w:r>
      <w:r>
        <w:rPr>
          <w:noProof/>
        </w:rPr>
        <w:tab/>
        <w:t>13.</w:t>
      </w:r>
      <w:r w:rsidR="00F132AA">
        <w:rPr>
          <w:noProof/>
        </w:rPr>
        <w:t>15</w:t>
      </w:r>
    </w:p>
    <w:p w:rsidR="005712D3" w:rsidRDefault="005712D3">
      <w:pPr>
        <w:pStyle w:val="TOC2"/>
        <w:tabs>
          <w:tab w:val="left" w:pos="132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Key performance indicator results</w:t>
      </w:r>
      <w:r>
        <w:rPr>
          <w:noProof/>
        </w:rPr>
        <w:tab/>
        <w:t>13.</w:t>
      </w:r>
      <w:r w:rsidR="00F132AA">
        <w:rPr>
          <w:noProof/>
        </w:rPr>
        <w:t>16</w:t>
      </w:r>
    </w:p>
    <w:p w:rsidR="005712D3" w:rsidRDefault="005712D3">
      <w:pPr>
        <w:pStyle w:val="TOC2"/>
        <w:tabs>
          <w:tab w:val="left" w:pos="132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Future directions in performance reporting</w:t>
      </w:r>
      <w:r>
        <w:rPr>
          <w:noProof/>
        </w:rPr>
        <w:tab/>
        <w:t>13.</w:t>
      </w:r>
      <w:r w:rsidR="00F132AA">
        <w:rPr>
          <w:noProof/>
        </w:rPr>
        <w:t>42</w:t>
      </w:r>
    </w:p>
    <w:p w:rsidR="005712D3" w:rsidRDefault="005712D3">
      <w:pPr>
        <w:pStyle w:val="TOC2"/>
        <w:tabs>
          <w:tab w:val="left" w:pos="132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Definitions of key terms</w:t>
      </w:r>
      <w:r>
        <w:rPr>
          <w:noProof/>
        </w:rPr>
        <w:tab/>
        <w:t>13.</w:t>
      </w:r>
      <w:r w:rsidR="00F132AA">
        <w:rPr>
          <w:noProof/>
        </w:rPr>
        <w:t>43</w:t>
      </w:r>
    </w:p>
    <w:p w:rsidR="005712D3" w:rsidRDefault="005712D3">
      <w:pPr>
        <w:pStyle w:val="TOC2"/>
        <w:tabs>
          <w:tab w:val="left" w:pos="1320"/>
        </w:tabs>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r>
      <w:r>
        <w:rPr>
          <w:noProof/>
        </w:rPr>
        <w:t>List of attachment tables</w:t>
      </w:r>
      <w:r>
        <w:rPr>
          <w:noProof/>
        </w:rPr>
        <w:tab/>
        <w:t>13.</w:t>
      </w:r>
      <w:r w:rsidR="00F132AA">
        <w:rPr>
          <w:noProof/>
        </w:rPr>
        <w:t>46</w:t>
      </w:r>
    </w:p>
    <w:p w:rsidR="005712D3" w:rsidRDefault="005712D3">
      <w:pPr>
        <w:pStyle w:val="TOC2"/>
        <w:tabs>
          <w:tab w:val="left" w:pos="1320"/>
        </w:tabs>
        <w:rPr>
          <w:rFonts w:asciiTheme="minorHAnsi" w:eastAsiaTheme="minorEastAsia" w:hAnsiTheme="minorHAnsi" w:cstheme="minorBidi"/>
          <w:noProof/>
          <w:sz w:val="22"/>
          <w:szCs w:val="22"/>
          <w:lang w:eastAsia="en-AU"/>
        </w:rPr>
      </w:pPr>
      <w:r>
        <w:rPr>
          <w:noProof/>
        </w:rPr>
        <w:t>13.7</w:t>
      </w:r>
      <w:r>
        <w:rPr>
          <w:rFonts w:asciiTheme="minorHAnsi" w:eastAsiaTheme="minorEastAsia" w:hAnsiTheme="minorHAnsi" w:cstheme="minorBidi"/>
          <w:noProof/>
          <w:sz w:val="22"/>
          <w:szCs w:val="22"/>
          <w:lang w:eastAsia="en-AU"/>
        </w:rPr>
        <w:tab/>
      </w:r>
      <w:r>
        <w:rPr>
          <w:noProof/>
        </w:rPr>
        <w:t>References</w:t>
      </w:r>
      <w:r>
        <w:rPr>
          <w:noProof/>
        </w:rPr>
        <w:tab/>
        <w:t>13.</w:t>
      </w:r>
      <w:r w:rsidR="00F132AA">
        <w:rPr>
          <w:noProof/>
        </w:rPr>
        <w:t>48</w:t>
      </w:r>
    </w:p>
    <w:p w:rsidR="00EE0CC8" w:rsidRDefault="00EE0CC8" w:rsidP="00187CE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0CC8" w:rsidTr="000F6E9B">
        <w:tc>
          <w:tcPr>
            <w:tcW w:w="8771" w:type="dxa"/>
            <w:tcBorders>
              <w:top w:val="single" w:sz="6" w:space="0" w:color="78A22F"/>
              <w:left w:val="nil"/>
              <w:bottom w:val="nil"/>
              <w:right w:val="nil"/>
            </w:tcBorders>
            <w:shd w:val="clear" w:color="auto" w:fill="F2F2F2"/>
          </w:tcPr>
          <w:p w:rsidR="00EE0CC8" w:rsidRPr="00EE0CC8" w:rsidRDefault="00EE0CC8">
            <w:pPr>
              <w:pStyle w:val="BoxTitle"/>
            </w:pPr>
            <w:r w:rsidRPr="00EE0CC8">
              <w:t>Attachment tables</w:t>
            </w:r>
          </w:p>
        </w:tc>
      </w:tr>
      <w:tr w:rsidR="00EE0CC8" w:rsidTr="000F6E9B">
        <w:trPr>
          <w:cantSplit/>
        </w:trPr>
        <w:tc>
          <w:tcPr>
            <w:tcW w:w="8771" w:type="dxa"/>
            <w:tcBorders>
              <w:top w:val="nil"/>
              <w:left w:val="nil"/>
              <w:bottom w:val="nil"/>
              <w:right w:val="nil"/>
            </w:tcBorders>
            <w:shd w:val="clear" w:color="auto" w:fill="F2F2F2"/>
          </w:tcPr>
          <w:p w:rsidR="00EE0CC8" w:rsidRDefault="004F3E0D" w:rsidP="00415749">
            <w:pPr>
              <w:pStyle w:val="Box"/>
            </w:pPr>
            <w:r w:rsidRPr="004F3E0D">
              <w:t>Attachment tables are identified in ref</w:t>
            </w:r>
            <w:r>
              <w:t>erences throughout this chapter</w:t>
            </w:r>
            <w:r w:rsidRPr="004F3E0D">
              <w:t xml:space="preserve"> by a ‘</w:t>
            </w:r>
            <w:proofErr w:type="spellStart"/>
            <w:r>
              <w:t>13</w:t>
            </w:r>
            <w:r w:rsidRPr="004F3E0D">
              <w:t>A</w:t>
            </w:r>
            <w:proofErr w:type="spellEnd"/>
            <w:r w:rsidRPr="004F3E0D">
              <w:t>’ prefix (for example, table</w:t>
            </w:r>
            <w:r w:rsidR="00E75264">
              <w:t> </w:t>
            </w:r>
            <w:proofErr w:type="spellStart"/>
            <w:r>
              <w:t>13</w:t>
            </w:r>
            <w:r w:rsidRPr="004F3E0D">
              <w:t>A.</w:t>
            </w:r>
            <w:r w:rsidR="003F1442">
              <w:t>1</w:t>
            </w:r>
            <w:proofErr w:type="spellEnd"/>
            <w:r w:rsidRPr="004F3E0D">
              <w:t>). A full list of attachment tables is prov</w:t>
            </w:r>
            <w:r>
              <w:t>ided at the end of this chapter</w:t>
            </w:r>
            <w:r w:rsidRPr="004F3E0D">
              <w:t xml:space="preserve">, and the attachment tables are available on the website </w:t>
            </w:r>
            <w:proofErr w:type="spellStart"/>
            <w:r w:rsidRPr="004F3E0D">
              <w:t>www.pc.gov.au</w:t>
            </w:r>
            <w:proofErr w:type="spellEnd"/>
            <w:r w:rsidRPr="004F3E0D">
              <w:t>/</w:t>
            </w:r>
            <w:proofErr w:type="spellStart"/>
            <w:r w:rsidRPr="004F3E0D">
              <w:t>rogs</w:t>
            </w:r>
            <w:proofErr w:type="spellEnd"/>
            <w:r w:rsidRPr="004F3E0D">
              <w:t>/2016.</w:t>
            </w:r>
          </w:p>
        </w:tc>
      </w:tr>
      <w:tr w:rsidR="00EE0CC8" w:rsidTr="000F6E9B">
        <w:trPr>
          <w:cantSplit/>
        </w:trPr>
        <w:tc>
          <w:tcPr>
            <w:tcW w:w="8771" w:type="dxa"/>
            <w:tcBorders>
              <w:top w:val="nil"/>
              <w:left w:val="nil"/>
              <w:bottom w:val="single" w:sz="6" w:space="0" w:color="78A22F"/>
              <w:right w:val="nil"/>
            </w:tcBorders>
            <w:shd w:val="clear" w:color="auto" w:fill="F2F2F2"/>
          </w:tcPr>
          <w:p w:rsidR="00EE0CC8" w:rsidRDefault="00EE0CC8">
            <w:pPr>
              <w:pStyle w:val="Box"/>
              <w:spacing w:before="0" w:line="120" w:lineRule="exact"/>
            </w:pPr>
          </w:p>
        </w:tc>
      </w:tr>
      <w:tr w:rsidR="00EE0CC8" w:rsidRPr="000863A5" w:rsidTr="000F6E9B">
        <w:tc>
          <w:tcPr>
            <w:tcW w:w="8771" w:type="dxa"/>
            <w:tcBorders>
              <w:top w:val="single" w:sz="6" w:space="0" w:color="78A22F"/>
              <w:left w:val="nil"/>
              <w:bottom w:val="nil"/>
              <w:right w:val="nil"/>
            </w:tcBorders>
          </w:tcPr>
          <w:p w:rsidR="00EE0CC8" w:rsidRPr="00626D32" w:rsidRDefault="00EE0CC8" w:rsidP="000F6E9B">
            <w:pPr>
              <w:pStyle w:val="BoxSpaceBelow"/>
            </w:pPr>
          </w:p>
        </w:tc>
      </w:tr>
    </w:tbl>
    <w:p w:rsidR="00666E02" w:rsidRDefault="00246A6C" w:rsidP="00120072">
      <w:pPr>
        <w:pStyle w:val="BodyText"/>
      </w:pPr>
      <w:r w:rsidRPr="00246A6C">
        <w:t>The aged care system comprises all services specifically designed to meet the care and support needs of older people living in Australia. This chapter focuses on government funded care and support services</w:t>
      </w:r>
      <w:r w:rsidR="007B42C9" w:rsidRPr="007B42C9">
        <w:t xml:space="preserve"> </w:t>
      </w:r>
      <w:r w:rsidR="007B42C9" w:rsidRPr="00246A6C">
        <w:t>for older people and their carers</w:t>
      </w:r>
      <w:r w:rsidR="00102B27">
        <w:t>,</w:t>
      </w:r>
      <w:r w:rsidRPr="00246A6C">
        <w:t xml:space="preserve"> </w:t>
      </w:r>
      <w:r w:rsidR="00102B27">
        <w:t>which</w:t>
      </w:r>
      <w:r w:rsidR="00D83F93">
        <w:t xml:space="preserve"> are </w:t>
      </w:r>
      <w:r w:rsidRPr="00246A6C">
        <w:t xml:space="preserve">provided </w:t>
      </w:r>
      <w:r w:rsidR="007B42C9">
        <w:t>at</w:t>
      </w:r>
      <w:r w:rsidRPr="00246A6C">
        <w:t xml:space="preserve"> home and in residential care</w:t>
      </w:r>
      <w:r w:rsidR="00102B27">
        <w:t xml:space="preserve"> facilities</w:t>
      </w:r>
      <w:r w:rsidRPr="00246A6C">
        <w:t>.</w:t>
      </w:r>
      <w:r w:rsidR="00B603A6" w:rsidRPr="00B603A6">
        <w:t xml:space="preserve"> </w:t>
      </w:r>
    </w:p>
    <w:p w:rsidR="00B603A6" w:rsidRDefault="00610FBD" w:rsidP="00120072">
      <w:pPr>
        <w:pStyle w:val="BodyText"/>
      </w:pPr>
      <w:r w:rsidRPr="00610FBD">
        <w:t xml:space="preserve">Improvements to the reporting of </w:t>
      </w:r>
      <w:r>
        <w:t>aged care services</w:t>
      </w:r>
      <w:r w:rsidRPr="00610FBD">
        <w:t xml:space="preserve"> in this edition include:</w:t>
      </w:r>
    </w:p>
    <w:p w:rsidR="00994568" w:rsidRDefault="00994568" w:rsidP="00994568">
      <w:pPr>
        <w:pStyle w:val="ListBullet"/>
      </w:pPr>
      <w:r>
        <w:t xml:space="preserve">revisions </w:t>
      </w:r>
      <w:r w:rsidR="00F90407">
        <w:t xml:space="preserve">to </w:t>
      </w:r>
      <w:r>
        <w:t>align reporting with</w:t>
      </w:r>
      <w:r w:rsidRPr="00994568">
        <w:t xml:space="preserve"> current aged care policy and programs</w:t>
      </w:r>
      <w:r>
        <w:t xml:space="preserve">, including </w:t>
      </w:r>
      <w:r w:rsidR="00191509">
        <w:t xml:space="preserve">the removal of </w:t>
      </w:r>
      <w:r>
        <w:t>the distinction between residential</w:t>
      </w:r>
      <w:r w:rsidRPr="00283E47">
        <w:t xml:space="preserve"> high </w:t>
      </w:r>
      <w:r w:rsidR="00191509">
        <w:t xml:space="preserve">and low </w:t>
      </w:r>
      <w:r w:rsidRPr="00283E47">
        <w:t xml:space="preserve">care </w:t>
      </w:r>
    </w:p>
    <w:p w:rsidR="004F3E0D" w:rsidRPr="00520951" w:rsidRDefault="004F3E0D" w:rsidP="00520951">
      <w:pPr>
        <w:pStyle w:val="ListBullet"/>
        <w:shd w:val="clear" w:color="auto" w:fill="FFFFFF" w:themeFill="background1"/>
      </w:pPr>
      <w:r w:rsidRPr="00520951">
        <w:t>significant revis</w:t>
      </w:r>
      <w:r w:rsidR="00F90407">
        <w:t>ions to the</w:t>
      </w:r>
      <w:r w:rsidRPr="00520951">
        <w:t xml:space="preserve"> ‘Use by different groups’ indicator</w:t>
      </w:r>
      <w:r w:rsidR="00994568">
        <w:t xml:space="preserve"> with new measure</w:t>
      </w:r>
      <w:r w:rsidR="00F90407">
        <w:t>s</w:t>
      </w:r>
      <w:r w:rsidR="00994568">
        <w:t xml:space="preserve"> and data </w:t>
      </w:r>
      <w:r w:rsidR="00084F55">
        <w:t xml:space="preserve">reported </w:t>
      </w:r>
      <w:r w:rsidR="00994568">
        <w:t xml:space="preserve">for Aboriginal and Torres Strait Islander </w:t>
      </w:r>
      <w:r w:rsidR="00246A6C">
        <w:t xml:space="preserve">people </w:t>
      </w:r>
      <w:r w:rsidR="00994568">
        <w:t>and for</w:t>
      </w:r>
      <w:r w:rsidRPr="00520951">
        <w:t xml:space="preserve"> people from Culturally and Linguistically Diverse</w:t>
      </w:r>
      <w:r w:rsidR="00B51B91">
        <w:t xml:space="preserve"> (</w:t>
      </w:r>
      <w:proofErr w:type="spellStart"/>
      <w:r w:rsidR="00B51B91">
        <w:t>CaLD</w:t>
      </w:r>
      <w:proofErr w:type="spellEnd"/>
      <w:r w:rsidR="00B51B91">
        <w:t>)</w:t>
      </w:r>
      <w:r w:rsidRPr="00520951">
        <w:t xml:space="preserve"> backgrounds </w:t>
      </w:r>
    </w:p>
    <w:p w:rsidR="004F3E0D" w:rsidRPr="00520951" w:rsidRDefault="00994568" w:rsidP="00520951">
      <w:pPr>
        <w:pStyle w:val="ListBullet"/>
        <w:shd w:val="clear" w:color="auto" w:fill="FFFFFF" w:themeFill="background1"/>
      </w:pPr>
      <w:r>
        <w:t xml:space="preserve">a </w:t>
      </w:r>
      <w:r w:rsidR="004F3E0D" w:rsidRPr="00520951">
        <w:t>mini</w:t>
      </w:r>
      <w:r w:rsidR="00E75264">
        <w:noBreakHyphen/>
      </w:r>
      <w:r w:rsidR="004F3E0D" w:rsidRPr="00520951">
        <w:t xml:space="preserve">case study topic </w:t>
      </w:r>
      <w:r>
        <w:t>on</w:t>
      </w:r>
      <w:r w:rsidR="004F3E0D" w:rsidRPr="00520951">
        <w:t xml:space="preserve"> </w:t>
      </w:r>
      <w:r>
        <w:t>the cost effectiveness of</w:t>
      </w:r>
      <w:r w:rsidR="004F3E0D" w:rsidRPr="00520951">
        <w:t xml:space="preserve"> </w:t>
      </w:r>
      <w:r>
        <w:t>r</w:t>
      </w:r>
      <w:r w:rsidR="004F3E0D" w:rsidRPr="00520951">
        <w:t xml:space="preserve">eablement in the </w:t>
      </w:r>
      <w:r>
        <w:t xml:space="preserve">WA </w:t>
      </w:r>
      <w:r w:rsidR="004F3E0D" w:rsidRPr="00520951">
        <w:t xml:space="preserve">Home and Community Care (HACC) </w:t>
      </w:r>
      <w:r>
        <w:t>p</w:t>
      </w:r>
      <w:r w:rsidR="004F3E0D" w:rsidRPr="00520951">
        <w:t xml:space="preserve">rogram </w:t>
      </w:r>
      <w:r>
        <w:t xml:space="preserve">and </w:t>
      </w:r>
      <w:r w:rsidR="00246A6C">
        <w:t>a</w:t>
      </w:r>
      <w:r>
        <w:t xml:space="preserve"> new approach to</w:t>
      </w:r>
      <w:r w:rsidRPr="00520951">
        <w:t xml:space="preserve"> </w:t>
      </w:r>
      <w:r w:rsidR="004F3E0D" w:rsidRPr="00520951">
        <w:t>provide access to reablement interventions at entry to care</w:t>
      </w:r>
      <w:r w:rsidR="00084F55" w:rsidRPr="00084F55">
        <w:t xml:space="preserve"> </w:t>
      </w:r>
      <w:r w:rsidR="00A965E4">
        <w:t xml:space="preserve">through </w:t>
      </w:r>
      <w:r w:rsidR="00084F55" w:rsidRPr="00520951">
        <w:t>Regional Assessment Services (RAS</w:t>
      </w:r>
      <w:r w:rsidR="00084F55">
        <w:t>)</w:t>
      </w:r>
      <w:r w:rsidR="004F3E0D" w:rsidRPr="00520951">
        <w:t>.</w:t>
      </w:r>
    </w:p>
    <w:p w:rsidR="00E20DF4" w:rsidRDefault="00E20DF4" w:rsidP="004B2BE8">
      <w:pPr>
        <w:pStyle w:val="BodyText"/>
      </w:pPr>
      <w:r w:rsidRPr="00E20DF4">
        <w:t>All abbreviations used in this Report are available in a complete list in volume A: Approach to performance reporting.</w:t>
      </w:r>
    </w:p>
    <w:p w:rsidR="00B603A6" w:rsidRDefault="00B603A6" w:rsidP="00B603A6">
      <w:pPr>
        <w:pStyle w:val="Heading2"/>
      </w:pPr>
      <w:bookmarkStart w:id="8" w:name="_Toc432170524"/>
      <w:r>
        <w:lastRenderedPageBreak/>
        <w:t>13.</w:t>
      </w:r>
      <w:r w:rsidR="00CA1F6E">
        <w:rPr>
          <w:noProof/>
        </w:rPr>
        <w:t>1</w:t>
      </w:r>
      <w:r>
        <w:tab/>
      </w:r>
      <w:r w:rsidRPr="00B603A6">
        <w:t>Profile of aged care services</w:t>
      </w:r>
      <w:bookmarkEnd w:id="8"/>
    </w:p>
    <w:p w:rsidR="00B603A6" w:rsidRPr="0053213A" w:rsidRDefault="00B603A6" w:rsidP="0053213A">
      <w:pPr>
        <w:pStyle w:val="Heading3"/>
      </w:pPr>
      <w:r w:rsidRPr="0053213A">
        <w:t>Service overview</w:t>
      </w:r>
    </w:p>
    <w:p w:rsidR="00B603A6" w:rsidRPr="00B603A6" w:rsidRDefault="0025389B" w:rsidP="00B603A6">
      <w:pPr>
        <w:pStyle w:val="BodyText"/>
      </w:pPr>
      <w:r>
        <w:t>Government funded a</w:t>
      </w:r>
      <w:r w:rsidR="00102B27" w:rsidRPr="00102B27">
        <w:t xml:space="preserve">ged care services </w:t>
      </w:r>
      <w:r w:rsidR="00B603A6">
        <w:t xml:space="preserve">for older people are provided on the basis of frailty or disability. </w:t>
      </w:r>
      <w:r>
        <w:t>Services</w:t>
      </w:r>
      <w:r w:rsidR="00280561">
        <w:t xml:space="preserve"> </w:t>
      </w:r>
      <w:r w:rsidR="00B603A6">
        <w:t xml:space="preserve">covered in this chapter </w:t>
      </w:r>
      <w:r w:rsidR="00FF5DA7">
        <w:t>are</w:t>
      </w:r>
      <w:r w:rsidR="00B603A6">
        <w:t>:</w:t>
      </w:r>
    </w:p>
    <w:p w:rsidR="00335077" w:rsidRPr="00335077" w:rsidRDefault="00B603A6" w:rsidP="0025389B">
      <w:pPr>
        <w:pStyle w:val="ListBullet"/>
      </w:pPr>
      <w:r>
        <w:t>information and assessment services</w:t>
      </w:r>
      <w:r w:rsidR="00507F7F">
        <w:t>,</w:t>
      </w:r>
      <w:r>
        <w:t xml:space="preserve"> </w:t>
      </w:r>
      <w:r w:rsidR="00507F7F">
        <w:t>which</w:t>
      </w:r>
      <w:r>
        <w:t xml:space="preserve"> seek to ensure that older people who need aged care, and their carers, know about and can access the appropriate support services to meet these needs </w:t>
      </w:r>
    </w:p>
    <w:p w:rsidR="00B603A6" w:rsidRDefault="00626C1B" w:rsidP="0025389B">
      <w:pPr>
        <w:pStyle w:val="ListBullet"/>
      </w:pPr>
      <w:r>
        <w:t>home care and support</w:t>
      </w:r>
      <w:r w:rsidR="00B603A6" w:rsidRPr="00090256">
        <w:t xml:space="preserve"> services</w:t>
      </w:r>
      <w:r w:rsidR="00B603A6">
        <w:t xml:space="preserve">, which provide care and assistance to help older people remain, or return to, living independently in </w:t>
      </w:r>
      <w:r w:rsidR="00283E47" w:rsidRPr="00090256">
        <w:t>their home</w:t>
      </w:r>
      <w:r w:rsidR="00B603A6">
        <w:t xml:space="preserve"> as long as possible</w:t>
      </w:r>
      <w:r w:rsidR="00283E47">
        <w:t>,</w:t>
      </w:r>
      <w:r w:rsidR="00B603A6">
        <w:t xml:space="preserve"> </w:t>
      </w:r>
      <w:r w:rsidR="00283E47">
        <w:t xml:space="preserve">or </w:t>
      </w:r>
      <w:r w:rsidR="000D4757">
        <w:t xml:space="preserve">which </w:t>
      </w:r>
      <w:r w:rsidR="00283E47">
        <w:t>provide support to carers</w:t>
      </w:r>
      <w:r w:rsidR="00BE6F0E">
        <w:t xml:space="preserve"> </w:t>
      </w:r>
    </w:p>
    <w:p w:rsidR="00283E47" w:rsidRDefault="00283E47" w:rsidP="005072C7">
      <w:pPr>
        <w:pStyle w:val="ListBullet"/>
        <w:shd w:val="clear" w:color="auto" w:fill="FFFFFF" w:themeFill="background1"/>
      </w:pPr>
      <w:r>
        <w:t xml:space="preserve">residential care services, which provide supported accommodation </w:t>
      </w:r>
      <w:r w:rsidR="00393CD8">
        <w:t xml:space="preserve">and care </w:t>
      </w:r>
      <w:r>
        <w:t xml:space="preserve">for older people who are unable to continue living independently in their own homes </w:t>
      </w:r>
    </w:p>
    <w:p w:rsidR="00507F7F" w:rsidRDefault="00283E47" w:rsidP="0025389B">
      <w:pPr>
        <w:pStyle w:val="ListBullet"/>
      </w:pPr>
      <w:r>
        <w:t xml:space="preserve">flexible care services, which address the needs of care recipients in ways other than that provided through mainstream </w:t>
      </w:r>
      <w:r w:rsidR="009B233F">
        <w:t>services</w:t>
      </w:r>
      <w:r w:rsidR="00153E2A">
        <w:t>,</w:t>
      </w:r>
      <w:r>
        <w:t xml:space="preserve"> such as support </w:t>
      </w:r>
      <w:r w:rsidR="00507F7F">
        <w:t>for older people leaving hospital</w:t>
      </w:r>
      <w:r w:rsidR="002D7BE6">
        <w:t xml:space="preserve"> to help them improve their functional capacity</w:t>
      </w:r>
      <w:r w:rsidR="00280561">
        <w:t>.</w:t>
      </w:r>
      <w:r w:rsidR="00507F7F">
        <w:t xml:space="preserve"> </w:t>
      </w:r>
    </w:p>
    <w:p w:rsidR="00507F7F" w:rsidRDefault="00BE6F0E" w:rsidP="00C37A27">
      <w:pPr>
        <w:pStyle w:val="BodyText"/>
        <w:shd w:val="clear" w:color="auto" w:fill="FFFFFF" w:themeFill="background1"/>
      </w:pPr>
      <w:r w:rsidRPr="00BE6F0E">
        <w:t xml:space="preserve">The Australian Government also funds activities related to workforce and </w:t>
      </w:r>
      <w:r w:rsidR="00084F55">
        <w:t xml:space="preserve">service </w:t>
      </w:r>
      <w:r w:rsidRPr="00BE6F0E">
        <w:t>quality</w:t>
      </w:r>
      <w:r w:rsidR="008552A6">
        <w:t>,</w:t>
      </w:r>
      <w:r w:rsidRPr="00BE6F0E">
        <w:t xml:space="preserve"> and ageing and service improvement</w:t>
      </w:r>
      <w:r>
        <w:t>.</w:t>
      </w:r>
      <w:r w:rsidRPr="00BE6F0E">
        <w:t xml:space="preserve"> Workforce activities seek to support the development and maintenance of an adequate and capable aged care workforce. Quality and service improvement activities are aimed </w:t>
      </w:r>
      <w:r w:rsidR="00A26F91">
        <w:t>at</w:t>
      </w:r>
      <w:r w:rsidRPr="00BE6F0E">
        <w:t xml:space="preserve"> strengthen</w:t>
      </w:r>
      <w:r w:rsidR="00A26F91">
        <w:t>ing</w:t>
      </w:r>
      <w:r w:rsidRPr="00BE6F0E">
        <w:t xml:space="preserve"> the capacity of the system </w:t>
      </w:r>
      <w:r w:rsidR="00D35040">
        <w:t>(DSS 2014)</w:t>
      </w:r>
      <w:r w:rsidR="00507F7F" w:rsidRPr="00507F7F">
        <w:t>.</w:t>
      </w:r>
    </w:p>
    <w:p w:rsidR="00B603A6" w:rsidRDefault="00A26F91" w:rsidP="00B603A6">
      <w:pPr>
        <w:pStyle w:val="BodyText"/>
      </w:pPr>
      <w:r>
        <w:t>The f</w:t>
      </w:r>
      <w:r w:rsidR="00B603A6">
        <w:t xml:space="preserve">ormal </w:t>
      </w:r>
      <w:r>
        <w:t>government</w:t>
      </w:r>
      <w:r w:rsidR="00B603A6">
        <w:t xml:space="preserve"> funded services covered </w:t>
      </w:r>
      <w:r w:rsidR="008552A6">
        <w:t xml:space="preserve">in this Report </w:t>
      </w:r>
      <w:r w:rsidR="00B603A6">
        <w:t xml:space="preserve">represent only a small proportion of total assistance provided to older people. </w:t>
      </w:r>
      <w:r w:rsidR="008552A6">
        <w:t xml:space="preserve">Many people receive assistance from both formal aged care services and informal sources. </w:t>
      </w:r>
      <w:r w:rsidR="00B603A6">
        <w:t>Extended family and partners are the largest source of emotional, practical and financial support for older people. Around 85</w:t>
      </w:r>
      <w:r w:rsidR="008552A6">
        <w:t> </w:t>
      </w:r>
      <w:r w:rsidR="00B603A6">
        <w:t>per cent of older people living in the community in 2012 who required help with self</w:t>
      </w:r>
      <w:r w:rsidR="009551A0">
        <w:noBreakHyphen/>
      </w:r>
      <w:r w:rsidR="00FD137A">
        <w:t>care, mobility or communication</w:t>
      </w:r>
      <w:r w:rsidR="00B603A6">
        <w:t xml:space="preserve"> received assistance from the informal care network of family, friends and neighbours (</w:t>
      </w:r>
      <w:r w:rsidR="00096331">
        <w:t>Australian Bureau of Statistics [</w:t>
      </w:r>
      <w:r w:rsidR="00B603A6">
        <w:t>ABS</w:t>
      </w:r>
      <w:r w:rsidR="00096331">
        <w:t>]</w:t>
      </w:r>
      <w:r w:rsidR="00B603A6">
        <w:t xml:space="preserve"> unpublished, </w:t>
      </w:r>
      <w:r w:rsidR="00B603A6" w:rsidRPr="00374172">
        <w:rPr>
          <w:i/>
        </w:rPr>
        <w:t>Survey of Disability, Ageing and Carers</w:t>
      </w:r>
      <w:r w:rsidR="00C07DBA">
        <w:rPr>
          <w:i/>
        </w:rPr>
        <w:t xml:space="preserve"> </w:t>
      </w:r>
      <w:r w:rsidR="00C07DBA" w:rsidRPr="00C07DBA">
        <w:t>[</w:t>
      </w:r>
      <w:proofErr w:type="spellStart"/>
      <w:r w:rsidR="00C07DBA" w:rsidRPr="00C07DBA">
        <w:t>SDAC</w:t>
      </w:r>
      <w:proofErr w:type="spellEnd"/>
      <w:r w:rsidR="00C07DBA" w:rsidRPr="00C07DBA">
        <w:t>]</w:t>
      </w:r>
      <w:r w:rsidR="00B603A6" w:rsidRPr="00374172">
        <w:rPr>
          <w:i/>
        </w:rPr>
        <w:t xml:space="preserve"> 2012</w:t>
      </w:r>
      <w:r w:rsidR="00B603A6">
        <w:t>, Cat.</w:t>
      </w:r>
      <w:r w:rsidR="00374172">
        <w:t> </w:t>
      </w:r>
      <w:r w:rsidR="00B603A6">
        <w:t>no.</w:t>
      </w:r>
      <w:r w:rsidR="00374172">
        <w:t> </w:t>
      </w:r>
      <w:r w:rsidR="00B603A6">
        <w:t xml:space="preserve">4430.0). Older people also purchase support services in the private market, and these services are not covered in this </w:t>
      </w:r>
      <w:r>
        <w:t>Report</w:t>
      </w:r>
      <w:r w:rsidR="00B603A6">
        <w:t>.</w:t>
      </w:r>
    </w:p>
    <w:p w:rsidR="00E20DF4" w:rsidRPr="00864C90" w:rsidRDefault="00E20DF4" w:rsidP="00E20DF4">
      <w:pPr>
        <w:pStyle w:val="BodyText"/>
        <w:shd w:val="clear" w:color="auto" w:fill="FFFFFF" w:themeFill="background1"/>
      </w:pPr>
      <w:r>
        <w:t xml:space="preserve">Older Australians are also users of other government services covered in this Report. Understanding the relationship between the aged care and health systems is of particular importance as interactions are critical for the performance of </w:t>
      </w:r>
      <w:r w:rsidRPr="00864C90">
        <w:t>both systems</w:t>
      </w:r>
      <w:r w:rsidR="003B3D21" w:rsidRPr="00864C90">
        <w:t>. T</w:t>
      </w:r>
      <w:r w:rsidRPr="00864C90">
        <w:t>he number of operational residential aged care places can affect demand for public hospital beds</w:t>
      </w:r>
      <w:r w:rsidR="003B3D21" w:rsidRPr="00864C90">
        <w:t>, for example</w:t>
      </w:r>
      <w:r w:rsidR="00E575FB" w:rsidRPr="00864C90">
        <w:t>; while t</w:t>
      </w:r>
      <w:r w:rsidR="00AF2603" w:rsidRPr="00864C90">
        <w:t xml:space="preserve">he </w:t>
      </w:r>
      <w:r w:rsidR="003B3D21" w:rsidRPr="00864C90">
        <w:t xml:space="preserve">number of </w:t>
      </w:r>
      <w:r w:rsidR="00153E2A" w:rsidRPr="00864C90">
        <w:t>older patients in acute and subacute care</w:t>
      </w:r>
      <w:r w:rsidR="003B3D21" w:rsidRPr="00864C90">
        <w:t xml:space="preserve"> and the amount of time they spend there can also have</w:t>
      </w:r>
      <w:r w:rsidRPr="00864C90">
        <w:t xml:space="preserve"> </w:t>
      </w:r>
      <w:r w:rsidR="003B3D21" w:rsidRPr="00864C90">
        <w:t xml:space="preserve">a </w:t>
      </w:r>
      <w:r w:rsidRPr="00864C90">
        <w:t xml:space="preserve">substantial effect on the demand for aged care services. Health services are covered in </w:t>
      </w:r>
      <w:r w:rsidR="008552A6" w:rsidRPr="00864C90">
        <w:t>sector overview </w:t>
      </w:r>
      <w:r w:rsidR="00084F55" w:rsidRPr="00864C90">
        <w:t xml:space="preserve">E of </w:t>
      </w:r>
      <w:r w:rsidRPr="00864C90">
        <w:t xml:space="preserve">this Report. </w:t>
      </w:r>
    </w:p>
    <w:p w:rsidR="00374172" w:rsidRDefault="00374172" w:rsidP="00AD2365">
      <w:pPr>
        <w:pStyle w:val="Heading3"/>
        <w:spacing w:before="480"/>
      </w:pPr>
      <w:r w:rsidRPr="00374172">
        <w:lastRenderedPageBreak/>
        <w:t>Roles and responsibilities</w:t>
      </w:r>
    </w:p>
    <w:p w:rsidR="005A37F7" w:rsidRDefault="001A3F50" w:rsidP="00A26F91">
      <w:pPr>
        <w:pStyle w:val="BodyText"/>
        <w:shd w:val="clear" w:color="auto" w:fill="FFFFFF" w:themeFill="background1"/>
      </w:pPr>
      <w:r>
        <w:t xml:space="preserve">The funding, regulation and policy oversight of aged care services are predominantly the role of the Australian Government. </w:t>
      </w:r>
      <w:r w:rsidR="005A37F7">
        <w:t xml:space="preserve">The </w:t>
      </w:r>
      <w:r w:rsidR="005A37F7" w:rsidRPr="00683F2B">
        <w:rPr>
          <w:i/>
        </w:rPr>
        <w:t>Aged Care Act 1997</w:t>
      </w:r>
      <w:r w:rsidR="005A37F7">
        <w:t xml:space="preserve">, together with the accompanying </w:t>
      </w:r>
      <w:r w:rsidR="005A37F7" w:rsidRPr="00F25D62">
        <w:t>Aged Care Principles,</w:t>
      </w:r>
      <w:r w:rsidR="005A37F7">
        <w:t xml:space="preserve"> are the main regulatory instruments establishing the aged care framework, although some services are provided outside of the Act. Key provisions covered include service planning, user rights, eligibility for care, funding, quality assurance and accountability. </w:t>
      </w:r>
      <w:r>
        <w:t>During 2013, a</w:t>
      </w:r>
      <w:r w:rsidR="005A37F7">
        <w:t xml:space="preserve"> package of bills amending the </w:t>
      </w:r>
      <w:r w:rsidR="005A37F7" w:rsidRPr="0073414F">
        <w:rPr>
          <w:i/>
        </w:rPr>
        <w:t>Aged Care Act 1997</w:t>
      </w:r>
      <w:r w:rsidR="005A37F7" w:rsidRPr="001911D5">
        <w:t xml:space="preserve"> </w:t>
      </w:r>
      <w:r w:rsidR="005A37F7">
        <w:t>was passed into law to implement some major reforms to the</w:t>
      </w:r>
      <w:r>
        <w:t xml:space="preserve"> aged care system. These reforms are being implemented</w:t>
      </w:r>
      <w:r w:rsidR="00972003" w:rsidRPr="00972003">
        <w:t xml:space="preserve"> </w:t>
      </w:r>
      <w:r w:rsidR="00972003">
        <w:t>progressively</w:t>
      </w:r>
      <w:r>
        <w:t>.</w:t>
      </w:r>
    </w:p>
    <w:p w:rsidR="007D544D" w:rsidRDefault="005A37F7" w:rsidP="00A26F91">
      <w:pPr>
        <w:pStyle w:val="BodyText"/>
        <w:shd w:val="clear" w:color="auto" w:fill="FFFFFF" w:themeFill="background1"/>
      </w:pPr>
      <w:r>
        <w:t xml:space="preserve">State, Territory and local governments do </w:t>
      </w:r>
      <w:r w:rsidR="00A26F91">
        <w:t>fund and</w:t>
      </w:r>
      <w:r w:rsidR="0025389B">
        <w:t>/or</w:t>
      </w:r>
      <w:r w:rsidR="00A26F91">
        <w:t xml:space="preserve"> </w:t>
      </w:r>
      <w:r>
        <w:t xml:space="preserve">deliver some aged care services. </w:t>
      </w:r>
      <w:r w:rsidR="001968AA">
        <w:t xml:space="preserve">State and Territory </w:t>
      </w:r>
      <w:r w:rsidR="00306089">
        <w:t xml:space="preserve">governments </w:t>
      </w:r>
      <w:r w:rsidR="0060133A">
        <w:t>main areas of involvement are the delivery of some residential and home care services (figures</w:t>
      </w:r>
      <w:r w:rsidR="00E75264">
        <w:t> </w:t>
      </w:r>
      <w:r w:rsidR="0060133A">
        <w:t>13.</w:t>
      </w:r>
      <w:r w:rsidR="00925264">
        <w:t>1</w:t>
      </w:r>
      <w:r w:rsidR="00644FF9">
        <w:sym w:font="Symbol" w:char="F02D"/>
      </w:r>
      <w:r w:rsidR="0060133A">
        <w:t xml:space="preserve">2), the </w:t>
      </w:r>
      <w:r w:rsidR="00306089">
        <w:t>day</w:t>
      </w:r>
      <w:r w:rsidR="00306089">
        <w:noBreakHyphen/>
        <w:t>to</w:t>
      </w:r>
      <w:r w:rsidR="00306089">
        <w:noBreakHyphen/>
        <w:t>day operation and administration of Aged Care Assessment Teams</w:t>
      </w:r>
      <w:r w:rsidR="00D7190E">
        <w:t xml:space="preserve"> </w:t>
      </w:r>
      <w:r w:rsidR="005E70A1">
        <w:t xml:space="preserve">(ACATs) </w:t>
      </w:r>
      <w:r w:rsidR="00D7190E">
        <w:t xml:space="preserve">and </w:t>
      </w:r>
      <w:r w:rsidR="0025389B">
        <w:t>with the Australian Government</w:t>
      </w:r>
      <w:r w:rsidR="005E70A1">
        <w:t>,</w:t>
      </w:r>
      <w:r w:rsidR="0025389B">
        <w:t xml:space="preserve"> </w:t>
      </w:r>
      <w:r w:rsidR="0060133A">
        <w:t xml:space="preserve">the </w:t>
      </w:r>
      <w:r w:rsidR="00306089">
        <w:t>joint administ</w:t>
      </w:r>
      <w:r w:rsidR="0060133A">
        <w:t>ration</w:t>
      </w:r>
      <w:r w:rsidR="00306089">
        <w:t xml:space="preserve"> and/or fund</w:t>
      </w:r>
      <w:r w:rsidR="0060133A">
        <w:t>ing of</w:t>
      </w:r>
      <w:r w:rsidR="00306089">
        <w:t xml:space="preserve"> </w:t>
      </w:r>
      <w:r w:rsidR="00E77D4F">
        <w:t xml:space="preserve">HACC </w:t>
      </w:r>
      <w:r w:rsidR="007D544D" w:rsidRPr="00A26F91">
        <w:rPr>
          <w:shd w:val="clear" w:color="auto" w:fill="FFFFFF" w:themeFill="background1"/>
        </w:rPr>
        <w:t xml:space="preserve">services </w:t>
      </w:r>
      <w:r w:rsidR="002D7BE6" w:rsidRPr="00A26F91">
        <w:rPr>
          <w:shd w:val="clear" w:color="auto" w:fill="FFFFFF" w:themeFill="background1"/>
        </w:rPr>
        <w:t>in Victoria and WA</w:t>
      </w:r>
      <w:r w:rsidR="00A965E4">
        <w:rPr>
          <w:shd w:val="clear" w:color="auto" w:fill="FFFFFF" w:themeFill="background1"/>
        </w:rPr>
        <w:t xml:space="preserve"> (for older and younger clients)</w:t>
      </w:r>
      <w:r w:rsidR="00C37A27">
        <w:rPr>
          <w:shd w:val="clear" w:color="auto" w:fill="FFFFFF" w:themeFill="background1"/>
        </w:rPr>
        <w:t xml:space="preserve">, and </w:t>
      </w:r>
      <w:r w:rsidR="0025389B">
        <w:rPr>
          <w:shd w:val="clear" w:color="auto" w:fill="FFFFFF" w:themeFill="background1"/>
        </w:rPr>
        <w:t xml:space="preserve">the </w:t>
      </w:r>
      <w:r w:rsidR="002D7BE6" w:rsidRPr="00A26F91">
        <w:rPr>
          <w:shd w:val="clear" w:color="auto" w:fill="FFFFFF" w:themeFill="background1"/>
        </w:rPr>
        <w:t>Transition Care and Multi</w:t>
      </w:r>
      <w:r w:rsidR="00E75264">
        <w:rPr>
          <w:shd w:val="clear" w:color="auto" w:fill="FFFFFF" w:themeFill="background1"/>
        </w:rPr>
        <w:noBreakHyphen/>
      </w:r>
      <w:r w:rsidR="002D7BE6" w:rsidRPr="00A26F91">
        <w:rPr>
          <w:shd w:val="clear" w:color="auto" w:fill="FFFFFF" w:themeFill="background1"/>
        </w:rPr>
        <w:t>Purpose Services</w:t>
      </w:r>
      <w:r w:rsidR="0025389B">
        <w:rPr>
          <w:shd w:val="clear" w:color="auto" w:fill="FFFFFF" w:themeFill="background1"/>
        </w:rPr>
        <w:t xml:space="preserve"> </w:t>
      </w:r>
      <w:r w:rsidR="005E70A1">
        <w:rPr>
          <w:shd w:val="clear" w:color="auto" w:fill="FFFFFF" w:themeFill="background1"/>
        </w:rPr>
        <w:t xml:space="preserve">(MPS) </w:t>
      </w:r>
      <w:r w:rsidR="0025389B">
        <w:rPr>
          <w:shd w:val="clear" w:color="auto" w:fill="FFFFFF" w:themeFill="background1"/>
        </w:rPr>
        <w:t>programs</w:t>
      </w:r>
      <w:r w:rsidR="002D7BE6" w:rsidRPr="00A26F91">
        <w:rPr>
          <w:shd w:val="clear" w:color="auto" w:fill="FFFFFF" w:themeFill="background1"/>
        </w:rPr>
        <w:t>.</w:t>
      </w:r>
      <w:r w:rsidR="002D7BE6" w:rsidRPr="004B2BE8">
        <w:t xml:space="preserve"> </w:t>
      </w:r>
    </w:p>
    <w:p w:rsidR="002D7BE6" w:rsidRDefault="007D544D" w:rsidP="00C37A27">
      <w:pPr>
        <w:pStyle w:val="BodyText"/>
        <w:shd w:val="clear" w:color="auto" w:fill="FFFFFF" w:themeFill="background1"/>
      </w:pPr>
      <w:r>
        <w:t>Services are largely delivered by non</w:t>
      </w:r>
      <w:r>
        <w:noBreakHyphen/>
        <w:t>government organisations</w:t>
      </w:r>
      <w:r w:rsidR="00E77D4F">
        <w:t>; for example,</w:t>
      </w:r>
      <w:r>
        <w:t xml:space="preserve"> </w:t>
      </w:r>
      <w:r w:rsidR="00E77D4F">
        <w:t>r</w:t>
      </w:r>
      <w:r w:rsidRPr="007D544D">
        <w:t>eligious</w:t>
      </w:r>
      <w:r w:rsidR="00615AC8">
        <w:t>,</w:t>
      </w:r>
      <w:r w:rsidRPr="007D544D">
        <w:t xml:space="preserve"> private</w:t>
      </w:r>
      <w:r w:rsidR="008A57A7">
        <w:noBreakHyphen/>
      </w:r>
      <w:r w:rsidRPr="007D544D">
        <w:t>for</w:t>
      </w:r>
      <w:r w:rsidR="008A57A7">
        <w:noBreakHyphen/>
      </w:r>
      <w:r w:rsidRPr="007D544D">
        <w:t xml:space="preserve">profit </w:t>
      </w:r>
      <w:r w:rsidR="00615AC8">
        <w:t xml:space="preserve">and charitable </w:t>
      </w:r>
      <w:r w:rsidRPr="007D544D">
        <w:t>organisations are the main providers of residential care</w:t>
      </w:r>
      <w:r w:rsidR="00D7190E">
        <w:t xml:space="preserve"> </w:t>
      </w:r>
      <w:r w:rsidR="00E77D4F" w:rsidRPr="008A57A7">
        <w:t>(figure</w:t>
      </w:r>
      <w:r w:rsidR="00E75264">
        <w:t> </w:t>
      </w:r>
      <w:r w:rsidR="00E77D4F" w:rsidRPr="008A57A7">
        <w:t>13.</w:t>
      </w:r>
      <w:r w:rsidR="00E77D4F">
        <w:t>1</w:t>
      </w:r>
      <w:r w:rsidR="00E77D4F" w:rsidRPr="008A57A7">
        <w:t>)</w:t>
      </w:r>
      <w:r w:rsidR="00E77D4F">
        <w:t xml:space="preserve"> </w:t>
      </w:r>
      <w:r w:rsidR="008A57A7">
        <w:t>and r</w:t>
      </w:r>
      <w:r w:rsidR="008A57A7" w:rsidRPr="008A57A7">
        <w:t>eligious and charitable organisations are the main providers of Home Care</w:t>
      </w:r>
      <w:r w:rsidR="00DF5116">
        <w:t xml:space="preserve"> (figure</w:t>
      </w:r>
      <w:r w:rsidR="00E75264">
        <w:t> </w:t>
      </w:r>
      <w:r w:rsidR="00DF5116">
        <w:t>13.2)</w:t>
      </w:r>
      <w:r w:rsidR="008A57A7" w:rsidRPr="008A57A7">
        <w:t>.</w:t>
      </w:r>
    </w:p>
    <w:p w:rsidR="00D7267B" w:rsidRDefault="00D7267B" w:rsidP="00335077">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7267B" w:rsidTr="00D7267B">
        <w:tc>
          <w:tcPr>
            <w:tcW w:w="8771" w:type="dxa"/>
            <w:tcBorders>
              <w:top w:val="single" w:sz="6" w:space="0" w:color="78A22F"/>
              <w:left w:val="nil"/>
              <w:bottom w:val="nil"/>
              <w:right w:val="nil"/>
            </w:tcBorders>
            <w:shd w:val="clear" w:color="auto" w:fill="auto"/>
          </w:tcPr>
          <w:p w:rsidR="00D7267B" w:rsidRPr="00176D3F" w:rsidRDefault="00D7267B" w:rsidP="00335077">
            <w:pPr>
              <w:pStyle w:val="FigureTitle"/>
              <w:keepNext w:val="0"/>
              <w:keepLines w:val="0"/>
              <w:widowControl w:val="0"/>
            </w:pPr>
            <w:r w:rsidRPr="00784A05">
              <w:rPr>
                <w:b w:val="0"/>
              </w:rPr>
              <w:t xml:space="preserve">Figure </w:t>
            </w:r>
            <w:r w:rsidR="00200321">
              <w:rPr>
                <w:b w:val="0"/>
              </w:rPr>
              <w:t>13.</w:t>
            </w:r>
            <w:r w:rsidR="00F132AA">
              <w:rPr>
                <w:b w:val="0"/>
                <w:noProof/>
              </w:rPr>
              <w:t>1</w:t>
            </w:r>
            <w:r>
              <w:tab/>
            </w:r>
            <w:r w:rsidRPr="00683F2B">
              <w:t xml:space="preserve">Ownership of operational </w:t>
            </w:r>
            <w:r w:rsidR="00335077">
              <w:t>r</w:t>
            </w:r>
            <w:r w:rsidR="00335077" w:rsidRPr="00335077">
              <w:t>esidential</w:t>
            </w:r>
            <w:r w:rsidR="00335077" w:rsidRPr="00CF3213">
              <w:rPr>
                <w:b w:val="0"/>
              </w:rPr>
              <w:t xml:space="preserve"> </w:t>
            </w:r>
            <w:r w:rsidRPr="00683F2B">
              <w:t xml:space="preserve">places, </w:t>
            </w:r>
            <w:r w:rsidR="00DF5116">
              <w:t xml:space="preserve">by provider type, </w:t>
            </w:r>
            <w:r w:rsidRPr="00683F2B">
              <w:t>June 201</w:t>
            </w:r>
            <w:r>
              <w:t>5</w:t>
            </w:r>
            <w:r w:rsidRPr="00683F2B">
              <w:rPr>
                <w:rStyle w:val="NoteLabel"/>
                <w:b/>
              </w:rPr>
              <w:t>a</w:t>
            </w:r>
            <w:r>
              <w:t xml:space="preserve"> </w:t>
            </w:r>
          </w:p>
        </w:tc>
      </w:tr>
      <w:tr w:rsidR="00D7267B" w:rsidTr="00D7267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7267B" w:rsidTr="00D7267B">
              <w:trPr>
                <w:jc w:val="center"/>
              </w:trPr>
              <w:tc>
                <w:tcPr>
                  <w:tcW w:w="5000" w:type="pct"/>
                  <w:tcBorders>
                    <w:top w:val="nil"/>
                    <w:bottom w:val="nil"/>
                  </w:tcBorders>
                </w:tcPr>
                <w:p w:rsidR="00D7267B" w:rsidRDefault="00E30882" w:rsidP="00335077">
                  <w:pPr>
                    <w:pStyle w:val="Figure"/>
                    <w:keepNext w:val="0"/>
                    <w:widowControl w:val="0"/>
                    <w:spacing w:before="60" w:after="60"/>
                  </w:pPr>
                  <w:r>
                    <w:rPr>
                      <w:noProof/>
                    </w:rPr>
                    <w:drawing>
                      <wp:inline distT="0" distB="0" distL="0" distR="0">
                        <wp:extent cx="5305425" cy="2686050"/>
                        <wp:effectExtent l="0" t="0" r="9525" b="0"/>
                        <wp:docPr id="1" name="Picture 1" descr="Figure 13.1 Ownership of operational residential places, by provider type, Jun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5425" cy="2686050"/>
                                </a:xfrm>
                                <a:prstGeom prst="rect">
                                  <a:avLst/>
                                </a:prstGeom>
                                <a:noFill/>
                                <a:ln>
                                  <a:noFill/>
                                </a:ln>
                              </pic:spPr>
                            </pic:pic>
                          </a:graphicData>
                        </a:graphic>
                      </wp:inline>
                    </w:drawing>
                  </w:r>
                </w:p>
              </w:tc>
            </w:tr>
          </w:tbl>
          <w:p w:rsidR="00D7267B" w:rsidRDefault="00D7267B" w:rsidP="00335077">
            <w:pPr>
              <w:pStyle w:val="Figure"/>
              <w:keepNext w:val="0"/>
              <w:widowControl w:val="0"/>
            </w:pPr>
          </w:p>
        </w:tc>
      </w:tr>
      <w:tr w:rsidR="00D7267B" w:rsidRPr="00176D3F" w:rsidTr="00D7267B">
        <w:tc>
          <w:tcPr>
            <w:tcW w:w="8771" w:type="dxa"/>
            <w:tcBorders>
              <w:top w:val="nil"/>
              <w:left w:val="nil"/>
              <w:bottom w:val="nil"/>
              <w:right w:val="nil"/>
            </w:tcBorders>
            <w:shd w:val="clear" w:color="auto" w:fill="auto"/>
          </w:tcPr>
          <w:p w:rsidR="00D7267B" w:rsidRPr="00176D3F" w:rsidRDefault="005C6C6B" w:rsidP="00697271">
            <w:pPr>
              <w:pStyle w:val="Note"/>
              <w:keepLines w:val="0"/>
              <w:widowControl w:val="0"/>
              <w:rPr>
                <w:i/>
              </w:rPr>
            </w:pPr>
            <w:r w:rsidRPr="005C6C6B">
              <w:rPr>
                <w:rStyle w:val="NoteLabel"/>
              </w:rPr>
              <w:t xml:space="preserve">a </w:t>
            </w:r>
            <w:r w:rsidR="00DF5116">
              <w:t>See table</w:t>
            </w:r>
            <w:r w:rsidR="00E75264">
              <w:t> </w:t>
            </w:r>
            <w:proofErr w:type="spellStart"/>
            <w:r w:rsidRPr="004B2BE8">
              <w:t>13A.1</w:t>
            </w:r>
            <w:r w:rsidR="00697271">
              <w:t>4</w:t>
            </w:r>
            <w:proofErr w:type="spellEnd"/>
            <w:r w:rsidR="00DF5116">
              <w:t xml:space="preserve"> </w:t>
            </w:r>
            <w:r w:rsidRPr="004B2BE8">
              <w:t xml:space="preserve">for </w:t>
            </w:r>
            <w:r w:rsidR="003B09FE" w:rsidRPr="003B09FE">
              <w:t>detailed footnotes and caveats</w:t>
            </w:r>
            <w:r w:rsidRPr="004B2BE8">
              <w:t>.</w:t>
            </w:r>
          </w:p>
        </w:tc>
      </w:tr>
      <w:tr w:rsidR="00D7267B" w:rsidRPr="00176D3F" w:rsidTr="00D7267B">
        <w:tc>
          <w:tcPr>
            <w:tcW w:w="8771" w:type="dxa"/>
            <w:tcBorders>
              <w:top w:val="nil"/>
              <w:left w:val="nil"/>
              <w:bottom w:val="nil"/>
              <w:right w:val="nil"/>
            </w:tcBorders>
            <w:shd w:val="clear" w:color="auto" w:fill="auto"/>
          </w:tcPr>
          <w:p w:rsidR="00D7267B" w:rsidRPr="00176D3F" w:rsidRDefault="00D7267B" w:rsidP="001911D5">
            <w:pPr>
              <w:pStyle w:val="Source"/>
              <w:keepLines w:val="0"/>
              <w:widowControl w:val="0"/>
            </w:pPr>
            <w:r>
              <w:rPr>
                <w:i/>
              </w:rPr>
              <w:t>S</w:t>
            </w:r>
            <w:r w:rsidRPr="00784A05">
              <w:rPr>
                <w:i/>
              </w:rPr>
              <w:t>ource</w:t>
            </w:r>
            <w:r w:rsidRPr="00176D3F">
              <w:t xml:space="preserve">: </w:t>
            </w:r>
            <w:r w:rsidRPr="00683F2B">
              <w:t>D</w:t>
            </w:r>
            <w:r>
              <w:t xml:space="preserve">epartment of </w:t>
            </w:r>
            <w:r w:rsidRPr="00683F2B">
              <w:t>S</w:t>
            </w:r>
            <w:r>
              <w:t xml:space="preserve">ocial </w:t>
            </w:r>
            <w:r w:rsidRPr="00683F2B">
              <w:t>S</w:t>
            </w:r>
            <w:r>
              <w:t>ervices (</w:t>
            </w:r>
            <w:proofErr w:type="spellStart"/>
            <w:r>
              <w:t>DSS</w:t>
            </w:r>
            <w:proofErr w:type="spellEnd"/>
            <w:r>
              <w:t>)</w:t>
            </w:r>
            <w:r w:rsidRPr="00683F2B">
              <w:t xml:space="preserve"> (unpublished); table</w:t>
            </w:r>
            <w:r>
              <w:t> </w:t>
            </w:r>
            <w:proofErr w:type="spellStart"/>
            <w:r w:rsidR="001E2BFA" w:rsidRPr="001E2BFA">
              <w:t>13A.1</w:t>
            </w:r>
            <w:r w:rsidR="00697271">
              <w:t>4</w:t>
            </w:r>
            <w:proofErr w:type="spellEnd"/>
            <w:r w:rsidRPr="00683F2B">
              <w:t>.</w:t>
            </w:r>
            <w:r w:rsidRPr="00176D3F">
              <w:t xml:space="preserve"> </w:t>
            </w:r>
          </w:p>
        </w:tc>
      </w:tr>
      <w:tr w:rsidR="00D7267B" w:rsidTr="00D7267B">
        <w:tc>
          <w:tcPr>
            <w:tcW w:w="8771" w:type="dxa"/>
            <w:tcBorders>
              <w:top w:val="nil"/>
              <w:left w:val="nil"/>
              <w:bottom w:val="single" w:sz="6" w:space="0" w:color="78A22F"/>
              <w:right w:val="nil"/>
            </w:tcBorders>
            <w:shd w:val="clear" w:color="auto" w:fill="auto"/>
          </w:tcPr>
          <w:p w:rsidR="00D7267B" w:rsidRDefault="00D7267B" w:rsidP="00335077">
            <w:pPr>
              <w:pStyle w:val="Figurespace"/>
              <w:keepNext w:val="0"/>
              <w:widowControl w:val="0"/>
            </w:pPr>
          </w:p>
        </w:tc>
      </w:tr>
      <w:tr w:rsidR="00D7267B" w:rsidRPr="000863A5" w:rsidTr="00D7267B">
        <w:tc>
          <w:tcPr>
            <w:tcW w:w="8771" w:type="dxa"/>
            <w:tcBorders>
              <w:top w:val="single" w:sz="6" w:space="0" w:color="78A22F"/>
              <w:left w:val="nil"/>
              <w:bottom w:val="nil"/>
              <w:right w:val="nil"/>
            </w:tcBorders>
          </w:tcPr>
          <w:p w:rsidR="00D7267B" w:rsidRPr="00626D32" w:rsidRDefault="00D7267B" w:rsidP="00335077">
            <w:pPr>
              <w:pStyle w:val="BoxSpaceBelow"/>
              <w:widowControl w:val="0"/>
            </w:pPr>
          </w:p>
        </w:tc>
      </w:tr>
    </w:tbl>
    <w:p w:rsidR="00DF5116" w:rsidRDefault="00DF5116" w:rsidP="003354A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F5116" w:rsidTr="003354AD">
        <w:tc>
          <w:tcPr>
            <w:tcW w:w="8771" w:type="dxa"/>
            <w:tcBorders>
              <w:top w:val="single" w:sz="6" w:space="0" w:color="78A22F"/>
              <w:left w:val="nil"/>
              <w:bottom w:val="nil"/>
              <w:right w:val="nil"/>
            </w:tcBorders>
            <w:shd w:val="clear" w:color="auto" w:fill="auto"/>
          </w:tcPr>
          <w:p w:rsidR="00DF5116" w:rsidRPr="00176D3F" w:rsidRDefault="00DF5116" w:rsidP="00DE6C10">
            <w:pPr>
              <w:pStyle w:val="FigureTitle"/>
            </w:pPr>
            <w:r w:rsidRPr="00784A05">
              <w:rPr>
                <w:b w:val="0"/>
              </w:rPr>
              <w:t xml:space="preserve">Figure </w:t>
            </w:r>
            <w:r>
              <w:rPr>
                <w:b w:val="0"/>
              </w:rPr>
              <w:t>13.</w:t>
            </w:r>
            <w:r w:rsidR="00F132AA">
              <w:rPr>
                <w:b w:val="0"/>
                <w:noProof/>
              </w:rPr>
              <w:t>2</w:t>
            </w:r>
            <w:r>
              <w:tab/>
            </w:r>
            <w:r w:rsidRPr="00DF5116">
              <w:t xml:space="preserve">Ownership of </w:t>
            </w:r>
            <w:r w:rsidR="007475C2" w:rsidRPr="007475C2">
              <w:t xml:space="preserve">operational </w:t>
            </w:r>
            <w:r w:rsidR="00E77D4F">
              <w:t>Home Care</w:t>
            </w:r>
            <w:r w:rsidRPr="00DF5116">
              <w:t xml:space="preserve"> places, by provider type, June 2015</w:t>
            </w:r>
            <w:r w:rsidR="00DE6C10">
              <w:rPr>
                <w:rStyle w:val="NoteLabel"/>
                <w:b/>
              </w:rPr>
              <w:t>a</w:t>
            </w:r>
          </w:p>
        </w:tc>
      </w:tr>
      <w:tr w:rsidR="00DF5116" w:rsidTr="003354A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F5116" w:rsidTr="003354AD">
              <w:trPr>
                <w:jc w:val="center"/>
              </w:trPr>
              <w:tc>
                <w:tcPr>
                  <w:tcW w:w="5000" w:type="pct"/>
                  <w:tcBorders>
                    <w:top w:val="nil"/>
                    <w:bottom w:val="nil"/>
                  </w:tcBorders>
                </w:tcPr>
                <w:p w:rsidR="00DF5116" w:rsidRDefault="00E30882" w:rsidP="003354AD">
                  <w:pPr>
                    <w:pStyle w:val="Figure"/>
                    <w:spacing w:before="60" w:after="60"/>
                  </w:pPr>
                  <w:r>
                    <w:rPr>
                      <w:noProof/>
                    </w:rPr>
                    <w:drawing>
                      <wp:inline distT="0" distB="0" distL="0" distR="0">
                        <wp:extent cx="5305425" cy="2686050"/>
                        <wp:effectExtent l="0" t="0" r="9525" b="0"/>
                        <wp:docPr id="3" name="Picture 3" descr="Figure 13.2 Ownership of operational Home Care places, by provider type, Jun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5425" cy="2686050"/>
                                </a:xfrm>
                                <a:prstGeom prst="rect">
                                  <a:avLst/>
                                </a:prstGeom>
                                <a:noFill/>
                                <a:ln>
                                  <a:noFill/>
                                </a:ln>
                              </pic:spPr>
                            </pic:pic>
                          </a:graphicData>
                        </a:graphic>
                      </wp:inline>
                    </w:drawing>
                  </w:r>
                </w:p>
              </w:tc>
            </w:tr>
          </w:tbl>
          <w:p w:rsidR="00DF5116" w:rsidRDefault="00DF5116" w:rsidP="003354AD">
            <w:pPr>
              <w:pStyle w:val="Figure"/>
            </w:pPr>
          </w:p>
        </w:tc>
      </w:tr>
      <w:tr w:rsidR="00DF5116" w:rsidRPr="00176D3F" w:rsidTr="003354AD">
        <w:tc>
          <w:tcPr>
            <w:tcW w:w="8771" w:type="dxa"/>
            <w:tcBorders>
              <w:top w:val="nil"/>
              <w:left w:val="nil"/>
              <w:bottom w:val="nil"/>
              <w:right w:val="nil"/>
            </w:tcBorders>
            <w:shd w:val="clear" w:color="auto" w:fill="auto"/>
          </w:tcPr>
          <w:p w:rsidR="00DF5116" w:rsidRPr="00176D3F" w:rsidRDefault="00DF5116" w:rsidP="00697271">
            <w:pPr>
              <w:pStyle w:val="Note"/>
              <w:keepLines w:val="0"/>
              <w:widowControl w:val="0"/>
              <w:rPr>
                <w:i/>
              </w:rPr>
            </w:pPr>
            <w:r w:rsidRPr="005C6C6B">
              <w:rPr>
                <w:rStyle w:val="NoteLabel"/>
              </w:rPr>
              <w:t xml:space="preserve">a </w:t>
            </w:r>
            <w:r>
              <w:t>See table</w:t>
            </w:r>
            <w:r w:rsidR="00E75264">
              <w:t> </w:t>
            </w:r>
            <w:r w:rsidRPr="004B2BE8">
              <w:t>13A.1</w:t>
            </w:r>
            <w:r w:rsidR="00697271">
              <w:t>5</w:t>
            </w:r>
            <w:r>
              <w:t xml:space="preserve"> </w:t>
            </w:r>
            <w:r w:rsidRPr="004B2BE8">
              <w:t xml:space="preserve">for </w:t>
            </w:r>
            <w:r w:rsidR="003B09FE" w:rsidRPr="003B09FE">
              <w:t>detailed footnotes and caveats</w:t>
            </w:r>
            <w:r w:rsidRPr="004B2BE8">
              <w:t>.</w:t>
            </w:r>
          </w:p>
        </w:tc>
      </w:tr>
      <w:tr w:rsidR="00DF5116" w:rsidRPr="00176D3F" w:rsidTr="003354AD">
        <w:tc>
          <w:tcPr>
            <w:tcW w:w="8771" w:type="dxa"/>
            <w:tcBorders>
              <w:top w:val="nil"/>
              <w:left w:val="nil"/>
              <w:bottom w:val="nil"/>
              <w:right w:val="nil"/>
            </w:tcBorders>
            <w:shd w:val="clear" w:color="auto" w:fill="auto"/>
          </w:tcPr>
          <w:p w:rsidR="00DF5116" w:rsidRPr="00176D3F" w:rsidRDefault="00DF5116" w:rsidP="0044431E">
            <w:pPr>
              <w:pStyle w:val="Source"/>
              <w:keepLines w:val="0"/>
              <w:widowControl w:val="0"/>
            </w:pPr>
            <w:r>
              <w:rPr>
                <w:i/>
              </w:rPr>
              <w:t>S</w:t>
            </w:r>
            <w:r w:rsidRPr="00784A05">
              <w:rPr>
                <w:i/>
              </w:rPr>
              <w:t>ource</w:t>
            </w:r>
            <w:r w:rsidRPr="00176D3F">
              <w:t xml:space="preserve">: </w:t>
            </w:r>
            <w:r>
              <w:t>DSS</w:t>
            </w:r>
            <w:r w:rsidRPr="00683F2B">
              <w:t xml:space="preserve"> (unpublished); table</w:t>
            </w:r>
            <w:r>
              <w:t> </w:t>
            </w:r>
            <w:r w:rsidRPr="001E2BFA">
              <w:t>13A.1</w:t>
            </w:r>
            <w:r w:rsidR="00697271">
              <w:t>5</w:t>
            </w:r>
            <w:r w:rsidRPr="00683F2B">
              <w:t>.</w:t>
            </w:r>
            <w:r w:rsidRPr="00176D3F">
              <w:t xml:space="preserve"> </w:t>
            </w:r>
          </w:p>
        </w:tc>
      </w:tr>
      <w:tr w:rsidR="00DF5116" w:rsidTr="003354AD">
        <w:tc>
          <w:tcPr>
            <w:tcW w:w="8771" w:type="dxa"/>
            <w:tcBorders>
              <w:top w:val="nil"/>
              <w:left w:val="nil"/>
              <w:bottom w:val="single" w:sz="6" w:space="0" w:color="78A22F"/>
              <w:right w:val="nil"/>
            </w:tcBorders>
            <w:shd w:val="clear" w:color="auto" w:fill="auto"/>
          </w:tcPr>
          <w:p w:rsidR="00DF5116" w:rsidRDefault="00DF5116" w:rsidP="003354AD">
            <w:pPr>
              <w:pStyle w:val="Figurespace"/>
            </w:pPr>
          </w:p>
        </w:tc>
      </w:tr>
      <w:tr w:rsidR="00DF5116" w:rsidRPr="000863A5" w:rsidTr="003354AD">
        <w:tc>
          <w:tcPr>
            <w:tcW w:w="8771" w:type="dxa"/>
            <w:tcBorders>
              <w:top w:val="single" w:sz="6" w:space="0" w:color="78A22F"/>
              <w:left w:val="nil"/>
              <w:bottom w:val="nil"/>
              <w:right w:val="nil"/>
            </w:tcBorders>
          </w:tcPr>
          <w:p w:rsidR="00DF5116" w:rsidRPr="00626D32" w:rsidRDefault="00DF5116" w:rsidP="003354AD">
            <w:pPr>
              <w:pStyle w:val="BoxSpaceBelow"/>
            </w:pPr>
          </w:p>
        </w:tc>
      </w:tr>
    </w:tbl>
    <w:p w:rsidR="003166EA" w:rsidRDefault="003166EA" w:rsidP="003166EA">
      <w:pPr>
        <w:pStyle w:val="Heading3"/>
      </w:pPr>
      <w:r>
        <w:t>Funding</w:t>
      </w:r>
    </w:p>
    <w:p w:rsidR="00E77D4F" w:rsidRDefault="003166EA" w:rsidP="00E77D4F">
      <w:pPr>
        <w:pStyle w:val="BodyText"/>
      </w:pPr>
      <w:r>
        <w:t xml:space="preserve">Recurrent expenditure on aged care </w:t>
      </w:r>
      <w:r w:rsidRPr="00864C90">
        <w:t xml:space="preserve">services </w:t>
      </w:r>
      <w:r w:rsidR="001911D5" w:rsidRPr="00864C90">
        <w:t xml:space="preserve">covered in this Report </w:t>
      </w:r>
      <w:r w:rsidRPr="00864C90">
        <w:t>was $</w:t>
      </w:r>
      <w:r w:rsidR="00F214FF" w:rsidRPr="00864C90">
        <w:t>15.</w:t>
      </w:r>
      <w:r w:rsidR="00E34043" w:rsidRPr="00864C90">
        <w:t>8</w:t>
      </w:r>
      <w:r w:rsidR="00F214FF" w:rsidRPr="00864C90">
        <w:t xml:space="preserve"> </w:t>
      </w:r>
      <w:r w:rsidRPr="00864C90">
        <w:t>billion in 201</w:t>
      </w:r>
      <w:r w:rsidR="00F405F0" w:rsidRPr="00864C90">
        <w:t>4</w:t>
      </w:r>
      <w:r w:rsidR="00D57DEC" w:rsidRPr="00864C90">
        <w:noBreakHyphen/>
      </w:r>
      <w:r w:rsidRPr="00864C90">
        <w:t>1</w:t>
      </w:r>
      <w:r w:rsidR="00F405F0" w:rsidRPr="00864C90">
        <w:t>5</w:t>
      </w:r>
      <w:r w:rsidRPr="00864C90">
        <w:t xml:space="preserve"> (table</w:t>
      </w:r>
      <w:r w:rsidR="009551A0" w:rsidRPr="00864C90">
        <w:t> </w:t>
      </w:r>
      <w:r w:rsidRPr="00864C90">
        <w:t>13.</w:t>
      </w:r>
      <w:r w:rsidR="00185332" w:rsidRPr="00864C90">
        <w:t>1</w:t>
      </w:r>
      <w:r w:rsidRPr="00864C90">
        <w:t xml:space="preserve">). </w:t>
      </w:r>
      <w:r w:rsidR="00D66141" w:rsidRPr="00864C90">
        <w:t xml:space="preserve">Expenditure on residential aged care </w:t>
      </w:r>
      <w:r w:rsidR="00B67582" w:rsidRPr="00864C90">
        <w:t xml:space="preserve">of </w:t>
      </w:r>
      <w:r w:rsidR="00A965E4" w:rsidRPr="00864C90">
        <w:t>$</w:t>
      </w:r>
      <w:r w:rsidR="00B67582" w:rsidRPr="00864C90">
        <w:t xml:space="preserve">10.8 billion </w:t>
      </w:r>
      <w:r w:rsidR="00D66141" w:rsidRPr="00864C90">
        <w:t xml:space="preserve">accounted for the largest proportion </w:t>
      </w:r>
      <w:r w:rsidR="001911D5" w:rsidRPr="00864C90">
        <w:t xml:space="preserve">of </w:t>
      </w:r>
      <w:r w:rsidR="00B67582" w:rsidRPr="00864C90">
        <w:t>this</w:t>
      </w:r>
      <w:r w:rsidR="00D66141" w:rsidRPr="00864C90">
        <w:t xml:space="preserve"> expenditure (</w:t>
      </w:r>
      <w:r w:rsidR="00E83C31" w:rsidRPr="00864C90">
        <w:t>68.</w:t>
      </w:r>
      <w:r w:rsidR="00E34043" w:rsidRPr="00864C90">
        <w:t>1</w:t>
      </w:r>
      <w:r w:rsidR="00D66141" w:rsidRPr="00864C90">
        <w:t xml:space="preserve"> per cent)</w:t>
      </w:r>
      <w:r w:rsidR="00B67582" w:rsidRPr="00864C90">
        <w:t>.</w:t>
      </w:r>
      <w:r w:rsidR="004863F8" w:rsidRPr="00864C90">
        <w:t xml:space="preserve"> </w:t>
      </w:r>
      <w:r w:rsidR="007475C2" w:rsidRPr="00864C90">
        <w:t>Expenditure on h</w:t>
      </w:r>
      <w:r w:rsidR="00B67582" w:rsidRPr="00864C90">
        <w:t>ome care and support services accounted for much of the remainder ($4.1</w:t>
      </w:r>
      <w:r w:rsidR="00B67582" w:rsidRPr="00070340">
        <w:t xml:space="preserve"> billion</w:t>
      </w:r>
      <w:r w:rsidR="00B67582">
        <w:t>), which</w:t>
      </w:r>
      <w:r w:rsidR="004863F8">
        <w:t xml:space="preserve"> </w:t>
      </w:r>
      <w:r w:rsidR="00D66141" w:rsidRPr="00070340">
        <w:t>includ</w:t>
      </w:r>
      <w:r w:rsidR="008876E7">
        <w:t>ed</w:t>
      </w:r>
      <w:r w:rsidR="00D66141" w:rsidRPr="00070340">
        <w:t xml:space="preserve"> expenditure of $</w:t>
      </w:r>
      <w:r w:rsidR="004863F8">
        <w:t>2.3</w:t>
      </w:r>
      <w:r w:rsidR="00B67582">
        <w:t> </w:t>
      </w:r>
      <w:r w:rsidR="00D66141" w:rsidRPr="00070340">
        <w:t>billion on HACC, $</w:t>
      </w:r>
      <w:r w:rsidR="004863F8">
        <w:t>1.3</w:t>
      </w:r>
      <w:r w:rsidR="00D66141" w:rsidRPr="00070340">
        <w:t xml:space="preserve"> billion on Home Care and $</w:t>
      </w:r>
      <w:r w:rsidR="004863F8">
        <w:t>220.7</w:t>
      </w:r>
      <w:r w:rsidR="00D66141" w:rsidRPr="00070340">
        <w:t xml:space="preserve"> million on </w:t>
      </w:r>
      <w:r w:rsidR="004863F8">
        <w:t xml:space="preserve">the </w:t>
      </w:r>
      <w:r w:rsidR="00FA2792" w:rsidRPr="00FA2792">
        <w:t xml:space="preserve">Department of Veterans’ Affairs (DVA) </w:t>
      </w:r>
      <w:r w:rsidR="007475C2">
        <w:t>c</w:t>
      </w:r>
      <w:r w:rsidR="00D66141" w:rsidRPr="00070340">
        <w:t xml:space="preserve">ommunity </w:t>
      </w:r>
      <w:r w:rsidR="007475C2">
        <w:t>n</w:t>
      </w:r>
      <w:r w:rsidR="00D66141" w:rsidRPr="00070340">
        <w:t>ursing and Veterans’ Home Care</w:t>
      </w:r>
      <w:r w:rsidR="00FA2792">
        <w:t xml:space="preserve"> (VHC)</w:t>
      </w:r>
      <w:r w:rsidR="00D66141" w:rsidRPr="00070340">
        <w:t xml:space="preserve"> (table 13</w:t>
      </w:r>
      <w:r w:rsidR="00D66141">
        <w:t>A</w:t>
      </w:r>
      <w:r w:rsidR="00D66141" w:rsidRPr="00070340">
        <w:t>.</w:t>
      </w:r>
      <w:r w:rsidR="00D66141">
        <w:t>4</w:t>
      </w:r>
      <w:r w:rsidR="00D66141" w:rsidRPr="00070340">
        <w:t xml:space="preserve">). </w:t>
      </w:r>
      <w:r w:rsidR="0044431E">
        <w:t>Further detailed expenditure data by program are contained in tables 13A.4</w:t>
      </w:r>
      <w:r w:rsidR="0044431E">
        <w:sym w:font="Symbol" w:char="F02D"/>
      </w:r>
      <w:r w:rsidR="0044431E">
        <w:t xml:space="preserve">12. </w:t>
      </w:r>
    </w:p>
    <w:p w:rsidR="0044431E" w:rsidRPr="007F34D5" w:rsidRDefault="0044431E" w:rsidP="0044431E">
      <w:pPr>
        <w:pStyle w:val="BodyText"/>
        <w:shd w:val="clear" w:color="auto" w:fill="FFFFFF" w:themeFill="background1"/>
      </w:pPr>
      <w:r>
        <w:t>T</w:t>
      </w:r>
      <w:r w:rsidRPr="007F34D5">
        <w:t xml:space="preserve">he Australian Government provides most of </w:t>
      </w:r>
      <w:r>
        <w:t xml:space="preserve">the government </w:t>
      </w:r>
      <w:r w:rsidRPr="007F34D5">
        <w:t xml:space="preserve">funding for aged care services </w:t>
      </w:r>
      <w:r>
        <w:t>(approximately 95 per cent);</w:t>
      </w:r>
      <w:r w:rsidRPr="007F34D5">
        <w:t xml:space="preserve"> </w:t>
      </w:r>
      <w:r>
        <w:t xml:space="preserve">however, </w:t>
      </w:r>
      <w:r w:rsidRPr="007F34D5">
        <w:t xml:space="preserve">State and Territory governments </w:t>
      </w:r>
      <w:r>
        <w:t xml:space="preserve">do </w:t>
      </w:r>
      <w:r w:rsidRPr="007F34D5">
        <w:t>contribute (table</w:t>
      </w:r>
      <w:r>
        <w:t> </w:t>
      </w:r>
      <w:r w:rsidRPr="007F34D5">
        <w:t xml:space="preserve">13A.4). </w:t>
      </w:r>
      <w:r>
        <w:t>The Victorian and WA governments jointly fund HACC services</w:t>
      </w:r>
      <w:r w:rsidRPr="007F34D5">
        <w:t xml:space="preserve"> </w:t>
      </w:r>
      <w:r>
        <w:t xml:space="preserve">in these jurisdictions, and the other </w:t>
      </w:r>
      <w:r w:rsidRPr="007F34D5">
        <w:t xml:space="preserve">State and Territory governments fund </w:t>
      </w:r>
      <w:r>
        <w:t xml:space="preserve">Home Care and residential aged care places for </w:t>
      </w:r>
      <w:r w:rsidRPr="007F34D5">
        <w:t>younger people</w:t>
      </w:r>
      <w:r>
        <w:t>. State governments also</w:t>
      </w:r>
      <w:r w:rsidRPr="007F34D5">
        <w:t xml:space="preserve"> provide </w:t>
      </w:r>
      <w:r>
        <w:t xml:space="preserve">expenditure </w:t>
      </w:r>
      <w:r w:rsidRPr="007F34D5">
        <w:t>supplements for residential aged care facilities</w:t>
      </w:r>
      <w:r>
        <w:t xml:space="preserve"> (table</w:t>
      </w:r>
      <w:r w:rsidR="00E75264">
        <w:t> </w:t>
      </w:r>
      <w:r>
        <w:t>13A.4)</w:t>
      </w:r>
      <w:r w:rsidRPr="007F34D5">
        <w:t xml:space="preserve">. </w:t>
      </w:r>
      <w:r>
        <w:t>Other funding is contributed by c</w:t>
      </w:r>
      <w:r w:rsidRPr="007F34D5">
        <w:t>lient</w:t>
      </w:r>
      <w:r w:rsidR="00E34043">
        <w:t>s</w:t>
      </w:r>
      <w:r w:rsidRPr="007F34D5">
        <w:t xml:space="preserve"> and residents </w:t>
      </w:r>
      <w:r>
        <w:t>through fees and payments</w:t>
      </w:r>
      <w:r w:rsidRPr="00F42A8F">
        <w:t xml:space="preserve"> </w:t>
      </w:r>
      <w:r>
        <w:t xml:space="preserve">and some revenue is generated </w:t>
      </w:r>
      <w:r w:rsidRPr="007F34D5">
        <w:t>from charitable sources and donations</w:t>
      </w:r>
      <w:r>
        <w:t xml:space="preserve"> (reporting on this expenditure is outside the scope of this Report)</w:t>
      </w:r>
      <w:r w:rsidRPr="007F34D5">
        <w:t xml:space="preserve">. </w:t>
      </w:r>
    </w:p>
    <w:p w:rsidR="00D66141" w:rsidRPr="00070340" w:rsidRDefault="00E77D4F" w:rsidP="004B2BE8">
      <w:pPr>
        <w:pStyle w:val="BodyText"/>
        <w:shd w:val="clear" w:color="auto" w:fill="FFFFFF" w:themeFill="background1"/>
      </w:pPr>
      <w:r>
        <w:t>Table 13.1 does not include all Australian, State and Territory government aged care expenditure; for example, the experimental estimates of expenditure on non</w:t>
      </w:r>
      <w:r>
        <w:noBreakHyphen/>
        <w:t xml:space="preserve">HACC </w:t>
      </w:r>
      <w:r>
        <w:lastRenderedPageBreak/>
        <w:t>post</w:t>
      </w:r>
      <w:r>
        <w:noBreakHyphen/>
        <w:t>acute packages of care (table </w:t>
      </w:r>
      <w:proofErr w:type="spellStart"/>
      <w:r>
        <w:t>13A.</w:t>
      </w:r>
      <w:r w:rsidR="002C36A8">
        <w:t>9</w:t>
      </w:r>
      <w:proofErr w:type="spellEnd"/>
      <w:r>
        <w:t xml:space="preserve">) and Australian, State </w:t>
      </w:r>
      <w:r w:rsidR="001911D5">
        <w:t>and</w:t>
      </w:r>
      <w:r>
        <w:t xml:space="preserve"> Territory government</w:t>
      </w:r>
      <w:r w:rsidR="007475C2">
        <w:t>s’</w:t>
      </w:r>
      <w:r>
        <w:t xml:space="preserve"> capital expenditure are excluded (table </w:t>
      </w:r>
      <w:proofErr w:type="spellStart"/>
      <w:r>
        <w:t>13A.1</w:t>
      </w:r>
      <w:r w:rsidR="002C36A8">
        <w:t>0</w:t>
      </w:r>
      <w:proofErr w:type="spellEnd"/>
      <w:r>
        <w:t>).</w:t>
      </w:r>
      <w:r w:rsidRPr="00E77D4F">
        <w:t xml:space="preserve"> </w:t>
      </w:r>
    </w:p>
    <w:p w:rsidR="004863F8" w:rsidRDefault="004863F8" w:rsidP="001D20C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4863F8" w:rsidTr="00AF159E">
        <w:tc>
          <w:tcPr>
            <w:tcW w:w="8767" w:type="dxa"/>
            <w:tcBorders>
              <w:top w:val="single" w:sz="6" w:space="0" w:color="78A22F"/>
              <w:left w:val="nil"/>
              <w:bottom w:val="nil"/>
              <w:right w:val="nil"/>
            </w:tcBorders>
            <w:shd w:val="clear" w:color="auto" w:fill="auto"/>
          </w:tcPr>
          <w:p w:rsidR="004863F8" w:rsidRPr="00784A05" w:rsidRDefault="004863F8" w:rsidP="009C7155">
            <w:pPr>
              <w:pStyle w:val="TableTitle"/>
            </w:pPr>
            <w:r>
              <w:rPr>
                <w:b w:val="0"/>
              </w:rPr>
              <w:t>Table 13.</w:t>
            </w:r>
            <w:r w:rsidR="00F132AA">
              <w:rPr>
                <w:b w:val="0"/>
                <w:noProof/>
              </w:rPr>
              <w:t>1</w:t>
            </w:r>
            <w:r>
              <w:tab/>
              <w:t>Recurrent expenditure on aged care services, 2014</w:t>
            </w:r>
            <w:r>
              <w:noBreakHyphen/>
              <w:t xml:space="preserve">15 </w:t>
            </w:r>
            <w:r w:rsidR="009C7155">
              <w:br/>
            </w:r>
            <w:r w:rsidRPr="00F36609">
              <w:t>($ million)</w:t>
            </w:r>
            <w:r w:rsidRPr="004B2BE8">
              <w:rPr>
                <w:rStyle w:val="NoteLabel"/>
                <w:b/>
                <w:szCs w:val="20"/>
              </w:rPr>
              <w:t>a</w:t>
            </w:r>
          </w:p>
        </w:tc>
      </w:tr>
      <w:tr w:rsidR="004863F8" w:rsidTr="00AF159E">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630"/>
              <w:gridCol w:w="825"/>
              <w:gridCol w:w="824"/>
              <w:gridCol w:w="825"/>
              <w:gridCol w:w="824"/>
              <w:gridCol w:w="807"/>
              <w:gridCol w:w="713"/>
              <w:gridCol w:w="696"/>
              <w:gridCol w:w="571"/>
              <w:gridCol w:w="768"/>
            </w:tblGrid>
            <w:tr w:rsidR="00C7133F" w:rsidRPr="002B025F" w:rsidTr="00AF159E">
              <w:tc>
                <w:tcPr>
                  <w:tcW w:w="1630" w:type="dxa"/>
                  <w:tcBorders>
                    <w:top w:val="single" w:sz="6" w:space="0" w:color="BFBFBF"/>
                    <w:bottom w:val="single" w:sz="6" w:space="0" w:color="BFBFBF"/>
                  </w:tcBorders>
                  <w:shd w:val="clear" w:color="auto" w:fill="FFFFFF" w:themeFill="background1"/>
                </w:tcPr>
                <w:p w:rsidR="004863F8" w:rsidRPr="002B025F" w:rsidRDefault="004863F8" w:rsidP="001D20C3">
                  <w:pPr>
                    <w:pStyle w:val="TableColumnHeading"/>
                    <w:jc w:val="left"/>
                  </w:pPr>
                </w:p>
              </w:tc>
              <w:tc>
                <w:tcPr>
                  <w:tcW w:w="825" w:type="dxa"/>
                  <w:tcBorders>
                    <w:top w:val="single" w:sz="6" w:space="0" w:color="BFBFBF"/>
                    <w:bottom w:val="single" w:sz="6" w:space="0" w:color="BFBFBF"/>
                  </w:tcBorders>
                  <w:shd w:val="clear" w:color="auto" w:fill="auto"/>
                </w:tcPr>
                <w:p w:rsidR="004863F8" w:rsidRPr="002B025F" w:rsidRDefault="004863F8" w:rsidP="001D20C3">
                  <w:pPr>
                    <w:pStyle w:val="TableColumnHeading"/>
                    <w:rPr>
                      <w:szCs w:val="18"/>
                    </w:rPr>
                  </w:pPr>
                  <w:r w:rsidRPr="002B025F">
                    <w:rPr>
                      <w:szCs w:val="18"/>
                    </w:rPr>
                    <w:t>NSW</w:t>
                  </w:r>
                </w:p>
              </w:tc>
              <w:tc>
                <w:tcPr>
                  <w:tcW w:w="824" w:type="dxa"/>
                  <w:tcBorders>
                    <w:top w:val="single" w:sz="6" w:space="0" w:color="BFBFBF"/>
                    <w:bottom w:val="single" w:sz="6" w:space="0" w:color="BFBFBF"/>
                  </w:tcBorders>
                  <w:shd w:val="clear" w:color="auto" w:fill="auto"/>
                </w:tcPr>
                <w:p w:rsidR="004863F8" w:rsidRPr="002B025F" w:rsidRDefault="004863F8" w:rsidP="001D20C3">
                  <w:pPr>
                    <w:pStyle w:val="TableColumnHeading"/>
                    <w:rPr>
                      <w:szCs w:val="18"/>
                    </w:rPr>
                  </w:pPr>
                  <w:r w:rsidRPr="002B025F">
                    <w:rPr>
                      <w:szCs w:val="18"/>
                    </w:rPr>
                    <w:t>Vic</w:t>
                  </w:r>
                </w:p>
              </w:tc>
              <w:tc>
                <w:tcPr>
                  <w:tcW w:w="825" w:type="dxa"/>
                  <w:tcBorders>
                    <w:top w:val="single" w:sz="6" w:space="0" w:color="BFBFBF"/>
                    <w:bottom w:val="single" w:sz="6" w:space="0" w:color="BFBFBF"/>
                  </w:tcBorders>
                  <w:shd w:val="clear" w:color="auto" w:fill="auto"/>
                </w:tcPr>
                <w:p w:rsidR="004863F8" w:rsidRPr="002B025F" w:rsidRDefault="004863F8" w:rsidP="001D20C3">
                  <w:pPr>
                    <w:pStyle w:val="TableColumnHeading"/>
                    <w:rPr>
                      <w:szCs w:val="18"/>
                    </w:rPr>
                  </w:pPr>
                  <w:r w:rsidRPr="002B025F">
                    <w:rPr>
                      <w:szCs w:val="18"/>
                    </w:rPr>
                    <w:t>Qld</w:t>
                  </w:r>
                </w:p>
              </w:tc>
              <w:tc>
                <w:tcPr>
                  <w:tcW w:w="824" w:type="dxa"/>
                  <w:tcBorders>
                    <w:top w:val="single" w:sz="6" w:space="0" w:color="BFBFBF"/>
                    <w:bottom w:val="single" w:sz="6" w:space="0" w:color="BFBFBF"/>
                  </w:tcBorders>
                  <w:shd w:val="clear" w:color="auto" w:fill="auto"/>
                </w:tcPr>
                <w:p w:rsidR="004863F8" w:rsidRPr="002B025F" w:rsidRDefault="004863F8" w:rsidP="001D20C3">
                  <w:pPr>
                    <w:pStyle w:val="TableColumnHeading"/>
                    <w:rPr>
                      <w:szCs w:val="18"/>
                    </w:rPr>
                  </w:pPr>
                  <w:r w:rsidRPr="002B025F">
                    <w:rPr>
                      <w:szCs w:val="18"/>
                    </w:rPr>
                    <w:t>WA</w:t>
                  </w:r>
                </w:p>
              </w:tc>
              <w:tc>
                <w:tcPr>
                  <w:tcW w:w="807" w:type="dxa"/>
                  <w:tcBorders>
                    <w:top w:val="single" w:sz="6" w:space="0" w:color="BFBFBF"/>
                    <w:bottom w:val="single" w:sz="6" w:space="0" w:color="BFBFBF"/>
                  </w:tcBorders>
                  <w:shd w:val="clear" w:color="auto" w:fill="auto"/>
                </w:tcPr>
                <w:p w:rsidR="004863F8" w:rsidRPr="002B025F" w:rsidRDefault="004863F8" w:rsidP="001D20C3">
                  <w:pPr>
                    <w:pStyle w:val="TableColumnHeading"/>
                    <w:rPr>
                      <w:szCs w:val="18"/>
                    </w:rPr>
                  </w:pPr>
                  <w:r w:rsidRPr="002B025F">
                    <w:rPr>
                      <w:szCs w:val="18"/>
                    </w:rPr>
                    <w:t>SA</w:t>
                  </w:r>
                </w:p>
              </w:tc>
              <w:tc>
                <w:tcPr>
                  <w:tcW w:w="713" w:type="dxa"/>
                  <w:tcBorders>
                    <w:top w:val="single" w:sz="6" w:space="0" w:color="BFBFBF"/>
                    <w:bottom w:val="single" w:sz="6" w:space="0" w:color="BFBFBF"/>
                  </w:tcBorders>
                  <w:shd w:val="clear" w:color="auto" w:fill="auto"/>
                </w:tcPr>
                <w:p w:rsidR="004863F8" w:rsidRPr="002B025F" w:rsidRDefault="004863F8" w:rsidP="001D20C3">
                  <w:pPr>
                    <w:pStyle w:val="TableColumnHeading"/>
                    <w:rPr>
                      <w:szCs w:val="18"/>
                    </w:rPr>
                  </w:pPr>
                  <w:r w:rsidRPr="002B025F">
                    <w:rPr>
                      <w:szCs w:val="18"/>
                    </w:rPr>
                    <w:t>Tas</w:t>
                  </w:r>
                </w:p>
              </w:tc>
              <w:tc>
                <w:tcPr>
                  <w:tcW w:w="696" w:type="dxa"/>
                  <w:tcBorders>
                    <w:top w:val="single" w:sz="6" w:space="0" w:color="BFBFBF"/>
                    <w:bottom w:val="single" w:sz="6" w:space="0" w:color="BFBFBF"/>
                  </w:tcBorders>
                  <w:shd w:val="clear" w:color="auto" w:fill="auto"/>
                </w:tcPr>
                <w:p w:rsidR="004863F8" w:rsidRPr="002B025F" w:rsidRDefault="004863F8" w:rsidP="001D20C3">
                  <w:pPr>
                    <w:pStyle w:val="TableColumnHeading"/>
                    <w:rPr>
                      <w:szCs w:val="18"/>
                    </w:rPr>
                  </w:pPr>
                  <w:r w:rsidRPr="002B025F">
                    <w:rPr>
                      <w:szCs w:val="18"/>
                    </w:rPr>
                    <w:t>ACT</w:t>
                  </w:r>
                </w:p>
              </w:tc>
              <w:tc>
                <w:tcPr>
                  <w:tcW w:w="571" w:type="dxa"/>
                  <w:tcBorders>
                    <w:top w:val="single" w:sz="6" w:space="0" w:color="BFBFBF"/>
                    <w:bottom w:val="single" w:sz="6" w:space="0" w:color="BFBFBF"/>
                  </w:tcBorders>
                  <w:shd w:val="clear" w:color="auto" w:fill="auto"/>
                </w:tcPr>
                <w:p w:rsidR="004863F8" w:rsidRPr="002B025F" w:rsidRDefault="004863F8" w:rsidP="001D20C3">
                  <w:pPr>
                    <w:pStyle w:val="TableColumnHeading"/>
                    <w:rPr>
                      <w:szCs w:val="18"/>
                    </w:rPr>
                  </w:pPr>
                  <w:r w:rsidRPr="002B025F">
                    <w:rPr>
                      <w:szCs w:val="18"/>
                    </w:rPr>
                    <w:t>NT</w:t>
                  </w:r>
                </w:p>
              </w:tc>
              <w:tc>
                <w:tcPr>
                  <w:tcW w:w="768" w:type="dxa"/>
                  <w:tcBorders>
                    <w:top w:val="single" w:sz="6" w:space="0" w:color="BFBFBF"/>
                    <w:bottom w:val="single" w:sz="6" w:space="0" w:color="BFBFBF"/>
                  </w:tcBorders>
                  <w:shd w:val="clear" w:color="auto" w:fill="auto"/>
                </w:tcPr>
                <w:p w:rsidR="004863F8" w:rsidRPr="002B025F" w:rsidRDefault="004863F8" w:rsidP="00BF039C">
                  <w:pPr>
                    <w:pStyle w:val="TableColumnHeading"/>
                    <w:ind w:right="28"/>
                    <w:rPr>
                      <w:szCs w:val="18"/>
                    </w:rPr>
                  </w:pPr>
                  <w:r w:rsidRPr="002B025F">
                    <w:rPr>
                      <w:szCs w:val="18"/>
                    </w:rPr>
                    <w:t>Aust</w:t>
                  </w:r>
                </w:p>
              </w:tc>
            </w:tr>
            <w:tr w:rsidR="00C7133F" w:rsidRPr="00FF5329" w:rsidTr="00AF159E">
              <w:tc>
                <w:tcPr>
                  <w:tcW w:w="1630" w:type="dxa"/>
                  <w:tcBorders>
                    <w:top w:val="single" w:sz="6" w:space="0" w:color="BFBFBF"/>
                  </w:tcBorders>
                  <w:shd w:val="clear" w:color="auto" w:fill="FFFFFF" w:themeFill="background1"/>
                </w:tcPr>
                <w:p w:rsidR="004863F8" w:rsidRPr="00D0458F" w:rsidRDefault="004863F8" w:rsidP="00BF039C">
                  <w:pPr>
                    <w:pStyle w:val="TableBodyText"/>
                    <w:spacing w:before="40"/>
                    <w:jc w:val="left"/>
                    <w:rPr>
                      <w:szCs w:val="18"/>
                    </w:rPr>
                  </w:pPr>
                  <w:r>
                    <w:rPr>
                      <w:szCs w:val="18"/>
                    </w:rPr>
                    <w:t>Assessment and information</w:t>
                  </w:r>
                </w:p>
              </w:tc>
              <w:tc>
                <w:tcPr>
                  <w:tcW w:w="825" w:type="dxa"/>
                  <w:tcBorders>
                    <w:top w:val="single" w:sz="6" w:space="0" w:color="BFBFBF"/>
                  </w:tcBorders>
                  <w:shd w:val="clear" w:color="auto" w:fill="FFFFFF" w:themeFill="background1"/>
                  <w:vAlign w:val="center"/>
                </w:tcPr>
                <w:p w:rsidR="004863F8" w:rsidRPr="00FF5329" w:rsidRDefault="004863F8" w:rsidP="001D20C3">
                  <w:pPr>
                    <w:pStyle w:val="TableBodyText"/>
                    <w:rPr>
                      <w:szCs w:val="18"/>
                    </w:rPr>
                  </w:pPr>
                  <w:r w:rsidRPr="00FF5329">
                    <w:rPr>
                      <w:szCs w:val="18"/>
                    </w:rPr>
                    <w:t>36.1</w:t>
                  </w:r>
                </w:p>
              </w:tc>
              <w:tc>
                <w:tcPr>
                  <w:tcW w:w="824" w:type="dxa"/>
                  <w:tcBorders>
                    <w:top w:val="single" w:sz="6" w:space="0" w:color="BFBFBF"/>
                  </w:tcBorders>
                  <w:shd w:val="clear" w:color="auto" w:fill="FFFFFF" w:themeFill="background1"/>
                  <w:vAlign w:val="center"/>
                </w:tcPr>
                <w:p w:rsidR="004863F8" w:rsidRPr="00FF5329" w:rsidRDefault="004863F8" w:rsidP="001D20C3">
                  <w:pPr>
                    <w:pStyle w:val="TableBodyText"/>
                    <w:rPr>
                      <w:szCs w:val="18"/>
                    </w:rPr>
                  </w:pPr>
                  <w:r w:rsidRPr="00FF5329">
                    <w:rPr>
                      <w:szCs w:val="18"/>
                    </w:rPr>
                    <w:t>26.0</w:t>
                  </w:r>
                </w:p>
              </w:tc>
              <w:tc>
                <w:tcPr>
                  <w:tcW w:w="825" w:type="dxa"/>
                  <w:tcBorders>
                    <w:top w:val="single" w:sz="6" w:space="0" w:color="BFBFBF"/>
                  </w:tcBorders>
                  <w:shd w:val="clear" w:color="auto" w:fill="FFFFFF" w:themeFill="background1"/>
                  <w:vAlign w:val="center"/>
                </w:tcPr>
                <w:p w:rsidR="004863F8" w:rsidRPr="00FF5329" w:rsidRDefault="004863F8" w:rsidP="001D20C3">
                  <w:pPr>
                    <w:pStyle w:val="TableBodyText"/>
                    <w:rPr>
                      <w:szCs w:val="18"/>
                    </w:rPr>
                  </w:pPr>
                  <w:r w:rsidRPr="00FF5329">
                    <w:rPr>
                      <w:szCs w:val="18"/>
                    </w:rPr>
                    <w:t>18.5</w:t>
                  </w:r>
                </w:p>
              </w:tc>
              <w:tc>
                <w:tcPr>
                  <w:tcW w:w="824" w:type="dxa"/>
                  <w:tcBorders>
                    <w:top w:val="single" w:sz="6" w:space="0" w:color="BFBFBF"/>
                  </w:tcBorders>
                  <w:shd w:val="clear" w:color="auto" w:fill="FFFFFF" w:themeFill="background1"/>
                  <w:vAlign w:val="center"/>
                </w:tcPr>
                <w:p w:rsidR="004863F8" w:rsidRPr="00FF5329" w:rsidRDefault="004863F8" w:rsidP="001D20C3">
                  <w:pPr>
                    <w:pStyle w:val="TableBodyText"/>
                    <w:rPr>
                      <w:szCs w:val="18"/>
                    </w:rPr>
                  </w:pPr>
                  <w:r w:rsidRPr="00FF5329">
                    <w:rPr>
                      <w:szCs w:val="18"/>
                    </w:rPr>
                    <w:t>10.8</w:t>
                  </w:r>
                </w:p>
              </w:tc>
              <w:tc>
                <w:tcPr>
                  <w:tcW w:w="807" w:type="dxa"/>
                  <w:tcBorders>
                    <w:top w:val="single" w:sz="6" w:space="0" w:color="BFBFBF"/>
                  </w:tcBorders>
                  <w:shd w:val="clear" w:color="auto" w:fill="FFFFFF" w:themeFill="background1"/>
                  <w:vAlign w:val="center"/>
                </w:tcPr>
                <w:p w:rsidR="004863F8" w:rsidRPr="00FF5329" w:rsidRDefault="004863F8" w:rsidP="001D20C3">
                  <w:pPr>
                    <w:pStyle w:val="TableBodyText"/>
                    <w:rPr>
                      <w:szCs w:val="18"/>
                    </w:rPr>
                  </w:pPr>
                  <w:r w:rsidRPr="00FF5329">
                    <w:rPr>
                      <w:szCs w:val="18"/>
                    </w:rPr>
                    <w:t>9.6</w:t>
                  </w:r>
                </w:p>
              </w:tc>
              <w:tc>
                <w:tcPr>
                  <w:tcW w:w="713" w:type="dxa"/>
                  <w:tcBorders>
                    <w:top w:val="single" w:sz="6" w:space="0" w:color="BFBFBF"/>
                  </w:tcBorders>
                  <w:shd w:val="clear" w:color="auto" w:fill="FFFFFF" w:themeFill="background1"/>
                  <w:vAlign w:val="center"/>
                </w:tcPr>
                <w:p w:rsidR="004863F8" w:rsidRPr="00FF5329" w:rsidRDefault="004863F8" w:rsidP="001D20C3">
                  <w:pPr>
                    <w:pStyle w:val="TableBodyText"/>
                    <w:rPr>
                      <w:szCs w:val="18"/>
                    </w:rPr>
                  </w:pPr>
                  <w:r w:rsidRPr="00FF5329">
                    <w:rPr>
                      <w:szCs w:val="18"/>
                    </w:rPr>
                    <w:t>2.8</w:t>
                  </w:r>
                </w:p>
              </w:tc>
              <w:tc>
                <w:tcPr>
                  <w:tcW w:w="696" w:type="dxa"/>
                  <w:tcBorders>
                    <w:top w:val="single" w:sz="6" w:space="0" w:color="BFBFBF"/>
                  </w:tcBorders>
                  <w:shd w:val="clear" w:color="auto" w:fill="FFFFFF" w:themeFill="background1"/>
                  <w:vAlign w:val="center"/>
                </w:tcPr>
                <w:p w:rsidR="004863F8" w:rsidRPr="00FF5329" w:rsidRDefault="004863F8" w:rsidP="001D20C3">
                  <w:pPr>
                    <w:pStyle w:val="TableBodyText"/>
                    <w:rPr>
                      <w:szCs w:val="18"/>
                    </w:rPr>
                  </w:pPr>
                  <w:r w:rsidRPr="00FF5329">
                    <w:rPr>
                      <w:szCs w:val="18"/>
                    </w:rPr>
                    <w:t>1.2</w:t>
                  </w:r>
                </w:p>
              </w:tc>
              <w:tc>
                <w:tcPr>
                  <w:tcW w:w="571" w:type="dxa"/>
                  <w:tcBorders>
                    <w:top w:val="single" w:sz="6" w:space="0" w:color="BFBFBF"/>
                  </w:tcBorders>
                  <w:shd w:val="clear" w:color="auto" w:fill="FFFFFF" w:themeFill="background1"/>
                  <w:vAlign w:val="center"/>
                </w:tcPr>
                <w:p w:rsidR="004863F8" w:rsidRPr="00FF5329" w:rsidRDefault="004863F8" w:rsidP="001D20C3">
                  <w:pPr>
                    <w:pStyle w:val="TableBodyText"/>
                    <w:rPr>
                      <w:szCs w:val="18"/>
                    </w:rPr>
                  </w:pPr>
                  <w:r w:rsidRPr="00FF5329">
                    <w:rPr>
                      <w:szCs w:val="18"/>
                    </w:rPr>
                    <w:t>1.4</w:t>
                  </w:r>
                </w:p>
              </w:tc>
              <w:tc>
                <w:tcPr>
                  <w:tcW w:w="768" w:type="dxa"/>
                  <w:tcBorders>
                    <w:top w:val="single" w:sz="6" w:space="0" w:color="BFBFBF"/>
                  </w:tcBorders>
                  <w:shd w:val="clear" w:color="auto" w:fill="FFFFFF" w:themeFill="background1"/>
                  <w:vAlign w:val="center"/>
                </w:tcPr>
                <w:p w:rsidR="004863F8" w:rsidRPr="00FF5329" w:rsidRDefault="00E75264" w:rsidP="00BF039C">
                  <w:pPr>
                    <w:pStyle w:val="TableBodyText"/>
                    <w:ind w:right="28"/>
                    <w:rPr>
                      <w:szCs w:val="18"/>
                    </w:rPr>
                  </w:pPr>
                  <w:r>
                    <w:rPr>
                      <w:szCs w:val="18"/>
                    </w:rPr>
                    <w:t xml:space="preserve"> </w:t>
                  </w:r>
                  <w:r w:rsidR="004863F8" w:rsidRPr="00FF5329">
                    <w:rPr>
                      <w:szCs w:val="18"/>
                    </w:rPr>
                    <w:t>133.7</w:t>
                  </w:r>
                </w:p>
              </w:tc>
            </w:tr>
            <w:tr w:rsidR="00C7133F" w:rsidRPr="00FF5329" w:rsidTr="00AF159E">
              <w:tc>
                <w:tcPr>
                  <w:tcW w:w="1630" w:type="dxa"/>
                  <w:shd w:val="clear" w:color="auto" w:fill="FFFFFF" w:themeFill="background1"/>
                </w:tcPr>
                <w:p w:rsidR="004863F8" w:rsidRPr="00D0458F" w:rsidRDefault="004863F8" w:rsidP="001D20C3">
                  <w:pPr>
                    <w:pStyle w:val="TableBodyText"/>
                    <w:jc w:val="left"/>
                    <w:rPr>
                      <w:szCs w:val="18"/>
                    </w:rPr>
                  </w:pPr>
                  <w:r>
                    <w:rPr>
                      <w:szCs w:val="18"/>
                    </w:rPr>
                    <w:t>Home care and support services</w:t>
                  </w:r>
                </w:p>
              </w:tc>
              <w:tc>
                <w:tcPr>
                  <w:tcW w:w="825" w:type="dxa"/>
                  <w:shd w:val="clear" w:color="auto" w:fill="FFFFFF" w:themeFill="background1"/>
                  <w:vAlign w:val="center"/>
                </w:tcPr>
                <w:p w:rsidR="004863F8" w:rsidRPr="00FF5329" w:rsidRDefault="004863F8" w:rsidP="001D20C3">
                  <w:pPr>
                    <w:pStyle w:val="TableBodyText"/>
                    <w:rPr>
                      <w:szCs w:val="18"/>
                    </w:rPr>
                  </w:pPr>
                  <w:r w:rsidRPr="00FF5329">
                    <w:rPr>
                      <w:szCs w:val="18"/>
                    </w:rPr>
                    <w:t xml:space="preserve"> 1 151.7</w:t>
                  </w:r>
                </w:p>
              </w:tc>
              <w:tc>
                <w:tcPr>
                  <w:tcW w:w="824" w:type="dxa"/>
                  <w:shd w:val="clear" w:color="auto" w:fill="FFFFFF" w:themeFill="background1"/>
                  <w:vAlign w:val="center"/>
                </w:tcPr>
                <w:p w:rsidR="004863F8" w:rsidRPr="00FF5329" w:rsidRDefault="004863F8" w:rsidP="001D20C3">
                  <w:pPr>
                    <w:pStyle w:val="TableBodyText"/>
                    <w:rPr>
                      <w:szCs w:val="18"/>
                    </w:rPr>
                  </w:pPr>
                  <w:r w:rsidRPr="00FF5329">
                    <w:rPr>
                      <w:szCs w:val="18"/>
                    </w:rPr>
                    <w:t xml:space="preserve"> 1 097.5</w:t>
                  </w:r>
                </w:p>
              </w:tc>
              <w:tc>
                <w:tcPr>
                  <w:tcW w:w="825" w:type="dxa"/>
                  <w:shd w:val="clear" w:color="auto" w:fill="FFFFFF" w:themeFill="background1"/>
                  <w:vAlign w:val="center"/>
                </w:tcPr>
                <w:p w:rsidR="004863F8" w:rsidRPr="00FF5329" w:rsidRDefault="00E75264" w:rsidP="001D20C3">
                  <w:pPr>
                    <w:pStyle w:val="TableBodyText"/>
                    <w:rPr>
                      <w:szCs w:val="18"/>
                    </w:rPr>
                  </w:pPr>
                  <w:r>
                    <w:rPr>
                      <w:szCs w:val="18"/>
                    </w:rPr>
                    <w:t xml:space="preserve"> </w:t>
                  </w:r>
                  <w:r w:rsidR="004863F8" w:rsidRPr="00FF5329">
                    <w:rPr>
                      <w:szCs w:val="18"/>
                    </w:rPr>
                    <w:t>805.2</w:t>
                  </w:r>
                </w:p>
              </w:tc>
              <w:tc>
                <w:tcPr>
                  <w:tcW w:w="824" w:type="dxa"/>
                  <w:shd w:val="clear" w:color="auto" w:fill="FFFFFF" w:themeFill="background1"/>
                  <w:vAlign w:val="center"/>
                </w:tcPr>
                <w:p w:rsidR="004863F8" w:rsidRPr="00FF5329" w:rsidRDefault="00E75264" w:rsidP="001D20C3">
                  <w:pPr>
                    <w:pStyle w:val="TableBodyText"/>
                    <w:rPr>
                      <w:szCs w:val="18"/>
                    </w:rPr>
                  </w:pPr>
                  <w:r>
                    <w:rPr>
                      <w:szCs w:val="18"/>
                    </w:rPr>
                    <w:t xml:space="preserve"> </w:t>
                  </w:r>
                  <w:r w:rsidR="004863F8" w:rsidRPr="00FF5329">
                    <w:rPr>
                      <w:szCs w:val="18"/>
                    </w:rPr>
                    <w:t>489.7</w:t>
                  </w:r>
                </w:p>
              </w:tc>
              <w:tc>
                <w:tcPr>
                  <w:tcW w:w="807" w:type="dxa"/>
                  <w:shd w:val="clear" w:color="auto" w:fill="FFFFFF" w:themeFill="background1"/>
                  <w:vAlign w:val="center"/>
                </w:tcPr>
                <w:p w:rsidR="004863F8" w:rsidRPr="00FF5329" w:rsidRDefault="00E75264" w:rsidP="001D20C3">
                  <w:pPr>
                    <w:pStyle w:val="TableBodyText"/>
                    <w:rPr>
                      <w:szCs w:val="18"/>
                    </w:rPr>
                  </w:pPr>
                  <w:r>
                    <w:rPr>
                      <w:szCs w:val="18"/>
                    </w:rPr>
                    <w:t xml:space="preserve"> </w:t>
                  </w:r>
                  <w:r w:rsidR="004863F8" w:rsidRPr="00FF5329">
                    <w:rPr>
                      <w:szCs w:val="18"/>
                    </w:rPr>
                    <w:t>320.2</w:t>
                  </w:r>
                </w:p>
              </w:tc>
              <w:tc>
                <w:tcPr>
                  <w:tcW w:w="713" w:type="dxa"/>
                  <w:shd w:val="clear" w:color="auto" w:fill="FFFFFF" w:themeFill="background1"/>
                  <w:vAlign w:val="center"/>
                </w:tcPr>
                <w:p w:rsidR="004863F8" w:rsidRPr="00FF5329" w:rsidRDefault="00E75264" w:rsidP="001D20C3">
                  <w:pPr>
                    <w:pStyle w:val="TableBodyText"/>
                    <w:rPr>
                      <w:szCs w:val="18"/>
                    </w:rPr>
                  </w:pPr>
                  <w:r>
                    <w:rPr>
                      <w:szCs w:val="18"/>
                    </w:rPr>
                    <w:t xml:space="preserve"> </w:t>
                  </w:r>
                  <w:r w:rsidR="004863F8" w:rsidRPr="00FF5329">
                    <w:rPr>
                      <w:szCs w:val="18"/>
                    </w:rPr>
                    <w:t>109.7</w:t>
                  </w:r>
                </w:p>
              </w:tc>
              <w:tc>
                <w:tcPr>
                  <w:tcW w:w="696" w:type="dxa"/>
                  <w:shd w:val="clear" w:color="auto" w:fill="FFFFFF" w:themeFill="background1"/>
                  <w:vAlign w:val="center"/>
                </w:tcPr>
                <w:p w:rsidR="004863F8" w:rsidRPr="00FF5329" w:rsidRDefault="00E75264" w:rsidP="001D20C3">
                  <w:pPr>
                    <w:pStyle w:val="TableBodyText"/>
                    <w:rPr>
                      <w:szCs w:val="18"/>
                    </w:rPr>
                  </w:pPr>
                  <w:r>
                    <w:rPr>
                      <w:szCs w:val="18"/>
                    </w:rPr>
                    <w:t xml:space="preserve"> </w:t>
                  </w:r>
                  <w:r w:rsidR="004863F8" w:rsidRPr="00FF5329">
                    <w:rPr>
                      <w:szCs w:val="18"/>
                    </w:rPr>
                    <w:t>75.6</w:t>
                  </w:r>
                </w:p>
              </w:tc>
              <w:tc>
                <w:tcPr>
                  <w:tcW w:w="571" w:type="dxa"/>
                  <w:shd w:val="clear" w:color="auto" w:fill="FFFFFF" w:themeFill="background1"/>
                  <w:vAlign w:val="center"/>
                </w:tcPr>
                <w:p w:rsidR="004863F8" w:rsidRPr="00FF5329" w:rsidRDefault="00E75264" w:rsidP="001D20C3">
                  <w:pPr>
                    <w:pStyle w:val="TableBodyText"/>
                    <w:rPr>
                      <w:szCs w:val="18"/>
                    </w:rPr>
                  </w:pPr>
                  <w:r>
                    <w:rPr>
                      <w:szCs w:val="18"/>
                    </w:rPr>
                    <w:t xml:space="preserve"> </w:t>
                  </w:r>
                  <w:r w:rsidR="004863F8" w:rsidRPr="00FF5329">
                    <w:rPr>
                      <w:szCs w:val="18"/>
                    </w:rPr>
                    <w:t>39.1</w:t>
                  </w:r>
                </w:p>
              </w:tc>
              <w:tc>
                <w:tcPr>
                  <w:tcW w:w="768" w:type="dxa"/>
                  <w:shd w:val="clear" w:color="auto" w:fill="FFFFFF" w:themeFill="background1"/>
                  <w:vAlign w:val="center"/>
                </w:tcPr>
                <w:p w:rsidR="00C7133F" w:rsidRPr="00FF5329" w:rsidRDefault="004863F8" w:rsidP="00BF039C">
                  <w:pPr>
                    <w:pStyle w:val="TableBodyText"/>
                    <w:ind w:right="28"/>
                    <w:rPr>
                      <w:szCs w:val="18"/>
                    </w:rPr>
                  </w:pPr>
                  <w:r w:rsidRPr="00FF5329">
                    <w:rPr>
                      <w:szCs w:val="18"/>
                    </w:rPr>
                    <w:t>4 09</w:t>
                  </w:r>
                  <w:r w:rsidR="00C7133F">
                    <w:rPr>
                      <w:szCs w:val="18"/>
                    </w:rPr>
                    <w:t>1</w:t>
                  </w:r>
                  <w:r w:rsidRPr="00FF5329">
                    <w:rPr>
                      <w:szCs w:val="18"/>
                    </w:rPr>
                    <w:t>.</w:t>
                  </w:r>
                  <w:r w:rsidR="00C7133F">
                    <w:rPr>
                      <w:szCs w:val="18"/>
                    </w:rPr>
                    <w:t>3</w:t>
                  </w:r>
                </w:p>
              </w:tc>
            </w:tr>
            <w:tr w:rsidR="00E34043" w:rsidRPr="00FF5329" w:rsidTr="00AF159E">
              <w:tc>
                <w:tcPr>
                  <w:tcW w:w="1630" w:type="dxa"/>
                  <w:shd w:val="clear" w:color="auto" w:fill="FFFFFF" w:themeFill="background1"/>
                </w:tcPr>
                <w:p w:rsidR="00E34043" w:rsidRPr="00D0458F" w:rsidRDefault="00E34043" w:rsidP="001D20C3">
                  <w:pPr>
                    <w:pStyle w:val="TableBodyText"/>
                    <w:jc w:val="left"/>
                    <w:rPr>
                      <w:i/>
                      <w:szCs w:val="18"/>
                    </w:rPr>
                  </w:pPr>
                  <w:r>
                    <w:rPr>
                      <w:szCs w:val="18"/>
                    </w:rPr>
                    <w:t>Residential and flexible care</w:t>
                  </w:r>
                </w:p>
              </w:tc>
              <w:tc>
                <w:tcPr>
                  <w:tcW w:w="825" w:type="dxa"/>
                  <w:shd w:val="clear" w:color="auto" w:fill="FFFFFF" w:themeFill="background1"/>
                  <w:vAlign w:val="center"/>
                </w:tcPr>
                <w:p w:rsidR="00E34043" w:rsidRPr="00BE4DAC" w:rsidRDefault="00E34043" w:rsidP="00E34043">
                  <w:pPr>
                    <w:pStyle w:val="TableBodyText"/>
                    <w:rPr>
                      <w:szCs w:val="18"/>
                    </w:rPr>
                  </w:pPr>
                  <w:r w:rsidRPr="00BE4DAC">
                    <w:rPr>
                      <w:szCs w:val="18"/>
                    </w:rPr>
                    <w:t>3 735.5</w:t>
                  </w:r>
                </w:p>
              </w:tc>
              <w:tc>
                <w:tcPr>
                  <w:tcW w:w="824" w:type="dxa"/>
                  <w:shd w:val="clear" w:color="auto" w:fill="FFFFFF" w:themeFill="background1"/>
                  <w:vAlign w:val="center"/>
                </w:tcPr>
                <w:p w:rsidR="00E34043" w:rsidRPr="00BE4DAC" w:rsidRDefault="00E34043" w:rsidP="00E34043">
                  <w:pPr>
                    <w:pStyle w:val="TableBodyText"/>
                    <w:rPr>
                      <w:szCs w:val="18"/>
                    </w:rPr>
                  </w:pPr>
                  <w:r w:rsidRPr="00BE4DAC">
                    <w:rPr>
                      <w:szCs w:val="18"/>
                    </w:rPr>
                    <w:t xml:space="preserve"> 2 992.8</w:t>
                  </w:r>
                </w:p>
              </w:tc>
              <w:tc>
                <w:tcPr>
                  <w:tcW w:w="825" w:type="dxa"/>
                  <w:shd w:val="clear" w:color="auto" w:fill="FFFFFF" w:themeFill="background1"/>
                  <w:vAlign w:val="center"/>
                </w:tcPr>
                <w:p w:rsidR="00E34043" w:rsidRPr="00BE4DAC" w:rsidRDefault="00E34043" w:rsidP="00E34043">
                  <w:pPr>
                    <w:pStyle w:val="TableBodyText"/>
                    <w:rPr>
                      <w:szCs w:val="18"/>
                    </w:rPr>
                  </w:pPr>
                  <w:r w:rsidRPr="00BE4DAC">
                    <w:rPr>
                      <w:szCs w:val="18"/>
                    </w:rPr>
                    <w:t xml:space="preserve"> 2 085.9</w:t>
                  </w:r>
                </w:p>
              </w:tc>
              <w:tc>
                <w:tcPr>
                  <w:tcW w:w="824" w:type="dxa"/>
                  <w:shd w:val="clear" w:color="auto" w:fill="FFFFFF" w:themeFill="background1"/>
                  <w:vAlign w:val="center"/>
                </w:tcPr>
                <w:p w:rsidR="00E34043" w:rsidRPr="00BE4DAC" w:rsidRDefault="00E75264" w:rsidP="00E34043">
                  <w:pPr>
                    <w:pStyle w:val="TableBodyText"/>
                    <w:rPr>
                      <w:szCs w:val="18"/>
                    </w:rPr>
                  </w:pPr>
                  <w:r>
                    <w:rPr>
                      <w:szCs w:val="18"/>
                    </w:rPr>
                    <w:t xml:space="preserve"> </w:t>
                  </w:r>
                  <w:r w:rsidR="00E34043" w:rsidRPr="00BE4DAC">
                    <w:rPr>
                      <w:szCs w:val="18"/>
                    </w:rPr>
                    <w:t>978.2</w:t>
                  </w:r>
                </w:p>
              </w:tc>
              <w:tc>
                <w:tcPr>
                  <w:tcW w:w="807" w:type="dxa"/>
                  <w:shd w:val="clear" w:color="auto" w:fill="FFFFFF" w:themeFill="background1"/>
                  <w:vAlign w:val="center"/>
                </w:tcPr>
                <w:p w:rsidR="00E34043" w:rsidRPr="00BE4DAC" w:rsidRDefault="00E34043" w:rsidP="00E34043">
                  <w:pPr>
                    <w:pStyle w:val="TableBodyText"/>
                    <w:rPr>
                      <w:szCs w:val="18"/>
                    </w:rPr>
                  </w:pPr>
                  <w:r w:rsidRPr="00BE4DAC">
                    <w:rPr>
                      <w:szCs w:val="18"/>
                    </w:rPr>
                    <w:t xml:space="preserve"> 1 085.6</w:t>
                  </w:r>
                </w:p>
              </w:tc>
              <w:tc>
                <w:tcPr>
                  <w:tcW w:w="713" w:type="dxa"/>
                  <w:shd w:val="clear" w:color="auto" w:fill="FFFFFF" w:themeFill="background1"/>
                  <w:vAlign w:val="center"/>
                </w:tcPr>
                <w:p w:rsidR="00E34043" w:rsidRPr="00BE4DAC" w:rsidRDefault="00E75264" w:rsidP="00E34043">
                  <w:pPr>
                    <w:pStyle w:val="TableBodyText"/>
                    <w:rPr>
                      <w:szCs w:val="18"/>
                    </w:rPr>
                  </w:pPr>
                  <w:r>
                    <w:rPr>
                      <w:szCs w:val="18"/>
                    </w:rPr>
                    <w:t xml:space="preserve"> </w:t>
                  </w:r>
                  <w:r w:rsidR="00E34043" w:rsidRPr="00BE4DAC">
                    <w:rPr>
                      <w:szCs w:val="18"/>
                    </w:rPr>
                    <w:t>288.2</w:t>
                  </w:r>
                </w:p>
              </w:tc>
              <w:tc>
                <w:tcPr>
                  <w:tcW w:w="696" w:type="dxa"/>
                  <w:shd w:val="clear" w:color="auto" w:fill="FFFFFF" w:themeFill="background1"/>
                  <w:vAlign w:val="center"/>
                </w:tcPr>
                <w:p w:rsidR="00E34043" w:rsidRPr="00BE4DAC" w:rsidRDefault="00E75264" w:rsidP="00E34043">
                  <w:pPr>
                    <w:pStyle w:val="TableBodyText"/>
                    <w:rPr>
                      <w:szCs w:val="18"/>
                    </w:rPr>
                  </w:pPr>
                  <w:r>
                    <w:rPr>
                      <w:szCs w:val="18"/>
                    </w:rPr>
                    <w:t xml:space="preserve"> </w:t>
                  </w:r>
                  <w:r w:rsidR="00E34043" w:rsidRPr="00BE4DAC">
                    <w:rPr>
                      <w:szCs w:val="18"/>
                    </w:rPr>
                    <w:t>115.0</w:t>
                  </w:r>
                </w:p>
              </w:tc>
              <w:tc>
                <w:tcPr>
                  <w:tcW w:w="571" w:type="dxa"/>
                  <w:shd w:val="clear" w:color="auto" w:fill="FFFFFF" w:themeFill="background1"/>
                  <w:vAlign w:val="center"/>
                </w:tcPr>
                <w:p w:rsidR="00E34043" w:rsidRPr="00BE4DAC" w:rsidRDefault="00E75264" w:rsidP="00E34043">
                  <w:pPr>
                    <w:pStyle w:val="TableBodyText"/>
                    <w:rPr>
                      <w:szCs w:val="18"/>
                    </w:rPr>
                  </w:pPr>
                  <w:r>
                    <w:rPr>
                      <w:szCs w:val="18"/>
                    </w:rPr>
                    <w:t xml:space="preserve"> </w:t>
                  </w:r>
                  <w:r w:rsidR="00E34043" w:rsidRPr="00BE4DAC">
                    <w:rPr>
                      <w:szCs w:val="18"/>
                    </w:rPr>
                    <w:t>45.0</w:t>
                  </w:r>
                </w:p>
              </w:tc>
              <w:tc>
                <w:tcPr>
                  <w:tcW w:w="768" w:type="dxa"/>
                  <w:shd w:val="clear" w:color="auto" w:fill="FFFFFF" w:themeFill="background1"/>
                  <w:vAlign w:val="center"/>
                </w:tcPr>
                <w:p w:rsidR="00E34043" w:rsidRPr="00BE4DAC" w:rsidRDefault="00E34043" w:rsidP="00E34043">
                  <w:pPr>
                    <w:pStyle w:val="TableBodyText"/>
                    <w:ind w:right="0"/>
                    <w:rPr>
                      <w:szCs w:val="18"/>
                    </w:rPr>
                  </w:pPr>
                  <w:r w:rsidRPr="00BE4DAC">
                    <w:rPr>
                      <w:szCs w:val="18"/>
                    </w:rPr>
                    <w:t>11 331.3</w:t>
                  </w:r>
                </w:p>
              </w:tc>
            </w:tr>
            <w:tr w:rsidR="00C7133F" w:rsidRPr="00FF5329" w:rsidTr="00AF159E">
              <w:tc>
                <w:tcPr>
                  <w:tcW w:w="1630" w:type="dxa"/>
                  <w:shd w:val="clear" w:color="auto" w:fill="FFFFFF" w:themeFill="background1"/>
                </w:tcPr>
                <w:p w:rsidR="004863F8" w:rsidRPr="00D0458F" w:rsidRDefault="004863F8" w:rsidP="001D20C3">
                  <w:pPr>
                    <w:pStyle w:val="TableBodyText"/>
                    <w:jc w:val="left"/>
                    <w:rPr>
                      <w:szCs w:val="18"/>
                    </w:rPr>
                  </w:pPr>
                  <w:r>
                    <w:rPr>
                      <w:szCs w:val="18"/>
                    </w:rPr>
                    <w:t>W</w:t>
                  </w:r>
                  <w:r w:rsidRPr="00F405F0">
                    <w:rPr>
                      <w:szCs w:val="18"/>
                    </w:rPr>
                    <w:t>orkforce and quality, and ageing and service improvement</w:t>
                  </w:r>
                </w:p>
              </w:tc>
              <w:tc>
                <w:tcPr>
                  <w:tcW w:w="825" w:type="dxa"/>
                  <w:shd w:val="clear" w:color="auto" w:fill="FFFFFF" w:themeFill="background1"/>
                  <w:vAlign w:val="center"/>
                </w:tcPr>
                <w:p w:rsidR="004863F8" w:rsidRPr="00EA608E" w:rsidRDefault="00E75264" w:rsidP="001D20C3">
                  <w:pPr>
                    <w:pStyle w:val="TableBodyText"/>
                    <w:rPr>
                      <w:szCs w:val="18"/>
                    </w:rPr>
                  </w:pPr>
                  <w:r>
                    <w:rPr>
                      <w:szCs w:val="18"/>
                    </w:rPr>
                    <w:t xml:space="preserve"> </w:t>
                  </w:r>
                  <w:r w:rsidR="004863F8" w:rsidRPr="00EA608E">
                    <w:rPr>
                      <w:szCs w:val="18"/>
                    </w:rPr>
                    <w:t>27.6</w:t>
                  </w:r>
                </w:p>
              </w:tc>
              <w:tc>
                <w:tcPr>
                  <w:tcW w:w="824" w:type="dxa"/>
                  <w:shd w:val="clear" w:color="auto" w:fill="FFFFFF" w:themeFill="background1"/>
                  <w:vAlign w:val="center"/>
                </w:tcPr>
                <w:p w:rsidR="004863F8" w:rsidRPr="00EA608E" w:rsidRDefault="00E75264" w:rsidP="001D20C3">
                  <w:pPr>
                    <w:pStyle w:val="TableBodyText"/>
                    <w:rPr>
                      <w:szCs w:val="18"/>
                    </w:rPr>
                  </w:pPr>
                  <w:r>
                    <w:rPr>
                      <w:szCs w:val="18"/>
                    </w:rPr>
                    <w:t xml:space="preserve"> </w:t>
                  </w:r>
                  <w:r w:rsidR="004863F8" w:rsidRPr="00EA608E">
                    <w:rPr>
                      <w:szCs w:val="18"/>
                    </w:rPr>
                    <w:t>24.7</w:t>
                  </w:r>
                </w:p>
              </w:tc>
              <w:tc>
                <w:tcPr>
                  <w:tcW w:w="825" w:type="dxa"/>
                  <w:shd w:val="clear" w:color="auto" w:fill="FFFFFF" w:themeFill="background1"/>
                  <w:vAlign w:val="center"/>
                </w:tcPr>
                <w:p w:rsidR="004863F8" w:rsidRPr="00EA608E" w:rsidRDefault="00E75264" w:rsidP="001D20C3">
                  <w:pPr>
                    <w:pStyle w:val="TableBodyText"/>
                    <w:rPr>
                      <w:szCs w:val="18"/>
                    </w:rPr>
                  </w:pPr>
                  <w:r>
                    <w:rPr>
                      <w:szCs w:val="18"/>
                    </w:rPr>
                    <w:t xml:space="preserve"> </w:t>
                  </w:r>
                  <w:r w:rsidR="004863F8" w:rsidRPr="00EA608E">
                    <w:rPr>
                      <w:szCs w:val="18"/>
                    </w:rPr>
                    <w:t>25.7</w:t>
                  </w:r>
                </w:p>
              </w:tc>
              <w:tc>
                <w:tcPr>
                  <w:tcW w:w="824" w:type="dxa"/>
                  <w:shd w:val="clear" w:color="auto" w:fill="FFFFFF" w:themeFill="background1"/>
                  <w:vAlign w:val="center"/>
                </w:tcPr>
                <w:p w:rsidR="004863F8" w:rsidRPr="00EA608E" w:rsidRDefault="00E75264" w:rsidP="001D20C3">
                  <w:pPr>
                    <w:pStyle w:val="TableBodyText"/>
                    <w:rPr>
                      <w:szCs w:val="18"/>
                    </w:rPr>
                  </w:pPr>
                  <w:r>
                    <w:rPr>
                      <w:szCs w:val="18"/>
                    </w:rPr>
                    <w:t xml:space="preserve"> </w:t>
                  </w:r>
                  <w:r w:rsidR="004863F8" w:rsidRPr="00EA608E">
                    <w:rPr>
                      <w:szCs w:val="18"/>
                    </w:rPr>
                    <w:t>9.6</w:t>
                  </w:r>
                </w:p>
              </w:tc>
              <w:tc>
                <w:tcPr>
                  <w:tcW w:w="807" w:type="dxa"/>
                  <w:shd w:val="clear" w:color="auto" w:fill="FFFFFF" w:themeFill="background1"/>
                  <w:vAlign w:val="center"/>
                </w:tcPr>
                <w:p w:rsidR="004863F8" w:rsidRPr="00EA608E" w:rsidRDefault="00E75264" w:rsidP="001D20C3">
                  <w:pPr>
                    <w:pStyle w:val="TableBodyText"/>
                    <w:rPr>
                      <w:szCs w:val="18"/>
                    </w:rPr>
                  </w:pPr>
                  <w:r>
                    <w:rPr>
                      <w:szCs w:val="18"/>
                    </w:rPr>
                    <w:t xml:space="preserve"> </w:t>
                  </w:r>
                  <w:r w:rsidR="004863F8" w:rsidRPr="00EA608E">
                    <w:rPr>
                      <w:szCs w:val="18"/>
                    </w:rPr>
                    <w:t>10.9</w:t>
                  </w:r>
                </w:p>
              </w:tc>
              <w:tc>
                <w:tcPr>
                  <w:tcW w:w="713" w:type="dxa"/>
                  <w:shd w:val="clear" w:color="auto" w:fill="FFFFFF" w:themeFill="background1"/>
                  <w:vAlign w:val="center"/>
                </w:tcPr>
                <w:p w:rsidR="004863F8" w:rsidRPr="00EA608E" w:rsidRDefault="00E75264" w:rsidP="001D20C3">
                  <w:pPr>
                    <w:pStyle w:val="TableBodyText"/>
                    <w:rPr>
                      <w:szCs w:val="18"/>
                    </w:rPr>
                  </w:pPr>
                  <w:r>
                    <w:rPr>
                      <w:szCs w:val="18"/>
                    </w:rPr>
                    <w:t xml:space="preserve"> </w:t>
                  </w:r>
                  <w:r w:rsidR="004863F8" w:rsidRPr="00EA608E">
                    <w:rPr>
                      <w:szCs w:val="18"/>
                    </w:rPr>
                    <w:t>2.1</w:t>
                  </w:r>
                </w:p>
              </w:tc>
              <w:tc>
                <w:tcPr>
                  <w:tcW w:w="696" w:type="dxa"/>
                  <w:shd w:val="clear" w:color="auto" w:fill="FFFFFF" w:themeFill="background1"/>
                  <w:vAlign w:val="center"/>
                </w:tcPr>
                <w:p w:rsidR="004863F8" w:rsidRPr="00EA608E" w:rsidRDefault="00E75264" w:rsidP="001D20C3">
                  <w:pPr>
                    <w:pStyle w:val="TableBodyText"/>
                    <w:rPr>
                      <w:szCs w:val="18"/>
                    </w:rPr>
                  </w:pPr>
                  <w:r>
                    <w:rPr>
                      <w:szCs w:val="18"/>
                    </w:rPr>
                    <w:t xml:space="preserve"> </w:t>
                  </w:r>
                  <w:r w:rsidR="004863F8" w:rsidRPr="00EA608E">
                    <w:rPr>
                      <w:szCs w:val="18"/>
                    </w:rPr>
                    <w:t>18.7</w:t>
                  </w:r>
                </w:p>
              </w:tc>
              <w:tc>
                <w:tcPr>
                  <w:tcW w:w="571" w:type="dxa"/>
                  <w:shd w:val="clear" w:color="auto" w:fill="FFFFFF" w:themeFill="background1"/>
                  <w:vAlign w:val="center"/>
                </w:tcPr>
                <w:p w:rsidR="004863F8" w:rsidRPr="00EA608E" w:rsidRDefault="00E75264" w:rsidP="001D20C3">
                  <w:pPr>
                    <w:pStyle w:val="TableBodyText"/>
                    <w:rPr>
                      <w:szCs w:val="18"/>
                    </w:rPr>
                  </w:pPr>
                  <w:r>
                    <w:rPr>
                      <w:szCs w:val="18"/>
                    </w:rPr>
                    <w:t xml:space="preserve"> </w:t>
                  </w:r>
                  <w:r w:rsidR="00E34043" w:rsidRPr="00E34043">
                    <w:rPr>
                      <w:szCs w:val="18"/>
                    </w:rPr>
                    <w:t>18.6</w:t>
                  </w:r>
                </w:p>
              </w:tc>
              <w:tc>
                <w:tcPr>
                  <w:tcW w:w="768" w:type="dxa"/>
                  <w:shd w:val="clear" w:color="auto" w:fill="FFFFFF" w:themeFill="background1"/>
                  <w:vAlign w:val="center"/>
                </w:tcPr>
                <w:p w:rsidR="004863F8" w:rsidRPr="00FF5329" w:rsidRDefault="004863F8" w:rsidP="00BF039C">
                  <w:pPr>
                    <w:pStyle w:val="TableBodyText"/>
                    <w:ind w:right="28"/>
                    <w:rPr>
                      <w:szCs w:val="18"/>
                    </w:rPr>
                  </w:pPr>
                  <w:r w:rsidRPr="00FF5329">
                    <w:rPr>
                      <w:szCs w:val="18"/>
                    </w:rPr>
                    <w:t>264.3</w:t>
                  </w:r>
                </w:p>
              </w:tc>
            </w:tr>
            <w:tr w:rsidR="00E34043" w:rsidRPr="00EA608E" w:rsidTr="00AF159E">
              <w:tc>
                <w:tcPr>
                  <w:tcW w:w="1630" w:type="dxa"/>
                  <w:tcBorders>
                    <w:bottom w:val="single" w:sz="6" w:space="0" w:color="BFBFBF"/>
                  </w:tcBorders>
                  <w:shd w:val="clear" w:color="auto" w:fill="FFFFFF" w:themeFill="background1"/>
                  <w:vAlign w:val="bottom"/>
                </w:tcPr>
                <w:p w:rsidR="00E34043" w:rsidRPr="00C350C7" w:rsidRDefault="00E34043" w:rsidP="001D20C3">
                  <w:pPr>
                    <w:pStyle w:val="TableBodyText"/>
                    <w:jc w:val="left"/>
                    <w:rPr>
                      <w:b/>
                      <w:szCs w:val="18"/>
                    </w:rPr>
                  </w:pPr>
                  <w:r w:rsidRPr="00C350C7">
                    <w:rPr>
                      <w:b/>
                      <w:szCs w:val="18"/>
                    </w:rPr>
                    <w:t>Total</w:t>
                  </w:r>
                </w:p>
              </w:tc>
              <w:tc>
                <w:tcPr>
                  <w:tcW w:w="825" w:type="dxa"/>
                  <w:tcBorders>
                    <w:bottom w:val="single" w:sz="6" w:space="0" w:color="BFBFBF"/>
                  </w:tcBorders>
                  <w:shd w:val="clear" w:color="auto" w:fill="FFFFFF" w:themeFill="background1"/>
                  <w:vAlign w:val="center"/>
                </w:tcPr>
                <w:p w:rsidR="00E34043" w:rsidRPr="00E34043" w:rsidRDefault="00E34043" w:rsidP="00E34043">
                  <w:pPr>
                    <w:pStyle w:val="TableBodyText"/>
                    <w:rPr>
                      <w:b/>
                      <w:szCs w:val="18"/>
                    </w:rPr>
                  </w:pPr>
                  <w:r w:rsidRPr="00E34043">
                    <w:rPr>
                      <w:b/>
                      <w:szCs w:val="18"/>
                    </w:rPr>
                    <w:t xml:space="preserve"> 4 951.0</w:t>
                  </w:r>
                </w:p>
              </w:tc>
              <w:tc>
                <w:tcPr>
                  <w:tcW w:w="824" w:type="dxa"/>
                  <w:tcBorders>
                    <w:bottom w:val="single" w:sz="6" w:space="0" w:color="BFBFBF"/>
                  </w:tcBorders>
                  <w:shd w:val="clear" w:color="auto" w:fill="FFFFFF" w:themeFill="background1"/>
                  <w:vAlign w:val="center"/>
                </w:tcPr>
                <w:p w:rsidR="00E34043" w:rsidRPr="00E34043" w:rsidRDefault="00E34043" w:rsidP="00E34043">
                  <w:pPr>
                    <w:pStyle w:val="TableBodyText"/>
                    <w:rPr>
                      <w:b/>
                      <w:szCs w:val="18"/>
                    </w:rPr>
                  </w:pPr>
                  <w:r w:rsidRPr="00E34043">
                    <w:rPr>
                      <w:b/>
                      <w:szCs w:val="18"/>
                    </w:rPr>
                    <w:t xml:space="preserve"> 4 140.9</w:t>
                  </w:r>
                </w:p>
              </w:tc>
              <w:tc>
                <w:tcPr>
                  <w:tcW w:w="825" w:type="dxa"/>
                  <w:tcBorders>
                    <w:bottom w:val="single" w:sz="6" w:space="0" w:color="BFBFBF"/>
                  </w:tcBorders>
                  <w:shd w:val="clear" w:color="auto" w:fill="FFFFFF" w:themeFill="background1"/>
                  <w:vAlign w:val="center"/>
                </w:tcPr>
                <w:p w:rsidR="00E34043" w:rsidRPr="00E34043" w:rsidRDefault="00E34043" w:rsidP="00E34043">
                  <w:pPr>
                    <w:pStyle w:val="TableBodyText"/>
                    <w:rPr>
                      <w:b/>
                      <w:szCs w:val="18"/>
                    </w:rPr>
                  </w:pPr>
                  <w:r w:rsidRPr="00E34043">
                    <w:rPr>
                      <w:b/>
                      <w:szCs w:val="18"/>
                    </w:rPr>
                    <w:t xml:space="preserve"> 2 935.3</w:t>
                  </w:r>
                </w:p>
              </w:tc>
              <w:tc>
                <w:tcPr>
                  <w:tcW w:w="824" w:type="dxa"/>
                  <w:tcBorders>
                    <w:bottom w:val="single" w:sz="6" w:space="0" w:color="BFBFBF"/>
                  </w:tcBorders>
                  <w:shd w:val="clear" w:color="auto" w:fill="FFFFFF" w:themeFill="background1"/>
                  <w:vAlign w:val="center"/>
                </w:tcPr>
                <w:p w:rsidR="00E34043" w:rsidRPr="00E34043" w:rsidRDefault="00E34043" w:rsidP="00E34043">
                  <w:pPr>
                    <w:pStyle w:val="TableBodyText"/>
                    <w:rPr>
                      <w:b/>
                      <w:szCs w:val="18"/>
                    </w:rPr>
                  </w:pPr>
                  <w:r w:rsidRPr="00E34043">
                    <w:rPr>
                      <w:b/>
                      <w:szCs w:val="18"/>
                    </w:rPr>
                    <w:t xml:space="preserve"> 1 488.2</w:t>
                  </w:r>
                </w:p>
              </w:tc>
              <w:tc>
                <w:tcPr>
                  <w:tcW w:w="807" w:type="dxa"/>
                  <w:tcBorders>
                    <w:bottom w:val="single" w:sz="6" w:space="0" w:color="BFBFBF"/>
                  </w:tcBorders>
                  <w:shd w:val="clear" w:color="auto" w:fill="FFFFFF" w:themeFill="background1"/>
                  <w:vAlign w:val="center"/>
                </w:tcPr>
                <w:p w:rsidR="00E34043" w:rsidRPr="00E34043" w:rsidRDefault="00E34043" w:rsidP="00E34043">
                  <w:pPr>
                    <w:pStyle w:val="TableBodyText"/>
                    <w:rPr>
                      <w:b/>
                      <w:szCs w:val="18"/>
                    </w:rPr>
                  </w:pPr>
                  <w:r w:rsidRPr="00E34043">
                    <w:rPr>
                      <w:b/>
                      <w:szCs w:val="18"/>
                    </w:rPr>
                    <w:t xml:space="preserve"> 1 426.2</w:t>
                  </w:r>
                </w:p>
              </w:tc>
              <w:tc>
                <w:tcPr>
                  <w:tcW w:w="713" w:type="dxa"/>
                  <w:tcBorders>
                    <w:bottom w:val="single" w:sz="6" w:space="0" w:color="BFBFBF"/>
                  </w:tcBorders>
                  <w:shd w:val="clear" w:color="auto" w:fill="FFFFFF" w:themeFill="background1"/>
                  <w:vAlign w:val="center"/>
                </w:tcPr>
                <w:p w:rsidR="00E34043" w:rsidRPr="00E34043" w:rsidRDefault="00E75264" w:rsidP="00E34043">
                  <w:pPr>
                    <w:pStyle w:val="TableBodyText"/>
                    <w:rPr>
                      <w:b/>
                      <w:szCs w:val="18"/>
                    </w:rPr>
                  </w:pPr>
                  <w:r>
                    <w:rPr>
                      <w:b/>
                      <w:szCs w:val="18"/>
                    </w:rPr>
                    <w:t xml:space="preserve"> </w:t>
                  </w:r>
                  <w:r w:rsidR="00E34043" w:rsidRPr="00E34043">
                    <w:rPr>
                      <w:b/>
                      <w:szCs w:val="18"/>
                    </w:rPr>
                    <w:t>402.8</w:t>
                  </w:r>
                </w:p>
              </w:tc>
              <w:tc>
                <w:tcPr>
                  <w:tcW w:w="696" w:type="dxa"/>
                  <w:tcBorders>
                    <w:bottom w:val="single" w:sz="6" w:space="0" w:color="BFBFBF"/>
                  </w:tcBorders>
                  <w:shd w:val="clear" w:color="auto" w:fill="FFFFFF" w:themeFill="background1"/>
                  <w:vAlign w:val="center"/>
                </w:tcPr>
                <w:p w:rsidR="00E34043" w:rsidRPr="00E34043" w:rsidRDefault="00E75264" w:rsidP="00E34043">
                  <w:pPr>
                    <w:pStyle w:val="TableBodyText"/>
                    <w:rPr>
                      <w:b/>
                      <w:szCs w:val="18"/>
                    </w:rPr>
                  </w:pPr>
                  <w:r>
                    <w:rPr>
                      <w:b/>
                      <w:szCs w:val="18"/>
                    </w:rPr>
                    <w:t xml:space="preserve"> </w:t>
                  </w:r>
                  <w:r w:rsidR="00E34043" w:rsidRPr="00E34043">
                    <w:rPr>
                      <w:b/>
                      <w:szCs w:val="18"/>
                    </w:rPr>
                    <w:t>210.4</w:t>
                  </w:r>
                </w:p>
              </w:tc>
              <w:tc>
                <w:tcPr>
                  <w:tcW w:w="571" w:type="dxa"/>
                  <w:tcBorders>
                    <w:bottom w:val="single" w:sz="6" w:space="0" w:color="BFBFBF"/>
                  </w:tcBorders>
                  <w:shd w:val="clear" w:color="auto" w:fill="FFFFFF" w:themeFill="background1"/>
                  <w:vAlign w:val="center"/>
                </w:tcPr>
                <w:p w:rsidR="00E34043" w:rsidRPr="00E34043" w:rsidRDefault="00E34043" w:rsidP="00E34043">
                  <w:pPr>
                    <w:pStyle w:val="TableBodyText"/>
                    <w:rPr>
                      <w:b/>
                      <w:szCs w:val="18"/>
                    </w:rPr>
                  </w:pPr>
                  <w:r w:rsidRPr="00E34043">
                    <w:rPr>
                      <w:b/>
                      <w:szCs w:val="18"/>
                    </w:rPr>
                    <w:t>104.2</w:t>
                  </w:r>
                </w:p>
              </w:tc>
              <w:tc>
                <w:tcPr>
                  <w:tcW w:w="768" w:type="dxa"/>
                  <w:tcBorders>
                    <w:bottom w:val="single" w:sz="6" w:space="0" w:color="BFBFBF"/>
                  </w:tcBorders>
                  <w:shd w:val="clear" w:color="auto" w:fill="FFFFFF" w:themeFill="background1"/>
                  <w:vAlign w:val="center"/>
                </w:tcPr>
                <w:p w:rsidR="00E34043" w:rsidRPr="00E34043" w:rsidRDefault="00E34043" w:rsidP="00E34043">
                  <w:pPr>
                    <w:pStyle w:val="TableBodyText"/>
                    <w:ind w:right="28"/>
                    <w:rPr>
                      <w:b/>
                      <w:szCs w:val="18"/>
                    </w:rPr>
                  </w:pPr>
                  <w:r w:rsidRPr="00E34043">
                    <w:rPr>
                      <w:b/>
                      <w:szCs w:val="18"/>
                    </w:rPr>
                    <w:t>15 820.7</w:t>
                  </w:r>
                </w:p>
              </w:tc>
            </w:tr>
          </w:tbl>
          <w:p w:rsidR="004863F8" w:rsidRDefault="004863F8" w:rsidP="001D20C3">
            <w:pPr>
              <w:pStyle w:val="Box"/>
            </w:pPr>
          </w:p>
        </w:tc>
      </w:tr>
      <w:tr w:rsidR="004863F8" w:rsidTr="00AF159E">
        <w:trPr>
          <w:cantSplit/>
        </w:trPr>
        <w:tc>
          <w:tcPr>
            <w:tcW w:w="8767" w:type="dxa"/>
            <w:tcBorders>
              <w:top w:val="nil"/>
              <w:left w:val="nil"/>
              <w:bottom w:val="nil"/>
              <w:right w:val="nil"/>
            </w:tcBorders>
            <w:shd w:val="clear" w:color="auto" w:fill="auto"/>
          </w:tcPr>
          <w:p w:rsidR="004863F8" w:rsidRDefault="004863F8" w:rsidP="004863F8">
            <w:pPr>
              <w:pStyle w:val="Note"/>
              <w:rPr>
                <w:i/>
              </w:rPr>
            </w:pPr>
            <w:r w:rsidRPr="00CB5752">
              <w:rPr>
                <w:rStyle w:val="NoteLabel"/>
              </w:rPr>
              <w:t>a</w:t>
            </w:r>
            <w:r w:rsidRPr="004B2BE8">
              <w:t xml:space="preserve"> </w:t>
            </w:r>
            <w:r w:rsidRPr="00FF5329">
              <w:t>See table</w:t>
            </w:r>
            <w:r w:rsidR="00E75264">
              <w:t> </w:t>
            </w:r>
            <w:r w:rsidRPr="00FF5329">
              <w:t>13A.</w:t>
            </w:r>
            <w:r>
              <w:t>4</w:t>
            </w:r>
            <w:r w:rsidRPr="00FF5329">
              <w:t xml:space="preserve"> for detailed footnotes and caveats.</w:t>
            </w:r>
            <w:r w:rsidRPr="004B2BE8" w:rsidDel="005C6C6B">
              <w:t xml:space="preserve"> </w:t>
            </w:r>
          </w:p>
        </w:tc>
      </w:tr>
      <w:tr w:rsidR="004863F8" w:rsidTr="00AF159E">
        <w:trPr>
          <w:cantSplit/>
        </w:trPr>
        <w:tc>
          <w:tcPr>
            <w:tcW w:w="8767" w:type="dxa"/>
            <w:tcBorders>
              <w:top w:val="nil"/>
              <w:left w:val="nil"/>
              <w:bottom w:val="nil"/>
              <w:right w:val="nil"/>
            </w:tcBorders>
            <w:shd w:val="clear" w:color="auto" w:fill="auto"/>
          </w:tcPr>
          <w:p w:rsidR="004863F8" w:rsidRDefault="004863F8" w:rsidP="001911D5">
            <w:pPr>
              <w:pStyle w:val="Source"/>
            </w:pPr>
            <w:r>
              <w:rPr>
                <w:i/>
              </w:rPr>
              <w:t>Source</w:t>
            </w:r>
            <w:r w:rsidRPr="00167F06">
              <w:t xml:space="preserve">: </w:t>
            </w:r>
            <w:r>
              <w:t>DSS (unpublished); DVA (unpublished); State and Territory governments (unpublished); table 13A.4.</w:t>
            </w:r>
          </w:p>
        </w:tc>
      </w:tr>
      <w:tr w:rsidR="004863F8" w:rsidTr="00AF159E">
        <w:trPr>
          <w:cantSplit/>
        </w:trPr>
        <w:tc>
          <w:tcPr>
            <w:tcW w:w="8767" w:type="dxa"/>
            <w:tcBorders>
              <w:top w:val="nil"/>
              <w:left w:val="nil"/>
              <w:bottom w:val="single" w:sz="6" w:space="0" w:color="78A22F"/>
              <w:right w:val="nil"/>
            </w:tcBorders>
            <w:shd w:val="clear" w:color="auto" w:fill="auto"/>
          </w:tcPr>
          <w:p w:rsidR="004863F8" w:rsidRDefault="004863F8" w:rsidP="001D20C3">
            <w:pPr>
              <w:pStyle w:val="Box"/>
              <w:spacing w:before="0" w:line="120" w:lineRule="exact"/>
            </w:pPr>
          </w:p>
        </w:tc>
      </w:tr>
      <w:tr w:rsidR="004863F8" w:rsidRPr="000863A5" w:rsidTr="00AF159E">
        <w:tc>
          <w:tcPr>
            <w:tcW w:w="8767" w:type="dxa"/>
            <w:tcBorders>
              <w:top w:val="single" w:sz="6" w:space="0" w:color="78A22F"/>
              <w:left w:val="nil"/>
              <w:bottom w:val="nil"/>
              <w:right w:val="nil"/>
            </w:tcBorders>
          </w:tcPr>
          <w:p w:rsidR="004863F8" w:rsidRPr="00626D32" w:rsidRDefault="004863F8" w:rsidP="001D20C3">
            <w:pPr>
              <w:pStyle w:val="BoxSpaceBelow"/>
            </w:pPr>
          </w:p>
        </w:tc>
      </w:tr>
    </w:tbl>
    <w:p w:rsidR="003A1DB8" w:rsidRPr="00AD2365" w:rsidRDefault="003A1DB8" w:rsidP="003A1DB8">
      <w:pPr>
        <w:pStyle w:val="Heading3"/>
      </w:pPr>
      <w:r w:rsidRPr="00AD2365">
        <w:t>Size and scope of sector</w:t>
      </w:r>
    </w:p>
    <w:p w:rsidR="003A1DB8" w:rsidRPr="00B53C16" w:rsidRDefault="003A1DB8" w:rsidP="00461693">
      <w:pPr>
        <w:pStyle w:val="Heading4"/>
      </w:pPr>
      <w:r w:rsidRPr="00B53C16">
        <w:t>Size and growth of the older population</w:t>
      </w:r>
    </w:p>
    <w:p w:rsidR="00A965E4" w:rsidRDefault="001B6CD6" w:rsidP="003A1DB8">
      <w:pPr>
        <w:pStyle w:val="BodyText"/>
      </w:pPr>
      <w:r w:rsidRPr="00B53C16">
        <w:t xml:space="preserve">The demand for aged care services is driven by the size and health of the older population. </w:t>
      </w:r>
      <w:r w:rsidR="003A1DB8" w:rsidRPr="00B53C16">
        <w:t>The Australian population is ageing</w:t>
      </w:r>
      <w:r w:rsidR="00D867D6">
        <w:t xml:space="preserve"> rapidly</w:t>
      </w:r>
      <w:r w:rsidR="003A1DB8" w:rsidRPr="00B53C16">
        <w:t xml:space="preserve">, as indicated by </w:t>
      </w:r>
      <w:r>
        <w:t>the projected</w:t>
      </w:r>
      <w:r w:rsidR="003A1DB8" w:rsidRPr="00B53C16">
        <w:t xml:space="preserve"> increase in the proportion of older people (aged 65 years or over) in the total population</w:t>
      </w:r>
      <w:r w:rsidR="00715E48" w:rsidRPr="00B53C16">
        <w:t xml:space="preserve"> </w:t>
      </w:r>
      <w:r w:rsidR="003A1DB8" w:rsidRPr="00B53C16">
        <w:t>during this century (figure</w:t>
      </w:r>
      <w:r w:rsidR="009551A0" w:rsidRPr="00B53C16">
        <w:t> </w:t>
      </w:r>
      <w:r w:rsidR="003A1DB8" w:rsidRPr="00B53C16">
        <w:t>13.</w:t>
      </w:r>
      <w:r w:rsidR="00E77D4F">
        <w:t>3</w:t>
      </w:r>
      <w:r w:rsidR="003A1DB8" w:rsidRPr="00B53C16">
        <w:t xml:space="preserve">). </w:t>
      </w:r>
      <w:r w:rsidR="00461693" w:rsidRPr="0044431E">
        <w:t xml:space="preserve">The proportion of older people in the population at June 2015 was </w:t>
      </w:r>
      <w:r w:rsidR="00461693">
        <w:t>14.9</w:t>
      </w:r>
      <w:r w:rsidR="00461693" w:rsidRPr="0044431E">
        <w:t xml:space="preserve"> per cent nationally (figure</w:t>
      </w:r>
      <w:r w:rsidR="00E75264">
        <w:t> </w:t>
      </w:r>
      <w:r w:rsidR="00461693" w:rsidRPr="0044431E">
        <w:t>13.</w:t>
      </w:r>
      <w:r w:rsidR="00461693">
        <w:t>4</w:t>
      </w:r>
      <w:r w:rsidR="00461693" w:rsidRPr="0044431E">
        <w:t>).</w:t>
      </w:r>
      <w:r w:rsidR="00461693" w:rsidRPr="00461693">
        <w:t xml:space="preserve"> </w:t>
      </w:r>
    </w:p>
    <w:p w:rsidR="00461693" w:rsidRDefault="00461693" w:rsidP="003A1DB8">
      <w:pPr>
        <w:pStyle w:val="BodyText"/>
      </w:pPr>
      <w:r w:rsidRPr="00B53C16">
        <w:t>Higher life expectancy for females resulted in all jurisdictions having a higher proportion of older females than older males in the total population (except the NT) (table </w:t>
      </w:r>
      <w:proofErr w:type="spellStart"/>
      <w:r w:rsidRPr="00B53C16">
        <w:t>13A.1</w:t>
      </w:r>
      <w:proofErr w:type="spellEnd"/>
      <w:r w:rsidRPr="00B53C16">
        <w:t>). Females are more likely to utilise aged care services than males (partly because they are more likely to live alone).</w:t>
      </w:r>
      <w:r w:rsidRPr="00461693">
        <w:t xml:space="preserve"> </w:t>
      </w:r>
      <w:r w:rsidRPr="00B53C16">
        <w:t>Based on the current age</w:t>
      </w:r>
      <w:r w:rsidRPr="00B53C16">
        <w:noBreakHyphen/>
        <w:t xml:space="preserve"> and sex</w:t>
      </w:r>
      <w:r w:rsidRPr="00B53C16">
        <w:noBreakHyphen/>
        <w:t xml:space="preserve">specific utilisation rates for residential and </w:t>
      </w:r>
      <w:r>
        <w:t>H</w:t>
      </w:r>
      <w:r w:rsidRPr="00D7267B">
        <w:t xml:space="preserve">ome </w:t>
      </w:r>
      <w:r>
        <w:t>C</w:t>
      </w:r>
      <w:r w:rsidRPr="00D7267B">
        <w:t xml:space="preserve">are </w:t>
      </w:r>
      <w:r w:rsidRPr="00B53C16">
        <w:t xml:space="preserve">combined, and the projected growth in the size of the aged care planning population, it is estimated that the demand for </w:t>
      </w:r>
      <w:r>
        <w:t xml:space="preserve">these </w:t>
      </w:r>
      <w:r w:rsidRPr="00B53C16">
        <w:t>aged care services will more than treble by 2056 (D</w:t>
      </w:r>
      <w:r w:rsidR="00C07DBA">
        <w:t xml:space="preserve">epartment of </w:t>
      </w:r>
      <w:r w:rsidRPr="00B53C16">
        <w:t>S</w:t>
      </w:r>
      <w:r w:rsidR="00C07DBA">
        <w:t xml:space="preserve">ocial </w:t>
      </w:r>
      <w:r w:rsidRPr="00B53C16">
        <w:t>S</w:t>
      </w:r>
      <w:r w:rsidR="00C07DBA">
        <w:t>ervices [DSS]</w:t>
      </w:r>
      <w:r w:rsidRPr="00B53C16">
        <w:t xml:space="preserve"> unpublished estimate, based on ABS</w:t>
      </w:r>
      <w:r>
        <w:t> </w:t>
      </w:r>
      <w:r w:rsidRPr="00B53C16">
        <w:t xml:space="preserve">population projections series B in Cat. no. 3222.0). </w:t>
      </w:r>
    </w:p>
    <w:p w:rsidR="00461693" w:rsidRDefault="00461693">
      <w:pPr>
        <w:rPr>
          <w:szCs w:val="20"/>
        </w:rPr>
      </w:pPr>
      <w:r>
        <w:br w:type="page"/>
      </w:r>
    </w:p>
    <w:p w:rsidR="00FC2476" w:rsidRPr="00B53C16" w:rsidRDefault="00FC2476" w:rsidP="00D867D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C2476" w:rsidRPr="00B53C16" w:rsidTr="00E41098">
        <w:tc>
          <w:tcPr>
            <w:tcW w:w="8771" w:type="dxa"/>
            <w:tcBorders>
              <w:top w:val="single" w:sz="6" w:space="0" w:color="78A22F"/>
              <w:left w:val="nil"/>
              <w:bottom w:val="nil"/>
              <w:right w:val="nil"/>
            </w:tcBorders>
            <w:shd w:val="clear" w:color="auto" w:fill="auto"/>
          </w:tcPr>
          <w:p w:rsidR="00FC2476" w:rsidRPr="00B53C16" w:rsidRDefault="00FC2476" w:rsidP="0044431E">
            <w:pPr>
              <w:pStyle w:val="FigureTitle"/>
              <w:keepNext w:val="0"/>
              <w:keepLines w:val="0"/>
              <w:widowControl w:val="0"/>
            </w:pPr>
            <w:r w:rsidRPr="00B53C16">
              <w:rPr>
                <w:b w:val="0"/>
              </w:rPr>
              <w:t xml:space="preserve">Figure </w:t>
            </w:r>
            <w:r w:rsidR="002C36A8">
              <w:rPr>
                <w:b w:val="0"/>
              </w:rPr>
              <w:t>13.</w:t>
            </w:r>
            <w:r w:rsidR="00F132AA">
              <w:rPr>
                <w:b w:val="0"/>
                <w:noProof/>
              </w:rPr>
              <w:t>3</w:t>
            </w:r>
            <w:r w:rsidRPr="00B53C16">
              <w:tab/>
              <w:t>People aged 65 years or over as a proportion of the total population</w:t>
            </w:r>
            <w:r w:rsidRPr="00B53C16">
              <w:rPr>
                <w:rStyle w:val="NoteLabel"/>
                <w:b/>
              </w:rPr>
              <w:t>a</w:t>
            </w:r>
          </w:p>
        </w:tc>
      </w:tr>
      <w:tr w:rsidR="00FC2476" w:rsidRPr="00B53C16" w:rsidTr="00E41098">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FC2476" w:rsidRPr="00B53C16" w:rsidTr="00E41098">
              <w:tc>
                <w:tcPr>
                  <w:tcW w:w="8487" w:type="dxa"/>
                  <w:tcBorders>
                    <w:top w:val="nil"/>
                    <w:bottom w:val="nil"/>
                  </w:tcBorders>
                </w:tcPr>
                <w:p w:rsidR="00FC2476" w:rsidRPr="00B53C16" w:rsidRDefault="00E30882" w:rsidP="0044431E">
                  <w:pPr>
                    <w:pStyle w:val="Figure"/>
                    <w:keepNext w:val="0"/>
                    <w:widowControl w:val="0"/>
                    <w:spacing w:before="60" w:after="60"/>
                  </w:pPr>
                  <w:r>
                    <w:rPr>
                      <w:noProof/>
                    </w:rPr>
                    <w:drawing>
                      <wp:inline distT="0" distB="0" distL="0" distR="0">
                        <wp:extent cx="5238750" cy="2686050"/>
                        <wp:effectExtent l="0" t="0" r="0" b="0"/>
                        <wp:docPr id="4" name="Picture 4" descr="Figure 13.3 People aged 65 years or over as a proportion of the total popul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FC2476" w:rsidRPr="00B53C16" w:rsidRDefault="00FC2476" w:rsidP="0044431E">
            <w:pPr>
              <w:pStyle w:val="Figure"/>
              <w:keepNext w:val="0"/>
              <w:widowControl w:val="0"/>
            </w:pPr>
          </w:p>
        </w:tc>
      </w:tr>
      <w:tr w:rsidR="00FC2476" w:rsidRPr="00B53C16" w:rsidTr="00E41098">
        <w:tc>
          <w:tcPr>
            <w:tcW w:w="8771" w:type="dxa"/>
            <w:tcBorders>
              <w:top w:val="nil"/>
              <w:left w:val="nil"/>
              <w:bottom w:val="nil"/>
              <w:right w:val="nil"/>
            </w:tcBorders>
            <w:shd w:val="clear" w:color="auto" w:fill="auto"/>
          </w:tcPr>
          <w:p w:rsidR="00FC2476" w:rsidRPr="00B53C16" w:rsidRDefault="00FC2476" w:rsidP="0044431E">
            <w:pPr>
              <w:pStyle w:val="Note"/>
              <w:keepLines w:val="0"/>
              <w:widowControl w:val="0"/>
            </w:pPr>
            <w:r w:rsidRPr="00B53C16">
              <w:rPr>
                <w:rStyle w:val="NoteLabel"/>
              </w:rPr>
              <w:t xml:space="preserve">a </w:t>
            </w:r>
            <w:r w:rsidRPr="00B53C16">
              <w:t>Population projections are derived from the ABS ‘B’ series population projections.</w:t>
            </w:r>
          </w:p>
        </w:tc>
      </w:tr>
      <w:tr w:rsidR="00FC2476" w:rsidRPr="00B53C16" w:rsidTr="00E41098">
        <w:tc>
          <w:tcPr>
            <w:tcW w:w="8771" w:type="dxa"/>
            <w:tcBorders>
              <w:top w:val="nil"/>
              <w:left w:val="nil"/>
              <w:bottom w:val="nil"/>
              <w:right w:val="nil"/>
            </w:tcBorders>
            <w:shd w:val="clear" w:color="auto" w:fill="auto"/>
          </w:tcPr>
          <w:p w:rsidR="00FC2476" w:rsidRPr="00B53C16" w:rsidRDefault="00FC2476" w:rsidP="0044431E">
            <w:pPr>
              <w:pStyle w:val="Source"/>
              <w:keepLines w:val="0"/>
              <w:widowControl w:val="0"/>
            </w:pPr>
            <w:r w:rsidRPr="00B53C16">
              <w:rPr>
                <w:i/>
              </w:rPr>
              <w:t>Source</w:t>
            </w:r>
            <w:r w:rsidRPr="00B53C16">
              <w:t>:</w:t>
            </w:r>
            <w:r w:rsidRPr="00B53C16">
              <w:rPr>
                <w:i/>
              </w:rPr>
              <w:t xml:space="preserve"> </w:t>
            </w:r>
            <w:r w:rsidRPr="00B53C16">
              <w:t xml:space="preserve">ABS (2014) </w:t>
            </w:r>
            <w:r w:rsidRPr="00B53C16">
              <w:rPr>
                <w:i/>
              </w:rPr>
              <w:t>Australian Historical Population Statistics, 2014</w:t>
            </w:r>
            <w:r w:rsidRPr="00B53C16">
              <w:t xml:space="preserve">, Cat. no. 3105.0.65.001, Canberra; ABS (2013) </w:t>
            </w:r>
            <w:r w:rsidRPr="00B53C16">
              <w:rPr>
                <w:i/>
              </w:rPr>
              <w:t>Population Projections, Australia, 2012 (base) to 2101</w:t>
            </w:r>
            <w:r w:rsidRPr="00B53C16">
              <w:t>, Cat. no. 3222.0, Canberra.</w:t>
            </w:r>
          </w:p>
        </w:tc>
      </w:tr>
      <w:tr w:rsidR="00FC2476" w:rsidRPr="00B53C16" w:rsidTr="00E41098">
        <w:tc>
          <w:tcPr>
            <w:tcW w:w="8771" w:type="dxa"/>
            <w:tcBorders>
              <w:top w:val="nil"/>
              <w:left w:val="nil"/>
              <w:bottom w:val="single" w:sz="6" w:space="0" w:color="78A22F"/>
              <w:right w:val="nil"/>
            </w:tcBorders>
            <w:shd w:val="clear" w:color="auto" w:fill="auto"/>
          </w:tcPr>
          <w:p w:rsidR="00FC2476" w:rsidRPr="00B53C16" w:rsidRDefault="00FC2476" w:rsidP="0044431E">
            <w:pPr>
              <w:pStyle w:val="Figurespace"/>
              <w:keepNext w:val="0"/>
              <w:widowControl w:val="0"/>
            </w:pPr>
          </w:p>
        </w:tc>
      </w:tr>
      <w:tr w:rsidR="00FC2476" w:rsidRPr="00B53C16" w:rsidTr="00E41098">
        <w:tc>
          <w:tcPr>
            <w:tcW w:w="8771" w:type="dxa"/>
            <w:tcBorders>
              <w:top w:val="single" w:sz="6" w:space="0" w:color="78A22F"/>
              <w:left w:val="nil"/>
              <w:bottom w:val="nil"/>
              <w:right w:val="nil"/>
            </w:tcBorders>
          </w:tcPr>
          <w:p w:rsidR="00FC2476" w:rsidRPr="00B53C16" w:rsidRDefault="00FC2476" w:rsidP="0044431E">
            <w:pPr>
              <w:pStyle w:val="BoxSpaceBelow"/>
              <w:widowControl w:val="0"/>
            </w:pPr>
          </w:p>
        </w:tc>
      </w:tr>
    </w:tbl>
    <w:p w:rsidR="0090448D" w:rsidRPr="00B53C16" w:rsidRDefault="0090448D" w:rsidP="00647B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0448D" w:rsidRPr="00B53C16" w:rsidTr="00647BAB">
        <w:tc>
          <w:tcPr>
            <w:tcW w:w="8771" w:type="dxa"/>
            <w:tcBorders>
              <w:top w:val="single" w:sz="6" w:space="0" w:color="78A22F"/>
              <w:left w:val="nil"/>
              <w:bottom w:val="nil"/>
              <w:right w:val="nil"/>
            </w:tcBorders>
            <w:shd w:val="clear" w:color="auto" w:fill="auto"/>
          </w:tcPr>
          <w:p w:rsidR="0090448D" w:rsidRPr="00B53C16" w:rsidRDefault="0090448D" w:rsidP="00843217">
            <w:pPr>
              <w:pStyle w:val="FigureTitle"/>
            </w:pPr>
            <w:r w:rsidRPr="00B53C16">
              <w:rPr>
                <w:b w:val="0"/>
              </w:rPr>
              <w:t xml:space="preserve">Figure </w:t>
            </w:r>
            <w:r w:rsidR="00D867D6">
              <w:rPr>
                <w:b w:val="0"/>
              </w:rPr>
              <w:t>13.</w:t>
            </w:r>
            <w:r w:rsidR="00F132AA">
              <w:rPr>
                <w:b w:val="0"/>
                <w:noProof/>
              </w:rPr>
              <w:t>4</w:t>
            </w:r>
            <w:r w:rsidRPr="00B53C16">
              <w:tab/>
              <w:t>Estimated proportion of population aged 65 years or over, by sex, June 201</w:t>
            </w:r>
            <w:r w:rsidR="00372FF3">
              <w:t>5</w:t>
            </w:r>
            <w:r w:rsidR="001934EB" w:rsidRPr="004B2BE8">
              <w:rPr>
                <w:rStyle w:val="NoteLabel"/>
                <w:b/>
              </w:rPr>
              <w:t>a</w:t>
            </w:r>
          </w:p>
        </w:tc>
      </w:tr>
      <w:tr w:rsidR="0090448D" w:rsidRPr="00B53C16" w:rsidTr="00647BA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90448D" w:rsidRPr="00B53C16" w:rsidTr="00FD33F1">
              <w:tc>
                <w:tcPr>
                  <w:tcW w:w="5000" w:type="pct"/>
                  <w:tcBorders>
                    <w:top w:val="nil"/>
                    <w:bottom w:val="nil"/>
                  </w:tcBorders>
                </w:tcPr>
                <w:p w:rsidR="0090448D" w:rsidRPr="00B53C16" w:rsidRDefault="00E30882" w:rsidP="00647BAB">
                  <w:pPr>
                    <w:pStyle w:val="Figure"/>
                    <w:spacing w:before="60" w:after="60"/>
                  </w:pPr>
                  <w:r>
                    <w:rPr>
                      <w:noProof/>
                    </w:rPr>
                    <w:drawing>
                      <wp:inline distT="0" distB="0" distL="0" distR="0">
                        <wp:extent cx="5238750" cy="2686050"/>
                        <wp:effectExtent l="0" t="0" r="0" b="0"/>
                        <wp:docPr id="6" name="Picture 6" descr="Figure 13.4 Estimated proportion of population aged 65 years or over, by sex, Jun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90448D" w:rsidRPr="00B53C16" w:rsidRDefault="0090448D" w:rsidP="00647BAB">
            <w:pPr>
              <w:pStyle w:val="Figure"/>
            </w:pPr>
          </w:p>
        </w:tc>
      </w:tr>
      <w:tr w:rsidR="001934EB" w:rsidRPr="00B53C16" w:rsidTr="00647BAB">
        <w:tc>
          <w:tcPr>
            <w:tcW w:w="8771" w:type="dxa"/>
            <w:tcBorders>
              <w:top w:val="nil"/>
              <w:left w:val="nil"/>
              <w:bottom w:val="nil"/>
              <w:right w:val="nil"/>
            </w:tcBorders>
            <w:shd w:val="clear" w:color="auto" w:fill="auto"/>
          </w:tcPr>
          <w:p w:rsidR="001934EB" w:rsidRPr="00B53C16" w:rsidRDefault="001934EB" w:rsidP="002C36A8">
            <w:pPr>
              <w:pStyle w:val="Source"/>
              <w:rPr>
                <w:i/>
              </w:rPr>
            </w:pPr>
            <w:r w:rsidRPr="005C6C6B">
              <w:rPr>
                <w:rStyle w:val="NoteLabel"/>
              </w:rPr>
              <w:t>a</w:t>
            </w:r>
            <w:r w:rsidRPr="005C6C6B">
              <w:t xml:space="preserve"> </w:t>
            </w:r>
            <w:r w:rsidR="002C36A8" w:rsidRPr="002C36A8">
              <w:t>See table</w:t>
            </w:r>
            <w:r w:rsidR="00E75264">
              <w:t> </w:t>
            </w:r>
            <w:proofErr w:type="spellStart"/>
            <w:r w:rsidR="002C36A8" w:rsidRPr="002C36A8">
              <w:t>13A.</w:t>
            </w:r>
            <w:r w:rsidR="002C36A8">
              <w:t>1</w:t>
            </w:r>
            <w:proofErr w:type="spellEnd"/>
            <w:r w:rsidR="002C36A8" w:rsidRPr="002C36A8">
              <w:t xml:space="preserve"> for detailed footnotes and caveats.</w:t>
            </w:r>
          </w:p>
        </w:tc>
      </w:tr>
      <w:tr w:rsidR="0090448D" w:rsidRPr="00B53C16" w:rsidTr="00647BAB">
        <w:tc>
          <w:tcPr>
            <w:tcW w:w="8771" w:type="dxa"/>
            <w:tcBorders>
              <w:top w:val="nil"/>
              <w:left w:val="nil"/>
              <w:bottom w:val="nil"/>
              <w:right w:val="nil"/>
            </w:tcBorders>
            <w:shd w:val="clear" w:color="auto" w:fill="auto"/>
          </w:tcPr>
          <w:p w:rsidR="0090448D" w:rsidRPr="00B53C16" w:rsidRDefault="0090448D" w:rsidP="001934EB">
            <w:pPr>
              <w:pStyle w:val="Source"/>
            </w:pPr>
            <w:r w:rsidRPr="00B53C16">
              <w:rPr>
                <w:i/>
              </w:rPr>
              <w:t>Source</w:t>
            </w:r>
            <w:r w:rsidRPr="00B53C16">
              <w:t>:</w:t>
            </w:r>
            <w:r w:rsidRPr="00B53C16">
              <w:rPr>
                <w:i/>
              </w:rPr>
              <w:t xml:space="preserve"> </w:t>
            </w:r>
            <w:proofErr w:type="spellStart"/>
            <w:r w:rsidRPr="00B53C16">
              <w:t>DSS</w:t>
            </w:r>
            <w:proofErr w:type="spellEnd"/>
            <w:r w:rsidRPr="00B53C16">
              <w:t xml:space="preserve"> (unpublished); table</w:t>
            </w:r>
            <w:r w:rsidR="009551A0" w:rsidRPr="00B53C16">
              <w:t> </w:t>
            </w:r>
            <w:proofErr w:type="spellStart"/>
            <w:r w:rsidRPr="00B53C16">
              <w:t>13A.1</w:t>
            </w:r>
            <w:proofErr w:type="spellEnd"/>
            <w:r w:rsidRPr="00B53C16">
              <w:t>.</w:t>
            </w:r>
          </w:p>
        </w:tc>
      </w:tr>
      <w:tr w:rsidR="0090448D" w:rsidRPr="00B53C16" w:rsidTr="00647BAB">
        <w:tc>
          <w:tcPr>
            <w:tcW w:w="8771" w:type="dxa"/>
            <w:tcBorders>
              <w:top w:val="nil"/>
              <w:left w:val="nil"/>
              <w:bottom w:val="single" w:sz="6" w:space="0" w:color="78A22F"/>
              <w:right w:val="nil"/>
            </w:tcBorders>
            <w:shd w:val="clear" w:color="auto" w:fill="auto"/>
          </w:tcPr>
          <w:p w:rsidR="0090448D" w:rsidRPr="00B53C16" w:rsidRDefault="0090448D" w:rsidP="00647BAB">
            <w:pPr>
              <w:pStyle w:val="Figurespace"/>
            </w:pPr>
          </w:p>
        </w:tc>
      </w:tr>
      <w:tr w:rsidR="0090448D" w:rsidRPr="00B53C16" w:rsidTr="00647BAB">
        <w:tc>
          <w:tcPr>
            <w:tcW w:w="8771" w:type="dxa"/>
            <w:tcBorders>
              <w:top w:val="single" w:sz="6" w:space="0" w:color="78A22F"/>
              <w:left w:val="nil"/>
              <w:bottom w:val="nil"/>
              <w:right w:val="nil"/>
            </w:tcBorders>
          </w:tcPr>
          <w:p w:rsidR="0090448D" w:rsidRPr="00B53C16" w:rsidRDefault="0090448D" w:rsidP="00647BAB">
            <w:pPr>
              <w:pStyle w:val="BoxSpaceBelow"/>
            </w:pPr>
          </w:p>
        </w:tc>
      </w:tr>
    </w:tbl>
    <w:p w:rsidR="005947AD" w:rsidRPr="00B53C16" w:rsidRDefault="005947AD" w:rsidP="005947AD">
      <w:pPr>
        <w:pStyle w:val="Heading5"/>
      </w:pPr>
      <w:r w:rsidRPr="00B53C16">
        <w:lastRenderedPageBreak/>
        <w:t xml:space="preserve">Characteristics of older </w:t>
      </w:r>
      <w:r w:rsidR="00127E2E" w:rsidRPr="00B53C16">
        <w:t>Aboriginal and Torres Strait Islander</w:t>
      </w:r>
      <w:r w:rsidRPr="00B53C16">
        <w:t xml:space="preserve"> Australians</w:t>
      </w:r>
    </w:p>
    <w:p w:rsidR="003A1DB8" w:rsidRPr="00B53C16" w:rsidRDefault="005947AD" w:rsidP="005947AD">
      <w:pPr>
        <w:pStyle w:val="BodyText"/>
      </w:pPr>
      <w:r w:rsidRPr="00B53C16">
        <w:t xml:space="preserve">Although the </w:t>
      </w:r>
      <w:r w:rsidR="00127E2E" w:rsidRPr="00B53C16">
        <w:t>Aboriginal and Torres Strait Islander</w:t>
      </w:r>
      <w:r w:rsidRPr="00B53C16">
        <w:t xml:space="preserve"> population is also ageing, there are marked differences in the age profile of </w:t>
      </w:r>
      <w:r w:rsidR="00127E2E" w:rsidRPr="00B53C16">
        <w:t>Aboriginal and Torres Strait Islander</w:t>
      </w:r>
      <w:r w:rsidRPr="00B53C16">
        <w:t xml:space="preserve"> Australians compared with non</w:t>
      </w:r>
      <w:r w:rsidR="009551A0" w:rsidRPr="00B53C16">
        <w:noBreakHyphen/>
      </w:r>
      <w:r w:rsidR="00715E48" w:rsidRPr="00B53C16">
        <w:t>Indigenous</w:t>
      </w:r>
      <w:r w:rsidRPr="00B53C16">
        <w:t xml:space="preserve"> Australians (figure</w:t>
      </w:r>
      <w:r w:rsidR="009551A0" w:rsidRPr="00B53C16">
        <w:t> </w:t>
      </w:r>
      <w:r w:rsidRPr="00B53C16">
        <w:t>13.</w:t>
      </w:r>
      <w:r w:rsidR="00D44F78">
        <w:t>5</w:t>
      </w:r>
      <w:r w:rsidRPr="00B53C16">
        <w:t xml:space="preserve">). </w:t>
      </w:r>
      <w:r w:rsidR="00FC2476">
        <w:t>L</w:t>
      </w:r>
      <w:r w:rsidRPr="00B53C16">
        <w:t xml:space="preserve">ife expectancy at birth in the </w:t>
      </w:r>
      <w:r w:rsidR="00127E2E" w:rsidRPr="00B53C16">
        <w:t>Aboriginal and Torres Strait Islander</w:t>
      </w:r>
      <w:r w:rsidRPr="00B53C16">
        <w:t xml:space="preserve"> population is around 10.6</w:t>
      </w:r>
      <w:r w:rsidR="002E3E19" w:rsidRPr="00B53C16">
        <w:t> </w:t>
      </w:r>
      <w:r w:rsidRPr="00B53C16">
        <w:t>years less for males and 9.5</w:t>
      </w:r>
      <w:r w:rsidR="00715E48" w:rsidRPr="00B53C16">
        <w:t> </w:t>
      </w:r>
      <w:r w:rsidRPr="00B53C16">
        <w:t xml:space="preserve">years less for females when compared with the total Australian population (ABS 2013). </w:t>
      </w:r>
      <w:r w:rsidR="00127E2E" w:rsidRPr="00B53C16">
        <w:t>Aboriginal and Torres Strait Islander</w:t>
      </w:r>
      <w:r w:rsidRPr="00B53C16">
        <w:t xml:space="preserve"> Australians aged 50 years or over are used in this Report as a proxy for the likelihood of requiring aged care services, compared to 65 years or over for the general population.</w:t>
      </w:r>
      <w:r w:rsidR="00FC2476" w:rsidRPr="00FC2476">
        <w:t xml:space="preserve"> </w:t>
      </w:r>
      <w:r w:rsidR="005E70A1">
        <w:t xml:space="preserve">The ABS estimates that </w:t>
      </w:r>
      <w:r w:rsidR="00D867D6" w:rsidRPr="00D867D6">
        <w:t>107</w:t>
      </w:r>
      <w:r w:rsidR="00D867D6">
        <w:t> </w:t>
      </w:r>
      <w:r w:rsidR="00D867D6" w:rsidRPr="00D867D6">
        <w:t>364</w:t>
      </w:r>
      <w:r w:rsidR="00FC2476" w:rsidRPr="00B53C16">
        <w:t xml:space="preserve"> Aboriginal and Torres Strait Islander Australians were aged 50</w:t>
      </w:r>
      <w:r w:rsidR="00FC2476">
        <w:t> </w:t>
      </w:r>
      <w:r w:rsidR="00FC2476" w:rsidRPr="00B53C16">
        <w:t>years or over in Australia at 30 June 201</w:t>
      </w:r>
      <w:r w:rsidR="00FC2476">
        <w:t>5</w:t>
      </w:r>
      <w:r w:rsidR="00FC2476" w:rsidRPr="00B53C16">
        <w:t xml:space="preserve"> (table 13A.2).</w:t>
      </w:r>
    </w:p>
    <w:p w:rsidR="005947AD" w:rsidRPr="00B53C16" w:rsidRDefault="005947AD" w:rsidP="00647B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47AD" w:rsidRPr="00B53C16" w:rsidTr="00647BAB">
        <w:tc>
          <w:tcPr>
            <w:tcW w:w="8771" w:type="dxa"/>
            <w:tcBorders>
              <w:top w:val="single" w:sz="6" w:space="0" w:color="78A22F"/>
              <w:left w:val="nil"/>
              <w:bottom w:val="nil"/>
              <w:right w:val="nil"/>
            </w:tcBorders>
            <w:shd w:val="clear" w:color="auto" w:fill="auto"/>
          </w:tcPr>
          <w:p w:rsidR="005947AD" w:rsidRPr="00B53C16" w:rsidRDefault="005947AD" w:rsidP="00843217">
            <w:pPr>
              <w:pStyle w:val="FigureTitle"/>
            </w:pPr>
            <w:r w:rsidRPr="00B53C16">
              <w:rPr>
                <w:b w:val="0"/>
              </w:rPr>
              <w:t xml:space="preserve">Figure </w:t>
            </w:r>
            <w:r w:rsidR="00D44F78">
              <w:rPr>
                <w:b w:val="0"/>
              </w:rPr>
              <w:t>13.</w:t>
            </w:r>
            <w:r w:rsidR="00F132AA">
              <w:rPr>
                <w:b w:val="0"/>
                <w:noProof/>
              </w:rPr>
              <w:t>5</w:t>
            </w:r>
            <w:r w:rsidRPr="00B53C16">
              <w:tab/>
            </w:r>
            <w:r w:rsidR="0040429C" w:rsidRPr="00457598">
              <w:t xml:space="preserve">Age profile and aged care target population differences between </w:t>
            </w:r>
            <w:r w:rsidR="00127E2E" w:rsidRPr="00457598">
              <w:t>Aboriginal and Torres Strait Islander</w:t>
            </w:r>
            <w:r w:rsidR="0040429C" w:rsidRPr="00457598">
              <w:t xml:space="preserve"> and other Australians, June 2011</w:t>
            </w:r>
          </w:p>
        </w:tc>
      </w:tr>
      <w:tr w:rsidR="005947AD" w:rsidRPr="00B53C16" w:rsidTr="00647BAB">
        <w:tc>
          <w:tcPr>
            <w:tcW w:w="8771" w:type="dxa"/>
            <w:tcBorders>
              <w:top w:val="nil"/>
              <w:left w:val="nil"/>
              <w:bottom w:val="nil"/>
              <w:right w:val="nil"/>
            </w:tcBorders>
            <w:shd w:val="clear" w:color="auto" w:fill="auto"/>
            <w:tcMar>
              <w:top w:w="28" w:type="dxa"/>
              <w:bottom w:w="28" w:type="dxa"/>
            </w:tcMar>
          </w:tcPr>
          <w:tbl>
            <w:tblPr>
              <w:tblW w:w="4998"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4"/>
            </w:tblGrid>
            <w:tr w:rsidR="005947AD" w:rsidRPr="00B53C16" w:rsidTr="002E3E19">
              <w:tc>
                <w:tcPr>
                  <w:tcW w:w="5000" w:type="pct"/>
                  <w:tcBorders>
                    <w:top w:val="nil"/>
                    <w:bottom w:val="nil"/>
                  </w:tcBorders>
                </w:tcPr>
                <w:p w:rsidR="005947AD" w:rsidRPr="00B53C16" w:rsidRDefault="00E22E34" w:rsidP="00264CE4">
                  <w:pPr>
                    <w:pStyle w:val="Figure"/>
                    <w:spacing w:before="60" w:after="60"/>
                  </w:pPr>
                  <w:r w:rsidRPr="00B53C16">
                    <w:rPr>
                      <w:noProof/>
                    </w:rPr>
                    <w:drawing>
                      <wp:inline distT="0" distB="0" distL="0" distR="0" wp14:anchorId="7A732720" wp14:editId="2EB1006B">
                        <wp:extent cx="5276850" cy="2686050"/>
                        <wp:effectExtent l="0" t="0" r="0" b="0"/>
                        <wp:docPr id="5" name="Picture 5" descr="Figure 13.5 Age profile and aged care target population differences between Aboriginal and Torres Strait Islander and other Australians, June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2686050"/>
                                </a:xfrm>
                                <a:prstGeom prst="rect">
                                  <a:avLst/>
                                </a:prstGeom>
                                <a:noFill/>
                                <a:ln>
                                  <a:noFill/>
                                </a:ln>
                              </pic:spPr>
                            </pic:pic>
                          </a:graphicData>
                        </a:graphic>
                      </wp:inline>
                    </w:drawing>
                  </w:r>
                </w:p>
              </w:tc>
            </w:tr>
          </w:tbl>
          <w:p w:rsidR="005947AD" w:rsidRPr="00B53C16" w:rsidRDefault="005947AD" w:rsidP="00647BAB">
            <w:pPr>
              <w:pStyle w:val="Figure"/>
            </w:pPr>
          </w:p>
        </w:tc>
      </w:tr>
      <w:tr w:rsidR="005947AD" w:rsidRPr="00B53C16" w:rsidTr="00647BAB">
        <w:tc>
          <w:tcPr>
            <w:tcW w:w="8771" w:type="dxa"/>
            <w:tcBorders>
              <w:top w:val="nil"/>
              <w:left w:val="nil"/>
              <w:bottom w:val="nil"/>
              <w:right w:val="nil"/>
            </w:tcBorders>
            <w:shd w:val="clear" w:color="auto" w:fill="auto"/>
          </w:tcPr>
          <w:p w:rsidR="005947AD" w:rsidRPr="00B53C16" w:rsidRDefault="0040429C" w:rsidP="002E3E19">
            <w:pPr>
              <w:pStyle w:val="Source"/>
            </w:pPr>
            <w:r w:rsidRPr="00B53C16">
              <w:rPr>
                <w:i/>
              </w:rPr>
              <w:t>Source</w:t>
            </w:r>
            <w:r w:rsidRPr="00B53C16">
              <w:t>:</w:t>
            </w:r>
            <w:r w:rsidRPr="00B53C16">
              <w:rPr>
                <w:i/>
              </w:rPr>
              <w:t xml:space="preserve"> </w:t>
            </w:r>
            <w:r w:rsidRPr="00B53C16">
              <w:t xml:space="preserve">ABS (2013) </w:t>
            </w:r>
            <w:r w:rsidRPr="00B53C16">
              <w:rPr>
                <w:i/>
              </w:rPr>
              <w:t>Australian Demographic Statistics, March 2013</w:t>
            </w:r>
            <w:r w:rsidRPr="00B53C16">
              <w:t>, Cat. no. 3101.0, Canberra; ABS</w:t>
            </w:r>
            <w:r w:rsidR="002E3E19" w:rsidRPr="00B53C16">
              <w:t> </w:t>
            </w:r>
            <w:r w:rsidRPr="00B53C16">
              <w:t xml:space="preserve">(2013) </w:t>
            </w:r>
            <w:r w:rsidRPr="00B53C16">
              <w:rPr>
                <w:i/>
              </w:rPr>
              <w:t>Estimates of Aboriginal and Torres Strait Islander Australians, June 2011</w:t>
            </w:r>
            <w:r w:rsidRPr="00B53C16">
              <w:t>, Cat. no. 3238.0.55.001.</w:t>
            </w:r>
          </w:p>
        </w:tc>
      </w:tr>
      <w:tr w:rsidR="005947AD" w:rsidRPr="00B53C16" w:rsidTr="00647BAB">
        <w:tc>
          <w:tcPr>
            <w:tcW w:w="8771" w:type="dxa"/>
            <w:tcBorders>
              <w:top w:val="nil"/>
              <w:left w:val="nil"/>
              <w:bottom w:val="single" w:sz="6" w:space="0" w:color="78A22F"/>
              <w:right w:val="nil"/>
            </w:tcBorders>
            <w:shd w:val="clear" w:color="auto" w:fill="auto"/>
          </w:tcPr>
          <w:p w:rsidR="005947AD" w:rsidRPr="00B53C16" w:rsidRDefault="005947AD" w:rsidP="00647BAB">
            <w:pPr>
              <w:pStyle w:val="Figurespace"/>
            </w:pPr>
          </w:p>
        </w:tc>
      </w:tr>
      <w:tr w:rsidR="005947AD" w:rsidRPr="00B53C16" w:rsidTr="00647BAB">
        <w:tc>
          <w:tcPr>
            <w:tcW w:w="8771" w:type="dxa"/>
            <w:tcBorders>
              <w:top w:val="single" w:sz="6" w:space="0" w:color="78A22F"/>
              <w:left w:val="nil"/>
              <w:bottom w:val="nil"/>
              <w:right w:val="nil"/>
            </w:tcBorders>
          </w:tcPr>
          <w:p w:rsidR="005947AD" w:rsidRPr="00B53C16" w:rsidRDefault="005947AD" w:rsidP="00647BAB">
            <w:pPr>
              <w:pStyle w:val="BoxSpaceBelow"/>
            </w:pPr>
          </w:p>
        </w:tc>
      </w:tr>
    </w:tbl>
    <w:p w:rsidR="00461693" w:rsidRPr="00AD2365" w:rsidRDefault="00461693" w:rsidP="00461693">
      <w:pPr>
        <w:pStyle w:val="Heading4"/>
      </w:pPr>
      <w:r w:rsidRPr="00AD2365">
        <w:t>Aged care target population</w:t>
      </w:r>
    </w:p>
    <w:p w:rsidR="00461693" w:rsidRPr="00AD2365" w:rsidRDefault="00461693" w:rsidP="00461693">
      <w:pPr>
        <w:pStyle w:val="BodyText"/>
      </w:pPr>
      <w:r w:rsidRPr="00AD2365">
        <w:t xml:space="preserve">To align with the funding arrangements as specified under the </w:t>
      </w:r>
      <w:r w:rsidRPr="00425EA1">
        <w:t>National Health Reform Agreement</w:t>
      </w:r>
      <w:r w:rsidRPr="0073414F">
        <w:t>,</w:t>
      </w:r>
      <w:r w:rsidRPr="00AD2365">
        <w:t xml:space="preserve"> this Report defines the aged care target population as all people aged 65 years or over and Aboriginal and Torres Strait Islander Australians aged 50–64 years. This aged care target population differs in scope to the Australian Government’s aged care ‘planning population’ (people aged 70 years or over) used to allocate places for residential care and </w:t>
      </w:r>
      <w:r w:rsidR="00434512">
        <w:lastRenderedPageBreak/>
        <w:t>H</w:t>
      </w:r>
      <w:r w:rsidRPr="00AD2365">
        <w:t xml:space="preserve">ome </w:t>
      </w:r>
      <w:r w:rsidR="00434512">
        <w:t>C</w:t>
      </w:r>
      <w:r w:rsidRPr="00AD2365">
        <w:t xml:space="preserve">are under the </w:t>
      </w:r>
      <w:r w:rsidRPr="00AD2365">
        <w:rPr>
          <w:i/>
        </w:rPr>
        <w:t>Aged Care Act 1997</w:t>
      </w:r>
      <w:r w:rsidRPr="00AD2365">
        <w:t>, and which for reporting purposes is combined with the population of Aboriginal and Torres Strait Islander Australians aged 50–69 years.</w:t>
      </w:r>
    </w:p>
    <w:p w:rsidR="00030F93" w:rsidRDefault="001C2D0B" w:rsidP="001C2D0B">
      <w:pPr>
        <w:pStyle w:val="Heading4"/>
      </w:pPr>
      <w:r w:rsidRPr="00E7094A">
        <w:t xml:space="preserve">Aged </w:t>
      </w:r>
      <w:r w:rsidR="00030F93" w:rsidRPr="00E7094A">
        <w:t>care service</w:t>
      </w:r>
      <w:r w:rsidR="007734F1" w:rsidRPr="00E7094A">
        <w:t>s</w:t>
      </w:r>
    </w:p>
    <w:p w:rsidR="001C2D0B" w:rsidRPr="00E7094A" w:rsidRDefault="00372FF3" w:rsidP="00247541">
      <w:pPr>
        <w:pStyle w:val="Heading5"/>
      </w:pPr>
      <w:r w:rsidRPr="00E7094A">
        <w:t>Information and a</w:t>
      </w:r>
      <w:r w:rsidR="001C2D0B" w:rsidRPr="00E7094A">
        <w:t>ssessment</w:t>
      </w:r>
      <w:r w:rsidR="00AC1B62" w:rsidRPr="00E7094A">
        <w:t xml:space="preserve"> services</w:t>
      </w:r>
    </w:p>
    <w:p w:rsidR="009F0940" w:rsidRPr="00E7094A" w:rsidRDefault="009A5D39" w:rsidP="00247541">
      <w:pPr>
        <w:pStyle w:val="BodyText"/>
      </w:pPr>
      <w:r w:rsidRPr="009A5D39">
        <w:t xml:space="preserve">Information services provide older people, their families and carers </w:t>
      </w:r>
      <w:r>
        <w:t xml:space="preserve">with the </w:t>
      </w:r>
      <w:r w:rsidRPr="009A5D39">
        <w:t>information they need to ensure timely and appropriate access to care</w:t>
      </w:r>
      <w:r w:rsidR="009F0940" w:rsidRPr="00E7094A">
        <w:t xml:space="preserve">. My Aged Care assists older people, their families and carers to access aged care information, and find Australian Government funded aged care services in their local area. The My Aged Care website </w:t>
      </w:r>
      <w:r w:rsidR="00D56FDE">
        <w:t xml:space="preserve">has service finders </w:t>
      </w:r>
      <w:r w:rsidR="008876E7">
        <w:t xml:space="preserve">related to </w:t>
      </w:r>
      <w:r>
        <w:t>a</w:t>
      </w:r>
      <w:r w:rsidRPr="00E7094A">
        <w:t>ssessment</w:t>
      </w:r>
      <w:r w:rsidR="00D56FDE">
        <w:t>s</w:t>
      </w:r>
      <w:r>
        <w:t>,</w:t>
      </w:r>
      <w:r w:rsidRPr="00E7094A">
        <w:t xml:space="preserve"> </w:t>
      </w:r>
      <w:r w:rsidR="008876E7">
        <w:t>h</w:t>
      </w:r>
      <w:r w:rsidR="009F0940" w:rsidRPr="00E7094A">
        <w:t xml:space="preserve">elp at </w:t>
      </w:r>
      <w:r w:rsidR="008876E7">
        <w:t>h</w:t>
      </w:r>
      <w:r w:rsidR="008876E7" w:rsidRPr="00E7094A">
        <w:t xml:space="preserve">ome </w:t>
      </w:r>
      <w:r>
        <w:t xml:space="preserve">and </w:t>
      </w:r>
      <w:r w:rsidR="008876E7">
        <w:t>residential a</w:t>
      </w:r>
      <w:r w:rsidR="008876E7" w:rsidRPr="00E7094A">
        <w:t xml:space="preserve">ged </w:t>
      </w:r>
      <w:r w:rsidR="008876E7">
        <w:t>c</w:t>
      </w:r>
      <w:r w:rsidR="008876E7" w:rsidRPr="00E7094A">
        <w:t>are</w:t>
      </w:r>
      <w:r w:rsidR="009F0940" w:rsidRPr="00E7094A">
        <w:t xml:space="preserve">. A contact centre phone line also operates across Australia. </w:t>
      </w:r>
      <w:r w:rsidR="0095527E">
        <w:t>Other information services are available, such as those provided through Carers Information and Support services that distributed 216 140 items of information in 2014</w:t>
      </w:r>
      <w:r w:rsidR="00E75264">
        <w:noBreakHyphen/>
      </w:r>
      <w:r w:rsidR="0095527E">
        <w:t>15 (table</w:t>
      </w:r>
      <w:r w:rsidR="00E75264">
        <w:t> </w:t>
      </w:r>
      <w:r w:rsidR="0095527E">
        <w:t>13A.13).</w:t>
      </w:r>
      <w:r w:rsidR="0095527E" w:rsidRPr="0095527E">
        <w:t xml:space="preserve"> </w:t>
      </w:r>
      <w:r w:rsidR="0095527E">
        <w:t xml:space="preserve">Further descriptive data on </w:t>
      </w:r>
      <w:r w:rsidR="00C06393">
        <w:t>information</w:t>
      </w:r>
      <w:r w:rsidR="0095527E">
        <w:t xml:space="preserve"> services are available in the </w:t>
      </w:r>
      <w:r w:rsidR="0095527E" w:rsidRPr="0095527E">
        <w:rPr>
          <w:i/>
        </w:rPr>
        <w:t>Report on the Operation of the Aged Care Act 1997</w:t>
      </w:r>
      <w:r w:rsidR="0095527E">
        <w:t>.</w:t>
      </w:r>
    </w:p>
    <w:p w:rsidR="00C06393" w:rsidRDefault="00247541" w:rsidP="00247541">
      <w:pPr>
        <w:pStyle w:val="BodyText"/>
      </w:pPr>
      <w:r>
        <w:t>Comprehensive</w:t>
      </w:r>
      <w:r w:rsidR="00E7094A" w:rsidRPr="00051FFD">
        <w:t xml:space="preserve"> a</w:t>
      </w:r>
      <w:r w:rsidR="00AC1B62" w:rsidRPr="00051FFD">
        <w:t xml:space="preserve">ssessment services are provided by </w:t>
      </w:r>
      <w:r w:rsidR="003A5971">
        <w:t>ACATs,</w:t>
      </w:r>
      <w:r w:rsidR="00AC1B62" w:rsidRPr="00051FFD">
        <w:t xml:space="preserve"> </w:t>
      </w:r>
      <w:r w:rsidR="00C06393">
        <w:t xml:space="preserve">or </w:t>
      </w:r>
      <w:r w:rsidR="003A5971" w:rsidRPr="003A5971">
        <w:t>A</w:t>
      </w:r>
      <w:r w:rsidR="003A5971">
        <w:t xml:space="preserve">ged </w:t>
      </w:r>
      <w:r w:rsidR="003A5971" w:rsidRPr="003A5971">
        <w:t>C</w:t>
      </w:r>
      <w:r w:rsidR="003A5971">
        <w:t xml:space="preserve">are </w:t>
      </w:r>
      <w:r w:rsidR="003A5971" w:rsidRPr="003A5971">
        <w:t>A</w:t>
      </w:r>
      <w:r w:rsidR="003A5971">
        <w:t xml:space="preserve">ssessment </w:t>
      </w:r>
      <w:r w:rsidR="003A5971" w:rsidRPr="003A5971">
        <w:t>S</w:t>
      </w:r>
      <w:r w:rsidR="003A5971">
        <w:t xml:space="preserve">ervices </w:t>
      </w:r>
      <w:r w:rsidR="003A5971" w:rsidRPr="003A5971">
        <w:t>in Victoria</w:t>
      </w:r>
      <w:r w:rsidR="003A5971">
        <w:t>.</w:t>
      </w:r>
      <w:r w:rsidR="003A5971" w:rsidRPr="003A5971">
        <w:t xml:space="preserve"> </w:t>
      </w:r>
      <w:r w:rsidR="009A5D39">
        <w:t>A</w:t>
      </w:r>
      <w:r w:rsidR="00372FF3" w:rsidRPr="00051FFD">
        <w:t xml:space="preserve">n </w:t>
      </w:r>
      <w:r w:rsidR="00D44F78">
        <w:t>ACAT assessment and</w:t>
      </w:r>
      <w:r w:rsidR="00D44F78" w:rsidRPr="00051FFD">
        <w:t xml:space="preserve"> </w:t>
      </w:r>
      <w:r w:rsidR="00372FF3" w:rsidRPr="00051FFD">
        <w:t xml:space="preserve">approval is mandatory for admission to Australian Government subsidised residential care (including respite), to receive </w:t>
      </w:r>
      <w:r w:rsidR="00434512">
        <w:t>H</w:t>
      </w:r>
      <w:r w:rsidR="00185332" w:rsidRPr="00051FFD">
        <w:t xml:space="preserve">ome </w:t>
      </w:r>
      <w:r w:rsidR="00434512">
        <w:t>C</w:t>
      </w:r>
      <w:r w:rsidR="00185332" w:rsidRPr="00051FFD">
        <w:t xml:space="preserve">are </w:t>
      </w:r>
      <w:r w:rsidR="00372FF3" w:rsidRPr="00051FFD">
        <w:t xml:space="preserve">or enter </w:t>
      </w:r>
      <w:r w:rsidR="009A5D39">
        <w:t>Transition Care</w:t>
      </w:r>
      <w:r w:rsidR="00372FF3" w:rsidRPr="00051FFD">
        <w:t>. People can also be referred by an ACAT to other services</w:t>
      </w:r>
      <w:r w:rsidR="00441ED3">
        <w:t xml:space="preserve"> (such as HACC)</w:t>
      </w:r>
      <w:r w:rsidR="00372FF3" w:rsidRPr="00051FFD">
        <w:t>.</w:t>
      </w:r>
      <w:r w:rsidR="00E7094A" w:rsidRPr="00051FFD">
        <w:t xml:space="preserve"> Assessments for </w:t>
      </w:r>
      <w:r w:rsidR="00DB687E">
        <w:t xml:space="preserve">the </w:t>
      </w:r>
      <w:r w:rsidR="00E7094A" w:rsidRPr="00051FFD">
        <w:t xml:space="preserve">other </w:t>
      </w:r>
      <w:r w:rsidR="00DB687E">
        <w:t xml:space="preserve">aged care </w:t>
      </w:r>
      <w:r w:rsidR="00E7094A" w:rsidRPr="00051FFD">
        <w:t>programs</w:t>
      </w:r>
      <w:r w:rsidR="00441ED3">
        <w:t xml:space="preserve"> </w:t>
      </w:r>
      <w:r w:rsidR="009A5D39">
        <w:t>are</w:t>
      </w:r>
      <w:r w:rsidR="00E7094A" w:rsidRPr="00051FFD">
        <w:t xml:space="preserve"> conducted by other assessment agencies</w:t>
      </w:r>
      <w:r w:rsidR="00441ED3" w:rsidRPr="00441ED3">
        <w:t xml:space="preserve"> </w:t>
      </w:r>
      <w:r w:rsidR="00441ED3">
        <w:t xml:space="preserve">(such </w:t>
      </w:r>
      <w:r w:rsidR="00441ED3" w:rsidRPr="00441ED3">
        <w:t xml:space="preserve">as </w:t>
      </w:r>
      <w:r w:rsidR="00D55B04">
        <w:t>the</w:t>
      </w:r>
      <w:r w:rsidR="00441ED3" w:rsidRPr="00441ED3">
        <w:t xml:space="preserve"> </w:t>
      </w:r>
      <w:r w:rsidR="00D55B04">
        <w:t>VHC assessment agencies</w:t>
      </w:r>
      <w:r w:rsidR="00441ED3">
        <w:t>)</w:t>
      </w:r>
      <w:r w:rsidR="00E7094A" w:rsidRPr="00051FFD">
        <w:t>.</w:t>
      </w:r>
      <w:r w:rsidR="00041C6A">
        <w:t xml:space="preserve"> </w:t>
      </w:r>
    </w:p>
    <w:p w:rsidR="002805D0" w:rsidRPr="005C5B68" w:rsidRDefault="001C2D0B" w:rsidP="00247541">
      <w:pPr>
        <w:pStyle w:val="BodyText"/>
      </w:pPr>
      <w:r w:rsidRPr="005C5B68">
        <w:t>Nationally</w:t>
      </w:r>
      <w:r w:rsidR="002805D0" w:rsidRPr="005C5B68">
        <w:t xml:space="preserve"> in 2013</w:t>
      </w:r>
      <w:r w:rsidR="00E75264">
        <w:noBreakHyphen/>
      </w:r>
      <w:r w:rsidR="002805D0" w:rsidRPr="005C5B68">
        <w:t>14</w:t>
      </w:r>
      <w:r w:rsidRPr="005C5B68">
        <w:t xml:space="preserve">, there were </w:t>
      </w:r>
      <w:r w:rsidR="005D3F77" w:rsidRPr="00233B88">
        <w:t>179</w:t>
      </w:r>
      <w:r w:rsidR="00E75264">
        <w:t> </w:t>
      </w:r>
      <w:r w:rsidR="005D3F77" w:rsidRPr="00233B88">
        <w:t>200</w:t>
      </w:r>
      <w:r w:rsidR="005D3F77" w:rsidRPr="005C5B68">
        <w:t xml:space="preserve"> </w:t>
      </w:r>
      <w:r w:rsidR="002805D0" w:rsidRPr="005C5B68">
        <w:t xml:space="preserve">ACAT </w:t>
      </w:r>
      <w:r w:rsidRPr="005C5B68">
        <w:t>assessments</w:t>
      </w:r>
      <w:r w:rsidR="002805D0" w:rsidRPr="005C5B68">
        <w:t xml:space="preserve"> undertaken for all </w:t>
      </w:r>
      <w:r w:rsidR="002763E2" w:rsidRPr="005C5B68">
        <w:t>service types</w:t>
      </w:r>
      <w:r w:rsidR="00D44F78">
        <w:t xml:space="preserve">, </w:t>
      </w:r>
      <w:r w:rsidR="00D867D6">
        <w:t>equivalent</w:t>
      </w:r>
      <w:r w:rsidR="00D44F78">
        <w:t xml:space="preserve"> to an</w:t>
      </w:r>
      <w:r w:rsidR="002805D0" w:rsidRPr="005C5B68">
        <w:t xml:space="preserve"> assessment </w:t>
      </w:r>
      <w:r w:rsidR="00D44F78" w:rsidRPr="005C5B68">
        <w:t xml:space="preserve">rate of </w:t>
      </w:r>
      <w:r w:rsidR="005D3F77" w:rsidRPr="00233B88">
        <w:t>50.8</w:t>
      </w:r>
      <w:r w:rsidR="005D3F77" w:rsidRPr="00233B88">
        <w:rPr>
          <w:b/>
        </w:rPr>
        <w:t xml:space="preserve"> </w:t>
      </w:r>
      <w:r w:rsidR="002805D0" w:rsidRPr="005C5B68">
        <w:t xml:space="preserve">per 1000 people </w:t>
      </w:r>
      <w:r w:rsidR="00D44F78" w:rsidRPr="005C5B68">
        <w:t>aged 65 years or over and Aboriginal and Torres Strait Islander Australians aged 50–64 years</w:t>
      </w:r>
      <w:r w:rsidR="00441ED3">
        <w:t xml:space="preserve"> (table</w:t>
      </w:r>
      <w:r w:rsidR="00E75264">
        <w:t> </w:t>
      </w:r>
      <w:proofErr w:type="spellStart"/>
      <w:r w:rsidR="00441ED3">
        <w:t>13A.</w:t>
      </w:r>
      <w:r w:rsidR="00DB687E">
        <w:t>3</w:t>
      </w:r>
      <w:r w:rsidR="00390FA7">
        <w:t>3</w:t>
      </w:r>
      <w:proofErr w:type="spellEnd"/>
      <w:r w:rsidR="00441ED3">
        <w:t>)</w:t>
      </w:r>
      <w:r w:rsidRPr="005C5B68">
        <w:t xml:space="preserve">. </w:t>
      </w:r>
      <w:r w:rsidR="00441ED3">
        <w:t>S</w:t>
      </w:r>
      <w:r w:rsidR="00441ED3" w:rsidRPr="005C5B68">
        <w:t>ome ACAT assessments will not result in an approval for care</w:t>
      </w:r>
      <w:r w:rsidR="00D867D6">
        <w:t xml:space="preserve">, </w:t>
      </w:r>
      <w:r w:rsidR="005D3F77">
        <w:t>but one client can be approved for more than one type of care</w:t>
      </w:r>
      <w:r w:rsidR="00233B88">
        <w:t>.</w:t>
      </w:r>
      <w:r w:rsidR="005D3F77">
        <w:t xml:space="preserve"> </w:t>
      </w:r>
      <w:r w:rsidR="00233B88">
        <w:t>In 2013</w:t>
      </w:r>
      <w:r w:rsidR="00233B88">
        <w:noBreakHyphen/>
        <w:t xml:space="preserve">14, </w:t>
      </w:r>
      <w:r w:rsidR="00233B88" w:rsidRPr="00864C90">
        <w:t>t</w:t>
      </w:r>
      <w:r w:rsidR="00D867D6" w:rsidRPr="00864C90">
        <w:t>here were</w:t>
      </w:r>
      <w:r w:rsidR="009F707B" w:rsidRPr="00864C90">
        <w:t xml:space="preserve"> </w:t>
      </w:r>
      <w:r w:rsidR="00153E2A" w:rsidRPr="00864C90">
        <w:t>204</w:t>
      </w:r>
      <w:r w:rsidR="00E75264">
        <w:t> </w:t>
      </w:r>
      <w:r w:rsidR="00153E2A" w:rsidRPr="00864C90">
        <w:t xml:space="preserve">716 </w:t>
      </w:r>
      <w:r w:rsidR="00D867D6" w:rsidRPr="00864C90">
        <w:t>approvals</w:t>
      </w:r>
      <w:r w:rsidR="00D867D6" w:rsidRPr="005C5B68">
        <w:t xml:space="preserve"> </w:t>
      </w:r>
      <w:r w:rsidR="005D3F77">
        <w:t>for people a</w:t>
      </w:r>
      <w:r w:rsidR="00233B88">
        <w:t>ged</w:t>
      </w:r>
      <w:r w:rsidR="005D3F77">
        <w:t xml:space="preserve"> 65</w:t>
      </w:r>
      <w:r w:rsidR="00233B88">
        <w:t> </w:t>
      </w:r>
      <w:r w:rsidR="005D3F77">
        <w:t xml:space="preserve">years or over </w:t>
      </w:r>
      <w:r w:rsidR="00390FA7">
        <w:t>(table</w:t>
      </w:r>
      <w:r w:rsidR="00E75264">
        <w:t> </w:t>
      </w:r>
      <w:proofErr w:type="spellStart"/>
      <w:r w:rsidR="00390FA7">
        <w:t>13A.34</w:t>
      </w:r>
      <w:proofErr w:type="spellEnd"/>
      <w:r w:rsidR="00390FA7">
        <w:t>)</w:t>
      </w:r>
      <w:r w:rsidR="00441ED3">
        <w:t>.</w:t>
      </w:r>
      <w:r w:rsidR="002805D0" w:rsidRPr="005C5B68">
        <w:t xml:space="preserve"> </w:t>
      </w:r>
      <w:r w:rsidR="00D867D6">
        <w:t>A</w:t>
      </w:r>
      <w:r w:rsidR="00D867D6" w:rsidRPr="005C5B68">
        <w:t>ge</w:t>
      </w:r>
      <w:r w:rsidR="00D867D6" w:rsidRPr="005C5B68">
        <w:noBreakHyphen/>
        <w:t xml:space="preserve">specific </w:t>
      </w:r>
      <w:r w:rsidR="002805D0" w:rsidRPr="005C5B68">
        <w:t xml:space="preserve">ACAT </w:t>
      </w:r>
      <w:r w:rsidR="00D867D6">
        <w:t xml:space="preserve">approvals </w:t>
      </w:r>
      <w:r w:rsidR="002805D0" w:rsidRPr="005C5B68">
        <w:t xml:space="preserve">rates </w:t>
      </w:r>
      <w:r w:rsidR="00D867D6">
        <w:t xml:space="preserve">for </w:t>
      </w:r>
      <w:r w:rsidR="002805D0" w:rsidRPr="005C5B68">
        <w:t xml:space="preserve">Home Care and residential aged care </w:t>
      </w:r>
      <w:r w:rsidR="00D867D6">
        <w:t xml:space="preserve">are reported </w:t>
      </w:r>
      <w:r w:rsidR="005C5B68" w:rsidRPr="005C5B68">
        <w:t>in figure</w:t>
      </w:r>
      <w:r w:rsidR="00E75264">
        <w:t> </w:t>
      </w:r>
      <w:r w:rsidR="005C5B68" w:rsidRPr="005C5B68">
        <w:t>13.</w:t>
      </w:r>
      <w:r w:rsidR="00BB66AD">
        <w:t>6</w:t>
      </w:r>
      <w:r w:rsidR="002805D0" w:rsidRPr="005C5B68">
        <w:t xml:space="preserve">. </w:t>
      </w:r>
    </w:p>
    <w:p w:rsidR="00033A05" w:rsidRPr="00C06393" w:rsidRDefault="00033A05" w:rsidP="00C0639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3A05" w:rsidRPr="00070BD9" w:rsidTr="00647BAB">
        <w:tc>
          <w:tcPr>
            <w:tcW w:w="8771" w:type="dxa"/>
            <w:tcBorders>
              <w:top w:val="single" w:sz="6" w:space="0" w:color="78A22F"/>
              <w:left w:val="nil"/>
              <w:bottom w:val="nil"/>
              <w:right w:val="nil"/>
            </w:tcBorders>
            <w:shd w:val="clear" w:color="auto" w:fill="auto"/>
          </w:tcPr>
          <w:p w:rsidR="00033A05" w:rsidRPr="002763E2" w:rsidRDefault="00033A05" w:rsidP="00C06393">
            <w:pPr>
              <w:pStyle w:val="FigureTitle"/>
              <w:shd w:val="clear" w:color="auto" w:fill="FFFFFF" w:themeFill="background1"/>
            </w:pPr>
            <w:r w:rsidRPr="002763E2">
              <w:rPr>
                <w:b w:val="0"/>
              </w:rPr>
              <w:t xml:space="preserve">Figure </w:t>
            </w:r>
            <w:r w:rsidR="00BB66AD">
              <w:rPr>
                <w:b w:val="0"/>
              </w:rPr>
              <w:t>13.</w:t>
            </w:r>
            <w:r w:rsidR="00F132AA">
              <w:rPr>
                <w:b w:val="0"/>
                <w:noProof/>
              </w:rPr>
              <w:t>6</w:t>
            </w:r>
            <w:r w:rsidRPr="002763E2">
              <w:tab/>
            </w:r>
            <w:r w:rsidR="00C06393">
              <w:t>ACAT</w:t>
            </w:r>
            <w:r w:rsidRPr="002763E2">
              <w:t xml:space="preserve"> assessment </w:t>
            </w:r>
            <w:r w:rsidR="00755FE9" w:rsidRPr="002763E2">
              <w:t>age</w:t>
            </w:r>
            <w:r w:rsidR="00E75264">
              <w:noBreakHyphen/>
            </w:r>
            <w:r w:rsidR="00755FE9" w:rsidRPr="002763E2">
              <w:t>specific</w:t>
            </w:r>
            <w:r w:rsidR="002805D0" w:rsidRPr="002763E2">
              <w:t xml:space="preserve"> approval</w:t>
            </w:r>
            <w:r w:rsidR="00755FE9" w:rsidRPr="002763E2">
              <w:t xml:space="preserve"> </w:t>
            </w:r>
            <w:r w:rsidRPr="002763E2">
              <w:t>rates, 201</w:t>
            </w:r>
            <w:r w:rsidR="008D00AD">
              <w:t>3</w:t>
            </w:r>
            <w:r w:rsidR="007734F1" w:rsidRPr="002763E2">
              <w:noBreakHyphen/>
            </w:r>
            <w:r w:rsidRPr="002763E2">
              <w:t>1</w:t>
            </w:r>
            <w:r w:rsidR="008D00AD">
              <w:t>4</w:t>
            </w:r>
            <w:r w:rsidRPr="002763E2">
              <w:rPr>
                <w:rStyle w:val="NoteLabel"/>
                <w:b/>
              </w:rPr>
              <w:t>a</w:t>
            </w:r>
            <w:r w:rsidR="008D00AD">
              <w:rPr>
                <w:rStyle w:val="NoteLabel"/>
                <w:b/>
              </w:rPr>
              <w:t xml:space="preserve"> </w:t>
            </w:r>
          </w:p>
        </w:tc>
      </w:tr>
      <w:tr w:rsidR="00033A05" w:rsidRPr="00070BD9" w:rsidTr="00647BA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033A05" w:rsidRPr="00070BD9" w:rsidTr="00FD33F1">
              <w:tc>
                <w:tcPr>
                  <w:tcW w:w="5000" w:type="pct"/>
                  <w:tcBorders>
                    <w:top w:val="nil"/>
                    <w:bottom w:val="nil"/>
                  </w:tcBorders>
                </w:tcPr>
                <w:p w:rsidR="00033A05" w:rsidRPr="00755FE9" w:rsidRDefault="00755FE9" w:rsidP="004B2BE8">
                  <w:pPr>
                    <w:pStyle w:val="TableBodyText"/>
                    <w:shd w:val="clear" w:color="auto" w:fill="FFFFFF" w:themeFill="background1"/>
                    <w:jc w:val="center"/>
                    <w:rPr>
                      <w:b/>
                    </w:rPr>
                  </w:pPr>
                  <w:r>
                    <w:rPr>
                      <w:b/>
                    </w:rPr>
                    <w:t>Home care</w:t>
                  </w:r>
                </w:p>
              </w:tc>
            </w:tr>
            <w:tr w:rsidR="00755FE9" w:rsidRPr="00070BD9" w:rsidTr="00FD33F1">
              <w:tc>
                <w:tcPr>
                  <w:tcW w:w="5000" w:type="pct"/>
                  <w:tcBorders>
                    <w:top w:val="nil"/>
                    <w:bottom w:val="nil"/>
                  </w:tcBorders>
                </w:tcPr>
                <w:p w:rsidR="00755FE9" w:rsidRPr="00E34043" w:rsidRDefault="00E30882" w:rsidP="004B2BE8">
                  <w:pPr>
                    <w:pStyle w:val="TableBodyText"/>
                    <w:shd w:val="clear" w:color="auto" w:fill="FFFFFF" w:themeFill="background1"/>
                    <w:jc w:val="center"/>
                  </w:pPr>
                  <w:r>
                    <w:rPr>
                      <w:noProof/>
                    </w:rPr>
                    <w:drawing>
                      <wp:inline distT="0" distB="0" distL="0" distR="0">
                        <wp:extent cx="5286375" cy="1971675"/>
                        <wp:effectExtent l="0" t="0" r="9525" b="9525"/>
                        <wp:docPr id="7" name="Picture 7" descr="Figure 13.6 ACAT assessment age-specific approval rates, 2013-14&#10;&#10;Home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6375" cy="1971675"/>
                                </a:xfrm>
                                <a:prstGeom prst="rect">
                                  <a:avLst/>
                                </a:prstGeom>
                                <a:noFill/>
                                <a:ln>
                                  <a:noFill/>
                                </a:ln>
                              </pic:spPr>
                            </pic:pic>
                          </a:graphicData>
                        </a:graphic>
                      </wp:inline>
                    </w:drawing>
                  </w:r>
                </w:p>
              </w:tc>
            </w:tr>
            <w:tr w:rsidR="00755FE9" w:rsidRPr="00070BD9" w:rsidTr="00FD33F1">
              <w:tc>
                <w:tcPr>
                  <w:tcW w:w="5000" w:type="pct"/>
                  <w:tcBorders>
                    <w:top w:val="nil"/>
                    <w:bottom w:val="nil"/>
                  </w:tcBorders>
                </w:tcPr>
                <w:p w:rsidR="00755FE9" w:rsidRPr="00755FE9" w:rsidRDefault="00755FE9" w:rsidP="004B2BE8">
                  <w:pPr>
                    <w:pStyle w:val="TableBodyText"/>
                    <w:shd w:val="clear" w:color="auto" w:fill="FFFFFF" w:themeFill="background1"/>
                    <w:jc w:val="center"/>
                    <w:rPr>
                      <w:b/>
                      <w:i/>
                    </w:rPr>
                  </w:pPr>
                  <w:r w:rsidRPr="00755FE9">
                    <w:rPr>
                      <w:b/>
                    </w:rPr>
                    <w:t xml:space="preserve">Residential aged care </w:t>
                  </w:r>
                </w:p>
              </w:tc>
            </w:tr>
            <w:tr w:rsidR="00755FE9" w:rsidRPr="00070BD9" w:rsidTr="00FD33F1">
              <w:tc>
                <w:tcPr>
                  <w:tcW w:w="5000" w:type="pct"/>
                  <w:tcBorders>
                    <w:top w:val="nil"/>
                    <w:bottom w:val="nil"/>
                  </w:tcBorders>
                </w:tcPr>
                <w:p w:rsidR="00755FE9" w:rsidRPr="00E34043" w:rsidRDefault="00E30882" w:rsidP="004B2BE8">
                  <w:pPr>
                    <w:pStyle w:val="TableBodyText"/>
                    <w:shd w:val="clear" w:color="auto" w:fill="FFFFFF" w:themeFill="background1"/>
                    <w:jc w:val="center"/>
                  </w:pPr>
                  <w:r>
                    <w:rPr>
                      <w:noProof/>
                    </w:rPr>
                    <w:drawing>
                      <wp:inline distT="0" distB="0" distL="0" distR="0">
                        <wp:extent cx="5286375" cy="1971675"/>
                        <wp:effectExtent l="0" t="0" r="9525" b="9525"/>
                        <wp:docPr id="8" name="Picture 8" descr="Figure 13.6 ACAT assessment age-specific approval rates, 2013-14&#10;&#10;Residential aged care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6375" cy="1971675"/>
                                </a:xfrm>
                                <a:prstGeom prst="rect">
                                  <a:avLst/>
                                </a:prstGeom>
                                <a:noFill/>
                                <a:ln>
                                  <a:noFill/>
                                </a:ln>
                              </pic:spPr>
                            </pic:pic>
                          </a:graphicData>
                        </a:graphic>
                      </wp:inline>
                    </w:drawing>
                  </w:r>
                </w:p>
              </w:tc>
            </w:tr>
          </w:tbl>
          <w:p w:rsidR="00033A05" w:rsidRPr="00070BD9" w:rsidRDefault="00033A05" w:rsidP="004B2BE8">
            <w:pPr>
              <w:pStyle w:val="Figure"/>
              <w:shd w:val="clear" w:color="auto" w:fill="FFFFFF" w:themeFill="background1"/>
              <w:rPr>
                <w:color w:val="FF0000"/>
              </w:rPr>
            </w:pPr>
          </w:p>
        </w:tc>
      </w:tr>
      <w:tr w:rsidR="00033A05" w:rsidRPr="00191509" w:rsidTr="00647BAB">
        <w:tc>
          <w:tcPr>
            <w:tcW w:w="8771" w:type="dxa"/>
            <w:tcBorders>
              <w:top w:val="nil"/>
              <w:left w:val="nil"/>
              <w:bottom w:val="nil"/>
              <w:right w:val="nil"/>
            </w:tcBorders>
            <w:shd w:val="clear" w:color="auto" w:fill="auto"/>
          </w:tcPr>
          <w:p w:rsidR="00033A05" w:rsidRPr="004B2BE8" w:rsidRDefault="005C6C6B" w:rsidP="00D832E4">
            <w:pPr>
              <w:pStyle w:val="Note"/>
              <w:shd w:val="clear" w:color="auto" w:fill="FFFFFF" w:themeFill="background1"/>
            </w:pPr>
            <w:r w:rsidRPr="004B2BE8">
              <w:rPr>
                <w:rStyle w:val="NoteLabel"/>
              </w:rPr>
              <w:t xml:space="preserve">a </w:t>
            </w:r>
            <w:r w:rsidR="00390FA7" w:rsidRPr="00390FA7">
              <w:t>See table</w:t>
            </w:r>
            <w:r w:rsidR="00E75264">
              <w:t> </w:t>
            </w:r>
            <w:proofErr w:type="spellStart"/>
            <w:r w:rsidR="00390FA7" w:rsidRPr="00390FA7">
              <w:t>13A.</w:t>
            </w:r>
            <w:r w:rsidR="00390FA7">
              <w:t>34</w:t>
            </w:r>
            <w:proofErr w:type="spellEnd"/>
            <w:r w:rsidR="00390FA7" w:rsidRPr="00390FA7">
              <w:t xml:space="preserve"> for detailed footnotes and caveats</w:t>
            </w:r>
            <w:r w:rsidRPr="004B2BE8">
              <w:t>.</w:t>
            </w:r>
          </w:p>
        </w:tc>
      </w:tr>
      <w:tr w:rsidR="00033A05" w:rsidRPr="00070BD9" w:rsidTr="00647BAB">
        <w:tc>
          <w:tcPr>
            <w:tcW w:w="8771" w:type="dxa"/>
            <w:tcBorders>
              <w:top w:val="nil"/>
              <w:left w:val="nil"/>
              <w:bottom w:val="nil"/>
              <w:right w:val="nil"/>
            </w:tcBorders>
            <w:shd w:val="clear" w:color="auto" w:fill="auto"/>
          </w:tcPr>
          <w:p w:rsidR="00033A05" w:rsidRPr="002763E2" w:rsidRDefault="007734F1" w:rsidP="00390FA7">
            <w:pPr>
              <w:pStyle w:val="Source"/>
              <w:shd w:val="clear" w:color="auto" w:fill="FFFFFF" w:themeFill="background1"/>
              <w:rPr>
                <w:i/>
              </w:rPr>
            </w:pPr>
            <w:r w:rsidRPr="002763E2">
              <w:rPr>
                <w:i/>
              </w:rPr>
              <w:t>Source</w:t>
            </w:r>
            <w:r w:rsidRPr="002763E2">
              <w:t>:</w:t>
            </w:r>
            <w:r w:rsidRPr="002763E2">
              <w:rPr>
                <w:i/>
              </w:rPr>
              <w:t xml:space="preserve"> </w:t>
            </w:r>
            <w:r w:rsidR="00390FA7" w:rsidRPr="00390FA7">
              <w:t>DSS (unpublished) Aged Care Data Warehouse</w:t>
            </w:r>
            <w:r w:rsidRPr="002763E2">
              <w:t>; table</w:t>
            </w:r>
            <w:r w:rsidR="009551A0" w:rsidRPr="002763E2">
              <w:t> </w:t>
            </w:r>
            <w:proofErr w:type="spellStart"/>
            <w:r w:rsidRPr="002763E2">
              <w:t>13A.</w:t>
            </w:r>
            <w:r w:rsidR="00E12838">
              <w:t>34</w:t>
            </w:r>
            <w:proofErr w:type="spellEnd"/>
            <w:r w:rsidRPr="002763E2">
              <w:t>.</w:t>
            </w:r>
          </w:p>
        </w:tc>
      </w:tr>
      <w:tr w:rsidR="00033A05" w:rsidRPr="00070BD9" w:rsidTr="00647BAB">
        <w:tc>
          <w:tcPr>
            <w:tcW w:w="8771" w:type="dxa"/>
            <w:tcBorders>
              <w:top w:val="nil"/>
              <w:left w:val="nil"/>
              <w:bottom w:val="single" w:sz="6" w:space="0" w:color="78A22F"/>
              <w:right w:val="nil"/>
            </w:tcBorders>
            <w:shd w:val="clear" w:color="auto" w:fill="auto"/>
          </w:tcPr>
          <w:p w:rsidR="00033A05" w:rsidRPr="00E12838" w:rsidRDefault="00033A05" w:rsidP="004B2BE8">
            <w:pPr>
              <w:pStyle w:val="Figurespace"/>
              <w:shd w:val="clear" w:color="auto" w:fill="FFFFFF" w:themeFill="background1"/>
            </w:pPr>
          </w:p>
        </w:tc>
      </w:tr>
      <w:tr w:rsidR="00033A05" w:rsidRPr="00070BD9" w:rsidTr="00647BAB">
        <w:tc>
          <w:tcPr>
            <w:tcW w:w="8771" w:type="dxa"/>
            <w:tcBorders>
              <w:top w:val="single" w:sz="6" w:space="0" w:color="78A22F"/>
              <w:left w:val="nil"/>
              <w:bottom w:val="nil"/>
              <w:right w:val="nil"/>
            </w:tcBorders>
          </w:tcPr>
          <w:p w:rsidR="00033A05" w:rsidRPr="00E12838" w:rsidRDefault="00033A05" w:rsidP="004B2BE8">
            <w:pPr>
              <w:pStyle w:val="BoxSpaceBelow"/>
              <w:shd w:val="clear" w:color="auto" w:fill="FFFFFF" w:themeFill="background1"/>
            </w:pPr>
          </w:p>
        </w:tc>
      </w:tr>
    </w:tbl>
    <w:p w:rsidR="00AC1B62" w:rsidRDefault="00626C1B" w:rsidP="004B2BE8">
      <w:pPr>
        <w:pStyle w:val="Heading5"/>
        <w:shd w:val="clear" w:color="auto" w:fill="FFFFFF" w:themeFill="background1"/>
      </w:pPr>
      <w:r>
        <w:t>Home</w:t>
      </w:r>
      <w:r w:rsidR="005C5B68">
        <w:t xml:space="preserve"> care</w:t>
      </w:r>
      <w:r>
        <w:t xml:space="preserve"> and support</w:t>
      </w:r>
    </w:p>
    <w:p w:rsidR="00B27812" w:rsidRDefault="005C5B68" w:rsidP="004B2BE8">
      <w:pPr>
        <w:pStyle w:val="BodyText"/>
        <w:shd w:val="clear" w:color="auto" w:fill="FFFFFF" w:themeFill="background1"/>
      </w:pPr>
      <w:r w:rsidRPr="008C0DA4">
        <w:t xml:space="preserve">Home </w:t>
      </w:r>
      <w:r w:rsidR="00D149E4" w:rsidRPr="008C0DA4">
        <w:t xml:space="preserve">care </w:t>
      </w:r>
      <w:r w:rsidR="00626C1B">
        <w:t xml:space="preserve">and support </w:t>
      </w:r>
      <w:r w:rsidR="00D149E4" w:rsidRPr="008C0DA4">
        <w:t>services provide</w:t>
      </w:r>
      <w:r w:rsidRPr="008C0DA4">
        <w:t xml:space="preserve"> assistance to help older people remain, or return to, living independently in their home as long as possible, or provide </w:t>
      </w:r>
      <w:r w:rsidR="00B27812" w:rsidRPr="008C0DA4">
        <w:t xml:space="preserve">respite </w:t>
      </w:r>
      <w:r w:rsidRPr="008C0DA4">
        <w:t>support to carers</w:t>
      </w:r>
      <w:r w:rsidR="00B27812" w:rsidRPr="008C0DA4">
        <w:t xml:space="preserve">. The </w:t>
      </w:r>
      <w:r w:rsidR="00C52111">
        <w:t>distinctions between the main home care and support programs (</w:t>
      </w:r>
      <w:r w:rsidR="00B27812" w:rsidRPr="008C0DA4">
        <w:t>HACC and Home Care</w:t>
      </w:r>
      <w:r w:rsidR="00C52111">
        <w:t>)</w:t>
      </w:r>
      <w:r w:rsidR="00B27812" w:rsidRPr="008C0DA4">
        <w:t xml:space="preserve"> are summarised in table 13.</w:t>
      </w:r>
      <w:r w:rsidR="001E742F">
        <w:t>2</w:t>
      </w:r>
      <w:r w:rsidR="00B27812" w:rsidRPr="008C0DA4">
        <w:t xml:space="preserve">. </w:t>
      </w:r>
      <w:r w:rsidR="00C52111">
        <w:t xml:space="preserve">The </w:t>
      </w:r>
      <w:r w:rsidR="00B27812" w:rsidRPr="008C0DA4">
        <w:t xml:space="preserve">DVA VHC and </w:t>
      </w:r>
      <w:r w:rsidR="00D55B04">
        <w:t>c</w:t>
      </w:r>
      <w:r w:rsidR="00B27812" w:rsidRPr="008C0DA4">
        <w:t xml:space="preserve">ommunity </w:t>
      </w:r>
      <w:r w:rsidR="00D55B04">
        <w:t>n</w:t>
      </w:r>
      <w:r w:rsidR="00B27812" w:rsidRPr="008C0DA4">
        <w:t xml:space="preserve">ursing services are </w:t>
      </w:r>
      <w:r w:rsidR="00FD5824">
        <w:t xml:space="preserve">also </w:t>
      </w:r>
      <w:r w:rsidR="00B27812" w:rsidRPr="008C0DA4">
        <w:t>described below.</w:t>
      </w:r>
    </w:p>
    <w:p w:rsidR="00AC6969" w:rsidRDefault="00AC6969" w:rsidP="004B2BE8">
      <w:pPr>
        <w:pStyle w:val="BodyText"/>
        <w:shd w:val="clear" w:color="auto" w:fill="FFFFFF" w:themeFill="background1"/>
      </w:pPr>
    </w:p>
    <w:p w:rsidR="00B27812" w:rsidRPr="008C0DA4" w:rsidRDefault="00B27812" w:rsidP="004B2BE8">
      <w:pPr>
        <w:pStyle w:val="BoxSpaceAbove"/>
        <w:shd w:val="clear" w:color="auto" w:fill="FFFFFF" w:themeFill="background1"/>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C0DA4" w:rsidRPr="008C0DA4" w:rsidTr="004B2BE8">
        <w:tc>
          <w:tcPr>
            <w:tcW w:w="8771" w:type="dxa"/>
            <w:tcBorders>
              <w:top w:val="single" w:sz="6" w:space="0" w:color="78A22F" w:themeColor="accent1"/>
              <w:left w:val="nil"/>
              <w:bottom w:val="nil"/>
              <w:right w:val="nil"/>
            </w:tcBorders>
            <w:shd w:val="clear" w:color="auto" w:fill="FFFFFF" w:themeFill="background1"/>
          </w:tcPr>
          <w:p w:rsidR="00B27812" w:rsidRPr="008C0DA4" w:rsidRDefault="00B27812" w:rsidP="004B2BE8">
            <w:pPr>
              <w:pStyle w:val="TableTitle"/>
              <w:shd w:val="clear" w:color="auto" w:fill="FFFFFF" w:themeFill="background1"/>
            </w:pPr>
            <w:r w:rsidRPr="008C0DA4">
              <w:rPr>
                <w:b w:val="0"/>
              </w:rPr>
              <w:t xml:space="preserve">Table </w:t>
            </w:r>
            <w:r w:rsidR="001E742F">
              <w:rPr>
                <w:b w:val="0"/>
              </w:rPr>
              <w:t>13.</w:t>
            </w:r>
            <w:r w:rsidR="00F132AA">
              <w:rPr>
                <w:b w:val="0"/>
                <w:noProof/>
              </w:rPr>
              <w:t>2</w:t>
            </w:r>
            <w:r w:rsidRPr="008C0DA4">
              <w:tab/>
              <w:t xml:space="preserve">Distinctions between HACC and </w:t>
            </w:r>
            <w:r w:rsidRPr="004B2BE8">
              <w:t>Home Care,</w:t>
            </w:r>
            <w:r w:rsidRPr="008C0DA4">
              <w:t xml:space="preserve"> 201</w:t>
            </w:r>
            <w:r w:rsidR="007753D2">
              <w:t>4</w:t>
            </w:r>
            <w:r w:rsidRPr="008C0DA4">
              <w:noBreakHyphen/>
              <w:t>1</w:t>
            </w:r>
            <w:r w:rsidR="007753D2">
              <w:t>5</w:t>
            </w:r>
          </w:p>
        </w:tc>
      </w:tr>
      <w:tr w:rsidR="008C0DA4" w:rsidRPr="008C0DA4" w:rsidTr="00B451BF">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396"/>
              <w:gridCol w:w="3118"/>
              <w:gridCol w:w="3973"/>
            </w:tblGrid>
            <w:tr w:rsidR="008C0DA4" w:rsidRPr="008C0DA4" w:rsidTr="004B2BE8">
              <w:trPr>
                <w:trHeight w:val="376"/>
              </w:trPr>
              <w:tc>
                <w:tcPr>
                  <w:tcW w:w="1396" w:type="dxa"/>
                  <w:tcBorders>
                    <w:top w:val="single" w:sz="4" w:space="0" w:color="BFBFBF"/>
                    <w:bottom w:val="single" w:sz="4" w:space="0" w:color="BFBFBF"/>
                  </w:tcBorders>
                  <w:shd w:val="clear" w:color="auto" w:fill="FFFFFF" w:themeFill="background1"/>
                </w:tcPr>
                <w:p w:rsidR="00B27812" w:rsidRPr="008C0DA4" w:rsidRDefault="00B27812" w:rsidP="004B2BE8">
                  <w:pPr>
                    <w:pStyle w:val="TableColumnHeading"/>
                    <w:shd w:val="clear" w:color="auto" w:fill="FFFFFF" w:themeFill="background1"/>
                    <w:jc w:val="left"/>
                    <w:rPr>
                      <w:szCs w:val="24"/>
                    </w:rPr>
                  </w:pPr>
                </w:p>
              </w:tc>
              <w:tc>
                <w:tcPr>
                  <w:tcW w:w="3118" w:type="dxa"/>
                  <w:tcBorders>
                    <w:top w:val="single" w:sz="4" w:space="0" w:color="BFBFBF"/>
                    <w:bottom w:val="single" w:sz="4" w:space="0" w:color="BFBFBF"/>
                  </w:tcBorders>
                  <w:shd w:val="clear" w:color="auto" w:fill="FFFFFF" w:themeFill="background1"/>
                </w:tcPr>
                <w:p w:rsidR="00B27812" w:rsidRPr="008C0DA4" w:rsidRDefault="00B27812" w:rsidP="004B2BE8">
                  <w:pPr>
                    <w:pStyle w:val="TableColumnHeading"/>
                    <w:shd w:val="clear" w:color="auto" w:fill="FFFFFF" w:themeFill="background1"/>
                    <w:jc w:val="left"/>
                  </w:pPr>
                  <w:r w:rsidRPr="008C0DA4">
                    <w:t>HACC</w:t>
                  </w:r>
                </w:p>
              </w:tc>
              <w:tc>
                <w:tcPr>
                  <w:tcW w:w="3973" w:type="dxa"/>
                  <w:tcBorders>
                    <w:top w:val="single" w:sz="4" w:space="0" w:color="BFBFBF"/>
                    <w:bottom w:val="single" w:sz="4" w:space="0" w:color="BFBFBF"/>
                  </w:tcBorders>
                  <w:shd w:val="clear" w:color="auto" w:fill="FFFFFF" w:themeFill="background1"/>
                </w:tcPr>
                <w:p w:rsidR="00B27812" w:rsidRPr="008C0DA4" w:rsidRDefault="00B27812" w:rsidP="004B2BE8">
                  <w:pPr>
                    <w:pStyle w:val="TableColumnHeading"/>
                    <w:shd w:val="clear" w:color="auto" w:fill="FFFFFF" w:themeFill="background1"/>
                    <w:jc w:val="left"/>
                  </w:pPr>
                  <w:r w:rsidRPr="008C0DA4">
                    <w:t xml:space="preserve">Home Care </w:t>
                  </w:r>
                </w:p>
              </w:tc>
            </w:tr>
            <w:tr w:rsidR="008C0DA4" w:rsidRPr="008C0DA4" w:rsidTr="004B2BE8">
              <w:tc>
                <w:tcPr>
                  <w:tcW w:w="1396" w:type="dxa"/>
                  <w:tcBorders>
                    <w:top w:val="single" w:sz="4" w:space="0" w:color="BFBFBF"/>
                  </w:tcBorders>
                  <w:shd w:val="clear" w:color="auto" w:fill="FFFFFF" w:themeFill="background1"/>
                </w:tcPr>
                <w:p w:rsidR="00B27812" w:rsidRPr="008C0DA4" w:rsidRDefault="00B27812" w:rsidP="004B2BE8">
                  <w:pPr>
                    <w:pStyle w:val="TableUnitsRow"/>
                    <w:shd w:val="clear" w:color="auto" w:fill="FFFFFF" w:themeFill="background1"/>
                    <w:jc w:val="left"/>
                    <w:rPr>
                      <w:szCs w:val="24"/>
                    </w:rPr>
                  </w:pPr>
                  <w:r w:rsidRPr="008C0DA4">
                    <w:t xml:space="preserve">Type of </w:t>
                  </w:r>
                  <w:r w:rsidR="00C56770" w:rsidRPr="008C0DA4">
                    <w:t>services</w:t>
                  </w:r>
                  <w:r w:rsidR="00C56770">
                    <w:rPr>
                      <w:rStyle w:val="NoteLabel"/>
                    </w:rPr>
                    <w:t>a</w:t>
                  </w:r>
                </w:p>
              </w:tc>
              <w:tc>
                <w:tcPr>
                  <w:tcW w:w="3118" w:type="dxa"/>
                  <w:tcBorders>
                    <w:top w:val="single" w:sz="4" w:space="0" w:color="BFBFBF"/>
                  </w:tcBorders>
                  <w:shd w:val="clear" w:color="auto" w:fill="FFFFFF" w:themeFill="background1"/>
                </w:tcPr>
                <w:p w:rsidR="003E032E" w:rsidRPr="008C0DA4" w:rsidRDefault="005B6E45" w:rsidP="00C52111">
                  <w:pPr>
                    <w:pStyle w:val="TableUnitsRow"/>
                    <w:shd w:val="clear" w:color="auto" w:fill="FFFFFF" w:themeFill="background1"/>
                    <w:jc w:val="left"/>
                    <w:rPr>
                      <w:i/>
                    </w:rPr>
                  </w:pPr>
                  <w:r w:rsidRPr="008C0DA4">
                    <w:t>Basic m</w:t>
                  </w:r>
                  <w:r w:rsidR="00B27812" w:rsidRPr="008C0DA4">
                    <w:t xml:space="preserve">aintenance and support services for people in the community whose independence is at risk. Services </w:t>
                  </w:r>
                  <w:r w:rsidRPr="008C0DA4">
                    <w:t>types include</w:t>
                  </w:r>
                  <w:r w:rsidR="003E032E" w:rsidRPr="008C0DA4">
                    <w:t xml:space="preserve"> </w:t>
                  </w:r>
                  <w:r w:rsidRPr="008C0DA4">
                    <w:t>allied health care</w:t>
                  </w:r>
                  <w:r w:rsidR="003E032E" w:rsidRPr="008C0DA4">
                    <w:t>, centre</w:t>
                  </w:r>
                  <w:r w:rsidR="00C52111">
                    <w:noBreakHyphen/>
                  </w:r>
                  <w:r w:rsidR="003E032E" w:rsidRPr="008C0DA4">
                    <w:t>based day care, domestic assistance, p</w:t>
                  </w:r>
                  <w:r w:rsidRPr="008C0DA4">
                    <w:t>ersonal care</w:t>
                  </w:r>
                  <w:r w:rsidR="003E032E" w:rsidRPr="008C0DA4">
                    <w:t>,</w:t>
                  </w:r>
                  <w:r w:rsidRPr="008C0DA4">
                    <w:t xml:space="preserve"> respite care</w:t>
                  </w:r>
                  <w:r w:rsidR="00C52111">
                    <w:t>,</w:t>
                  </w:r>
                  <w:r w:rsidR="003E032E" w:rsidRPr="008C0DA4">
                    <w:t xml:space="preserve"> social support and </w:t>
                  </w:r>
                  <w:r w:rsidRPr="008C0DA4">
                    <w:t>meals</w:t>
                  </w:r>
                  <w:r w:rsidR="003E032E" w:rsidRPr="008C0DA4">
                    <w:t>.</w:t>
                  </w:r>
                </w:p>
              </w:tc>
              <w:tc>
                <w:tcPr>
                  <w:tcW w:w="3973" w:type="dxa"/>
                  <w:tcBorders>
                    <w:top w:val="single" w:sz="4" w:space="0" w:color="BFBFBF"/>
                  </w:tcBorders>
                  <w:shd w:val="clear" w:color="auto" w:fill="FFFFFF" w:themeFill="background1"/>
                </w:tcPr>
                <w:p w:rsidR="009F5492" w:rsidRDefault="009F5492" w:rsidP="004B2BE8">
                  <w:pPr>
                    <w:pStyle w:val="TableUnitsRow"/>
                    <w:shd w:val="clear" w:color="auto" w:fill="FFFFFF" w:themeFill="background1"/>
                    <w:jc w:val="left"/>
                  </w:pPr>
                  <w:r w:rsidRPr="009F5492">
                    <w:t xml:space="preserve">Package of basic to low </w:t>
                  </w:r>
                  <w:r>
                    <w:t>(levels 1</w:t>
                  </w:r>
                  <w:r w:rsidR="00434512">
                    <w:sym w:font="Symbol" w:char="F02D"/>
                  </w:r>
                  <w:r>
                    <w:t xml:space="preserve">2) or </w:t>
                  </w:r>
                  <w:r w:rsidRPr="009F5492">
                    <w:t xml:space="preserve">intermediate to high </w:t>
                  </w:r>
                  <w:r>
                    <w:t>(levels 3</w:t>
                  </w:r>
                  <w:r w:rsidR="00434512">
                    <w:sym w:font="Symbol" w:char="F02D"/>
                  </w:r>
                  <w:r>
                    <w:t xml:space="preserve">4) </w:t>
                  </w:r>
                  <w:r w:rsidRPr="009F5492">
                    <w:t xml:space="preserve">level care </w:t>
                  </w:r>
                  <w:r>
                    <w:t xml:space="preserve">that is </w:t>
                  </w:r>
                  <w:r w:rsidRPr="009F5492">
                    <w:t>tailored to client needs</w:t>
                  </w:r>
                  <w:r>
                    <w:t>. S</w:t>
                  </w:r>
                  <w:r w:rsidRPr="008C0DA4">
                    <w:t xml:space="preserve">upplements for additional care needs </w:t>
                  </w:r>
                  <w:r>
                    <w:t>(such as for d</w:t>
                  </w:r>
                  <w:r w:rsidRPr="001E742F">
                    <w:t xml:space="preserve">ementia and </w:t>
                  </w:r>
                  <w:r>
                    <w:t>c</w:t>
                  </w:r>
                  <w:r w:rsidRPr="001E742F">
                    <w:t>ognition</w:t>
                  </w:r>
                  <w:r>
                    <w:t>, and</w:t>
                  </w:r>
                  <w:r w:rsidRPr="001E742F">
                    <w:t xml:space="preserve"> </w:t>
                  </w:r>
                  <w:r>
                    <w:t>oxygen) are also available.</w:t>
                  </w:r>
                </w:p>
                <w:p w:rsidR="007753D2" w:rsidRPr="008C0DA4" w:rsidRDefault="004500A2" w:rsidP="004B2BE8">
                  <w:pPr>
                    <w:pStyle w:val="TableUnitsRow"/>
                    <w:shd w:val="clear" w:color="auto" w:fill="FFFFFF" w:themeFill="background1"/>
                    <w:jc w:val="left"/>
                    <w:rPr>
                      <w:szCs w:val="24"/>
                    </w:rPr>
                  </w:pPr>
                  <w:r w:rsidRPr="004500A2">
                    <w:t xml:space="preserve">Services types include </w:t>
                  </w:r>
                  <w:r>
                    <w:t xml:space="preserve">personal care (such as showering and meal preparation), support services (such as cleaning and transport for shopping) and clinical care (such as nursing and other health support </w:t>
                  </w:r>
                  <w:r>
                    <w:rPr>
                      <w:rFonts w:ascii="Calibri" w:hAnsi="Calibri"/>
                    </w:rPr>
                    <w:t>‒</w:t>
                  </w:r>
                  <w:r>
                    <w:t xml:space="preserve"> for example, podiatry and physiotherapy).</w:t>
                  </w:r>
                  <w:r w:rsidR="001934EB">
                    <w:t xml:space="preserve"> </w:t>
                  </w:r>
                </w:p>
              </w:tc>
            </w:tr>
            <w:tr w:rsidR="008C0DA4" w:rsidRPr="008C0DA4" w:rsidTr="004B2BE8">
              <w:trPr>
                <w:trHeight w:val="518"/>
              </w:trPr>
              <w:tc>
                <w:tcPr>
                  <w:tcW w:w="1396" w:type="dxa"/>
                  <w:shd w:val="clear" w:color="auto" w:fill="FFFFFF" w:themeFill="background1"/>
                </w:tcPr>
                <w:p w:rsidR="00B27812" w:rsidRPr="008C0DA4" w:rsidRDefault="00B27812" w:rsidP="004B2BE8">
                  <w:pPr>
                    <w:pStyle w:val="TableBodyText"/>
                    <w:shd w:val="clear" w:color="auto" w:fill="FFFFFF" w:themeFill="background1"/>
                    <w:jc w:val="left"/>
                    <w:rPr>
                      <w:szCs w:val="24"/>
                    </w:rPr>
                  </w:pPr>
                  <w:r w:rsidRPr="008C0DA4">
                    <w:t>Relationship to residential care</w:t>
                  </w:r>
                </w:p>
              </w:tc>
              <w:tc>
                <w:tcPr>
                  <w:tcW w:w="3118" w:type="dxa"/>
                  <w:shd w:val="clear" w:color="auto" w:fill="FFFFFF" w:themeFill="background1"/>
                </w:tcPr>
                <w:p w:rsidR="00B27812" w:rsidRDefault="00B27812" w:rsidP="004B2BE8">
                  <w:pPr>
                    <w:pStyle w:val="TableBodyText"/>
                    <w:shd w:val="clear" w:color="auto" w:fill="FFFFFF" w:themeFill="background1"/>
                    <w:jc w:val="left"/>
                    <w:rPr>
                      <w:i/>
                    </w:rPr>
                  </w:pPr>
                  <w:r w:rsidRPr="008C0DA4">
                    <w:t>Aims to prevent premature or inappropriate admission</w:t>
                  </w:r>
                  <w:r w:rsidR="005B6E45" w:rsidRPr="008C0DA4">
                    <w:t xml:space="preserve"> to residential aged care.</w:t>
                  </w:r>
                </w:p>
                <w:p w:rsidR="007753D2" w:rsidRPr="008C0DA4" w:rsidRDefault="007753D2" w:rsidP="004B2BE8">
                  <w:pPr>
                    <w:pStyle w:val="TableBodyText"/>
                    <w:shd w:val="clear" w:color="auto" w:fill="FFFFFF" w:themeFill="background1"/>
                    <w:jc w:val="left"/>
                    <w:rPr>
                      <w:szCs w:val="24"/>
                    </w:rPr>
                  </w:pPr>
                </w:p>
              </w:tc>
              <w:tc>
                <w:tcPr>
                  <w:tcW w:w="3973" w:type="dxa"/>
                  <w:shd w:val="clear" w:color="auto" w:fill="FFFFFF" w:themeFill="background1"/>
                </w:tcPr>
                <w:p w:rsidR="00B27812" w:rsidRPr="008C0DA4" w:rsidRDefault="005B6E45" w:rsidP="004B2BE8">
                  <w:pPr>
                    <w:pStyle w:val="TableBodyText"/>
                    <w:shd w:val="clear" w:color="auto" w:fill="FFFFFF" w:themeFill="background1"/>
                    <w:ind w:right="28"/>
                    <w:jc w:val="left"/>
                    <w:rPr>
                      <w:i/>
                    </w:rPr>
                  </w:pPr>
                  <w:r w:rsidRPr="008C0DA4">
                    <w:t>S</w:t>
                  </w:r>
                  <w:r w:rsidR="00B27812" w:rsidRPr="008C0DA4">
                    <w:t>ubstitute</w:t>
                  </w:r>
                  <w:r w:rsidRPr="008C0DA4">
                    <w:t>s</w:t>
                  </w:r>
                  <w:r w:rsidR="00B27812" w:rsidRPr="008C0DA4">
                    <w:t xml:space="preserve"> for </w:t>
                  </w:r>
                  <w:r w:rsidRPr="008C0DA4">
                    <w:t>a</w:t>
                  </w:r>
                  <w:r w:rsidR="00B27812" w:rsidRPr="008C0DA4">
                    <w:t xml:space="preserve"> residential </w:t>
                  </w:r>
                  <w:r w:rsidRPr="008C0DA4">
                    <w:t xml:space="preserve">aged care </w:t>
                  </w:r>
                  <w:r w:rsidR="00B27812" w:rsidRPr="008C0DA4">
                    <w:t>place</w:t>
                  </w:r>
                  <w:r w:rsidRPr="008C0DA4">
                    <w:t>.</w:t>
                  </w:r>
                </w:p>
              </w:tc>
            </w:tr>
            <w:tr w:rsidR="008C0DA4" w:rsidRPr="008C0DA4" w:rsidTr="004B2BE8">
              <w:trPr>
                <w:trHeight w:val="366"/>
              </w:trPr>
              <w:tc>
                <w:tcPr>
                  <w:tcW w:w="1396" w:type="dxa"/>
                  <w:shd w:val="clear" w:color="auto" w:fill="FFFFFF" w:themeFill="background1"/>
                </w:tcPr>
                <w:p w:rsidR="00B27812" w:rsidRPr="008C0DA4" w:rsidRDefault="00B27812" w:rsidP="004B2BE8">
                  <w:pPr>
                    <w:pStyle w:val="TableBodyText"/>
                    <w:shd w:val="clear" w:color="auto" w:fill="FFFFFF" w:themeFill="background1"/>
                    <w:jc w:val="left"/>
                    <w:rPr>
                      <w:szCs w:val="24"/>
                    </w:rPr>
                  </w:pPr>
                  <w:r w:rsidRPr="008C0DA4">
                    <w:t>Eligibility</w:t>
                  </w:r>
                </w:p>
              </w:tc>
              <w:tc>
                <w:tcPr>
                  <w:tcW w:w="3118" w:type="dxa"/>
                  <w:shd w:val="clear" w:color="auto" w:fill="FFFFFF" w:themeFill="background1"/>
                </w:tcPr>
                <w:p w:rsidR="00B27812" w:rsidRPr="008C0DA4" w:rsidRDefault="00B27812" w:rsidP="004B2BE8">
                  <w:pPr>
                    <w:pStyle w:val="TableBodyText"/>
                    <w:shd w:val="clear" w:color="auto" w:fill="FFFFFF" w:themeFill="background1"/>
                    <w:jc w:val="left"/>
                    <w:rPr>
                      <w:i/>
                    </w:rPr>
                  </w:pPr>
                  <w:r w:rsidRPr="004B2BE8">
                    <w:rPr>
                      <w:shd w:val="clear" w:color="auto" w:fill="FFFFFF" w:themeFill="background1"/>
                    </w:rPr>
                    <w:t>ACAT approval not</w:t>
                  </w:r>
                  <w:r w:rsidRPr="008C0DA4">
                    <w:t xml:space="preserve"> required</w:t>
                  </w:r>
                </w:p>
              </w:tc>
              <w:tc>
                <w:tcPr>
                  <w:tcW w:w="3973" w:type="dxa"/>
                  <w:shd w:val="clear" w:color="auto" w:fill="FFFFFF" w:themeFill="background1"/>
                </w:tcPr>
                <w:p w:rsidR="007753D2" w:rsidRPr="008C0DA4" w:rsidRDefault="00B27812" w:rsidP="004B2BE8">
                  <w:pPr>
                    <w:pStyle w:val="TableBodyText"/>
                    <w:shd w:val="clear" w:color="auto" w:fill="FFFFFF" w:themeFill="background1"/>
                    <w:jc w:val="left"/>
                    <w:rPr>
                      <w:szCs w:val="24"/>
                    </w:rPr>
                  </w:pPr>
                  <w:r w:rsidRPr="004B2BE8">
                    <w:rPr>
                      <w:shd w:val="clear" w:color="auto" w:fill="FFFFFF" w:themeFill="background1"/>
                    </w:rPr>
                    <w:t xml:space="preserve">ACAT </w:t>
                  </w:r>
                  <w:r w:rsidRPr="008C0DA4">
                    <w:t>approval mandatory</w:t>
                  </w:r>
                </w:p>
              </w:tc>
            </w:tr>
            <w:tr w:rsidR="008C0DA4" w:rsidRPr="008C0DA4" w:rsidTr="004B2BE8">
              <w:tc>
                <w:tcPr>
                  <w:tcW w:w="1396" w:type="dxa"/>
                  <w:shd w:val="clear" w:color="auto" w:fill="FFFFFF" w:themeFill="background1"/>
                </w:tcPr>
                <w:p w:rsidR="00B27812" w:rsidRPr="008C0DA4" w:rsidRDefault="00B27812" w:rsidP="004B2BE8">
                  <w:pPr>
                    <w:pStyle w:val="TableBodyText"/>
                    <w:shd w:val="clear" w:color="auto" w:fill="FFFFFF" w:themeFill="background1"/>
                    <w:jc w:val="left"/>
                    <w:rPr>
                      <w:szCs w:val="24"/>
                    </w:rPr>
                  </w:pPr>
                  <w:r w:rsidRPr="008C0DA4">
                    <w:t>Funding</w:t>
                  </w:r>
                </w:p>
              </w:tc>
              <w:tc>
                <w:tcPr>
                  <w:tcW w:w="3118" w:type="dxa"/>
                  <w:shd w:val="clear" w:color="auto" w:fill="FFFFFF" w:themeFill="background1"/>
                </w:tcPr>
                <w:p w:rsidR="00B27812" w:rsidRPr="008C0DA4" w:rsidRDefault="00B27812" w:rsidP="004B2BE8">
                  <w:pPr>
                    <w:pStyle w:val="TableBodyText"/>
                    <w:shd w:val="clear" w:color="auto" w:fill="FFFFFF" w:themeFill="background1"/>
                    <w:jc w:val="left"/>
                    <w:rPr>
                      <w:i/>
                    </w:rPr>
                  </w:pPr>
                  <w:r w:rsidRPr="008C0DA4">
                    <w:t>Funded by the Australian Government and client contributions, except in Victoria and WA where funding is also provided by those jurisdictions</w:t>
                  </w:r>
                  <w:r w:rsidR="00D56FDE">
                    <w:t>’ governments</w:t>
                  </w:r>
                  <w:r w:rsidRPr="008C0DA4">
                    <w:t>.</w:t>
                  </w:r>
                </w:p>
              </w:tc>
              <w:tc>
                <w:tcPr>
                  <w:tcW w:w="3973" w:type="dxa"/>
                  <w:shd w:val="clear" w:color="auto" w:fill="FFFFFF" w:themeFill="background1"/>
                </w:tcPr>
                <w:p w:rsidR="007753D2" w:rsidRPr="008C0DA4" w:rsidRDefault="00B27812" w:rsidP="004B2BE8">
                  <w:pPr>
                    <w:pStyle w:val="TableBodyText"/>
                    <w:shd w:val="clear" w:color="auto" w:fill="FFFFFF" w:themeFill="background1"/>
                    <w:jc w:val="left"/>
                    <w:rPr>
                      <w:szCs w:val="24"/>
                    </w:rPr>
                  </w:pPr>
                  <w:r w:rsidRPr="008C0DA4">
                    <w:t>Funded primarily by the Australian Government and client contributions — State and Territory governments fund younger people using these services (except in Victoria and WA).</w:t>
                  </w:r>
                </w:p>
              </w:tc>
            </w:tr>
            <w:tr w:rsidR="008C0DA4" w:rsidRPr="008C0DA4" w:rsidTr="004B2BE8">
              <w:trPr>
                <w:trHeight w:val="1270"/>
              </w:trPr>
              <w:tc>
                <w:tcPr>
                  <w:tcW w:w="1396" w:type="dxa"/>
                  <w:shd w:val="clear" w:color="auto" w:fill="FFFFFF" w:themeFill="background1"/>
                </w:tcPr>
                <w:p w:rsidR="005B6E45" w:rsidRPr="008C0DA4" w:rsidRDefault="005B6E45" w:rsidP="004B2BE8">
                  <w:pPr>
                    <w:pStyle w:val="TableBodyText"/>
                    <w:shd w:val="clear" w:color="auto" w:fill="FFFFFF" w:themeFill="background1"/>
                    <w:jc w:val="left"/>
                    <w:rPr>
                      <w:szCs w:val="24"/>
                    </w:rPr>
                  </w:pPr>
                  <w:r w:rsidRPr="008C0DA4">
                    <w:t xml:space="preserve">Target client </w:t>
                  </w:r>
                  <w:r w:rsidR="00C56770" w:rsidRPr="008C0DA4">
                    <w:t>groups</w:t>
                  </w:r>
                  <w:r w:rsidR="00C56770">
                    <w:rPr>
                      <w:rStyle w:val="NoteLabel"/>
                    </w:rPr>
                    <w:t>b</w:t>
                  </w:r>
                </w:p>
              </w:tc>
              <w:tc>
                <w:tcPr>
                  <w:tcW w:w="3118" w:type="dxa"/>
                  <w:shd w:val="clear" w:color="auto" w:fill="FFFFFF" w:themeFill="background1"/>
                </w:tcPr>
                <w:p w:rsidR="005B6E45" w:rsidRPr="008C0DA4" w:rsidRDefault="005B6E45" w:rsidP="004B2BE8">
                  <w:pPr>
                    <w:pStyle w:val="TableBodyText"/>
                    <w:shd w:val="clear" w:color="auto" w:fill="FFFFFF" w:themeFill="background1"/>
                    <w:jc w:val="left"/>
                    <w:rPr>
                      <w:i/>
                    </w:rPr>
                  </w:pPr>
                  <w:r w:rsidRPr="008C0DA4">
                    <w:t xml:space="preserve">Available to </w:t>
                  </w:r>
                  <w:r w:rsidRPr="004B2BE8">
                    <w:rPr>
                      <w:shd w:val="clear" w:color="auto" w:fill="FFFFFF" w:themeFill="background1"/>
                    </w:rPr>
                    <w:t>frail older people with functional limitations as a result of profound, severe or moderate disability and their</w:t>
                  </w:r>
                  <w:r w:rsidRPr="008C0DA4">
                    <w:t xml:space="preserve"> carers. Not age specific in Victoria and WA.</w:t>
                  </w:r>
                </w:p>
              </w:tc>
              <w:tc>
                <w:tcPr>
                  <w:tcW w:w="3973" w:type="dxa"/>
                  <w:shd w:val="clear" w:color="auto" w:fill="FFFFFF" w:themeFill="background1"/>
                </w:tcPr>
                <w:p w:rsidR="003E032E" w:rsidRPr="008C0DA4" w:rsidRDefault="003E032E" w:rsidP="004B2BE8">
                  <w:pPr>
                    <w:pStyle w:val="TableBodyText"/>
                    <w:shd w:val="clear" w:color="auto" w:fill="FFFFFF" w:themeFill="background1"/>
                    <w:jc w:val="left"/>
                    <w:rPr>
                      <w:rFonts w:ascii="Calibri" w:hAnsi="Calibri"/>
                      <w:i/>
                    </w:rPr>
                  </w:pPr>
                  <w:r w:rsidRPr="008C0DA4">
                    <w:t>O</w:t>
                  </w:r>
                  <w:r w:rsidR="005B6E45" w:rsidRPr="008C0DA4">
                    <w:t>lder people with care needs similar to those in residential aged care.</w:t>
                  </w:r>
                  <w:r w:rsidRPr="008C0DA4">
                    <w:rPr>
                      <w:rFonts w:ascii="Calibri" w:hAnsi="Calibri"/>
                    </w:rPr>
                    <w:t xml:space="preserve"> </w:t>
                  </w:r>
                </w:p>
                <w:p w:rsidR="003E032E" w:rsidRPr="008C0DA4" w:rsidRDefault="003E032E" w:rsidP="004B2BE8">
                  <w:pPr>
                    <w:pStyle w:val="TableUnitsRow"/>
                    <w:shd w:val="clear" w:color="auto" w:fill="FFFFFF" w:themeFill="background1"/>
                    <w:jc w:val="left"/>
                    <w:rPr>
                      <w:i/>
                      <w:u w:val="single"/>
                    </w:rPr>
                  </w:pPr>
                  <w:r w:rsidRPr="008C0DA4">
                    <w:rPr>
                      <w:u w:val="single"/>
                    </w:rPr>
                    <w:t>Levels 1</w:t>
                  </w:r>
                  <w:r w:rsidR="00F30D4F">
                    <w:rPr>
                      <w:u w:val="single"/>
                    </w:rPr>
                    <w:sym w:font="Symbol" w:char="F02D"/>
                  </w:r>
                  <w:r w:rsidRPr="008C0DA4">
                    <w:rPr>
                      <w:u w:val="single"/>
                    </w:rPr>
                    <w:t>2</w:t>
                  </w:r>
                </w:p>
                <w:p w:rsidR="005B6E45" w:rsidRPr="008C0DA4" w:rsidRDefault="003E032E" w:rsidP="004B2BE8">
                  <w:pPr>
                    <w:pStyle w:val="TableBodyText"/>
                    <w:shd w:val="clear" w:color="auto" w:fill="FFFFFF" w:themeFill="background1"/>
                    <w:jc w:val="left"/>
                    <w:rPr>
                      <w:i/>
                    </w:rPr>
                  </w:pPr>
                  <w:r w:rsidRPr="008C0DA4">
                    <w:t>Designed for people who are able to live at home with assistance.</w:t>
                  </w:r>
                </w:p>
                <w:p w:rsidR="003E032E" w:rsidRPr="008C0DA4" w:rsidRDefault="003E032E" w:rsidP="004B2BE8">
                  <w:pPr>
                    <w:pStyle w:val="TableUnitsRow"/>
                    <w:shd w:val="clear" w:color="auto" w:fill="FFFFFF" w:themeFill="background1"/>
                    <w:jc w:val="left"/>
                    <w:rPr>
                      <w:i/>
                      <w:u w:val="single"/>
                    </w:rPr>
                  </w:pPr>
                  <w:r w:rsidRPr="008C0DA4">
                    <w:rPr>
                      <w:u w:val="single"/>
                    </w:rPr>
                    <w:t>Levels 3–4</w:t>
                  </w:r>
                </w:p>
                <w:p w:rsidR="007753D2" w:rsidRPr="008C0DA4" w:rsidRDefault="003E032E" w:rsidP="004B2BE8">
                  <w:pPr>
                    <w:pStyle w:val="TableBodyText"/>
                    <w:shd w:val="clear" w:color="auto" w:fill="FFFFFF" w:themeFill="background1"/>
                    <w:jc w:val="left"/>
                    <w:rPr>
                      <w:szCs w:val="24"/>
                    </w:rPr>
                  </w:pPr>
                  <w:r w:rsidRPr="008C0DA4">
                    <w:t>Designed for people who have expressed a preference to live at home and are able to do so with assistance.</w:t>
                  </w:r>
                </w:p>
              </w:tc>
            </w:tr>
            <w:tr w:rsidR="008C0DA4" w:rsidRPr="008C0DA4" w:rsidTr="004B2BE8">
              <w:tc>
                <w:tcPr>
                  <w:tcW w:w="1396" w:type="dxa"/>
                  <w:tcBorders>
                    <w:bottom w:val="single" w:sz="4" w:space="0" w:color="BFBFBF"/>
                  </w:tcBorders>
                  <w:shd w:val="clear" w:color="auto" w:fill="FFFFFF" w:themeFill="background1"/>
                </w:tcPr>
                <w:p w:rsidR="003E032E" w:rsidRPr="008C0DA4" w:rsidRDefault="003E032E" w:rsidP="004B2BE8">
                  <w:pPr>
                    <w:pStyle w:val="TableBodyText"/>
                    <w:shd w:val="clear" w:color="auto" w:fill="FFFFFF" w:themeFill="background1"/>
                    <w:jc w:val="left"/>
                    <w:rPr>
                      <w:szCs w:val="24"/>
                    </w:rPr>
                  </w:pPr>
                  <w:r w:rsidRPr="008C0DA4">
                    <w:t>Size of program</w:t>
                  </w:r>
                  <w:r w:rsidR="00C56770">
                    <w:rPr>
                      <w:rStyle w:val="NoteLabel"/>
                    </w:rPr>
                    <w:t>c</w:t>
                  </w:r>
                </w:p>
              </w:tc>
              <w:tc>
                <w:tcPr>
                  <w:tcW w:w="3118" w:type="dxa"/>
                  <w:tcBorders>
                    <w:bottom w:val="single" w:sz="4" w:space="0" w:color="BFBFBF"/>
                  </w:tcBorders>
                  <w:shd w:val="clear" w:color="auto" w:fill="FFFFFF" w:themeFill="background1"/>
                </w:tcPr>
                <w:p w:rsidR="008C0DA4" w:rsidRDefault="003E032E" w:rsidP="004B2BE8">
                  <w:pPr>
                    <w:pStyle w:val="TableBodyText"/>
                    <w:shd w:val="clear" w:color="auto" w:fill="FFFFFF" w:themeFill="background1"/>
                    <w:jc w:val="left"/>
                    <w:rPr>
                      <w:i/>
                    </w:rPr>
                  </w:pPr>
                  <w:r w:rsidRPr="008C0DA4">
                    <w:t>$</w:t>
                  </w:r>
                  <w:r w:rsidR="00390FA7">
                    <w:t>2.3</w:t>
                  </w:r>
                  <w:r w:rsidRPr="008C0DA4">
                    <w:t xml:space="preserve"> billion funding for older clients (includes funding for younger people in Victoria and WA)</w:t>
                  </w:r>
                </w:p>
                <w:p w:rsidR="003E032E" w:rsidRPr="008C0DA4" w:rsidRDefault="003E032E" w:rsidP="00603EE0">
                  <w:pPr>
                    <w:pStyle w:val="TableBodyText"/>
                    <w:shd w:val="clear" w:color="auto" w:fill="FFFFFF" w:themeFill="background1"/>
                    <w:jc w:val="left"/>
                    <w:rPr>
                      <w:i/>
                    </w:rPr>
                  </w:pPr>
                  <w:r w:rsidRPr="008C0DA4">
                    <w:t xml:space="preserve">At least </w:t>
                  </w:r>
                  <w:r w:rsidR="00603EE0">
                    <w:t>812 384</w:t>
                  </w:r>
                  <w:r w:rsidRPr="008C0DA4">
                    <w:t xml:space="preserve"> older</w:t>
                  </w:r>
                  <w:r w:rsidRPr="008C0DA4">
                    <w:rPr>
                      <w:b/>
                    </w:rPr>
                    <w:t xml:space="preserve"> </w:t>
                  </w:r>
                  <w:r w:rsidR="00C56770" w:rsidRPr="008C0DA4">
                    <w:t>clients</w:t>
                  </w:r>
                </w:p>
              </w:tc>
              <w:tc>
                <w:tcPr>
                  <w:tcW w:w="3973" w:type="dxa"/>
                  <w:tcBorders>
                    <w:bottom w:val="single" w:sz="4" w:space="0" w:color="BFBFBF"/>
                  </w:tcBorders>
                  <w:shd w:val="clear" w:color="auto" w:fill="FFFFFF" w:themeFill="background1"/>
                </w:tcPr>
                <w:p w:rsidR="003E032E" w:rsidRPr="008C0DA4" w:rsidRDefault="003E032E" w:rsidP="004B2BE8">
                  <w:pPr>
                    <w:pStyle w:val="TableBodyText"/>
                    <w:shd w:val="clear" w:color="auto" w:fill="FFFFFF" w:themeFill="background1"/>
                    <w:jc w:val="left"/>
                    <w:rPr>
                      <w:i/>
                    </w:rPr>
                  </w:pPr>
                  <w:r w:rsidRPr="008C0DA4">
                    <w:t>$</w:t>
                  </w:r>
                  <w:r w:rsidR="00390FA7">
                    <w:t>1</w:t>
                  </w:r>
                  <w:r w:rsidR="00390FA7" w:rsidRPr="00390FA7">
                    <w:t>.3 billion</w:t>
                  </w:r>
                  <w:r w:rsidRPr="008C0DA4">
                    <w:t xml:space="preserve"> total funding </w:t>
                  </w:r>
                </w:p>
                <w:p w:rsidR="003E032E" w:rsidRDefault="00603EE0" w:rsidP="004B2BE8">
                  <w:pPr>
                    <w:pStyle w:val="TableBodyText"/>
                    <w:shd w:val="clear" w:color="auto" w:fill="FFFFFF" w:themeFill="background1"/>
                    <w:spacing w:after="0" w:line="240" w:lineRule="auto"/>
                    <w:jc w:val="left"/>
                    <w:rPr>
                      <w:i/>
                    </w:rPr>
                  </w:pPr>
                  <w:r>
                    <w:rPr>
                      <w:rFonts w:cs="Arial"/>
                    </w:rPr>
                    <w:t xml:space="preserve">73 550 </w:t>
                  </w:r>
                  <w:r w:rsidR="003E032E" w:rsidRPr="008C0DA4">
                    <w:t xml:space="preserve">operational </w:t>
                  </w:r>
                  <w:r w:rsidR="00C56770" w:rsidRPr="008C0DA4">
                    <w:t>places</w:t>
                  </w:r>
                  <w:r w:rsidR="0020370B">
                    <w:t>, including flexible care</w:t>
                  </w:r>
                  <w:r w:rsidR="00C56770" w:rsidRPr="008C0DA4">
                    <w:t xml:space="preserve"> </w:t>
                  </w:r>
                  <w:r w:rsidR="0020370B">
                    <w:t>places</w:t>
                  </w:r>
                </w:p>
                <w:p w:rsidR="008C0DA4" w:rsidRDefault="008C0DA4" w:rsidP="004B2BE8">
                  <w:pPr>
                    <w:pStyle w:val="TableBodyText"/>
                    <w:shd w:val="clear" w:color="auto" w:fill="FFFFFF" w:themeFill="background1"/>
                    <w:spacing w:after="0" w:line="240" w:lineRule="auto"/>
                    <w:jc w:val="left"/>
                    <w:rPr>
                      <w:szCs w:val="24"/>
                    </w:rPr>
                  </w:pPr>
                </w:p>
                <w:p w:rsidR="003E032E" w:rsidRPr="008C0DA4" w:rsidRDefault="0020370B" w:rsidP="004B2BE8">
                  <w:pPr>
                    <w:pStyle w:val="TableBodyText"/>
                    <w:shd w:val="clear" w:color="auto" w:fill="FFFFFF" w:themeFill="background1"/>
                    <w:jc w:val="left"/>
                    <w:rPr>
                      <w:szCs w:val="24"/>
                    </w:rPr>
                  </w:pPr>
                  <w:r w:rsidRPr="0020370B">
                    <w:t>86 302</w:t>
                  </w:r>
                  <w:r w:rsidR="003E032E" w:rsidRPr="0020370B">
                    <w:t xml:space="preserve"> </w:t>
                  </w:r>
                  <w:r w:rsidR="003E032E" w:rsidRPr="008C0DA4">
                    <w:t>older clients</w:t>
                  </w:r>
                </w:p>
              </w:tc>
            </w:tr>
          </w:tbl>
          <w:p w:rsidR="00B27812" w:rsidRPr="008C0DA4" w:rsidRDefault="00B27812" w:rsidP="004B2BE8">
            <w:pPr>
              <w:pStyle w:val="Box"/>
              <w:shd w:val="clear" w:color="auto" w:fill="FFFFFF" w:themeFill="background1"/>
              <w:rPr>
                <w:szCs w:val="24"/>
              </w:rPr>
            </w:pPr>
          </w:p>
        </w:tc>
      </w:tr>
      <w:tr w:rsidR="008C0DA4" w:rsidRPr="008C0DA4" w:rsidTr="00B451BF">
        <w:trPr>
          <w:cantSplit/>
        </w:trPr>
        <w:tc>
          <w:tcPr>
            <w:tcW w:w="8771" w:type="dxa"/>
            <w:tcBorders>
              <w:top w:val="nil"/>
              <w:left w:val="nil"/>
              <w:bottom w:val="nil"/>
              <w:right w:val="nil"/>
            </w:tcBorders>
            <w:shd w:val="clear" w:color="auto" w:fill="auto"/>
          </w:tcPr>
          <w:p w:rsidR="00B27812" w:rsidRPr="008C0DA4" w:rsidRDefault="00B27812" w:rsidP="00A63231">
            <w:pPr>
              <w:pStyle w:val="Note"/>
              <w:shd w:val="clear" w:color="auto" w:fill="FFFFFF" w:themeFill="background1"/>
              <w:rPr>
                <w:i/>
              </w:rPr>
            </w:pPr>
            <w:r w:rsidRPr="008C0DA4">
              <w:rPr>
                <w:rStyle w:val="NoteLabel"/>
              </w:rPr>
              <w:t>a</w:t>
            </w:r>
            <w:r w:rsidR="00393CD8" w:rsidRPr="008C0DA4">
              <w:t xml:space="preserve"> </w:t>
            </w:r>
            <w:r w:rsidRPr="008C0DA4">
              <w:t xml:space="preserve">HACC </w:t>
            </w:r>
            <w:r w:rsidR="00C52111">
              <w:t>c</w:t>
            </w:r>
            <w:r w:rsidRPr="008C0DA4">
              <w:t>ommunity nursing</w:t>
            </w:r>
            <w:r w:rsidR="00C52111">
              <w:t xml:space="preserve"> services</w:t>
            </w:r>
            <w:r w:rsidRPr="008C0DA4">
              <w:t xml:space="preserve"> can be supplied to someone receiving Home Care levels 1</w:t>
            </w:r>
            <w:r w:rsidR="00A63231">
              <w:rPr>
                <w:rFonts w:ascii="Calibri" w:hAnsi="Calibri"/>
              </w:rPr>
              <w:t>–</w:t>
            </w:r>
            <w:r w:rsidRPr="008C0DA4">
              <w:t>2 when additional nursing services are required to support the consumer to remain living at home.</w:t>
            </w:r>
            <w:r w:rsidR="008C0DA4">
              <w:t xml:space="preserve"> </w:t>
            </w:r>
            <w:r w:rsidR="00C56770">
              <w:rPr>
                <w:rStyle w:val="NoteLabel"/>
              </w:rPr>
              <w:t>b</w:t>
            </w:r>
            <w:r w:rsidR="001E742F" w:rsidRPr="008C0DA4">
              <w:t xml:space="preserve"> </w:t>
            </w:r>
            <w:r w:rsidRPr="008C0DA4">
              <w:t xml:space="preserve">Most HACC clients with lower support needs would not be assessed as eligible for residential care; for example, an individual may receive only an hour of support per fortnight. </w:t>
            </w:r>
            <w:r w:rsidR="00603EE0">
              <w:t xml:space="preserve">However, </w:t>
            </w:r>
            <w:r w:rsidRPr="008C0DA4">
              <w:t xml:space="preserve">some people have needs that would exceed the level available under a Home Care place. </w:t>
            </w:r>
            <w:r w:rsidR="00C56770">
              <w:rPr>
                <w:rStyle w:val="NoteLabel"/>
              </w:rPr>
              <w:t>c</w:t>
            </w:r>
            <w:r w:rsidR="001E742F" w:rsidRPr="004B2BE8" w:rsidDel="001E742F">
              <w:t xml:space="preserve"> </w:t>
            </w:r>
            <w:r w:rsidR="005C6C6B" w:rsidRPr="004B2BE8">
              <w:t>See tables</w:t>
            </w:r>
            <w:r w:rsidR="00E75264">
              <w:t> </w:t>
            </w:r>
            <w:proofErr w:type="spellStart"/>
            <w:r w:rsidR="005C6C6B" w:rsidRPr="004B2BE8">
              <w:t>13A.3</w:t>
            </w:r>
            <w:proofErr w:type="spellEnd"/>
            <w:r w:rsidR="00F744CB" w:rsidRPr="00733169">
              <w:t>–</w:t>
            </w:r>
            <w:r w:rsidR="005C6C6B" w:rsidRPr="004B2BE8">
              <w:t xml:space="preserve">4 and </w:t>
            </w:r>
            <w:proofErr w:type="spellStart"/>
            <w:r w:rsidR="005C6C6B" w:rsidRPr="004B2BE8">
              <w:t>13A.1</w:t>
            </w:r>
            <w:r w:rsidR="00603EE0">
              <w:t>3</w:t>
            </w:r>
            <w:proofErr w:type="spellEnd"/>
            <w:r w:rsidR="005C6C6B" w:rsidRPr="004B2BE8">
              <w:t xml:space="preserve"> for detailed</w:t>
            </w:r>
            <w:r w:rsidR="00E22C89">
              <w:t xml:space="preserve"> footnotes and</w:t>
            </w:r>
            <w:r w:rsidR="005C6C6B" w:rsidRPr="004B2BE8">
              <w:t xml:space="preserve"> caveats.</w:t>
            </w:r>
          </w:p>
        </w:tc>
      </w:tr>
      <w:tr w:rsidR="008C0DA4" w:rsidRPr="008C0DA4" w:rsidTr="00B451BF">
        <w:trPr>
          <w:cantSplit/>
        </w:trPr>
        <w:tc>
          <w:tcPr>
            <w:tcW w:w="8771" w:type="dxa"/>
            <w:tcBorders>
              <w:top w:val="nil"/>
              <w:left w:val="nil"/>
              <w:bottom w:val="nil"/>
              <w:right w:val="nil"/>
            </w:tcBorders>
            <w:shd w:val="clear" w:color="auto" w:fill="auto"/>
          </w:tcPr>
          <w:p w:rsidR="00B27812" w:rsidRPr="008C0DA4" w:rsidRDefault="00B27812" w:rsidP="00603EE0">
            <w:pPr>
              <w:pStyle w:val="Source"/>
              <w:shd w:val="clear" w:color="auto" w:fill="FFFFFF" w:themeFill="background1"/>
              <w:rPr>
                <w:i/>
              </w:rPr>
            </w:pPr>
            <w:r w:rsidRPr="008C0DA4">
              <w:rPr>
                <w:i/>
              </w:rPr>
              <w:t>Source</w:t>
            </w:r>
            <w:r w:rsidRPr="008C0DA4">
              <w:t>:</w:t>
            </w:r>
            <w:r w:rsidRPr="008C0DA4">
              <w:rPr>
                <w:i/>
              </w:rPr>
              <w:t xml:space="preserve"> </w:t>
            </w:r>
            <w:proofErr w:type="spellStart"/>
            <w:r w:rsidRPr="008C0DA4">
              <w:t>DSS</w:t>
            </w:r>
            <w:proofErr w:type="spellEnd"/>
            <w:r w:rsidRPr="008C0DA4">
              <w:t xml:space="preserve"> (unpublished); tables </w:t>
            </w:r>
            <w:proofErr w:type="spellStart"/>
            <w:r w:rsidRPr="008C0DA4">
              <w:t>13A.3</w:t>
            </w:r>
            <w:proofErr w:type="spellEnd"/>
            <w:r w:rsidR="00F744CB" w:rsidRPr="00733169">
              <w:t>–</w:t>
            </w:r>
            <w:r w:rsidRPr="008C0DA4">
              <w:t xml:space="preserve">4 and </w:t>
            </w:r>
            <w:proofErr w:type="spellStart"/>
            <w:r w:rsidRPr="008C0DA4">
              <w:t>13A.1</w:t>
            </w:r>
            <w:r w:rsidR="00603EE0">
              <w:t>3</w:t>
            </w:r>
            <w:proofErr w:type="spellEnd"/>
            <w:r w:rsidRPr="008C0DA4">
              <w:t>.</w:t>
            </w:r>
          </w:p>
        </w:tc>
      </w:tr>
      <w:tr w:rsidR="008C0DA4" w:rsidRPr="008C0DA4" w:rsidTr="00B451BF">
        <w:trPr>
          <w:cantSplit/>
        </w:trPr>
        <w:tc>
          <w:tcPr>
            <w:tcW w:w="8771" w:type="dxa"/>
            <w:tcBorders>
              <w:top w:val="nil"/>
              <w:left w:val="nil"/>
              <w:bottom w:val="single" w:sz="6" w:space="0" w:color="78A22F" w:themeColor="accent1"/>
              <w:right w:val="nil"/>
            </w:tcBorders>
            <w:shd w:val="clear" w:color="auto" w:fill="auto"/>
          </w:tcPr>
          <w:p w:rsidR="00B27812" w:rsidRPr="008C0DA4" w:rsidRDefault="00B27812" w:rsidP="004B2BE8">
            <w:pPr>
              <w:pStyle w:val="Box"/>
              <w:shd w:val="clear" w:color="auto" w:fill="FFFFFF" w:themeFill="background1"/>
              <w:spacing w:before="0" w:line="120" w:lineRule="exact"/>
            </w:pPr>
          </w:p>
        </w:tc>
      </w:tr>
      <w:tr w:rsidR="00B27812" w:rsidRPr="00070BD9" w:rsidTr="00B451BF">
        <w:tc>
          <w:tcPr>
            <w:tcW w:w="8771" w:type="dxa"/>
            <w:tcBorders>
              <w:top w:val="single" w:sz="6" w:space="0" w:color="78A22F" w:themeColor="accent1"/>
              <w:left w:val="nil"/>
              <w:bottom w:val="nil"/>
              <w:right w:val="nil"/>
            </w:tcBorders>
          </w:tcPr>
          <w:p w:rsidR="00B27812" w:rsidRPr="00070BD9" w:rsidRDefault="00B27812" w:rsidP="004B2BE8">
            <w:pPr>
              <w:pStyle w:val="BoxSpaceBelow"/>
              <w:shd w:val="clear" w:color="auto" w:fill="FFFFFF" w:themeFill="background1"/>
              <w:rPr>
                <w:color w:val="FF0000"/>
              </w:rPr>
            </w:pPr>
          </w:p>
        </w:tc>
      </w:tr>
    </w:tbl>
    <w:p w:rsidR="00FA2792" w:rsidRDefault="00FA2792" w:rsidP="00FA2792">
      <w:pPr>
        <w:pStyle w:val="BodyText"/>
      </w:pPr>
      <w:r w:rsidRPr="009F5492">
        <w:t>During 2014</w:t>
      </w:r>
      <w:r w:rsidR="00E75264">
        <w:noBreakHyphen/>
      </w:r>
      <w:r w:rsidRPr="009F5492">
        <w:t>1</w:t>
      </w:r>
      <w:r>
        <w:t xml:space="preserve">5, the total number of older clients </w:t>
      </w:r>
      <w:r w:rsidR="00603EE0" w:rsidRPr="004C0DFD">
        <w:t>who u</w:t>
      </w:r>
      <w:r w:rsidR="00603EE0">
        <w:t>sed</w:t>
      </w:r>
      <w:r w:rsidR="00603EE0" w:rsidRPr="004C0DFD">
        <w:t xml:space="preserve"> </w:t>
      </w:r>
      <w:r w:rsidR="00603EE0">
        <w:t>HACC and Home Care services</w:t>
      </w:r>
      <w:r w:rsidR="00603EE0" w:rsidRPr="004C0DFD">
        <w:t xml:space="preserve"> per 1000 older people (aged 65 years or over and Aboriginal and Torres Strait Islander Australians aged 50–64 years)</w:t>
      </w:r>
      <w:r w:rsidR="00603EE0">
        <w:t xml:space="preserve"> </w:t>
      </w:r>
      <w:r w:rsidRPr="009F5492">
        <w:t xml:space="preserve">was </w:t>
      </w:r>
      <w:r w:rsidR="00A74908">
        <w:t>2</w:t>
      </w:r>
      <w:r w:rsidR="00A74908" w:rsidRPr="00A74908">
        <w:t>22.6</w:t>
      </w:r>
      <w:r w:rsidR="00A74908" w:rsidRPr="009F5492">
        <w:t xml:space="preserve"> </w:t>
      </w:r>
      <w:r>
        <w:t xml:space="preserve">and </w:t>
      </w:r>
      <w:r w:rsidR="00A74908" w:rsidRPr="00A74908">
        <w:t>23.7</w:t>
      </w:r>
      <w:r w:rsidR="00A74908">
        <w:t xml:space="preserve"> </w:t>
      </w:r>
      <w:r w:rsidRPr="009F5492">
        <w:t>nationally</w:t>
      </w:r>
      <w:r w:rsidRPr="004C0DFD">
        <w:t xml:space="preserve"> </w:t>
      </w:r>
      <w:r>
        <w:t>(</w:t>
      </w:r>
      <w:r w:rsidRPr="004C0DFD">
        <w:t>figure</w:t>
      </w:r>
      <w:r w:rsidR="00E75264">
        <w:t> </w:t>
      </w:r>
      <w:r w:rsidRPr="004C0DFD">
        <w:t>13.</w:t>
      </w:r>
      <w:r w:rsidR="005E70A1">
        <w:t>7</w:t>
      </w:r>
      <w:r>
        <w:t>)</w:t>
      </w:r>
      <w:r w:rsidRPr="004C0DFD">
        <w:t xml:space="preserve">. </w:t>
      </w:r>
      <w:r w:rsidRPr="009F6BBD">
        <w:t>At</w:t>
      </w:r>
      <w:r w:rsidR="00A74908">
        <w:t> </w:t>
      </w:r>
      <w:r w:rsidRPr="009F6BBD">
        <w:t>June</w:t>
      </w:r>
      <w:r>
        <w:t> </w:t>
      </w:r>
      <w:r w:rsidRPr="009F6BBD">
        <w:t xml:space="preserve">2015, the total number of </w:t>
      </w:r>
      <w:r>
        <w:t>Home Care</w:t>
      </w:r>
      <w:r w:rsidRPr="009F6BBD">
        <w:t xml:space="preserve"> operational places available was </w:t>
      </w:r>
      <w:r>
        <w:t>73</w:t>
      </w:r>
      <w:r w:rsidR="00603EE0">
        <w:t> </w:t>
      </w:r>
      <w:r>
        <w:t xml:space="preserve">550 (comprising </w:t>
      </w:r>
      <w:r w:rsidR="00B51B91">
        <w:t>3.1</w:t>
      </w:r>
      <w:r>
        <w:t xml:space="preserve"> per cent at level 1, </w:t>
      </w:r>
      <w:r w:rsidR="00B51B91">
        <w:t>71.8</w:t>
      </w:r>
      <w:r>
        <w:t xml:space="preserve"> per cent at level 2, </w:t>
      </w:r>
      <w:r w:rsidR="00B51B91">
        <w:t>5.2</w:t>
      </w:r>
      <w:r w:rsidRPr="004E1AD3">
        <w:t xml:space="preserve"> per cent at level</w:t>
      </w:r>
      <w:r>
        <w:t xml:space="preserve"> 3 and </w:t>
      </w:r>
      <w:r w:rsidR="00B51B91">
        <w:t>20.0</w:t>
      </w:r>
      <w:r w:rsidR="00CC0995">
        <w:t> </w:t>
      </w:r>
      <w:r w:rsidRPr="004E1AD3">
        <w:t>per cent at level</w:t>
      </w:r>
      <w:r>
        <w:t xml:space="preserve"> 4) </w:t>
      </w:r>
      <w:r w:rsidR="0020370B">
        <w:t>(table 13A.13) and 72</w:t>
      </w:r>
      <w:r w:rsidR="00E75264">
        <w:t> </w:t>
      </w:r>
      <w:r w:rsidR="0020370B">
        <w:t xml:space="preserve">702 if flexible care places are excluded </w:t>
      </w:r>
      <w:r w:rsidR="0020370B">
        <w:lastRenderedPageBreak/>
        <w:t>(DSS unpublished)</w:t>
      </w:r>
      <w:r w:rsidRPr="009F6BBD">
        <w:t>.</w:t>
      </w:r>
      <w:r w:rsidRPr="00E12838">
        <w:rPr>
          <w:color w:val="FF0000"/>
        </w:rPr>
        <w:t xml:space="preserve"> </w:t>
      </w:r>
      <w:r w:rsidRPr="00327932">
        <w:t>Age</w:t>
      </w:r>
      <w:r w:rsidRPr="00327932">
        <w:noBreakHyphen/>
        <w:t>specific usage rates for Home Care at 30 June 2015 are included in table </w:t>
      </w:r>
      <w:proofErr w:type="spellStart"/>
      <w:r w:rsidRPr="00327932">
        <w:t>13A.25</w:t>
      </w:r>
      <w:proofErr w:type="spellEnd"/>
      <w:r w:rsidRPr="00327932">
        <w:t>.</w:t>
      </w:r>
      <w:r w:rsidRPr="004E1AD3">
        <w:rPr>
          <w:color w:val="FF0000"/>
        </w:rPr>
        <w:t xml:space="preserve"> </w:t>
      </w:r>
    </w:p>
    <w:p w:rsidR="00FD5824" w:rsidRPr="00FD5824" w:rsidRDefault="00FD5824" w:rsidP="00FD5824">
      <w:pPr>
        <w:pStyle w:val="BodyText"/>
      </w:pPr>
      <w:r>
        <w:t>Centre</w:t>
      </w:r>
      <w:r w:rsidR="00E75264">
        <w:noBreakHyphen/>
      </w:r>
      <w:r>
        <w:t>based day care, domestic assistance and social support are the HACC service types with the most service hours, representing almost 70.0 per cent of total HACC service hours in 2014</w:t>
      </w:r>
      <w:r w:rsidR="00E75264">
        <w:noBreakHyphen/>
      </w:r>
      <w:r>
        <w:t>15 (table</w:t>
      </w:r>
      <w:r w:rsidR="00E75264">
        <w:t> </w:t>
      </w:r>
      <w:proofErr w:type="spellStart"/>
      <w:r>
        <w:t>13A.</w:t>
      </w:r>
      <w:r w:rsidR="00D832E4">
        <w:t>27</w:t>
      </w:r>
      <w:proofErr w:type="spellEnd"/>
      <w:r>
        <w:t>). Further data on HACC service types, target population and client characteristics are included in tables</w:t>
      </w:r>
      <w:r w:rsidR="00E75264">
        <w:t> </w:t>
      </w:r>
      <w:proofErr w:type="spellStart"/>
      <w:r w:rsidR="00A81B8E">
        <w:t>13A.22</w:t>
      </w:r>
      <w:proofErr w:type="spellEnd"/>
      <w:r w:rsidR="00A81B8E">
        <w:t xml:space="preserve"> and </w:t>
      </w:r>
      <w:proofErr w:type="spellStart"/>
      <w:r>
        <w:t>13A.</w:t>
      </w:r>
      <w:r w:rsidR="00D832E4">
        <w:t>27</w:t>
      </w:r>
      <w:proofErr w:type="spellEnd"/>
      <w:r w:rsidRPr="00FD5824">
        <w:t>‒</w:t>
      </w:r>
      <w:r w:rsidR="00D832E4">
        <w:t>32</w:t>
      </w:r>
      <w:r>
        <w:t>.</w:t>
      </w:r>
    </w:p>
    <w:p w:rsidR="008D00AD" w:rsidRDefault="008D00AD" w:rsidP="004B2BE8">
      <w:pPr>
        <w:pStyle w:val="BoxSpaceAbove"/>
        <w:shd w:val="clear" w:color="auto" w:fill="FFFFFF" w:themeFill="background1"/>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00AD" w:rsidTr="004B2BE8">
        <w:tc>
          <w:tcPr>
            <w:tcW w:w="8771" w:type="dxa"/>
            <w:tcBorders>
              <w:top w:val="single" w:sz="6" w:space="0" w:color="78A22F"/>
              <w:left w:val="nil"/>
              <w:bottom w:val="nil"/>
              <w:right w:val="nil"/>
            </w:tcBorders>
            <w:shd w:val="clear" w:color="auto" w:fill="FFFFFF" w:themeFill="background1"/>
          </w:tcPr>
          <w:p w:rsidR="008D00AD" w:rsidRPr="00176D3F" w:rsidRDefault="008D00AD" w:rsidP="00C52111">
            <w:pPr>
              <w:pStyle w:val="FigureTitle"/>
              <w:shd w:val="clear" w:color="auto" w:fill="FFFFFF" w:themeFill="background1"/>
            </w:pPr>
            <w:r w:rsidRPr="00784A05">
              <w:rPr>
                <w:b w:val="0"/>
              </w:rPr>
              <w:t xml:space="preserve">Figure </w:t>
            </w:r>
            <w:r w:rsidR="00E20DF4">
              <w:rPr>
                <w:b w:val="0"/>
              </w:rPr>
              <w:t>13.</w:t>
            </w:r>
            <w:r w:rsidR="00F132AA">
              <w:rPr>
                <w:b w:val="0"/>
                <w:noProof/>
              </w:rPr>
              <w:t>7</w:t>
            </w:r>
            <w:r>
              <w:tab/>
            </w:r>
            <w:r w:rsidRPr="004C0DFD">
              <w:t xml:space="preserve">Older clients of </w:t>
            </w:r>
            <w:r w:rsidR="00145517">
              <w:t>HACC</w:t>
            </w:r>
            <w:r w:rsidR="00145517" w:rsidRPr="00626C1B">
              <w:t xml:space="preserve"> </w:t>
            </w:r>
            <w:r w:rsidR="00C52111" w:rsidRPr="00626C1B">
              <w:t xml:space="preserve">and home care </w:t>
            </w:r>
            <w:r w:rsidRPr="004C0DFD">
              <w:t>services per 1000 older people, by program, 2014</w:t>
            </w:r>
            <w:r w:rsidRPr="004C0DFD">
              <w:noBreakHyphen/>
              <w:t>15</w:t>
            </w:r>
            <w:r w:rsidR="005C6C6B" w:rsidRPr="004B2BE8">
              <w:rPr>
                <w:rStyle w:val="NoteLabel"/>
                <w:b/>
                <w:szCs w:val="20"/>
              </w:rPr>
              <w:t>a</w:t>
            </w:r>
            <w:r w:rsidR="00E75264">
              <w:t xml:space="preserve"> </w:t>
            </w:r>
          </w:p>
        </w:tc>
      </w:tr>
      <w:tr w:rsidR="008D00AD" w:rsidTr="004B2BE8">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D00AD" w:rsidTr="004B2BE8">
              <w:trPr>
                <w:jc w:val="center"/>
              </w:trPr>
              <w:tc>
                <w:tcPr>
                  <w:tcW w:w="5000" w:type="pct"/>
                  <w:tcBorders>
                    <w:top w:val="nil"/>
                    <w:bottom w:val="nil"/>
                  </w:tcBorders>
                  <w:shd w:val="clear" w:color="auto" w:fill="FFFFFF" w:themeFill="background1"/>
                </w:tcPr>
                <w:p w:rsidR="008D00AD" w:rsidRDefault="00E30882" w:rsidP="004B2BE8">
                  <w:pPr>
                    <w:pStyle w:val="Figure"/>
                    <w:shd w:val="clear" w:color="auto" w:fill="FFFFFF" w:themeFill="background1"/>
                    <w:spacing w:before="60" w:after="60"/>
                    <w:rPr>
                      <w:szCs w:val="24"/>
                    </w:rPr>
                  </w:pPr>
                  <w:r>
                    <w:rPr>
                      <w:noProof/>
                      <w:szCs w:val="24"/>
                    </w:rPr>
                    <w:drawing>
                      <wp:inline distT="0" distB="0" distL="0" distR="0">
                        <wp:extent cx="5210175" cy="2686050"/>
                        <wp:effectExtent l="0" t="0" r="9525" b="0"/>
                        <wp:docPr id="9" name="Picture 9" descr="Figure 13.7 Older clients of HACC and home care services per 1000 older people, by program,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8D00AD" w:rsidRDefault="008D00AD" w:rsidP="004B2BE8">
            <w:pPr>
              <w:pStyle w:val="Figure"/>
              <w:shd w:val="clear" w:color="auto" w:fill="FFFFFF" w:themeFill="background1"/>
              <w:rPr>
                <w:szCs w:val="24"/>
              </w:rPr>
            </w:pPr>
          </w:p>
        </w:tc>
      </w:tr>
      <w:tr w:rsidR="008D00AD" w:rsidRPr="00176D3F" w:rsidTr="004B2BE8">
        <w:tc>
          <w:tcPr>
            <w:tcW w:w="8771" w:type="dxa"/>
            <w:tcBorders>
              <w:top w:val="nil"/>
              <w:left w:val="nil"/>
              <w:bottom w:val="nil"/>
              <w:right w:val="nil"/>
            </w:tcBorders>
            <w:shd w:val="clear" w:color="auto" w:fill="FFFFFF" w:themeFill="background1"/>
          </w:tcPr>
          <w:p w:rsidR="008D00AD" w:rsidRPr="00176D3F" w:rsidRDefault="005C6C6B" w:rsidP="004B2BE8">
            <w:pPr>
              <w:pStyle w:val="Note"/>
              <w:shd w:val="clear" w:color="auto" w:fill="FFFFFF" w:themeFill="background1"/>
              <w:rPr>
                <w:szCs w:val="24"/>
              </w:rPr>
            </w:pPr>
            <w:r>
              <w:rPr>
                <w:rStyle w:val="NoteLabel"/>
              </w:rPr>
              <w:t>a</w:t>
            </w:r>
            <w:r w:rsidRPr="00CB5752" w:rsidDel="001E742F">
              <w:t xml:space="preserve"> </w:t>
            </w:r>
            <w:r w:rsidRPr="00CB5752">
              <w:t>See table</w:t>
            </w:r>
            <w:r w:rsidR="00E75264">
              <w:t> </w:t>
            </w:r>
            <w:proofErr w:type="spellStart"/>
            <w:r w:rsidRPr="00CB5752">
              <w:t>13A.3</w:t>
            </w:r>
            <w:proofErr w:type="spellEnd"/>
            <w:r>
              <w:t xml:space="preserve"> </w:t>
            </w:r>
            <w:r w:rsidR="00D832E4">
              <w:t xml:space="preserve">for </w:t>
            </w:r>
            <w:r w:rsidR="00D832E4" w:rsidRPr="00D832E4">
              <w:t>detailed footnotes and caveats</w:t>
            </w:r>
            <w:r w:rsidRPr="00CB5752">
              <w:t>.</w:t>
            </w:r>
          </w:p>
        </w:tc>
      </w:tr>
      <w:tr w:rsidR="008D00AD" w:rsidRPr="00176D3F" w:rsidTr="004B2BE8">
        <w:tc>
          <w:tcPr>
            <w:tcW w:w="8771" w:type="dxa"/>
            <w:tcBorders>
              <w:top w:val="nil"/>
              <w:left w:val="nil"/>
              <w:bottom w:val="nil"/>
              <w:right w:val="nil"/>
            </w:tcBorders>
            <w:shd w:val="clear" w:color="auto" w:fill="FFFFFF" w:themeFill="background1"/>
          </w:tcPr>
          <w:p w:rsidR="008D00AD" w:rsidRPr="00176D3F" w:rsidRDefault="008D00AD" w:rsidP="004B2BE8">
            <w:pPr>
              <w:pStyle w:val="Source"/>
              <w:shd w:val="clear" w:color="auto" w:fill="FFFFFF" w:themeFill="background1"/>
            </w:pPr>
            <w:r w:rsidRPr="008D00AD">
              <w:rPr>
                <w:i/>
              </w:rPr>
              <w:t>Source</w:t>
            </w:r>
            <w:r w:rsidRPr="008D00AD">
              <w:t>:</w:t>
            </w:r>
            <w:r w:rsidRPr="008D00AD">
              <w:rPr>
                <w:i/>
              </w:rPr>
              <w:t xml:space="preserve"> </w:t>
            </w:r>
            <w:proofErr w:type="spellStart"/>
            <w:r w:rsidRPr="008D00AD">
              <w:t>DSS</w:t>
            </w:r>
            <w:proofErr w:type="spellEnd"/>
            <w:r w:rsidRPr="008D00AD">
              <w:t xml:space="preserve"> (unpublished); table </w:t>
            </w:r>
            <w:proofErr w:type="spellStart"/>
            <w:r w:rsidRPr="008D00AD">
              <w:t>13A.3</w:t>
            </w:r>
            <w:proofErr w:type="spellEnd"/>
            <w:r w:rsidRPr="008D00AD">
              <w:t xml:space="preserve">. </w:t>
            </w:r>
          </w:p>
        </w:tc>
      </w:tr>
      <w:tr w:rsidR="008D00AD" w:rsidTr="004B2BE8">
        <w:tc>
          <w:tcPr>
            <w:tcW w:w="8771" w:type="dxa"/>
            <w:tcBorders>
              <w:top w:val="nil"/>
              <w:left w:val="nil"/>
              <w:bottom w:val="single" w:sz="6" w:space="0" w:color="78A22F"/>
              <w:right w:val="nil"/>
            </w:tcBorders>
            <w:shd w:val="clear" w:color="auto" w:fill="FFFFFF" w:themeFill="background1"/>
          </w:tcPr>
          <w:p w:rsidR="008D00AD" w:rsidRDefault="008D00AD" w:rsidP="004B2BE8">
            <w:pPr>
              <w:pStyle w:val="Figurespace"/>
              <w:shd w:val="clear" w:color="auto" w:fill="FFFFFF" w:themeFill="background1"/>
              <w:rPr>
                <w:szCs w:val="24"/>
              </w:rPr>
            </w:pPr>
          </w:p>
        </w:tc>
      </w:tr>
      <w:tr w:rsidR="008D00AD" w:rsidRPr="000863A5" w:rsidTr="004B2BE8">
        <w:tc>
          <w:tcPr>
            <w:tcW w:w="8771" w:type="dxa"/>
            <w:tcBorders>
              <w:top w:val="single" w:sz="6" w:space="0" w:color="78A22F"/>
              <w:left w:val="nil"/>
              <w:bottom w:val="nil"/>
              <w:right w:val="nil"/>
            </w:tcBorders>
            <w:shd w:val="clear" w:color="auto" w:fill="FFFFFF" w:themeFill="background1"/>
          </w:tcPr>
          <w:p w:rsidR="008D00AD" w:rsidRPr="00626D32" w:rsidRDefault="008D00AD" w:rsidP="004B2BE8">
            <w:pPr>
              <w:pStyle w:val="BoxSpaceBelow"/>
              <w:shd w:val="clear" w:color="auto" w:fill="FFFFFF" w:themeFill="background1"/>
              <w:rPr>
                <w:szCs w:val="24"/>
              </w:rPr>
            </w:pPr>
          </w:p>
        </w:tc>
      </w:tr>
    </w:tbl>
    <w:p w:rsidR="00FD5824" w:rsidRDefault="00D953E5" w:rsidP="004B2BE8">
      <w:pPr>
        <w:pStyle w:val="BodyText"/>
        <w:shd w:val="clear" w:color="auto" w:fill="FFFFFF" w:themeFill="background1"/>
      </w:pPr>
      <w:r>
        <w:t>In 2014</w:t>
      </w:r>
      <w:r w:rsidR="00E75264">
        <w:noBreakHyphen/>
      </w:r>
      <w:r>
        <w:t xml:space="preserve">15, there were </w:t>
      </w:r>
      <w:r w:rsidR="00AA6CEF">
        <w:t>156 087</w:t>
      </w:r>
      <w:r>
        <w:t xml:space="preserve"> </w:t>
      </w:r>
      <w:r w:rsidR="004E1AD3">
        <w:t xml:space="preserve">veterans </w:t>
      </w:r>
      <w:r w:rsidRPr="009F707B">
        <w:t>and war widows/widowers</w:t>
      </w:r>
      <w:r>
        <w:t xml:space="preserve"> (</w:t>
      </w:r>
      <w:r w:rsidRPr="004C0DFD">
        <w:t>who hold a Gold or White Repatriation Health Card</w:t>
      </w:r>
      <w:r>
        <w:t>)</w:t>
      </w:r>
      <w:r w:rsidR="00AA6CEF">
        <w:t xml:space="preserve"> aged 65 years or over</w:t>
      </w:r>
      <w:r w:rsidR="00C06393">
        <w:t xml:space="preserve"> ‘eligible’ for </w:t>
      </w:r>
      <w:proofErr w:type="spellStart"/>
      <w:r w:rsidR="00C06393">
        <w:t>DVA</w:t>
      </w:r>
      <w:proofErr w:type="spellEnd"/>
      <w:r w:rsidR="00C06393">
        <w:t xml:space="preserve"> services</w:t>
      </w:r>
      <w:r w:rsidR="00A23F19">
        <w:t xml:space="preserve"> (table </w:t>
      </w:r>
      <w:proofErr w:type="spellStart"/>
      <w:r w:rsidR="00A23F19">
        <w:t>13A.12</w:t>
      </w:r>
      <w:proofErr w:type="spellEnd"/>
      <w:r w:rsidR="00A23F19">
        <w:t>)</w:t>
      </w:r>
      <w:r>
        <w:t xml:space="preserve">. </w:t>
      </w:r>
      <w:r w:rsidR="00C06393">
        <w:t>However, a</w:t>
      </w:r>
      <w:r>
        <w:t xml:space="preserve">ccess to </w:t>
      </w:r>
      <w:r w:rsidRPr="004C0DFD">
        <w:t xml:space="preserve">VHC </w:t>
      </w:r>
      <w:r>
        <w:t xml:space="preserve">and community nursing services </w:t>
      </w:r>
      <w:r w:rsidRPr="004C0DFD">
        <w:t>is not automatic</w:t>
      </w:r>
      <w:r>
        <w:t xml:space="preserve"> for eligible </w:t>
      </w:r>
      <w:r w:rsidRPr="004C0DFD">
        <w:t>veterans and war widows/widowers, but based on assessed need.</w:t>
      </w:r>
      <w:r w:rsidR="00FD5824">
        <w:t xml:space="preserve"> </w:t>
      </w:r>
      <w:r w:rsidR="00B27812" w:rsidRPr="004C0DFD">
        <w:t xml:space="preserve">VHC </w:t>
      </w:r>
      <w:r w:rsidR="0060005B">
        <w:t>s</w:t>
      </w:r>
      <w:r w:rsidR="0060005B" w:rsidRPr="004C0DFD">
        <w:t xml:space="preserve">ervices </w:t>
      </w:r>
      <w:r w:rsidR="0060005B">
        <w:t xml:space="preserve">are designed </w:t>
      </w:r>
      <w:r w:rsidR="00FD5824">
        <w:t xml:space="preserve">for those with </w:t>
      </w:r>
      <w:r w:rsidR="00B27812" w:rsidRPr="004C0DFD">
        <w:t>low care needs</w:t>
      </w:r>
      <w:r w:rsidR="00FD5824">
        <w:t xml:space="preserve">, such as </w:t>
      </w:r>
      <w:r w:rsidR="004E1AD3">
        <w:t xml:space="preserve">for </w:t>
      </w:r>
      <w:r w:rsidR="00B27812" w:rsidRPr="004C0DFD">
        <w:t>domestic assistance, personal care, home and garden maintenance, and respite care</w:t>
      </w:r>
      <w:r w:rsidR="00FD5824">
        <w:t>; while c</w:t>
      </w:r>
      <w:r w:rsidR="002340B4" w:rsidRPr="004C0DFD">
        <w:t xml:space="preserve">ommunity nursing services </w:t>
      </w:r>
      <w:r w:rsidR="0060005B">
        <w:t xml:space="preserve">are designed </w:t>
      </w:r>
      <w:r w:rsidR="00FD5824" w:rsidRPr="00FD5824">
        <w:t xml:space="preserve">for those with </w:t>
      </w:r>
      <w:r w:rsidR="0001680C" w:rsidRPr="0001680C">
        <w:t>high level personal care needs</w:t>
      </w:r>
      <w:r w:rsidR="00D85A00">
        <w:t xml:space="preserve"> or </w:t>
      </w:r>
      <w:r w:rsidR="0001680C">
        <w:t>disability</w:t>
      </w:r>
      <w:r w:rsidR="00FD5824">
        <w:t>, such as for</w:t>
      </w:r>
      <w:r w:rsidR="004E1AD3">
        <w:t xml:space="preserve"> </w:t>
      </w:r>
      <w:r w:rsidR="002340B4" w:rsidRPr="004C0DFD">
        <w:t>acute/post</w:t>
      </w:r>
      <w:r w:rsidR="002340B4" w:rsidRPr="004C0DFD">
        <w:noBreakHyphen/>
        <w:t xml:space="preserve">acute support and maintenance, medication management and palliative care. </w:t>
      </w:r>
    </w:p>
    <w:p w:rsidR="002340B4" w:rsidRDefault="00B27812" w:rsidP="004B2BE8">
      <w:pPr>
        <w:pStyle w:val="BodyText"/>
        <w:shd w:val="clear" w:color="auto" w:fill="FFFFFF" w:themeFill="background1"/>
      </w:pPr>
      <w:r w:rsidRPr="004C0DFD">
        <w:t xml:space="preserve">There were </w:t>
      </w:r>
      <w:r w:rsidR="00AA6CEF" w:rsidRPr="00AA6CEF">
        <w:t>56</w:t>
      </w:r>
      <w:r w:rsidR="00AA6CEF">
        <w:t> </w:t>
      </w:r>
      <w:r w:rsidR="00AA6CEF" w:rsidRPr="00AA6CEF">
        <w:t>356</w:t>
      </w:r>
      <w:r w:rsidRPr="004C0DFD">
        <w:t xml:space="preserve"> </w:t>
      </w:r>
      <w:r w:rsidR="00FF6F85">
        <w:t xml:space="preserve">older </w:t>
      </w:r>
      <w:r w:rsidR="003446A7">
        <w:t>clients</w:t>
      </w:r>
      <w:r w:rsidRPr="004C0DFD">
        <w:t xml:space="preserve"> </w:t>
      </w:r>
      <w:r w:rsidR="00FF6F85">
        <w:t>(</w:t>
      </w:r>
      <w:r w:rsidR="00FF6F85" w:rsidRPr="00FF6F85">
        <w:t>aged 65 years or over</w:t>
      </w:r>
      <w:r w:rsidR="00FF6F85">
        <w:t>)</w:t>
      </w:r>
      <w:r w:rsidR="00FF6F85" w:rsidRPr="00FF6F85">
        <w:t xml:space="preserve"> </w:t>
      </w:r>
      <w:r w:rsidRPr="004C0DFD">
        <w:t>approved for VHC services in 201</w:t>
      </w:r>
      <w:r w:rsidR="004C0DFD">
        <w:t>4</w:t>
      </w:r>
      <w:r w:rsidRPr="004C0DFD">
        <w:noBreakHyphen/>
        <w:t>1</w:t>
      </w:r>
      <w:r w:rsidR="004C0DFD">
        <w:t>5</w:t>
      </w:r>
      <w:r w:rsidRPr="004C0DFD">
        <w:t xml:space="preserve"> (table </w:t>
      </w:r>
      <w:proofErr w:type="spellStart"/>
      <w:r w:rsidRPr="004C0DFD">
        <w:t>13A.1</w:t>
      </w:r>
      <w:r w:rsidR="003446A7">
        <w:t>1</w:t>
      </w:r>
      <w:proofErr w:type="spellEnd"/>
      <w:r w:rsidRPr="004C0DFD">
        <w:t>)</w:t>
      </w:r>
      <w:r w:rsidR="002340B4">
        <w:t xml:space="preserve"> and</w:t>
      </w:r>
      <w:r w:rsidR="002340B4" w:rsidRPr="004C0DFD">
        <w:t xml:space="preserve"> </w:t>
      </w:r>
      <w:r w:rsidR="00AA6CEF" w:rsidRPr="00AA6CEF">
        <w:t>23</w:t>
      </w:r>
      <w:r w:rsidR="00AA6CEF">
        <w:t> </w:t>
      </w:r>
      <w:r w:rsidR="00AA6CEF" w:rsidRPr="00AA6CEF">
        <w:t>095</w:t>
      </w:r>
      <w:r w:rsidR="00FF6F85">
        <w:t xml:space="preserve"> older </w:t>
      </w:r>
      <w:r w:rsidR="003446A7">
        <w:t xml:space="preserve">clients </w:t>
      </w:r>
      <w:r w:rsidR="002340B4" w:rsidRPr="004C0DFD">
        <w:t xml:space="preserve">received </w:t>
      </w:r>
      <w:r w:rsidR="002340B4" w:rsidRPr="002340B4">
        <w:t xml:space="preserve">community nursing </w:t>
      </w:r>
      <w:r w:rsidR="002340B4">
        <w:t xml:space="preserve">services </w:t>
      </w:r>
      <w:r w:rsidR="002340B4" w:rsidRPr="004C0DFD">
        <w:t>(table </w:t>
      </w:r>
      <w:proofErr w:type="spellStart"/>
      <w:r w:rsidR="002340B4" w:rsidRPr="004C0DFD">
        <w:t>13A.1</w:t>
      </w:r>
      <w:r w:rsidR="003446A7">
        <w:t>1</w:t>
      </w:r>
      <w:proofErr w:type="spellEnd"/>
      <w:r w:rsidR="002340B4" w:rsidRPr="004C0DFD">
        <w:t>)</w:t>
      </w:r>
      <w:r w:rsidR="002340B4">
        <w:t xml:space="preserve">, representing </w:t>
      </w:r>
      <w:r w:rsidR="003446A7">
        <w:t>361.1</w:t>
      </w:r>
      <w:r w:rsidR="002340B4">
        <w:t xml:space="preserve"> and </w:t>
      </w:r>
      <w:r w:rsidR="003446A7">
        <w:t>148.0</w:t>
      </w:r>
      <w:r w:rsidR="002340B4">
        <w:t xml:space="preserve"> </w:t>
      </w:r>
      <w:r w:rsidR="005742FE">
        <w:t xml:space="preserve">per 1000 </w:t>
      </w:r>
      <w:r w:rsidR="00FF6F85">
        <w:t xml:space="preserve">older </w:t>
      </w:r>
      <w:r w:rsidR="005742FE">
        <w:t xml:space="preserve">eligible veterans </w:t>
      </w:r>
      <w:r w:rsidR="002340B4">
        <w:t>respectively (figure</w:t>
      </w:r>
      <w:r w:rsidR="00E75264">
        <w:t> </w:t>
      </w:r>
      <w:r w:rsidR="002340B4">
        <w:t>13.</w:t>
      </w:r>
      <w:r w:rsidR="00457598">
        <w:t>8</w:t>
      </w:r>
      <w:r w:rsidR="002340B4">
        <w:t>).</w:t>
      </w:r>
      <w:r w:rsidR="005742FE">
        <w:t xml:space="preserve"> I</w:t>
      </w:r>
      <w:r w:rsidR="005742FE" w:rsidRPr="004C0DFD">
        <w:t>n 201</w:t>
      </w:r>
      <w:r w:rsidR="005742FE">
        <w:t>4</w:t>
      </w:r>
      <w:r w:rsidR="005742FE" w:rsidRPr="004C0DFD">
        <w:noBreakHyphen/>
        <w:t>1</w:t>
      </w:r>
      <w:r w:rsidR="005742FE">
        <w:t>5,</w:t>
      </w:r>
      <w:r w:rsidR="005742FE" w:rsidRPr="004C0DFD">
        <w:t xml:space="preserve"> </w:t>
      </w:r>
      <w:r w:rsidR="005742FE">
        <w:t>t</w:t>
      </w:r>
      <w:r w:rsidR="005742FE" w:rsidRPr="004C0DFD">
        <w:t xml:space="preserve">he average number of hours provided per year </w:t>
      </w:r>
      <w:r w:rsidR="007359CF">
        <w:t xml:space="preserve">for </w:t>
      </w:r>
      <w:r w:rsidR="005742FE" w:rsidRPr="005742FE">
        <w:t>recipient</w:t>
      </w:r>
      <w:r w:rsidR="005742FE">
        <w:t>s of</w:t>
      </w:r>
      <w:r w:rsidR="005742FE" w:rsidRPr="005742FE">
        <w:t xml:space="preserve"> </w:t>
      </w:r>
      <w:r w:rsidR="005742FE" w:rsidRPr="004C0DFD">
        <w:t xml:space="preserve">VHC services was </w:t>
      </w:r>
      <w:r w:rsidR="003446A7">
        <w:t>5</w:t>
      </w:r>
      <w:r w:rsidR="00EF309D">
        <w:t>4</w:t>
      </w:r>
      <w:r w:rsidR="005742FE" w:rsidRPr="004C0DFD">
        <w:t xml:space="preserve"> nationally </w:t>
      </w:r>
      <w:r w:rsidR="005742FE">
        <w:t>and</w:t>
      </w:r>
      <w:r w:rsidR="005742FE" w:rsidRPr="004C0DFD">
        <w:t xml:space="preserve"> </w:t>
      </w:r>
      <w:r w:rsidR="005742FE">
        <w:t>t</w:t>
      </w:r>
      <w:r w:rsidR="002340B4" w:rsidRPr="004C0DFD">
        <w:t xml:space="preserve">he average number of hours </w:t>
      </w:r>
      <w:r w:rsidR="006F116F" w:rsidRPr="004C0DFD">
        <w:t xml:space="preserve">per 28 day period </w:t>
      </w:r>
      <w:r w:rsidR="007359CF" w:rsidRPr="007359CF">
        <w:t xml:space="preserve">for recipients of </w:t>
      </w:r>
      <w:r w:rsidR="007359CF">
        <w:t>community nursing</w:t>
      </w:r>
      <w:r w:rsidR="007359CF" w:rsidRPr="007359CF">
        <w:t xml:space="preserve"> services</w:t>
      </w:r>
      <w:r w:rsidR="002340B4" w:rsidRPr="004C0DFD">
        <w:t xml:space="preserve"> was </w:t>
      </w:r>
      <w:r w:rsidR="003446A7">
        <w:t>7.</w:t>
      </w:r>
      <w:r w:rsidR="00EF309D">
        <w:t>4</w:t>
      </w:r>
      <w:r w:rsidR="002340B4">
        <w:t xml:space="preserve"> </w:t>
      </w:r>
      <w:r w:rsidR="006F116F" w:rsidRPr="006F116F">
        <w:t xml:space="preserve">nationally </w:t>
      </w:r>
      <w:r w:rsidR="002340B4" w:rsidRPr="004C0DFD">
        <w:t>(table </w:t>
      </w:r>
      <w:proofErr w:type="spellStart"/>
      <w:r w:rsidR="002340B4" w:rsidRPr="004C0DFD">
        <w:t>13A.1</w:t>
      </w:r>
      <w:r w:rsidR="003446A7">
        <w:t>1</w:t>
      </w:r>
      <w:proofErr w:type="spellEnd"/>
      <w:r w:rsidR="002340B4" w:rsidRPr="004C0DFD">
        <w:t>).</w:t>
      </w:r>
    </w:p>
    <w:p w:rsidR="002340B4" w:rsidRDefault="002340B4" w:rsidP="004B2BE8">
      <w:pPr>
        <w:pStyle w:val="BoxSpaceAbove"/>
        <w:shd w:val="clear" w:color="auto" w:fill="FFFFFF" w:themeFill="background1"/>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340B4" w:rsidTr="003053CF">
        <w:tc>
          <w:tcPr>
            <w:tcW w:w="8771" w:type="dxa"/>
            <w:tcBorders>
              <w:top w:val="single" w:sz="6" w:space="0" w:color="78A22F"/>
              <w:left w:val="nil"/>
              <w:bottom w:val="nil"/>
              <w:right w:val="nil"/>
            </w:tcBorders>
            <w:shd w:val="clear" w:color="auto" w:fill="auto"/>
          </w:tcPr>
          <w:p w:rsidR="002340B4" w:rsidRPr="00176D3F" w:rsidRDefault="002340B4" w:rsidP="00457598">
            <w:pPr>
              <w:pStyle w:val="FigureTitle"/>
              <w:shd w:val="clear" w:color="auto" w:fill="FFFFFF" w:themeFill="background1"/>
            </w:pPr>
            <w:r w:rsidRPr="00784A05">
              <w:rPr>
                <w:b w:val="0"/>
              </w:rPr>
              <w:t xml:space="preserve">Figure </w:t>
            </w:r>
            <w:r w:rsidR="00457598">
              <w:rPr>
                <w:b w:val="0"/>
              </w:rPr>
              <w:t>13.</w:t>
            </w:r>
            <w:r w:rsidR="00F132AA">
              <w:rPr>
                <w:b w:val="0"/>
                <w:noProof/>
              </w:rPr>
              <w:t>8</w:t>
            </w:r>
            <w:r>
              <w:tab/>
            </w:r>
            <w:r w:rsidR="00FF5DA7">
              <w:t>C</w:t>
            </w:r>
            <w:r w:rsidR="007359CF" w:rsidRPr="007359CF">
              <w:t xml:space="preserve">lients of </w:t>
            </w:r>
            <w:r w:rsidR="00D953E5" w:rsidRPr="00D953E5">
              <w:t xml:space="preserve">VHC and community nursing </w:t>
            </w:r>
            <w:r w:rsidR="007359CF" w:rsidRPr="007359CF">
              <w:t xml:space="preserve">per 1000 </w:t>
            </w:r>
            <w:r w:rsidR="00B80551">
              <w:t xml:space="preserve">older </w:t>
            </w:r>
            <w:r w:rsidR="007359CF">
              <w:t>eligible veterans, by program, 2014</w:t>
            </w:r>
            <w:r w:rsidR="00E75264">
              <w:noBreakHyphen/>
            </w:r>
            <w:r w:rsidR="007359CF" w:rsidRPr="007359CF">
              <w:t>15</w:t>
            </w:r>
            <w:r w:rsidR="007359CF" w:rsidRPr="007359CF">
              <w:rPr>
                <w:rStyle w:val="NoteLabel"/>
                <w:b/>
                <w:szCs w:val="20"/>
              </w:rPr>
              <w:t>a</w:t>
            </w:r>
            <w:r w:rsidR="007753D2">
              <w:rPr>
                <w:rStyle w:val="NoteLabel"/>
                <w:b/>
                <w:szCs w:val="20"/>
              </w:rPr>
              <w:t xml:space="preserve"> </w:t>
            </w:r>
          </w:p>
        </w:tc>
      </w:tr>
      <w:tr w:rsidR="002340B4" w:rsidTr="003053CF">
        <w:tc>
          <w:tcPr>
            <w:tcW w:w="8771" w:type="dxa"/>
            <w:tcBorders>
              <w:top w:val="nil"/>
              <w:left w:val="nil"/>
              <w:bottom w:val="nil"/>
              <w:right w:val="nil"/>
            </w:tcBorders>
            <w:shd w:val="clear" w:color="auto" w:fill="auto"/>
            <w:tcMar>
              <w:top w:w="28" w:type="dxa"/>
              <w:bottom w:w="28" w:type="dxa"/>
            </w:tcMar>
          </w:tcPr>
          <w:tbl>
            <w:tblPr>
              <w:tblW w:w="867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165"/>
              <w:gridCol w:w="8460"/>
              <w:gridCol w:w="45"/>
            </w:tblGrid>
            <w:tr w:rsidR="002340B4" w:rsidTr="00082F9E">
              <w:trPr>
                <w:gridBefore w:val="1"/>
                <w:wBefore w:w="95" w:type="pct"/>
                <w:jc w:val="center"/>
              </w:trPr>
              <w:tc>
                <w:tcPr>
                  <w:tcW w:w="4905" w:type="pct"/>
                  <w:gridSpan w:val="2"/>
                  <w:tcBorders>
                    <w:top w:val="nil"/>
                    <w:bottom w:val="nil"/>
                  </w:tcBorders>
                </w:tcPr>
                <w:p w:rsidR="002340B4" w:rsidRDefault="00E30882" w:rsidP="004B2BE8">
                  <w:pPr>
                    <w:pStyle w:val="Figure"/>
                    <w:shd w:val="clear" w:color="auto" w:fill="FFFFFF" w:themeFill="background1"/>
                    <w:spacing w:before="60" w:after="60"/>
                  </w:pPr>
                  <w:r>
                    <w:rPr>
                      <w:noProof/>
                    </w:rPr>
                    <w:drawing>
                      <wp:inline distT="0" distB="0" distL="0" distR="0">
                        <wp:extent cx="5238750" cy="2686050"/>
                        <wp:effectExtent l="0" t="0" r="0" b="0"/>
                        <wp:docPr id="10" name="Picture 10" descr="Figure 13.8 Clients of VHC and community nursing per 1000 older eligible veterans, by program,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r w:rsidR="00082F9E" w:rsidRPr="00176D3F" w:rsidTr="004B2BE8">
              <w:tblPrEx>
                <w:tblBorders>
                  <w:top w:val="single" w:sz="6" w:space="0" w:color="78A22F"/>
                  <w:left w:val="single" w:sz="6" w:space="0" w:color="78A22F"/>
                  <w:bottom w:val="single" w:sz="6" w:space="0" w:color="78A22F"/>
                  <w:right w:val="single" w:sz="6" w:space="0" w:color="78A22F"/>
                </w:tblBorders>
                <w:tblCellMar>
                  <w:left w:w="142" w:type="dxa"/>
                  <w:right w:w="142" w:type="dxa"/>
                </w:tblCellMar>
              </w:tblPrEx>
              <w:trPr>
                <w:gridAfter w:val="1"/>
                <w:wAfter w:w="26" w:type="pct"/>
                <w:jc w:val="center"/>
              </w:trPr>
              <w:tc>
                <w:tcPr>
                  <w:tcW w:w="4974" w:type="pct"/>
                  <w:gridSpan w:val="2"/>
                  <w:tcBorders>
                    <w:top w:val="nil"/>
                    <w:left w:val="nil"/>
                    <w:bottom w:val="nil"/>
                    <w:right w:val="nil"/>
                  </w:tcBorders>
                  <w:shd w:val="clear" w:color="auto" w:fill="FFFFFF" w:themeFill="background1"/>
                </w:tcPr>
                <w:p w:rsidR="00082F9E" w:rsidRPr="00176D3F" w:rsidRDefault="00082F9E" w:rsidP="003446A7">
                  <w:pPr>
                    <w:pStyle w:val="Note"/>
                    <w:shd w:val="clear" w:color="auto" w:fill="FFFFFF" w:themeFill="background1"/>
                  </w:pPr>
                  <w:r>
                    <w:rPr>
                      <w:rStyle w:val="NoteLabel"/>
                    </w:rPr>
                    <w:t>a</w:t>
                  </w:r>
                  <w:r w:rsidRPr="004C0DFD">
                    <w:t xml:space="preserve"> </w:t>
                  </w:r>
                  <w:r w:rsidR="00145517" w:rsidRPr="00145517">
                    <w:t>See table</w:t>
                  </w:r>
                  <w:r w:rsidR="00145517">
                    <w:t>s</w:t>
                  </w:r>
                  <w:r w:rsidR="00E75264">
                    <w:t> </w:t>
                  </w:r>
                  <w:proofErr w:type="spellStart"/>
                  <w:r w:rsidR="00145517" w:rsidRPr="00145517">
                    <w:t>13A.</w:t>
                  </w:r>
                  <w:r w:rsidR="00145517">
                    <w:t>1</w:t>
                  </w:r>
                  <w:r w:rsidR="003446A7">
                    <w:t>1</w:t>
                  </w:r>
                  <w:proofErr w:type="spellEnd"/>
                  <w:r w:rsidR="00F744CB" w:rsidRPr="00733169">
                    <w:t>–</w:t>
                  </w:r>
                  <w:r w:rsidR="00145517">
                    <w:t>1</w:t>
                  </w:r>
                  <w:r w:rsidR="003446A7">
                    <w:t>2</w:t>
                  </w:r>
                  <w:r w:rsidR="00145517" w:rsidRPr="00145517">
                    <w:t xml:space="preserve"> </w:t>
                  </w:r>
                  <w:r w:rsidR="00D832E4" w:rsidRPr="00D832E4">
                    <w:t>for detailed footnotes and caveats</w:t>
                  </w:r>
                  <w:r w:rsidR="00145517" w:rsidRPr="00145517">
                    <w:t>.</w:t>
                  </w:r>
                </w:p>
              </w:tc>
            </w:tr>
          </w:tbl>
          <w:p w:rsidR="002340B4" w:rsidRDefault="002340B4" w:rsidP="004B2BE8">
            <w:pPr>
              <w:pStyle w:val="Figure"/>
              <w:shd w:val="clear" w:color="auto" w:fill="FFFFFF" w:themeFill="background1"/>
              <w:rPr>
                <w:szCs w:val="24"/>
              </w:rPr>
            </w:pPr>
          </w:p>
        </w:tc>
      </w:tr>
      <w:tr w:rsidR="002340B4" w:rsidRPr="00176D3F" w:rsidTr="003053CF">
        <w:tc>
          <w:tcPr>
            <w:tcW w:w="8771" w:type="dxa"/>
            <w:tcBorders>
              <w:top w:val="nil"/>
              <w:left w:val="nil"/>
              <w:bottom w:val="nil"/>
              <w:right w:val="nil"/>
            </w:tcBorders>
            <w:shd w:val="clear" w:color="auto" w:fill="auto"/>
          </w:tcPr>
          <w:p w:rsidR="002340B4" w:rsidRPr="00176D3F" w:rsidRDefault="002340B4" w:rsidP="00FF6F85">
            <w:pPr>
              <w:pStyle w:val="Source"/>
              <w:shd w:val="clear" w:color="auto" w:fill="FFFFFF" w:themeFill="background1"/>
              <w:rPr>
                <w:i/>
              </w:rPr>
            </w:pPr>
            <w:r w:rsidRPr="004C0DFD">
              <w:rPr>
                <w:i/>
              </w:rPr>
              <w:t>Source</w:t>
            </w:r>
            <w:r w:rsidRPr="004C0DFD">
              <w:t>:</w:t>
            </w:r>
            <w:r w:rsidRPr="004C0DFD">
              <w:rPr>
                <w:i/>
              </w:rPr>
              <w:t xml:space="preserve"> </w:t>
            </w:r>
            <w:proofErr w:type="spellStart"/>
            <w:r w:rsidRPr="004C0DFD">
              <w:t>DVA</w:t>
            </w:r>
            <w:proofErr w:type="spellEnd"/>
            <w:r w:rsidRPr="004C0DFD">
              <w:t xml:space="preserve"> (unpublished); table</w:t>
            </w:r>
            <w:r w:rsidR="007359CF">
              <w:t>s</w:t>
            </w:r>
            <w:r w:rsidRPr="004C0DFD">
              <w:t> </w:t>
            </w:r>
            <w:proofErr w:type="spellStart"/>
            <w:r w:rsidRPr="004C0DFD">
              <w:t>13A.1</w:t>
            </w:r>
            <w:r w:rsidR="003446A7">
              <w:t>1</w:t>
            </w:r>
            <w:proofErr w:type="spellEnd"/>
            <w:r w:rsidR="00F744CB" w:rsidRPr="00733169">
              <w:t>–</w:t>
            </w:r>
            <w:r w:rsidR="00D953E5">
              <w:t>1</w:t>
            </w:r>
            <w:r w:rsidR="003446A7">
              <w:t>2</w:t>
            </w:r>
            <w:r w:rsidRPr="004C0DFD">
              <w:t>.</w:t>
            </w:r>
            <w:r w:rsidRPr="00176D3F">
              <w:t xml:space="preserve"> </w:t>
            </w:r>
          </w:p>
        </w:tc>
      </w:tr>
      <w:tr w:rsidR="002340B4" w:rsidTr="003053CF">
        <w:tc>
          <w:tcPr>
            <w:tcW w:w="8771" w:type="dxa"/>
            <w:tcBorders>
              <w:top w:val="nil"/>
              <w:left w:val="nil"/>
              <w:bottom w:val="single" w:sz="6" w:space="0" w:color="78A22F"/>
              <w:right w:val="nil"/>
            </w:tcBorders>
            <w:shd w:val="clear" w:color="auto" w:fill="auto"/>
          </w:tcPr>
          <w:p w:rsidR="002340B4" w:rsidRDefault="002340B4" w:rsidP="004B2BE8">
            <w:pPr>
              <w:pStyle w:val="Figurespace"/>
              <w:shd w:val="clear" w:color="auto" w:fill="FFFFFF" w:themeFill="background1"/>
            </w:pPr>
          </w:p>
        </w:tc>
      </w:tr>
      <w:tr w:rsidR="002340B4" w:rsidRPr="000863A5" w:rsidTr="003053CF">
        <w:tc>
          <w:tcPr>
            <w:tcW w:w="8771" w:type="dxa"/>
            <w:tcBorders>
              <w:top w:val="single" w:sz="6" w:space="0" w:color="78A22F"/>
              <w:left w:val="nil"/>
              <w:bottom w:val="nil"/>
              <w:right w:val="nil"/>
            </w:tcBorders>
          </w:tcPr>
          <w:p w:rsidR="002340B4" w:rsidRPr="00626D32" w:rsidRDefault="002340B4" w:rsidP="004B2BE8">
            <w:pPr>
              <w:pStyle w:val="BoxSpaceBelow"/>
              <w:shd w:val="clear" w:color="auto" w:fill="FFFFFF" w:themeFill="background1"/>
              <w:rPr>
                <w:i/>
              </w:rPr>
            </w:pPr>
          </w:p>
        </w:tc>
      </w:tr>
    </w:tbl>
    <w:p w:rsidR="005C5B68" w:rsidRPr="00D167B5" w:rsidRDefault="005C5B68" w:rsidP="005C5B68">
      <w:pPr>
        <w:pStyle w:val="Heading5"/>
      </w:pPr>
      <w:r w:rsidRPr="00D167B5">
        <w:t>Residential and flexible care services</w:t>
      </w:r>
    </w:p>
    <w:p w:rsidR="008C0DA4" w:rsidRPr="00D167B5" w:rsidRDefault="005C5B68" w:rsidP="004B2BE8">
      <w:pPr>
        <w:pStyle w:val="BodyText"/>
        <w:shd w:val="clear" w:color="auto" w:fill="FFFFFF" w:themeFill="background1"/>
      </w:pPr>
      <w:r w:rsidRPr="00D167B5">
        <w:t xml:space="preserve">Residential care services provide permanent care and respite care </w:t>
      </w:r>
      <w:r w:rsidR="009F5492">
        <w:t>(</w:t>
      </w:r>
      <w:r w:rsidRPr="00D167B5">
        <w:t>on a planned or emergency basis</w:t>
      </w:r>
      <w:r w:rsidR="009F5492">
        <w:t>).</w:t>
      </w:r>
      <w:r w:rsidR="00D85A00">
        <w:t xml:space="preserve"> The types of s</w:t>
      </w:r>
      <w:r w:rsidRPr="00D167B5">
        <w:t xml:space="preserve">ervices </w:t>
      </w:r>
      <w:r w:rsidR="00D85A00">
        <w:t xml:space="preserve">provided </w:t>
      </w:r>
      <w:r w:rsidRPr="00D167B5">
        <w:t>depend</w:t>
      </w:r>
      <w:r w:rsidR="006D07BB" w:rsidRPr="00D167B5">
        <w:t xml:space="preserve"> on the needs of the resident. All residents receive services such as accommodation, support services (cleaning, laundry and meals) and personal care services</w:t>
      </w:r>
      <w:r w:rsidR="006F116F" w:rsidRPr="00D167B5">
        <w:t>,</w:t>
      </w:r>
      <w:r w:rsidR="006D07BB" w:rsidRPr="00D167B5">
        <w:t xml:space="preserve"> and </w:t>
      </w:r>
      <w:r w:rsidR="008C0DA4" w:rsidRPr="00D167B5">
        <w:t xml:space="preserve">those </w:t>
      </w:r>
      <w:r w:rsidR="006D07BB" w:rsidRPr="00D167B5">
        <w:t>with greater needs might also receive nursing care, continence aids, basic medical and pharmaceutical supplies and therapy services.</w:t>
      </w:r>
      <w:r w:rsidR="008C0DA4" w:rsidRPr="00D167B5">
        <w:t xml:space="preserve"> </w:t>
      </w:r>
    </w:p>
    <w:p w:rsidR="00640509" w:rsidRPr="00640509" w:rsidRDefault="00D167B5" w:rsidP="003446A7">
      <w:pPr>
        <w:pStyle w:val="BodyText"/>
        <w:widowControl w:val="0"/>
        <w:shd w:val="clear" w:color="auto" w:fill="FFFFFF" w:themeFill="background1"/>
      </w:pPr>
      <w:r w:rsidRPr="00D167B5">
        <w:t>All permanent residential aged care is provided on an ‘ageing in place’ basis. From 1</w:t>
      </w:r>
      <w:r w:rsidR="00983DB1">
        <w:t> </w:t>
      </w:r>
      <w:r w:rsidRPr="00D167B5">
        <w:t>July</w:t>
      </w:r>
      <w:r w:rsidR="00E75264">
        <w:t xml:space="preserve"> </w:t>
      </w:r>
      <w:r w:rsidRPr="00D167B5">
        <w:t xml:space="preserve">2014, new and continuing permanent residents are no longer classified as low/high care recipients, but continue to receive an Aged Care Funding Instrument (ACFI) classification. </w:t>
      </w:r>
      <w:r w:rsidR="00640509">
        <w:t>As r</w:t>
      </w:r>
      <w:r w:rsidR="00640509" w:rsidRPr="00640509">
        <w:t>espite residents receive short</w:t>
      </w:r>
      <w:r w:rsidR="00D85A00">
        <w:noBreakHyphen/>
      </w:r>
      <w:r w:rsidR="00640509" w:rsidRPr="00640509">
        <w:t>term care</w:t>
      </w:r>
      <w:r w:rsidR="00136001">
        <w:t>,</w:t>
      </w:r>
      <w:r w:rsidR="00640509" w:rsidRPr="00640509">
        <w:t xml:space="preserve"> </w:t>
      </w:r>
      <w:r w:rsidR="00640509">
        <w:t>they</w:t>
      </w:r>
      <w:r w:rsidR="00640509" w:rsidRPr="00640509">
        <w:t xml:space="preserve"> not appraised under the ACFI</w:t>
      </w:r>
      <w:r w:rsidR="00640509">
        <w:t xml:space="preserve"> but</w:t>
      </w:r>
      <w:r w:rsidR="00640509" w:rsidRPr="00640509">
        <w:t xml:space="preserve"> </w:t>
      </w:r>
      <w:r w:rsidR="00640509">
        <w:t xml:space="preserve">continue to be </w:t>
      </w:r>
      <w:r w:rsidR="00640509" w:rsidRPr="00640509">
        <w:t xml:space="preserve">classified as high or low care based on their level of ACAT approval. </w:t>
      </w:r>
    </w:p>
    <w:p w:rsidR="008C0DA4" w:rsidRPr="00D167B5" w:rsidRDefault="008C0DA4" w:rsidP="004B2BE8">
      <w:pPr>
        <w:pStyle w:val="BodyText"/>
        <w:shd w:val="clear" w:color="auto" w:fill="FFFFFF" w:themeFill="background1"/>
      </w:pPr>
      <w:r w:rsidRPr="00D167B5">
        <w:t>T</w:t>
      </w:r>
      <w:r w:rsidR="006D07BB" w:rsidRPr="00D167B5">
        <w:t xml:space="preserve">he </w:t>
      </w:r>
      <w:r w:rsidR="00A34B70">
        <w:t xml:space="preserve">ACFI </w:t>
      </w:r>
      <w:r w:rsidR="006D07BB" w:rsidRPr="00D167B5">
        <w:t xml:space="preserve">is used to appraise a </w:t>
      </w:r>
      <w:r w:rsidRPr="00D167B5">
        <w:t xml:space="preserve">permanent </w:t>
      </w:r>
      <w:r w:rsidR="006D07BB" w:rsidRPr="00D167B5">
        <w:t>resident’s needs</w:t>
      </w:r>
      <w:r w:rsidR="00D167B5" w:rsidRPr="00D167B5">
        <w:t>.</w:t>
      </w:r>
      <w:r w:rsidR="00D167B5">
        <w:t xml:space="preserve"> </w:t>
      </w:r>
      <w:r w:rsidRPr="00D167B5">
        <w:t>The ACFI measures each resident’s need for care</w:t>
      </w:r>
      <w:r w:rsidR="0015191D">
        <w:t xml:space="preserve"> or level of dependency</w:t>
      </w:r>
      <w:r w:rsidRPr="00D167B5">
        <w:t xml:space="preserve"> (high, medium, low or nil) in each of three domains: Activities of Daily Living, Behaviours and Complex Health Care. </w:t>
      </w:r>
      <w:r w:rsidR="0015191D" w:rsidRPr="00D167B5">
        <w:t>The Australian Government</w:t>
      </w:r>
      <w:r w:rsidR="00640509">
        <w:t>’s</w:t>
      </w:r>
      <w:r w:rsidR="0015191D" w:rsidRPr="00D167B5">
        <w:t xml:space="preserve"> annual basic subsidy for each occupied place varies according to clients’ level of </w:t>
      </w:r>
      <w:r w:rsidR="0015191D">
        <w:t xml:space="preserve">overall </w:t>
      </w:r>
      <w:r w:rsidR="0015191D" w:rsidRPr="00D167B5">
        <w:t>dependency.</w:t>
      </w:r>
      <w:r w:rsidR="0015191D">
        <w:t xml:space="preserve"> </w:t>
      </w:r>
      <w:r w:rsidR="00D167B5" w:rsidRPr="00D167B5">
        <w:t>There are 64</w:t>
      </w:r>
      <w:r w:rsidR="00D85A00">
        <w:t> </w:t>
      </w:r>
      <w:r w:rsidR="00D167B5" w:rsidRPr="00D167B5">
        <w:t xml:space="preserve">combinations of care needs </w:t>
      </w:r>
      <w:r w:rsidR="0015191D">
        <w:t xml:space="preserve">identified </w:t>
      </w:r>
      <w:r w:rsidR="007753D2">
        <w:t>under</w:t>
      </w:r>
      <w:r w:rsidR="0015191D">
        <w:t xml:space="preserve"> t</w:t>
      </w:r>
      <w:r w:rsidR="00D167B5" w:rsidRPr="00D167B5">
        <w:t xml:space="preserve">he ACFI classification system. </w:t>
      </w:r>
      <w:r w:rsidR="0015191D" w:rsidRPr="00D167B5">
        <w:t>At 30</w:t>
      </w:r>
      <w:r w:rsidR="007753D2">
        <w:t> </w:t>
      </w:r>
      <w:r w:rsidR="0015191D" w:rsidRPr="00D167B5">
        <w:t>June</w:t>
      </w:r>
      <w:r w:rsidR="00E75264">
        <w:t xml:space="preserve"> </w:t>
      </w:r>
      <w:r w:rsidR="0015191D" w:rsidRPr="00D167B5">
        <w:t>201</w:t>
      </w:r>
      <w:r w:rsidR="0015191D">
        <w:t>5</w:t>
      </w:r>
      <w:r w:rsidR="0015191D" w:rsidRPr="00D167B5">
        <w:t>, the average annual subsidy per residential place was $</w:t>
      </w:r>
      <w:r w:rsidR="00136001">
        <w:t>56</w:t>
      </w:r>
      <w:r w:rsidR="00DE7C2E">
        <w:t> </w:t>
      </w:r>
      <w:r w:rsidR="00136001">
        <w:t>084</w:t>
      </w:r>
      <w:r w:rsidR="0015191D" w:rsidRPr="00D167B5">
        <w:t xml:space="preserve"> nationally (table</w:t>
      </w:r>
      <w:r w:rsidR="00FF5DA7">
        <w:t> </w:t>
      </w:r>
      <w:proofErr w:type="spellStart"/>
      <w:r w:rsidR="0015191D" w:rsidRPr="00D167B5">
        <w:t>13A.16</w:t>
      </w:r>
      <w:proofErr w:type="spellEnd"/>
      <w:r w:rsidR="0015191D" w:rsidRPr="00D167B5">
        <w:t>)</w:t>
      </w:r>
      <w:r w:rsidR="0015191D">
        <w:t xml:space="preserve">. </w:t>
      </w:r>
      <w:r w:rsidR="00D167B5" w:rsidRPr="00D167B5">
        <w:t xml:space="preserve">Residents’ care needs may change over time and residents are reappraised using the ACFI as required. </w:t>
      </w:r>
    </w:p>
    <w:p w:rsidR="00082F9E" w:rsidRPr="00C93484" w:rsidRDefault="00640509" w:rsidP="007441E9">
      <w:pPr>
        <w:pStyle w:val="BodyText"/>
        <w:shd w:val="clear" w:color="auto" w:fill="FFFFFF" w:themeFill="background1"/>
      </w:pPr>
      <w:r w:rsidRPr="00640509">
        <w:lastRenderedPageBreak/>
        <w:t>During 2014</w:t>
      </w:r>
      <w:r w:rsidRPr="00640509">
        <w:noBreakHyphen/>
        <w:t xml:space="preserve">15, the number of older clients who </w:t>
      </w:r>
      <w:r w:rsidR="007441E9">
        <w:t>were in</w:t>
      </w:r>
      <w:r w:rsidRPr="00640509">
        <w:t xml:space="preserve"> residential aged care </w:t>
      </w:r>
      <w:r w:rsidR="006A4D09" w:rsidRPr="00640509">
        <w:t xml:space="preserve">nationally </w:t>
      </w:r>
      <w:r w:rsidRPr="00640509">
        <w:t xml:space="preserve">was </w:t>
      </w:r>
      <w:r w:rsidR="0020370B" w:rsidRPr="0020370B">
        <w:t>224</w:t>
      </w:r>
      <w:r w:rsidR="00E75264">
        <w:t> </w:t>
      </w:r>
      <w:r w:rsidR="0020370B" w:rsidRPr="0020370B">
        <w:t>115</w:t>
      </w:r>
      <w:r w:rsidR="0020370B">
        <w:t xml:space="preserve"> </w:t>
      </w:r>
      <w:r w:rsidRPr="00640509">
        <w:t xml:space="preserve">for permanent care and </w:t>
      </w:r>
      <w:r w:rsidR="0020370B" w:rsidRPr="0020370B">
        <w:t>51</w:t>
      </w:r>
      <w:r w:rsidR="00E75264">
        <w:t> </w:t>
      </w:r>
      <w:r w:rsidR="0020370B" w:rsidRPr="0020370B">
        <w:t>411</w:t>
      </w:r>
      <w:r w:rsidR="0020370B">
        <w:t xml:space="preserve"> </w:t>
      </w:r>
      <w:r w:rsidR="00C93484">
        <w:t>for respite care</w:t>
      </w:r>
      <w:r w:rsidR="008016A7">
        <w:t xml:space="preserve">, </w:t>
      </w:r>
      <w:r w:rsidR="00C93484">
        <w:t xml:space="preserve">representing </w:t>
      </w:r>
      <w:r w:rsidR="0020370B" w:rsidRPr="0020370B">
        <w:t>61.4</w:t>
      </w:r>
      <w:r w:rsidR="0020370B" w:rsidRPr="00640509">
        <w:t xml:space="preserve"> </w:t>
      </w:r>
      <w:r w:rsidR="00C93484">
        <w:t xml:space="preserve">and </w:t>
      </w:r>
      <w:r w:rsidR="0020370B" w:rsidRPr="0020370B">
        <w:t>14.1</w:t>
      </w:r>
      <w:r w:rsidR="0020370B">
        <w:t> </w:t>
      </w:r>
      <w:r w:rsidR="00C93484">
        <w:t xml:space="preserve">older clients per 1000 people </w:t>
      </w:r>
      <w:r w:rsidR="00C93484" w:rsidRPr="00C93484">
        <w:t>aged 65 years or over and Aboriginal and Torres Strait Islander Australians aged 50–64 years</w:t>
      </w:r>
      <w:r w:rsidR="00082F9E">
        <w:t xml:space="preserve"> (figure</w:t>
      </w:r>
      <w:r w:rsidR="00E75264">
        <w:t> </w:t>
      </w:r>
      <w:r w:rsidR="00082F9E">
        <w:t>13.</w:t>
      </w:r>
      <w:r w:rsidR="00136001">
        <w:t>9</w:t>
      </w:r>
      <w:r w:rsidR="00082F9E">
        <w:t>)</w:t>
      </w:r>
      <w:r w:rsidRPr="00640509">
        <w:t xml:space="preserve">. </w:t>
      </w:r>
      <w:r w:rsidR="00C93484">
        <w:t xml:space="preserve">At </w:t>
      </w:r>
      <w:r w:rsidR="0069003E">
        <w:t>30 </w:t>
      </w:r>
      <w:r w:rsidR="00C93484">
        <w:t>June</w:t>
      </w:r>
      <w:r w:rsidR="00E75264">
        <w:t xml:space="preserve"> </w:t>
      </w:r>
      <w:r w:rsidR="00C93484">
        <w:t>2015, the total number of residential aged care operational places available</w:t>
      </w:r>
      <w:r w:rsidR="00D85A00">
        <w:t xml:space="preserve"> in mainstream services </w:t>
      </w:r>
      <w:r w:rsidR="00C93484">
        <w:t xml:space="preserve">was </w:t>
      </w:r>
      <w:r w:rsidR="00136001">
        <w:t>192</w:t>
      </w:r>
      <w:r w:rsidR="00E75264">
        <w:t> </w:t>
      </w:r>
      <w:r w:rsidR="00136001">
        <w:t>370</w:t>
      </w:r>
      <w:r w:rsidR="00AE3A3E">
        <w:t xml:space="preserve"> (table</w:t>
      </w:r>
      <w:r w:rsidR="00E75264">
        <w:t> </w:t>
      </w:r>
      <w:proofErr w:type="spellStart"/>
      <w:r w:rsidR="00AE3A3E">
        <w:t>13A.17</w:t>
      </w:r>
      <w:proofErr w:type="spellEnd"/>
      <w:r w:rsidR="00AE3A3E">
        <w:t>)</w:t>
      </w:r>
      <w:r w:rsidR="00153E2A">
        <w:t xml:space="preserve">; </w:t>
      </w:r>
      <w:r w:rsidR="00153E2A" w:rsidRPr="00864C90">
        <w:t>including</w:t>
      </w:r>
      <w:r w:rsidR="00A81B8E" w:rsidRPr="00864C90">
        <w:t xml:space="preserve"> flexible places</w:t>
      </w:r>
      <w:r w:rsidR="002225FC" w:rsidRPr="00864C90">
        <w:t>,</w:t>
      </w:r>
      <w:r w:rsidR="00A81B8E" w:rsidRPr="00864C90">
        <w:t xml:space="preserve"> </w:t>
      </w:r>
      <w:r w:rsidR="00153E2A" w:rsidRPr="00864C90">
        <w:t>it</w:t>
      </w:r>
      <w:r w:rsidR="00A81B8E" w:rsidRPr="00864C90">
        <w:t xml:space="preserve"> was 195</w:t>
      </w:r>
      <w:r w:rsidR="00E75264">
        <w:t> </w:t>
      </w:r>
      <w:r w:rsidR="00A81B8E" w:rsidRPr="00864C90">
        <w:t>953</w:t>
      </w:r>
      <w:r w:rsidR="00A81B8E">
        <w:t xml:space="preserve"> (table</w:t>
      </w:r>
      <w:r w:rsidR="00E75264">
        <w:t> </w:t>
      </w:r>
      <w:r w:rsidR="00A81B8E">
        <w:t>13A.18)</w:t>
      </w:r>
      <w:r w:rsidR="00C93484">
        <w:t xml:space="preserve">. </w:t>
      </w:r>
      <w:r w:rsidR="00082F9E" w:rsidRPr="00C93484">
        <w:t>Age</w:t>
      </w:r>
      <w:r w:rsidR="00082F9E" w:rsidRPr="00C93484">
        <w:noBreakHyphen/>
        <w:t>specific usage rates for permanent residential aged care, by jurisdiction, at 30 </w:t>
      </w:r>
      <w:r w:rsidR="007441E9">
        <w:t>June</w:t>
      </w:r>
      <w:r w:rsidR="00E75264">
        <w:t xml:space="preserve"> </w:t>
      </w:r>
      <w:r w:rsidR="007441E9">
        <w:t>201</w:t>
      </w:r>
      <w:r w:rsidR="00AE3A3E">
        <w:t>5</w:t>
      </w:r>
      <w:r w:rsidR="007441E9">
        <w:t xml:space="preserve"> are included in table</w:t>
      </w:r>
      <w:r w:rsidR="00082F9E" w:rsidRPr="00C93484">
        <w:t> </w:t>
      </w:r>
      <w:proofErr w:type="spellStart"/>
      <w:r w:rsidR="00082F9E" w:rsidRPr="00C93484">
        <w:t>13A.2</w:t>
      </w:r>
      <w:r w:rsidR="00AE3A3E">
        <w:t>5</w:t>
      </w:r>
      <w:proofErr w:type="spellEnd"/>
      <w:r w:rsidR="00082F9E" w:rsidRPr="00C93484">
        <w:t xml:space="preserve">. </w:t>
      </w:r>
    </w:p>
    <w:p w:rsidR="00B80551" w:rsidRDefault="00B80551" w:rsidP="004B2BE8">
      <w:pPr>
        <w:pStyle w:val="BoxSpaceAbove"/>
        <w:shd w:val="clear" w:color="auto" w:fill="FFFFFF" w:themeFill="background1"/>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0551" w:rsidTr="004B2BE8">
        <w:tc>
          <w:tcPr>
            <w:tcW w:w="8771" w:type="dxa"/>
            <w:tcBorders>
              <w:top w:val="single" w:sz="6" w:space="0" w:color="78A22F"/>
              <w:left w:val="nil"/>
              <w:bottom w:val="nil"/>
              <w:right w:val="nil"/>
            </w:tcBorders>
            <w:shd w:val="clear" w:color="auto" w:fill="FFFFFF" w:themeFill="background1"/>
          </w:tcPr>
          <w:p w:rsidR="00B80551" w:rsidRPr="00176D3F" w:rsidRDefault="00B80551" w:rsidP="004B2BE8">
            <w:pPr>
              <w:pStyle w:val="FigureTitle"/>
              <w:shd w:val="clear" w:color="auto" w:fill="FFFFFF" w:themeFill="background1"/>
            </w:pPr>
            <w:r w:rsidRPr="00784A05">
              <w:rPr>
                <w:b w:val="0"/>
              </w:rPr>
              <w:t xml:space="preserve">Figure </w:t>
            </w:r>
            <w:r w:rsidR="00940519">
              <w:rPr>
                <w:b w:val="0"/>
              </w:rPr>
              <w:t>13.</w:t>
            </w:r>
            <w:r w:rsidR="00F132AA">
              <w:rPr>
                <w:b w:val="0"/>
                <w:noProof/>
              </w:rPr>
              <w:t>9</w:t>
            </w:r>
            <w:r>
              <w:tab/>
              <w:t>O</w:t>
            </w:r>
            <w:r w:rsidRPr="00B80551">
              <w:t xml:space="preserve">lder </w:t>
            </w:r>
            <w:r>
              <w:t xml:space="preserve">permanent and respite residential aged care </w:t>
            </w:r>
            <w:r w:rsidR="00082F9E">
              <w:t>clients</w:t>
            </w:r>
            <w:r>
              <w:t xml:space="preserve"> per 1000 older people</w:t>
            </w:r>
            <w:r w:rsidR="00082F9E">
              <w:t>, 2014</w:t>
            </w:r>
            <w:r w:rsidR="00E75264">
              <w:noBreakHyphen/>
            </w:r>
            <w:r w:rsidR="00082F9E">
              <w:t>15</w:t>
            </w:r>
            <w:r w:rsidR="00EC179A" w:rsidRPr="004B2BE8">
              <w:rPr>
                <w:rStyle w:val="NoteLabel"/>
                <w:b/>
                <w:szCs w:val="20"/>
              </w:rPr>
              <w:t>a</w:t>
            </w:r>
          </w:p>
        </w:tc>
      </w:tr>
      <w:tr w:rsidR="00B80551" w:rsidTr="004B2BE8">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80551" w:rsidTr="003053CF">
              <w:trPr>
                <w:jc w:val="center"/>
              </w:trPr>
              <w:tc>
                <w:tcPr>
                  <w:tcW w:w="5000" w:type="pct"/>
                  <w:tcBorders>
                    <w:top w:val="nil"/>
                    <w:bottom w:val="nil"/>
                  </w:tcBorders>
                </w:tcPr>
                <w:p w:rsidR="00B80551" w:rsidRDefault="00E30882" w:rsidP="004B2BE8">
                  <w:pPr>
                    <w:pStyle w:val="Figure"/>
                    <w:shd w:val="clear" w:color="auto" w:fill="FFFFFF" w:themeFill="background1"/>
                    <w:spacing w:before="60" w:after="60"/>
                    <w:rPr>
                      <w:szCs w:val="24"/>
                    </w:rPr>
                  </w:pPr>
                  <w:r>
                    <w:rPr>
                      <w:noProof/>
                      <w:szCs w:val="24"/>
                    </w:rPr>
                    <w:drawing>
                      <wp:inline distT="0" distB="0" distL="0" distR="0">
                        <wp:extent cx="5238750" cy="2686050"/>
                        <wp:effectExtent l="0" t="0" r="0" b="0"/>
                        <wp:docPr id="11" name="Picture 11" descr="Figure 13.9 Older permanent and respite residential aged care clients per 1000 older peopl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B80551" w:rsidRDefault="00B80551" w:rsidP="004B2BE8">
            <w:pPr>
              <w:pStyle w:val="Figure"/>
              <w:shd w:val="clear" w:color="auto" w:fill="FFFFFF" w:themeFill="background1"/>
            </w:pPr>
          </w:p>
        </w:tc>
      </w:tr>
      <w:tr w:rsidR="00B80551" w:rsidRPr="00176D3F" w:rsidTr="004B2BE8">
        <w:tc>
          <w:tcPr>
            <w:tcW w:w="8771" w:type="dxa"/>
            <w:tcBorders>
              <w:top w:val="nil"/>
              <w:left w:val="nil"/>
              <w:bottom w:val="nil"/>
              <w:right w:val="nil"/>
            </w:tcBorders>
            <w:shd w:val="clear" w:color="auto" w:fill="FFFFFF" w:themeFill="background1"/>
          </w:tcPr>
          <w:p w:rsidR="00B80551" w:rsidRPr="00176D3F" w:rsidRDefault="00D953E5" w:rsidP="004B2BE8">
            <w:pPr>
              <w:pStyle w:val="Note"/>
              <w:shd w:val="clear" w:color="auto" w:fill="FFFFFF" w:themeFill="background1"/>
              <w:rPr>
                <w:szCs w:val="24"/>
              </w:rPr>
            </w:pPr>
            <w:r w:rsidRPr="00D953E5">
              <w:rPr>
                <w:rStyle w:val="NoteLabel"/>
              </w:rPr>
              <w:t xml:space="preserve">a </w:t>
            </w:r>
            <w:r w:rsidR="00EC179A">
              <w:t>See table</w:t>
            </w:r>
            <w:r w:rsidR="00E75264">
              <w:t> </w:t>
            </w:r>
            <w:proofErr w:type="spellStart"/>
            <w:r w:rsidRPr="004B2BE8">
              <w:t>13A.</w:t>
            </w:r>
            <w:r>
              <w:t>3</w:t>
            </w:r>
            <w:proofErr w:type="spellEnd"/>
            <w:r w:rsidRPr="004B2BE8">
              <w:t xml:space="preserve"> for detailed </w:t>
            </w:r>
            <w:r w:rsidR="00FF6F85">
              <w:t xml:space="preserve">footnotes and </w:t>
            </w:r>
            <w:r w:rsidRPr="004B2BE8">
              <w:t>caveats.</w:t>
            </w:r>
          </w:p>
        </w:tc>
      </w:tr>
      <w:tr w:rsidR="00B80551" w:rsidRPr="00176D3F" w:rsidTr="004B2BE8">
        <w:tc>
          <w:tcPr>
            <w:tcW w:w="8771" w:type="dxa"/>
            <w:tcBorders>
              <w:top w:val="nil"/>
              <w:left w:val="nil"/>
              <w:bottom w:val="nil"/>
              <w:right w:val="nil"/>
            </w:tcBorders>
            <w:shd w:val="clear" w:color="auto" w:fill="FFFFFF" w:themeFill="background1"/>
          </w:tcPr>
          <w:p w:rsidR="00B80551" w:rsidRPr="00176D3F" w:rsidRDefault="00082F9E" w:rsidP="004B2BE8">
            <w:pPr>
              <w:pStyle w:val="Source"/>
              <w:shd w:val="clear" w:color="auto" w:fill="FFFFFF" w:themeFill="background1"/>
            </w:pPr>
            <w:r w:rsidRPr="008D00AD">
              <w:rPr>
                <w:i/>
              </w:rPr>
              <w:t>Source</w:t>
            </w:r>
            <w:r w:rsidRPr="008D00AD">
              <w:t>:</w:t>
            </w:r>
            <w:r w:rsidRPr="008D00AD">
              <w:rPr>
                <w:i/>
              </w:rPr>
              <w:t xml:space="preserve"> </w:t>
            </w:r>
            <w:proofErr w:type="spellStart"/>
            <w:r w:rsidRPr="008D00AD">
              <w:t>DSS</w:t>
            </w:r>
            <w:proofErr w:type="spellEnd"/>
            <w:r w:rsidRPr="008D00AD">
              <w:t xml:space="preserve"> (unpublished); table </w:t>
            </w:r>
            <w:proofErr w:type="spellStart"/>
            <w:r w:rsidRPr="008D00AD">
              <w:t>13A.3</w:t>
            </w:r>
            <w:proofErr w:type="spellEnd"/>
            <w:r w:rsidRPr="008D00AD">
              <w:t>.</w:t>
            </w:r>
          </w:p>
        </w:tc>
      </w:tr>
      <w:tr w:rsidR="00B80551" w:rsidTr="004B2BE8">
        <w:tc>
          <w:tcPr>
            <w:tcW w:w="8771" w:type="dxa"/>
            <w:tcBorders>
              <w:top w:val="nil"/>
              <w:left w:val="nil"/>
              <w:bottom w:val="single" w:sz="6" w:space="0" w:color="78A22F"/>
              <w:right w:val="nil"/>
            </w:tcBorders>
            <w:shd w:val="clear" w:color="auto" w:fill="FFFFFF" w:themeFill="background1"/>
          </w:tcPr>
          <w:p w:rsidR="00B80551" w:rsidRDefault="00B80551" w:rsidP="004B2BE8">
            <w:pPr>
              <w:pStyle w:val="Figurespace"/>
              <w:shd w:val="clear" w:color="auto" w:fill="FFFFFF" w:themeFill="background1"/>
              <w:rPr>
                <w:szCs w:val="24"/>
              </w:rPr>
            </w:pPr>
          </w:p>
        </w:tc>
      </w:tr>
      <w:tr w:rsidR="00B80551" w:rsidRPr="000863A5" w:rsidTr="004B2BE8">
        <w:tc>
          <w:tcPr>
            <w:tcW w:w="8771" w:type="dxa"/>
            <w:tcBorders>
              <w:top w:val="single" w:sz="6" w:space="0" w:color="78A22F"/>
              <w:left w:val="nil"/>
              <w:bottom w:val="nil"/>
              <w:right w:val="nil"/>
            </w:tcBorders>
            <w:shd w:val="clear" w:color="auto" w:fill="FFFFFF" w:themeFill="background1"/>
          </w:tcPr>
          <w:p w:rsidR="00B80551" w:rsidRPr="00626D32" w:rsidRDefault="00B80551" w:rsidP="004B2BE8">
            <w:pPr>
              <w:pStyle w:val="BoxSpaceBelow"/>
              <w:shd w:val="clear" w:color="auto" w:fill="FFFFFF" w:themeFill="background1"/>
              <w:rPr>
                <w:szCs w:val="24"/>
              </w:rPr>
            </w:pPr>
          </w:p>
        </w:tc>
      </w:tr>
    </w:tbl>
    <w:p w:rsidR="004116F7" w:rsidRDefault="008016A7" w:rsidP="00457598">
      <w:pPr>
        <w:pStyle w:val="BodyText"/>
        <w:shd w:val="clear" w:color="auto" w:fill="FFFFFF" w:themeFill="background1"/>
      </w:pPr>
      <w:r w:rsidRPr="008016A7">
        <w:t xml:space="preserve">Flexible care services </w:t>
      </w:r>
      <w:r>
        <w:t xml:space="preserve">address the needs of care recipients in ways other than that provided through mainstream residential </w:t>
      </w:r>
      <w:r w:rsidR="00626C1B">
        <w:t xml:space="preserve">and home </w:t>
      </w:r>
      <w:r>
        <w:t xml:space="preserve">care. </w:t>
      </w:r>
    </w:p>
    <w:p w:rsidR="004116F7" w:rsidRDefault="005E70A1" w:rsidP="004116F7">
      <w:pPr>
        <w:pStyle w:val="ListBullet"/>
        <w:shd w:val="clear" w:color="auto" w:fill="FFFFFF" w:themeFill="background1"/>
      </w:pPr>
      <w:r>
        <w:t>Transition Care</w:t>
      </w:r>
      <w:r w:rsidR="008016A7" w:rsidRPr="008016A7">
        <w:t xml:space="preserve"> assist</w:t>
      </w:r>
      <w:r w:rsidR="007753D2">
        <w:t>s</w:t>
      </w:r>
      <w:r w:rsidR="008016A7" w:rsidRPr="008016A7">
        <w:t xml:space="preserve"> older people in regaining physical and psychosocial functioning followi</w:t>
      </w:r>
      <w:r w:rsidR="00457598">
        <w:t xml:space="preserve">ng an episode of inpatient care </w:t>
      </w:r>
      <w:r w:rsidR="008016A7" w:rsidRPr="008016A7">
        <w:t>to maximise independence and to help avoid premature entry to residential aged care.</w:t>
      </w:r>
      <w:r w:rsidR="008016A7">
        <w:t xml:space="preserve"> During 2014</w:t>
      </w:r>
      <w:r w:rsidR="00E75264">
        <w:noBreakHyphen/>
      </w:r>
      <w:r w:rsidR="008016A7">
        <w:t xml:space="preserve">15, there were </w:t>
      </w:r>
      <w:r w:rsidR="0020370B" w:rsidRPr="0020370B">
        <w:t>24 009</w:t>
      </w:r>
      <w:r w:rsidR="008016A7">
        <w:t xml:space="preserve"> clients of Transition Care</w:t>
      </w:r>
      <w:r w:rsidR="00C93484">
        <w:t xml:space="preserve"> </w:t>
      </w:r>
      <w:r w:rsidR="00457598">
        <w:t>(table</w:t>
      </w:r>
      <w:r w:rsidR="00E75264">
        <w:t> </w:t>
      </w:r>
      <w:proofErr w:type="spellStart"/>
      <w:r w:rsidR="00457598">
        <w:t>13A.3</w:t>
      </w:r>
      <w:proofErr w:type="spellEnd"/>
      <w:r w:rsidR="00457598">
        <w:t xml:space="preserve">) </w:t>
      </w:r>
      <w:r w:rsidR="00C93484">
        <w:t>across</w:t>
      </w:r>
      <w:r w:rsidR="008016A7">
        <w:t xml:space="preserve"> the 4000 operational places</w:t>
      </w:r>
      <w:r w:rsidR="005513A9">
        <w:t xml:space="preserve"> (table</w:t>
      </w:r>
      <w:r w:rsidR="00E75264">
        <w:t> </w:t>
      </w:r>
      <w:proofErr w:type="spellStart"/>
      <w:r w:rsidR="005513A9">
        <w:t>13A.59</w:t>
      </w:r>
      <w:proofErr w:type="spellEnd"/>
      <w:r w:rsidR="005513A9">
        <w:t>)</w:t>
      </w:r>
      <w:r w:rsidR="00DF277B">
        <w:t>, for which t</w:t>
      </w:r>
      <w:r w:rsidR="008016A7" w:rsidRPr="008016A7">
        <w:t>he average length of stay in 201</w:t>
      </w:r>
      <w:r w:rsidR="008016A7">
        <w:t>4</w:t>
      </w:r>
      <w:r w:rsidR="00E75264">
        <w:noBreakHyphen/>
      </w:r>
      <w:r w:rsidR="008016A7" w:rsidRPr="008016A7">
        <w:t>1</w:t>
      </w:r>
      <w:r w:rsidR="008016A7">
        <w:t>5</w:t>
      </w:r>
      <w:r w:rsidR="008016A7" w:rsidRPr="008016A7">
        <w:t xml:space="preserve"> was </w:t>
      </w:r>
      <w:r w:rsidR="005513A9">
        <w:t>60</w:t>
      </w:r>
      <w:r w:rsidR="008016A7" w:rsidRPr="008016A7">
        <w:t xml:space="preserve"> days (</w:t>
      </w:r>
      <w:r w:rsidR="005513A9">
        <w:t>8.5</w:t>
      </w:r>
      <w:r w:rsidR="008016A7" w:rsidRPr="008016A7">
        <w:t xml:space="preserve"> weeks) (table</w:t>
      </w:r>
      <w:r w:rsidR="00457598">
        <w:t> </w:t>
      </w:r>
      <w:proofErr w:type="spellStart"/>
      <w:r w:rsidR="008016A7" w:rsidRPr="008016A7">
        <w:t>13A.</w:t>
      </w:r>
      <w:r w:rsidR="00AE3A3E">
        <w:t>59</w:t>
      </w:r>
      <w:proofErr w:type="spellEnd"/>
      <w:r w:rsidR="008016A7" w:rsidRPr="008016A7">
        <w:t>).</w:t>
      </w:r>
      <w:r w:rsidR="00457598">
        <w:t xml:space="preserve"> </w:t>
      </w:r>
    </w:p>
    <w:p w:rsidR="008016A7" w:rsidRPr="00640509" w:rsidRDefault="008016A7" w:rsidP="00F05615">
      <w:pPr>
        <w:pStyle w:val="ListBullet"/>
      </w:pPr>
      <w:r>
        <w:t xml:space="preserve">The MPS </w:t>
      </w:r>
      <w:r w:rsidR="00760D08">
        <w:t xml:space="preserve">program </w:t>
      </w:r>
      <w:r w:rsidRPr="008016A7">
        <w:t>deliver</w:t>
      </w:r>
      <w:r w:rsidR="00B0495A">
        <w:t>s</w:t>
      </w:r>
      <w:r w:rsidRPr="008016A7">
        <w:t xml:space="preserve"> flexible and integrated health and aged care services to small rural and remote communities</w:t>
      </w:r>
      <w:r w:rsidR="00C93484">
        <w:t xml:space="preserve"> as</w:t>
      </w:r>
      <w:r w:rsidRPr="008016A7">
        <w:t xml:space="preserve"> </w:t>
      </w:r>
      <w:r w:rsidR="00C93484">
        <w:t>s</w:t>
      </w:r>
      <w:r w:rsidRPr="008016A7">
        <w:t>ome health, aged and community care services may not be viable in a small community if provided separately</w:t>
      </w:r>
      <w:r w:rsidR="00C93484">
        <w:t>. In 2014</w:t>
      </w:r>
      <w:r w:rsidR="00E75264">
        <w:noBreakHyphen/>
      </w:r>
      <w:r w:rsidR="00C93484">
        <w:t>15, t</w:t>
      </w:r>
      <w:r w:rsidR="00C93484" w:rsidRPr="00C93484">
        <w:t xml:space="preserve">here </w:t>
      </w:r>
      <w:r w:rsidR="00C93484">
        <w:t xml:space="preserve">was a </w:t>
      </w:r>
      <w:r w:rsidR="00C93484" w:rsidRPr="00C93484">
        <w:t xml:space="preserve">total of </w:t>
      </w:r>
      <w:r w:rsidR="00F05615" w:rsidRPr="00F05615">
        <w:t>3545</w:t>
      </w:r>
      <w:r w:rsidR="00C93484" w:rsidRPr="00C93484">
        <w:t xml:space="preserve"> </w:t>
      </w:r>
      <w:r w:rsidR="00C93484" w:rsidRPr="00864C90">
        <w:t xml:space="preserve">operational </w:t>
      </w:r>
      <w:r w:rsidR="00AC11D4" w:rsidRPr="00864C90">
        <w:t>MPS program</w:t>
      </w:r>
      <w:r w:rsidR="00C93484" w:rsidRPr="00864C90">
        <w:t xml:space="preserve"> places</w:t>
      </w:r>
      <w:r w:rsidR="00C93484" w:rsidRPr="00C93484">
        <w:t xml:space="preserve"> (includes residential and </w:t>
      </w:r>
      <w:r w:rsidR="00626C1B">
        <w:t>home care</w:t>
      </w:r>
      <w:r w:rsidR="00AB7CF7" w:rsidRPr="00AB7CF7">
        <w:t xml:space="preserve"> </w:t>
      </w:r>
      <w:r w:rsidR="00C93484" w:rsidRPr="00C93484">
        <w:t>places)</w:t>
      </w:r>
      <w:r w:rsidR="00F05615">
        <w:t>.</w:t>
      </w:r>
    </w:p>
    <w:p w:rsidR="008016A7" w:rsidRDefault="00AB7CF7" w:rsidP="004B2BE8">
      <w:pPr>
        <w:pStyle w:val="ListBullet"/>
        <w:shd w:val="clear" w:color="auto" w:fill="FFFFFF" w:themeFill="background1"/>
      </w:pPr>
      <w:r>
        <w:lastRenderedPageBreak/>
        <w:t xml:space="preserve">The </w:t>
      </w:r>
      <w:r w:rsidRPr="00AB7CF7">
        <w:t xml:space="preserve">National Aboriginal and Torres Strait Islander Flexible Aged Care Program </w:t>
      </w:r>
      <w:r>
        <w:t>provides</w:t>
      </w:r>
      <w:r w:rsidRPr="00AB7CF7">
        <w:t xml:space="preserve"> culturally appropriate aged care to older Aboriginal and Torres Strait Islander people close to home and </w:t>
      </w:r>
      <w:r w:rsidR="00B0495A">
        <w:t xml:space="preserve">their </w:t>
      </w:r>
      <w:r w:rsidRPr="00AB7CF7">
        <w:t>communit</w:t>
      </w:r>
      <w:r w:rsidR="00B0495A">
        <w:t>ies</w:t>
      </w:r>
      <w:r w:rsidR="007753D2">
        <w:t xml:space="preserve"> and</w:t>
      </w:r>
      <w:r w:rsidRPr="00AB7CF7">
        <w:t xml:space="preserve"> </w:t>
      </w:r>
      <w:r w:rsidR="007753D2">
        <w:t>delivers</w:t>
      </w:r>
      <w:r w:rsidRPr="00AB7CF7">
        <w:t xml:space="preserve"> a mix of residential and </w:t>
      </w:r>
      <w:r w:rsidR="007753D2">
        <w:br/>
      </w:r>
      <w:r w:rsidR="00626C1B">
        <w:t>home care</w:t>
      </w:r>
      <w:r w:rsidRPr="00AB7CF7">
        <w:t xml:space="preserve"> services. Services funded under this Program operate outside the regulatory framework of the </w:t>
      </w:r>
      <w:r w:rsidRPr="00AB7CF7">
        <w:rPr>
          <w:i/>
        </w:rPr>
        <w:t>Aged Care Act 1997</w:t>
      </w:r>
      <w:r w:rsidRPr="00AB7CF7">
        <w:t>.</w:t>
      </w:r>
      <w:r>
        <w:t xml:space="preserve"> </w:t>
      </w:r>
      <w:r w:rsidRPr="00AB7CF7">
        <w:t>At 30</w:t>
      </w:r>
      <w:r w:rsidR="00E75264">
        <w:t> </w:t>
      </w:r>
      <w:r w:rsidRPr="00AB7CF7">
        <w:t>June 201</w:t>
      </w:r>
      <w:r w:rsidR="007753D2">
        <w:t>5</w:t>
      </w:r>
      <w:r w:rsidRPr="00AB7CF7">
        <w:t xml:space="preserve">, there were </w:t>
      </w:r>
      <w:r w:rsidR="00F05615" w:rsidRPr="00864C90">
        <w:t>802</w:t>
      </w:r>
      <w:r w:rsidRPr="00864C90">
        <w:t xml:space="preserve"> </w:t>
      </w:r>
      <w:r w:rsidR="00AC11D4" w:rsidRPr="00864C90">
        <w:t>operational</w:t>
      </w:r>
      <w:r w:rsidR="00AC11D4">
        <w:t xml:space="preserve"> </w:t>
      </w:r>
      <w:r w:rsidRPr="00AB7CF7">
        <w:t xml:space="preserve">flexible aged care places under </w:t>
      </w:r>
      <w:r>
        <w:t>this program</w:t>
      </w:r>
      <w:r w:rsidRPr="00AB7CF7">
        <w:t xml:space="preserve"> (DSS unpublished)</w:t>
      </w:r>
      <w:r w:rsidRPr="00021E8C">
        <w:rPr>
          <w:sz w:val="18"/>
          <w:szCs w:val="18"/>
        </w:rPr>
        <w:t>.</w:t>
      </w:r>
      <w:r w:rsidRPr="00AB7CF7">
        <w:t xml:space="preserve"> </w:t>
      </w:r>
    </w:p>
    <w:p w:rsidR="005171D3" w:rsidRDefault="005171D3" w:rsidP="00021E8C">
      <w:pPr>
        <w:pStyle w:val="Heading3"/>
        <w:keepNext w:val="0"/>
        <w:widowControl w:val="0"/>
        <w:spacing w:before="360"/>
      </w:pPr>
      <w:r>
        <w:t>Case study</w:t>
      </w:r>
    </w:p>
    <w:p w:rsidR="00760D08" w:rsidRDefault="00760D08" w:rsidP="00760D08">
      <w:pPr>
        <w:pStyle w:val="BodyText"/>
      </w:pPr>
      <w:r>
        <w:t>Box 1</w:t>
      </w:r>
      <w:r w:rsidR="005513A9">
        <w:t>3</w:t>
      </w:r>
      <w:r>
        <w:t>.1 contains a case study on</w:t>
      </w:r>
      <w:r w:rsidR="005513A9">
        <w:t xml:space="preserve"> </w:t>
      </w:r>
      <w:r w:rsidR="005513A9" w:rsidRPr="005513A9">
        <w:t>RAS and reablement in the WA HACC program</w:t>
      </w:r>
      <w:r>
        <w:t xml:space="preserve">. </w:t>
      </w:r>
    </w:p>
    <w:p w:rsidR="004116F7" w:rsidRDefault="004116F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6F7" w:rsidTr="00760D08">
        <w:tc>
          <w:tcPr>
            <w:tcW w:w="8771" w:type="dxa"/>
            <w:tcBorders>
              <w:top w:val="single" w:sz="6" w:space="0" w:color="78A22F"/>
              <w:left w:val="nil"/>
              <w:bottom w:val="nil"/>
              <w:right w:val="nil"/>
            </w:tcBorders>
            <w:shd w:val="clear" w:color="auto" w:fill="F2F2F2"/>
          </w:tcPr>
          <w:p w:rsidR="004116F7" w:rsidRDefault="004116F7" w:rsidP="005513A9">
            <w:pPr>
              <w:pStyle w:val="BoxTitle"/>
            </w:pPr>
            <w:r>
              <w:rPr>
                <w:b w:val="0"/>
              </w:rPr>
              <w:t xml:space="preserve">Box </w:t>
            </w:r>
            <w:r w:rsidR="0098622E">
              <w:rPr>
                <w:b w:val="0"/>
              </w:rPr>
              <w:t>13.</w:t>
            </w:r>
            <w:r w:rsidR="00F132AA">
              <w:rPr>
                <w:b w:val="0"/>
                <w:noProof/>
              </w:rPr>
              <w:t>1</w:t>
            </w:r>
            <w:r>
              <w:tab/>
              <w:t xml:space="preserve">RAS </w:t>
            </w:r>
            <w:r w:rsidRPr="00F614EC">
              <w:t xml:space="preserve">and </w:t>
            </w:r>
            <w:r>
              <w:t>r</w:t>
            </w:r>
            <w:r w:rsidRPr="00F614EC">
              <w:t xml:space="preserve">eablement in the WA </w:t>
            </w:r>
            <w:r>
              <w:t>HACC</w:t>
            </w:r>
            <w:r w:rsidRPr="00F614EC">
              <w:t xml:space="preserve"> </w:t>
            </w:r>
            <w:r>
              <w:t>p</w:t>
            </w:r>
            <w:r w:rsidRPr="00F614EC">
              <w:t>rogram</w:t>
            </w:r>
          </w:p>
        </w:tc>
      </w:tr>
      <w:tr w:rsidR="004116F7" w:rsidTr="00760D08">
        <w:trPr>
          <w:cantSplit/>
        </w:trPr>
        <w:tc>
          <w:tcPr>
            <w:tcW w:w="8771" w:type="dxa"/>
            <w:tcBorders>
              <w:top w:val="nil"/>
              <w:left w:val="nil"/>
              <w:bottom w:val="nil"/>
              <w:right w:val="nil"/>
            </w:tcBorders>
            <w:shd w:val="clear" w:color="auto" w:fill="F2F2F2"/>
          </w:tcPr>
          <w:p w:rsidR="004116F7" w:rsidRDefault="004116F7" w:rsidP="00760D08">
            <w:pPr>
              <w:pStyle w:val="Box"/>
            </w:pPr>
            <w:r>
              <w:t>Reablement services focus on restoring a person’s independent functioning, rather than on simply doing things for them, which is the more conventional HACC approach. Reablement or restorative home care services provide intensive time</w:t>
            </w:r>
            <w:r w:rsidR="00E75264">
              <w:noBreakHyphen/>
            </w:r>
            <w:r>
              <w:t>limited interventions to assist the person maximise their capability to be independent in those aspects of their lives that they identify as most important to their quality of life. These services have been provided in WA since 1999 and are now well established, but until now have been provided</w:t>
            </w:r>
            <w:r w:rsidR="005513A9">
              <w:t xml:space="preserve"> on a</w:t>
            </w:r>
            <w:r>
              <w:t xml:space="preserve"> </w:t>
            </w:r>
            <w:r w:rsidR="005513A9">
              <w:t>limited opt</w:t>
            </w:r>
            <w:r w:rsidR="00E75264">
              <w:noBreakHyphen/>
            </w:r>
            <w:r w:rsidR="005513A9">
              <w:t>in basis</w:t>
            </w:r>
            <w:r>
              <w:t>.</w:t>
            </w:r>
          </w:p>
          <w:p w:rsidR="004116F7" w:rsidRDefault="004116F7" w:rsidP="00760D08">
            <w:pPr>
              <w:pStyle w:val="Box"/>
            </w:pPr>
            <w:r>
              <w:t xml:space="preserve">The cost effectiveness of </w:t>
            </w:r>
            <w:r w:rsidR="005513A9">
              <w:t>the reablement approach</w:t>
            </w:r>
            <w:r>
              <w:t xml:space="preserve"> was evaluated through an independent randomised controlled trial that compared the home care and healthcare service use and costs of older people receiving </w:t>
            </w:r>
            <w:r w:rsidR="005513A9">
              <w:t>a</w:t>
            </w:r>
            <w:r>
              <w:t xml:space="preserve"> restorative or a conventional service over a </w:t>
            </w:r>
            <w:r w:rsidR="003B3B62">
              <w:t>two</w:t>
            </w:r>
            <w:r w:rsidR="00E75264">
              <w:noBreakHyphen/>
            </w:r>
            <w:r>
              <w:t>year period from June 2005 to August 2007 (</w:t>
            </w:r>
            <w:proofErr w:type="spellStart"/>
            <w:r>
              <w:t>Lewin</w:t>
            </w:r>
            <w:proofErr w:type="spellEnd"/>
            <w:r>
              <w:t xml:space="preserve"> et al 2014). The study established that older people who received a reablement service had lower total home care costs and were less likely to be approved for a higher level of aged care, to have presented at an emergency department or </w:t>
            </w:r>
            <w:r w:rsidR="005513A9">
              <w:t xml:space="preserve">to have </w:t>
            </w:r>
            <w:r>
              <w:t>had an unplanned hospital admission. These outcomes resulted in an average aggregated health and home care cost for restorative clients that was 18.5 per cent less ($19</w:t>
            </w:r>
            <w:r w:rsidR="00E75264">
              <w:t> </w:t>
            </w:r>
            <w:r>
              <w:t>090 compared to $23</w:t>
            </w:r>
            <w:r w:rsidR="00E75264">
              <w:t> </w:t>
            </w:r>
            <w:r>
              <w:t>428) than the conventional HACC approach.</w:t>
            </w:r>
          </w:p>
          <w:p w:rsidR="005513A9" w:rsidRDefault="00AE3A3E" w:rsidP="00760D08">
            <w:pPr>
              <w:pStyle w:val="Box"/>
            </w:pPr>
            <w:proofErr w:type="spellStart"/>
            <w:r w:rsidRPr="00BB66AD">
              <w:t>HACC</w:t>
            </w:r>
            <w:proofErr w:type="spellEnd"/>
            <w:r w:rsidRPr="00BB66AD">
              <w:t xml:space="preserve"> </w:t>
            </w:r>
            <w:proofErr w:type="spellStart"/>
            <w:r w:rsidRPr="00BB66AD">
              <w:t>RASs</w:t>
            </w:r>
            <w:proofErr w:type="spellEnd"/>
            <w:r w:rsidRPr="00BB66AD">
              <w:t xml:space="preserve"> were introduced in 2011 to provide a system</w:t>
            </w:r>
            <w:r w:rsidR="00E75264">
              <w:noBreakHyphen/>
            </w:r>
            <w:r w:rsidRPr="00BB66AD">
              <w:t>wide approach to</w:t>
            </w:r>
            <w:r w:rsidR="003B3B62">
              <w:t>:</w:t>
            </w:r>
            <w:r w:rsidRPr="00BB66AD">
              <w:t xml:space="preserve"> determining whether an individual is eligible and a priority for services; conducting assessments; and providing support planning to maximise older people’s independence, wellbeing and connections to the community. Given the success of the reablement services, a reablement approach to RAS assessment was introduced in July 2013 to supplement established assessment approaches with access to evidence</w:t>
            </w:r>
            <w:r w:rsidR="00E75264">
              <w:noBreakHyphen/>
            </w:r>
            <w:r w:rsidRPr="00BB66AD">
              <w:t>based reablement strategies at entry, before the need for ongoing support is determined.</w:t>
            </w:r>
          </w:p>
          <w:p w:rsidR="005513A9" w:rsidRDefault="005513A9" w:rsidP="005513A9">
            <w:pPr>
              <w:pStyle w:val="Box"/>
            </w:pPr>
            <w:r w:rsidRPr="00BB66AD">
              <w:t xml:space="preserve">The intensity of the reablement input from RAS varies </w:t>
            </w:r>
            <w:r>
              <w:t xml:space="preserve">greatly across clients </w:t>
            </w:r>
            <w:r w:rsidRPr="00BB66AD">
              <w:t>and</w:t>
            </w:r>
            <w:r>
              <w:t xml:space="preserve"> can be difficult to quantify. The input</w:t>
            </w:r>
            <w:r w:rsidRPr="00BB66AD">
              <w:t xml:space="preserve"> </w:t>
            </w:r>
            <w:r>
              <w:t>can</w:t>
            </w:r>
            <w:r w:rsidRPr="00BB66AD">
              <w:t xml:space="preserve"> be suggesting that </w:t>
            </w:r>
            <w:r>
              <w:t>clients</w:t>
            </w:r>
            <w:r w:rsidRPr="00BB66AD">
              <w:t xml:space="preserve"> adopt certain strategies </w:t>
            </w:r>
            <w:r>
              <w:t>to</w:t>
            </w:r>
            <w:r w:rsidRPr="00BB66AD">
              <w:t xml:space="preserve"> help them maintain or improve their independence</w:t>
            </w:r>
            <w:r>
              <w:t>,</w:t>
            </w:r>
            <w:r w:rsidRPr="00BB66AD">
              <w:t xml:space="preserve"> or in addition to </w:t>
            </w:r>
            <w:r>
              <w:t>this;</w:t>
            </w:r>
            <w:r w:rsidRPr="00BB66AD">
              <w:t xml:space="preserve"> the provision of basic equipment or other simple one</w:t>
            </w:r>
            <w:r w:rsidR="00E75264">
              <w:noBreakHyphen/>
            </w:r>
            <w:r w:rsidRPr="00BB66AD">
              <w:t>off intervention</w:t>
            </w:r>
            <w:r w:rsidR="00DF277B">
              <w:t>s</w:t>
            </w:r>
            <w:r w:rsidRPr="00BB66AD">
              <w:t>. If additional follow</w:t>
            </w:r>
            <w:r w:rsidR="00E75264">
              <w:noBreakHyphen/>
            </w:r>
            <w:r w:rsidRPr="00BB66AD">
              <w:t>up interventions are required after the RAS reablement assessment</w:t>
            </w:r>
            <w:r>
              <w:t>,</w:t>
            </w:r>
            <w:r w:rsidRPr="00BB66AD">
              <w:t xml:space="preserve"> then clients receive referral</w:t>
            </w:r>
            <w:r>
              <w:t>s</w:t>
            </w:r>
            <w:r w:rsidRPr="00BB66AD">
              <w:t xml:space="preserve"> </w:t>
            </w:r>
            <w:r>
              <w:t>to</w:t>
            </w:r>
            <w:r w:rsidRPr="00BB66AD">
              <w:t xml:space="preserve"> either reablement home support services or a restorative program, both of which guide and monitor the implementation of agreed strategies and remain involved for a six</w:t>
            </w:r>
            <w:r w:rsidR="00E75264">
              <w:noBreakHyphen/>
            </w:r>
            <w:r w:rsidRPr="00BB66AD">
              <w:t xml:space="preserve"> to eight</w:t>
            </w:r>
            <w:r w:rsidR="00E75264">
              <w:noBreakHyphen/>
            </w:r>
            <w:r w:rsidRPr="00BB66AD">
              <w:t>week period, before determining whether ongoing support is required.</w:t>
            </w:r>
          </w:p>
        </w:tc>
      </w:tr>
      <w:tr w:rsidR="004116F7" w:rsidTr="00760D08">
        <w:trPr>
          <w:cantSplit/>
        </w:trPr>
        <w:tc>
          <w:tcPr>
            <w:tcW w:w="8771" w:type="dxa"/>
            <w:tcBorders>
              <w:top w:val="nil"/>
              <w:left w:val="nil"/>
              <w:bottom w:val="nil"/>
              <w:right w:val="nil"/>
            </w:tcBorders>
            <w:shd w:val="clear" w:color="auto" w:fill="F2F2F2"/>
          </w:tcPr>
          <w:p w:rsidR="004116F7" w:rsidRPr="003008BF" w:rsidRDefault="004116F7" w:rsidP="003008BF">
            <w:pPr>
              <w:pStyle w:val="Continued"/>
            </w:pPr>
            <w:r w:rsidRPr="003008BF">
              <w:t>(continued next page)</w:t>
            </w:r>
          </w:p>
        </w:tc>
      </w:tr>
      <w:tr w:rsidR="004116F7" w:rsidTr="00760D08">
        <w:trPr>
          <w:cantSplit/>
        </w:trPr>
        <w:tc>
          <w:tcPr>
            <w:tcW w:w="8771" w:type="dxa"/>
            <w:tcBorders>
              <w:top w:val="nil"/>
              <w:left w:val="nil"/>
              <w:bottom w:val="single" w:sz="6" w:space="0" w:color="78A22F"/>
              <w:right w:val="nil"/>
            </w:tcBorders>
            <w:shd w:val="clear" w:color="auto" w:fill="F2F2F2"/>
          </w:tcPr>
          <w:p w:rsidR="004116F7" w:rsidRDefault="004116F7">
            <w:pPr>
              <w:pStyle w:val="Box"/>
              <w:spacing w:before="0" w:line="120" w:lineRule="exact"/>
            </w:pPr>
          </w:p>
        </w:tc>
      </w:tr>
      <w:tr w:rsidR="004116F7" w:rsidRPr="000863A5" w:rsidTr="00760D08">
        <w:tc>
          <w:tcPr>
            <w:tcW w:w="8771" w:type="dxa"/>
            <w:tcBorders>
              <w:top w:val="single" w:sz="6" w:space="0" w:color="78A22F"/>
              <w:left w:val="nil"/>
              <w:bottom w:val="nil"/>
              <w:right w:val="nil"/>
            </w:tcBorders>
          </w:tcPr>
          <w:p w:rsidR="004116F7" w:rsidRPr="00626D32" w:rsidRDefault="004116F7" w:rsidP="00760D08">
            <w:pPr>
              <w:pStyle w:val="BoxSpaceBelow"/>
            </w:pPr>
          </w:p>
        </w:tc>
      </w:tr>
    </w:tbl>
    <w:p w:rsidR="00247541" w:rsidRDefault="00247541" w:rsidP="004116F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7541" w:rsidTr="00247541">
        <w:tc>
          <w:tcPr>
            <w:tcW w:w="8771" w:type="dxa"/>
            <w:tcBorders>
              <w:top w:val="single" w:sz="6" w:space="0" w:color="78A22F"/>
              <w:left w:val="nil"/>
              <w:bottom w:val="nil"/>
              <w:right w:val="nil"/>
            </w:tcBorders>
            <w:shd w:val="clear" w:color="auto" w:fill="F2F2F2"/>
          </w:tcPr>
          <w:p w:rsidR="00247541" w:rsidRDefault="00247541" w:rsidP="0098622E">
            <w:pPr>
              <w:pStyle w:val="BoxTitle"/>
            </w:pPr>
            <w:r>
              <w:rPr>
                <w:b w:val="0"/>
              </w:rPr>
              <w:t>Box</w:t>
            </w:r>
            <w:r w:rsidR="0098622E">
              <w:rPr>
                <w:b w:val="0"/>
              </w:rPr>
              <w:t xml:space="preserve"> 13.1</w:t>
            </w:r>
            <w:r>
              <w:tab/>
            </w:r>
            <w:r w:rsidR="00BB66AD" w:rsidRPr="00A16A28">
              <w:rPr>
                <w:b w:val="0"/>
                <w:sz w:val="18"/>
                <w:szCs w:val="20"/>
              </w:rPr>
              <w:t>(continued)</w:t>
            </w:r>
          </w:p>
        </w:tc>
      </w:tr>
      <w:tr w:rsidR="00327856" w:rsidRPr="00327856" w:rsidTr="00247541">
        <w:trPr>
          <w:cantSplit/>
        </w:trPr>
        <w:tc>
          <w:tcPr>
            <w:tcW w:w="8771" w:type="dxa"/>
            <w:tcBorders>
              <w:top w:val="nil"/>
              <w:left w:val="nil"/>
              <w:bottom w:val="nil"/>
              <w:right w:val="nil"/>
            </w:tcBorders>
            <w:shd w:val="clear" w:color="auto" w:fill="F2F2F2"/>
          </w:tcPr>
          <w:p w:rsidR="004116F7" w:rsidRDefault="004116F7" w:rsidP="004116F7">
            <w:pPr>
              <w:pStyle w:val="Box"/>
            </w:pPr>
            <w:r>
              <w:t>While the formal evaluation of the cost effectiveness of the RAS reablement approach has not been published, some initial results indicate it is a promising approach worth further examination. Initial analysis of 2014</w:t>
            </w:r>
            <w:r w:rsidR="00E75264">
              <w:noBreakHyphen/>
            </w:r>
            <w:r>
              <w:t>15 data shows that of the clients who received a RAS reablement assessment or re</w:t>
            </w:r>
            <w:r w:rsidR="00E75264">
              <w:noBreakHyphen/>
            </w:r>
            <w:r>
              <w:t>assessment, a lower proportion of clients had new or additional services put in place (75 per cent) when compared to those who received a non</w:t>
            </w:r>
            <w:r w:rsidR="00E75264">
              <w:noBreakHyphen/>
            </w:r>
            <w:r>
              <w:t>reablement assessment or re</w:t>
            </w:r>
            <w:r w:rsidR="00E75264">
              <w:noBreakHyphen/>
            </w:r>
            <w:r>
              <w:t>assessment (84 per cent). For new clients, those who were reablement clients had a higher proportion receiving no ongoing services than non</w:t>
            </w:r>
            <w:r w:rsidR="00E75264">
              <w:noBreakHyphen/>
            </w:r>
            <w:r>
              <w:t>reablement clients (21 per cent compared to 12 per cent). For existing HACC clients who were being reassessed, a lower proportion of reablement clients were referred for any additional HACC services (65 per cent compared to 79 per cent).</w:t>
            </w:r>
          </w:p>
          <w:p w:rsidR="00903A6B" w:rsidRPr="00F71320" w:rsidRDefault="004116F7" w:rsidP="005E70A1">
            <w:pPr>
              <w:pStyle w:val="Box"/>
            </w:pPr>
            <w:r>
              <w:t>In addition, for new clients who had an initial assessment in the first quarter of 2014</w:t>
            </w:r>
            <w:r w:rsidR="00E75264">
              <w:noBreakHyphen/>
            </w:r>
            <w:r>
              <w:t>15</w:t>
            </w:r>
            <w:r w:rsidR="005E70A1">
              <w:t>,</w:t>
            </w:r>
            <w:r>
              <w:t xml:space="preserve"> a slightly lower proportion of reablement clients were reassessed for additional services within nine months (34 per cent) than non</w:t>
            </w:r>
            <w:r w:rsidR="00E75264">
              <w:noBreakHyphen/>
            </w:r>
            <w:r>
              <w:t>reablement clients (39 per cent), indicating a lower proportion of reablement clients needing additional ongoing services. The initial results also indicate that th</w:t>
            </w:r>
            <w:r w:rsidR="005E70A1">
              <w:t>e</w:t>
            </w:r>
            <w:r>
              <w:t xml:space="preserve"> reduced service demand/use by reablement assessment clients is not at the expense of client outcomes.</w:t>
            </w:r>
          </w:p>
        </w:tc>
      </w:tr>
      <w:tr w:rsidR="00247541" w:rsidRPr="00327856" w:rsidTr="00247541">
        <w:trPr>
          <w:cantSplit/>
        </w:trPr>
        <w:tc>
          <w:tcPr>
            <w:tcW w:w="8771" w:type="dxa"/>
            <w:tcBorders>
              <w:top w:val="nil"/>
              <w:left w:val="nil"/>
              <w:bottom w:val="nil"/>
              <w:right w:val="nil"/>
            </w:tcBorders>
            <w:shd w:val="clear" w:color="auto" w:fill="F2F2F2"/>
          </w:tcPr>
          <w:p w:rsidR="00247541" w:rsidRPr="0045217F" w:rsidRDefault="000908A3" w:rsidP="00FF6F85">
            <w:pPr>
              <w:pStyle w:val="BoxSource"/>
            </w:pPr>
            <w:r w:rsidRPr="0045217F">
              <w:rPr>
                <w:i/>
              </w:rPr>
              <w:t>Source</w:t>
            </w:r>
            <w:r w:rsidRPr="0045217F">
              <w:t xml:space="preserve">: WA Government (unpublished); </w:t>
            </w:r>
            <w:proofErr w:type="spellStart"/>
            <w:r w:rsidRPr="0045217F">
              <w:t>Lewin</w:t>
            </w:r>
            <w:proofErr w:type="spellEnd"/>
            <w:r w:rsidRPr="0045217F">
              <w:t xml:space="preserve">, G., </w:t>
            </w:r>
            <w:r w:rsidR="006722F5" w:rsidRPr="0045217F">
              <w:t>Allan, J., Patterson, C.</w:t>
            </w:r>
            <w:r w:rsidR="0045217F" w:rsidRPr="0045217F">
              <w:t>,</w:t>
            </w:r>
            <w:r w:rsidR="006722F5" w:rsidRPr="0045217F">
              <w:t xml:space="preserve"> </w:t>
            </w:r>
            <w:proofErr w:type="spellStart"/>
            <w:r w:rsidR="0045217F" w:rsidRPr="0045217F">
              <w:t>Knuiman</w:t>
            </w:r>
            <w:proofErr w:type="spellEnd"/>
            <w:r w:rsidR="0045217F" w:rsidRPr="0045217F">
              <w:t xml:space="preserve">, M., </w:t>
            </w:r>
            <w:proofErr w:type="spellStart"/>
            <w:r w:rsidR="0045217F" w:rsidRPr="0045217F">
              <w:t>Boldy</w:t>
            </w:r>
            <w:proofErr w:type="spellEnd"/>
            <w:r w:rsidR="0045217F" w:rsidRPr="0045217F">
              <w:t xml:space="preserve">, D., </w:t>
            </w:r>
            <w:proofErr w:type="spellStart"/>
            <w:r w:rsidR="0045217F" w:rsidRPr="0045217F">
              <w:t>Hendrie</w:t>
            </w:r>
            <w:proofErr w:type="spellEnd"/>
            <w:r w:rsidR="0045217F" w:rsidRPr="0045217F">
              <w:t xml:space="preserve">, D. </w:t>
            </w:r>
            <w:r w:rsidR="007B42C9">
              <w:t>(</w:t>
            </w:r>
            <w:r w:rsidR="0045217F" w:rsidRPr="0045217F">
              <w:t>2014</w:t>
            </w:r>
            <w:r w:rsidR="007B42C9">
              <w:t>)</w:t>
            </w:r>
            <w:r w:rsidR="0045217F" w:rsidRPr="0045217F">
              <w:t xml:space="preserve"> ‘A</w:t>
            </w:r>
            <w:r w:rsidRPr="0045217F">
              <w:t xml:space="preserve"> comparison of the home</w:t>
            </w:r>
            <w:r w:rsidR="00E75264">
              <w:noBreakHyphen/>
            </w:r>
            <w:r w:rsidRPr="0045217F">
              <w:t>care and healthcare service use and costs of</w:t>
            </w:r>
            <w:r w:rsidR="0045217F" w:rsidRPr="0045217F">
              <w:t xml:space="preserve"> </w:t>
            </w:r>
            <w:r w:rsidRPr="0045217F">
              <w:t>older Australians randomised to receive a restorative or a conventional</w:t>
            </w:r>
            <w:r w:rsidR="0045217F" w:rsidRPr="0045217F">
              <w:t xml:space="preserve"> </w:t>
            </w:r>
            <w:r w:rsidRPr="0045217F">
              <w:t>home</w:t>
            </w:r>
            <w:r w:rsidR="00E75264">
              <w:noBreakHyphen/>
            </w:r>
            <w:r w:rsidRPr="0045217F">
              <w:t>care service</w:t>
            </w:r>
            <w:r w:rsidR="0045217F" w:rsidRPr="0045217F">
              <w:t>’,</w:t>
            </w:r>
            <w:r w:rsidR="0045217F" w:rsidRPr="0045217F">
              <w:rPr>
                <w:i/>
              </w:rPr>
              <w:t xml:space="preserve"> Health and Social Care in the Community, </w:t>
            </w:r>
            <w:r w:rsidR="0045217F" w:rsidRPr="0045217F">
              <w:t>vol. 22, no. 3, pp.</w:t>
            </w:r>
            <w:r w:rsidR="00E75264">
              <w:t> </w:t>
            </w:r>
            <w:r w:rsidR="0045217F" w:rsidRPr="0045217F">
              <w:t>328–336.</w:t>
            </w:r>
          </w:p>
        </w:tc>
      </w:tr>
      <w:tr w:rsidR="00247541" w:rsidRPr="00327856" w:rsidTr="00247541">
        <w:trPr>
          <w:cantSplit/>
        </w:trPr>
        <w:tc>
          <w:tcPr>
            <w:tcW w:w="8771" w:type="dxa"/>
            <w:tcBorders>
              <w:top w:val="nil"/>
              <w:left w:val="nil"/>
              <w:bottom w:val="single" w:sz="6" w:space="0" w:color="78A22F"/>
              <w:right w:val="nil"/>
            </w:tcBorders>
            <w:shd w:val="clear" w:color="auto" w:fill="F2F2F2"/>
          </w:tcPr>
          <w:p w:rsidR="00247541" w:rsidRPr="0045217F" w:rsidRDefault="00247541">
            <w:pPr>
              <w:pStyle w:val="Box"/>
              <w:spacing w:before="0" w:line="120" w:lineRule="exact"/>
            </w:pPr>
          </w:p>
        </w:tc>
      </w:tr>
      <w:tr w:rsidR="00247541" w:rsidRPr="00327856" w:rsidTr="00247541">
        <w:tc>
          <w:tcPr>
            <w:tcW w:w="8771" w:type="dxa"/>
            <w:tcBorders>
              <w:top w:val="single" w:sz="6" w:space="0" w:color="78A22F"/>
              <w:left w:val="nil"/>
              <w:bottom w:val="nil"/>
              <w:right w:val="nil"/>
            </w:tcBorders>
          </w:tcPr>
          <w:p w:rsidR="00247541" w:rsidRPr="00327856" w:rsidRDefault="00247541" w:rsidP="00247541">
            <w:pPr>
              <w:pStyle w:val="BoxSpaceBelow"/>
              <w:rPr>
                <w:color w:val="FF0000"/>
              </w:rPr>
            </w:pPr>
          </w:p>
        </w:tc>
      </w:tr>
    </w:tbl>
    <w:p w:rsidR="00F43306" w:rsidRDefault="00F43306" w:rsidP="00F43306">
      <w:pPr>
        <w:pStyle w:val="Heading2"/>
      </w:pPr>
      <w:bookmarkStart w:id="9" w:name="_Toc432170525"/>
      <w:r>
        <w:t>13.</w:t>
      </w:r>
      <w:r w:rsidR="00CA1F6E">
        <w:rPr>
          <w:noProof/>
        </w:rPr>
        <w:t>2</w:t>
      </w:r>
      <w:r>
        <w:tab/>
        <w:t>Framework of performance indicators</w:t>
      </w:r>
      <w:bookmarkEnd w:id="9"/>
    </w:p>
    <w:p w:rsidR="00F43306" w:rsidRDefault="00F43306" w:rsidP="00F43306">
      <w:pPr>
        <w:pStyle w:val="BodyText"/>
      </w:pPr>
      <w:r>
        <w:t xml:space="preserve">The framework </w:t>
      </w:r>
      <w:r w:rsidR="003F1442">
        <w:t xml:space="preserve">of performance indicators </w:t>
      </w:r>
      <w:r>
        <w:t xml:space="preserve">for aged care services is based on </w:t>
      </w:r>
      <w:r w:rsidR="003F1442">
        <w:t>common</w:t>
      </w:r>
      <w:r>
        <w:t xml:space="preserve"> objectives </w:t>
      </w:r>
      <w:r w:rsidR="003F1442">
        <w:t>for the</w:t>
      </w:r>
      <w:r>
        <w:t xml:space="preserve"> aged care sector (box</w:t>
      </w:r>
      <w:r w:rsidR="009551A0">
        <w:t> </w:t>
      </w:r>
      <w:r>
        <w:t>13.</w:t>
      </w:r>
      <w:r w:rsidR="00247541">
        <w:t>2</w:t>
      </w:r>
      <w:r>
        <w:t xml:space="preserve">). </w:t>
      </w:r>
    </w:p>
    <w:p w:rsidR="00AE3A3E" w:rsidRDefault="00AE3A3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E3A3E" w:rsidTr="001D20C3">
        <w:tc>
          <w:tcPr>
            <w:tcW w:w="8771" w:type="dxa"/>
            <w:tcBorders>
              <w:top w:val="single" w:sz="6" w:space="0" w:color="78A22F"/>
              <w:left w:val="nil"/>
              <w:bottom w:val="nil"/>
              <w:right w:val="nil"/>
            </w:tcBorders>
            <w:shd w:val="clear" w:color="auto" w:fill="F2F2F2"/>
          </w:tcPr>
          <w:p w:rsidR="00AE3A3E" w:rsidRDefault="00AE3A3E" w:rsidP="00AE3A3E">
            <w:pPr>
              <w:pStyle w:val="BoxTitle"/>
            </w:pPr>
            <w:r>
              <w:rPr>
                <w:b w:val="0"/>
              </w:rPr>
              <w:t>Box 13.</w:t>
            </w:r>
            <w:r w:rsidR="00F132AA">
              <w:rPr>
                <w:b w:val="0"/>
                <w:noProof/>
              </w:rPr>
              <w:t>2</w:t>
            </w:r>
            <w:r>
              <w:tab/>
            </w:r>
            <w:r w:rsidRPr="00F43306">
              <w:t>Objectives for aged care services</w:t>
            </w:r>
          </w:p>
        </w:tc>
      </w:tr>
      <w:tr w:rsidR="00AE3A3E" w:rsidTr="001D20C3">
        <w:trPr>
          <w:cantSplit/>
        </w:trPr>
        <w:tc>
          <w:tcPr>
            <w:tcW w:w="8771" w:type="dxa"/>
            <w:tcBorders>
              <w:top w:val="nil"/>
              <w:left w:val="nil"/>
              <w:bottom w:val="nil"/>
              <w:right w:val="nil"/>
            </w:tcBorders>
            <w:shd w:val="clear" w:color="auto" w:fill="F2F2F2"/>
          </w:tcPr>
          <w:p w:rsidR="00AE3A3E" w:rsidRDefault="00AE3A3E" w:rsidP="00AE3A3E">
            <w:pPr>
              <w:pStyle w:val="Box"/>
            </w:pPr>
            <w:r>
              <w:t>The aged care system aims to promote the wellbeing and independence of older people and their carers through the funding and delivery of care services that are: accessible, appropriate to needs, high quality, efficient and person centred.</w:t>
            </w:r>
          </w:p>
          <w:p w:rsidR="00AE3A3E" w:rsidRDefault="00AE3A3E" w:rsidP="009B3493">
            <w:pPr>
              <w:pStyle w:val="Box"/>
            </w:pPr>
            <w:r>
              <w:t>These objectives are consistent with the Australian, State and Territory governments’ long</w:t>
            </w:r>
            <w:r>
              <w:noBreakHyphen/>
              <w:t>term aged care objectives articulated under the National Healthcare Agreement that ‘older Australians receive appropriate high quality and affordable health and aged care services’ (COAG 2009).</w:t>
            </w:r>
          </w:p>
        </w:tc>
      </w:tr>
      <w:tr w:rsidR="00AE3A3E" w:rsidTr="001D20C3">
        <w:trPr>
          <w:cantSplit/>
        </w:trPr>
        <w:tc>
          <w:tcPr>
            <w:tcW w:w="8771" w:type="dxa"/>
            <w:tcBorders>
              <w:top w:val="nil"/>
              <w:left w:val="nil"/>
              <w:bottom w:val="single" w:sz="6" w:space="0" w:color="78A22F"/>
              <w:right w:val="nil"/>
            </w:tcBorders>
            <w:shd w:val="clear" w:color="auto" w:fill="F2F2F2"/>
          </w:tcPr>
          <w:p w:rsidR="00AE3A3E" w:rsidRDefault="00AE3A3E">
            <w:pPr>
              <w:pStyle w:val="Box"/>
              <w:spacing w:before="0" w:line="120" w:lineRule="exact"/>
            </w:pPr>
          </w:p>
        </w:tc>
      </w:tr>
      <w:tr w:rsidR="00AE3A3E" w:rsidRPr="000863A5" w:rsidTr="001D20C3">
        <w:tc>
          <w:tcPr>
            <w:tcW w:w="8771" w:type="dxa"/>
            <w:tcBorders>
              <w:top w:val="single" w:sz="6" w:space="0" w:color="78A22F"/>
              <w:left w:val="nil"/>
              <w:bottom w:val="nil"/>
              <w:right w:val="nil"/>
            </w:tcBorders>
          </w:tcPr>
          <w:p w:rsidR="00AE3A3E" w:rsidRPr="00626D32" w:rsidRDefault="00AE3A3E" w:rsidP="001D20C3">
            <w:pPr>
              <w:pStyle w:val="BoxSpaceBelow"/>
            </w:pPr>
          </w:p>
        </w:tc>
      </w:tr>
    </w:tbl>
    <w:p w:rsidR="003B6A11" w:rsidRDefault="00F43306" w:rsidP="00F43306">
      <w:pPr>
        <w:pStyle w:val="BodyText"/>
      </w:pPr>
      <w:r w:rsidRPr="00F43306">
        <w:t>The performance indicator framework provides information on equity, efficiency and effectiveness, and distinguishes the outputs and outcomes of aged care services (figure</w:t>
      </w:r>
      <w:r w:rsidR="0097726B">
        <w:t> </w:t>
      </w:r>
      <w:r w:rsidRPr="00F43306">
        <w:t>13.</w:t>
      </w:r>
      <w:r w:rsidR="00940519">
        <w:t>10</w:t>
      </w:r>
      <w:r w:rsidRPr="00F43306">
        <w:t xml:space="preserve">). The performance indicator framework shows which data are complete and comparable in the </w:t>
      </w:r>
      <w:r w:rsidR="00610594" w:rsidRPr="00F43306">
        <w:t>201</w:t>
      </w:r>
      <w:r w:rsidR="00610594">
        <w:t>6</w:t>
      </w:r>
      <w:r w:rsidR="00610594" w:rsidRPr="00F43306">
        <w:t xml:space="preserve"> </w:t>
      </w:r>
      <w:r w:rsidRPr="00F43306">
        <w:t>Report. For data that are not considered directly comparable, text includes relevant caveats and supporting commentary. Chapter</w:t>
      </w:r>
      <w:r w:rsidR="009551A0">
        <w:t> </w:t>
      </w:r>
      <w:r w:rsidRPr="00F43306">
        <w:t xml:space="preserve">1 discusses data comparability </w:t>
      </w:r>
      <w:r w:rsidR="00A16164" w:rsidRPr="00CC56A6">
        <w:rPr>
          <w:shd w:val="clear" w:color="auto" w:fill="FFFFFF" w:themeFill="background1"/>
        </w:rPr>
        <w:t>and data completeness</w:t>
      </w:r>
      <w:r w:rsidR="00A16164" w:rsidRPr="00A16164">
        <w:t xml:space="preserve"> </w:t>
      </w:r>
      <w:r w:rsidRPr="00F43306">
        <w:t>from a Report wide perspective (section</w:t>
      </w:r>
      <w:r w:rsidR="009551A0">
        <w:t> </w:t>
      </w:r>
      <w:r w:rsidRPr="00F43306">
        <w:t>1.6).</w:t>
      </w:r>
      <w:r w:rsidR="00DF277B">
        <w:t xml:space="preserve"> </w:t>
      </w:r>
    </w:p>
    <w:p w:rsidR="00F43306" w:rsidRPr="00F43306" w:rsidRDefault="00610594" w:rsidP="00F43306">
      <w:pPr>
        <w:pStyle w:val="BodyText"/>
      </w:pPr>
      <w:r>
        <w:lastRenderedPageBreak/>
        <w:t>In addition to section</w:t>
      </w:r>
      <w:r w:rsidR="00E75264">
        <w:t> </w:t>
      </w:r>
      <w:r w:rsidR="00ED542D">
        <w:t>1</w:t>
      </w:r>
      <w:r>
        <w:t>3.1, t</w:t>
      </w:r>
      <w:r w:rsidRPr="00F43306">
        <w:t xml:space="preserve">he </w:t>
      </w:r>
      <w:r w:rsidR="00F43306" w:rsidRPr="00F43306">
        <w:t>Report’s statistical context chapter contains data that may assist in interpreting the performance indicators presented in this chapter. These data cover a range of demographic and geographic characteristics</w:t>
      </w:r>
      <w:r>
        <w:t xml:space="preserve"> </w:t>
      </w:r>
      <w:r w:rsidR="00F43306" w:rsidRPr="00F43306">
        <w:t>(chapter</w:t>
      </w:r>
      <w:r w:rsidR="009551A0">
        <w:t> </w:t>
      </w:r>
      <w:r w:rsidR="00F43306" w:rsidRPr="00F43306">
        <w:t>2).</w:t>
      </w:r>
    </w:p>
    <w:p w:rsidR="00BB093A" w:rsidRDefault="00BB093A" w:rsidP="003E2F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B093A" w:rsidTr="003E2FEC">
        <w:tc>
          <w:tcPr>
            <w:tcW w:w="8771" w:type="dxa"/>
            <w:tcBorders>
              <w:top w:val="single" w:sz="6" w:space="0" w:color="78A22F"/>
              <w:left w:val="nil"/>
              <w:bottom w:val="nil"/>
              <w:right w:val="nil"/>
            </w:tcBorders>
            <w:shd w:val="clear" w:color="auto" w:fill="auto"/>
          </w:tcPr>
          <w:p w:rsidR="00BB093A" w:rsidRPr="00176D3F" w:rsidRDefault="00BB093A" w:rsidP="00AB7CF7">
            <w:pPr>
              <w:pStyle w:val="FigureTitle"/>
            </w:pPr>
            <w:r w:rsidRPr="00784A05">
              <w:rPr>
                <w:b w:val="0"/>
              </w:rPr>
              <w:t xml:space="preserve">Figure </w:t>
            </w:r>
            <w:r w:rsidR="00FF6F85">
              <w:rPr>
                <w:b w:val="0"/>
              </w:rPr>
              <w:t>13.</w:t>
            </w:r>
            <w:r w:rsidR="00F132AA">
              <w:rPr>
                <w:b w:val="0"/>
                <w:noProof/>
              </w:rPr>
              <w:t>10</w:t>
            </w:r>
            <w:r>
              <w:tab/>
            </w:r>
            <w:r w:rsidRPr="00BB093A">
              <w:t>Aged care services performance indicator framework</w:t>
            </w:r>
          </w:p>
        </w:tc>
      </w:tr>
      <w:tr w:rsidR="00BB093A" w:rsidTr="003E2FEC">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B093A" w:rsidTr="00FD33F1">
              <w:tc>
                <w:tcPr>
                  <w:tcW w:w="5000" w:type="pct"/>
                  <w:tcBorders>
                    <w:top w:val="nil"/>
                    <w:bottom w:val="nil"/>
                  </w:tcBorders>
                </w:tcPr>
                <w:p w:rsidR="00BB093A" w:rsidRDefault="00E30882" w:rsidP="003E2FEC">
                  <w:pPr>
                    <w:pStyle w:val="Figure"/>
                    <w:spacing w:before="60" w:after="60"/>
                  </w:pPr>
                  <w:r>
                    <w:rPr>
                      <w:noProof/>
                    </w:rPr>
                    <w:drawing>
                      <wp:inline distT="0" distB="0" distL="0" distR="0">
                        <wp:extent cx="5381625" cy="5581650"/>
                        <wp:effectExtent l="0" t="0" r="9525" b="0"/>
                        <wp:docPr id="12" name="Picture 12" descr="Figure 13.10 Aged car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1625" cy="5581650"/>
                                </a:xfrm>
                                <a:prstGeom prst="rect">
                                  <a:avLst/>
                                </a:prstGeom>
                                <a:noFill/>
                                <a:ln>
                                  <a:noFill/>
                                </a:ln>
                              </pic:spPr>
                            </pic:pic>
                          </a:graphicData>
                        </a:graphic>
                      </wp:inline>
                    </w:drawing>
                  </w:r>
                </w:p>
              </w:tc>
            </w:tr>
          </w:tbl>
          <w:p w:rsidR="00BB093A" w:rsidRDefault="00BB093A" w:rsidP="003E2FEC">
            <w:pPr>
              <w:pStyle w:val="Figure"/>
            </w:pPr>
          </w:p>
        </w:tc>
      </w:tr>
      <w:tr w:rsidR="00BB093A" w:rsidTr="003E2FEC">
        <w:tc>
          <w:tcPr>
            <w:tcW w:w="8771" w:type="dxa"/>
            <w:tcBorders>
              <w:top w:val="nil"/>
              <w:left w:val="nil"/>
              <w:bottom w:val="single" w:sz="6" w:space="0" w:color="78A22F"/>
              <w:right w:val="nil"/>
            </w:tcBorders>
            <w:shd w:val="clear" w:color="auto" w:fill="auto"/>
          </w:tcPr>
          <w:p w:rsidR="00BB093A" w:rsidRDefault="00BB093A" w:rsidP="003E2FEC">
            <w:pPr>
              <w:pStyle w:val="Figurespace"/>
            </w:pPr>
          </w:p>
        </w:tc>
      </w:tr>
      <w:tr w:rsidR="00BB093A" w:rsidRPr="000863A5" w:rsidTr="003E2FEC">
        <w:tc>
          <w:tcPr>
            <w:tcW w:w="8771" w:type="dxa"/>
            <w:tcBorders>
              <w:top w:val="single" w:sz="6" w:space="0" w:color="78A22F"/>
              <w:left w:val="nil"/>
              <w:bottom w:val="nil"/>
              <w:right w:val="nil"/>
            </w:tcBorders>
          </w:tcPr>
          <w:p w:rsidR="00BB093A" w:rsidRPr="00626D32" w:rsidRDefault="00BB093A" w:rsidP="003E2FEC">
            <w:pPr>
              <w:pStyle w:val="BoxSpaceBelow"/>
            </w:pPr>
          </w:p>
        </w:tc>
      </w:tr>
    </w:tbl>
    <w:p w:rsidR="00F43306" w:rsidRDefault="00BB093A" w:rsidP="00AE3A3E">
      <w:pPr>
        <w:pStyle w:val="Heading2"/>
        <w:keepNext w:val="0"/>
        <w:widowControl w:val="0"/>
      </w:pPr>
      <w:bookmarkStart w:id="10" w:name="_Toc432170526"/>
      <w:r>
        <w:t>13.</w:t>
      </w:r>
      <w:r w:rsidR="00CA1F6E">
        <w:rPr>
          <w:noProof/>
        </w:rPr>
        <w:t>3</w:t>
      </w:r>
      <w:r>
        <w:tab/>
      </w:r>
      <w:r w:rsidRPr="00BB093A">
        <w:t>Key performance indicator results</w:t>
      </w:r>
      <w:bookmarkEnd w:id="10"/>
    </w:p>
    <w:p w:rsidR="00BB093A" w:rsidRDefault="00BB093A" w:rsidP="00AE3A3E">
      <w:pPr>
        <w:pStyle w:val="BodyText"/>
        <w:widowControl w:val="0"/>
      </w:pPr>
      <w:r>
        <w:t xml:space="preserve">Different delivery contexts, locations and types of client may affect the effectiveness and efficiency of aged care services. </w:t>
      </w:r>
    </w:p>
    <w:p w:rsidR="00610594" w:rsidRDefault="00610594" w:rsidP="00BB093A">
      <w:pPr>
        <w:pStyle w:val="BodyText"/>
      </w:pPr>
      <w:r w:rsidRPr="00610594">
        <w:lastRenderedPageBreak/>
        <w:t>Data Quality Information (</w:t>
      </w:r>
      <w:proofErr w:type="spellStart"/>
      <w:r w:rsidRPr="00610594">
        <w:t>DQI</w:t>
      </w:r>
      <w:proofErr w:type="spellEnd"/>
      <w:r w:rsidRPr="00610594">
        <w:t xml:space="preserve">) is included where available for performance indicators in this Report. The purpose of </w:t>
      </w:r>
      <w:proofErr w:type="spellStart"/>
      <w:r w:rsidRPr="00610594">
        <w:t>DQI</w:t>
      </w:r>
      <w:proofErr w:type="spellEnd"/>
      <w:r w:rsidRPr="00610594">
        <w:t xml:space="preserve"> is to provide structured and consistent information about quality aspects of data used to report on performance indicators, in addition to material in the chapter or sector overview and attachment tables. All </w:t>
      </w:r>
      <w:proofErr w:type="spellStart"/>
      <w:r w:rsidRPr="00610594">
        <w:t>DQI</w:t>
      </w:r>
      <w:proofErr w:type="spellEnd"/>
      <w:r w:rsidRPr="00610594">
        <w:t xml:space="preserve"> for the 2016 Report can be found at </w:t>
      </w:r>
      <w:proofErr w:type="spellStart"/>
      <w:r w:rsidRPr="00610594">
        <w:t>www.pc.gov.au</w:t>
      </w:r>
      <w:proofErr w:type="spellEnd"/>
      <w:r w:rsidRPr="00610594">
        <w:t>/</w:t>
      </w:r>
      <w:proofErr w:type="spellStart"/>
      <w:r w:rsidRPr="00610594">
        <w:t>rogs</w:t>
      </w:r>
      <w:proofErr w:type="spellEnd"/>
      <w:r w:rsidRPr="00610594">
        <w:t>/2016.</w:t>
      </w:r>
    </w:p>
    <w:p w:rsidR="00BB093A" w:rsidRDefault="00BB093A" w:rsidP="00BB093A">
      <w:pPr>
        <w:pStyle w:val="Heading3"/>
      </w:pPr>
      <w:r>
        <w:t>Outputs</w:t>
      </w:r>
    </w:p>
    <w:p w:rsidR="00BB093A" w:rsidRDefault="00BB093A" w:rsidP="00BB093A">
      <w:pPr>
        <w:pStyle w:val="BodyText"/>
      </w:pPr>
      <w:r>
        <w:t>Outputs are the services delivered (while outcomes are the impact of these services on the status of an individual or group) (see chapter</w:t>
      </w:r>
      <w:r w:rsidR="009551A0">
        <w:t> </w:t>
      </w:r>
      <w:r>
        <w:t>1, section</w:t>
      </w:r>
      <w:r w:rsidR="009551A0">
        <w:t> </w:t>
      </w:r>
      <w:r>
        <w:t>1.5).</w:t>
      </w:r>
      <w:r w:rsidR="00021E8C" w:rsidRPr="00021E8C">
        <w:t xml:space="preserve"> Output information is also critical for equitable, efficient and effective management of government services.</w:t>
      </w:r>
    </w:p>
    <w:p w:rsidR="00FF4BFB" w:rsidRDefault="00BB093A" w:rsidP="00FF4BFB">
      <w:pPr>
        <w:pStyle w:val="Heading3"/>
      </w:pPr>
      <w:r>
        <w:t xml:space="preserve">Equity </w:t>
      </w:r>
    </w:p>
    <w:p w:rsidR="004F3E0D" w:rsidRDefault="0086351C" w:rsidP="00B6113E">
      <w:pPr>
        <w:pStyle w:val="Heading4"/>
      </w:pPr>
      <w:r>
        <w:t xml:space="preserve">Access – </w:t>
      </w:r>
      <w:r w:rsidR="004F3E0D">
        <w:t>Use by different groups</w:t>
      </w:r>
    </w:p>
    <w:p w:rsidR="004F3E0D" w:rsidRDefault="004F3E0D" w:rsidP="004F3E0D">
      <w:pPr>
        <w:pStyle w:val="BodyText"/>
      </w:pPr>
      <w:r>
        <w:t>‘Use by different groups’ is an indicator of governments’ objective to provide equitable access for all people</w:t>
      </w:r>
      <w:r w:rsidR="007950B7">
        <w:t>, particularly those with special needs,</w:t>
      </w:r>
      <w:r>
        <w:t xml:space="preserve"> </w:t>
      </w:r>
      <w:r w:rsidR="00A71BE0">
        <w:t xml:space="preserve">to aged care services </w:t>
      </w:r>
      <w:r>
        <w:t>(box 13.</w:t>
      </w:r>
      <w:r w:rsidR="0098622E">
        <w:t>3</w:t>
      </w:r>
      <w:r>
        <w:t xml:space="preserve">). </w:t>
      </w:r>
    </w:p>
    <w:p w:rsidR="004F3E0D" w:rsidRDefault="004F3E0D" w:rsidP="004F3E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E0D" w:rsidTr="005C72D9">
        <w:tc>
          <w:tcPr>
            <w:tcW w:w="8771" w:type="dxa"/>
            <w:tcBorders>
              <w:top w:val="single" w:sz="6" w:space="0" w:color="78A22F"/>
              <w:left w:val="nil"/>
              <w:bottom w:val="nil"/>
              <w:right w:val="nil"/>
            </w:tcBorders>
            <w:shd w:val="clear" w:color="auto" w:fill="F2F2F2" w:themeFill="background1" w:themeFillShade="F2"/>
          </w:tcPr>
          <w:p w:rsidR="004F3E0D" w:rsidRDefault="004F3E0D" w:rsidP="005C72D9">
            <w:pPr>
              <w:pStyle w:val="BoxTitle"/>
            </w:pPr>
            <w:r>
              <w:rPr>
                <w:b w:val="0"/>
              </w:rPr>
              <w:t xml:space="preserve">Box </w:t>
            </w:r>
            <w:bookmarkStart w:id="11" w:name="OLE_LINK13"/>
            <w:r w:rsidR="0098622E">
              <w:rPr>
                <w:b w:val="0"/>
              </w:rPr>
              <w:t>13.</w:t>
            </w:r>
            <w:r w:rsidR="00F132AA">
              <w:rPr>
                <w:b w:val="0"/>
                <w:noProof/>
              </w:rPr>
              <w:t>3</w:t>
            </w:r>
            <w:bookmarkEnd w:id="11"/>
            <w:r>
              <w:tab/>
            </w:r>
            <w:r w:rsidRPr="00BB093A">
              <w:t>Use by different groups</w:t>
            </w:r>
          </w:p>
        </w:tc>
      </w:tr>
      <w:tr w:rsidR="004F3E0D" w:rsidTr="005C72D9">
        <w:trPr>
          <w:cantSplit/>
        </w:trPr>
        <w:tc>
          <w:tcPr>
            <w:tcW w:w="8771" w:type="dxa"/>
            <w:tcBorders>
              <w:top w:val="nil"/>
              <w:left w:val="nil"/>
              <w:bottom w:val="nil"/>
              <w:right w:val="nil"/>
            </w:tcBorders>
            <w:shd w:val="clear" w:color="auto" w:fill="F2F2F2" w:themeFill="background1" w:themeFillShade="F2"/>
          </w:tcPr>
          <w:p w:rsidR="004F3E0D" w:rsidRDefault="004F3E0D" w:rsidP="005C72D9">
            <w:pPr>
              <w:pStyle w:val="Box"/>
            </w:pPr>
            <w:r>
              <w:t>‘Use by different groups’ has two measures:</w:t>
            </w:r>
          </w:p>
          <w:p w:rsidR="004F3E0D" w:rsidRPr="00382E90" w:rsidRDefault="00BA3272" w:rsidP="004F3E0D">
            <w:pPr>
              <w:pStyle w:val="BoxListBullet"/>
            </w:pPr>
            <w:r>
              <w:t>‘</w:t>
            </w:r>
            <w:r w:rsidR="004F3E0D">
              <w:t xml:space="preserve">Access </w:t>
            </w:r>
            <w:r w:rsidR="004F3E0D" w:rsidRPr="00CF784E">
              <w:t>to aged care services across special needs groups</w:t>
            </w:r>
            <w:r>
              <w:t>’</w:t>
            </w:r>
            <w:r w:rsidR="004F3E0D">
              <w:t xml:space="preserve"> </w:t>
            </w:r>
            <w:r w:rsidR="00A71BE0" w:rsidRPr="00BA3272">
              <w:t>is</w:t>
            </w:r>
            <w:r w:rsidR="004F3E0D">
              <w:t xml:space="preserve"> defined as the proportion of </w:t>
            </w:r>
            <w:r w:rsidR="00B51B91">
              <w:t xml:space="preserve">service </w:t>
            </w:r>
            <w:r w:rsidR="004F3E0D">
              <w:t xml:space="preserve">clients who are from a special needs group, compared with the </w:t>
            </w:r>
            <w:r w:rsidR="004F3E0D" w:rsidRPr="000B38AA">
              <w:t xml:space="preserve">proportion of </w:t>
            </w:r>
            <w:r w:rsidR="004F3E0D">
              <w:t xml:space="preserve">the aged care target population </w:t>
            </w:r>
            <w:r w:rsidR="004F3E0D" w:rsidRPr="000B38AA">
              <w:t xml:space="preserve">who are from </w:t>
            </w:r>
            <w:r w:rsidR="00A71BE0">
              <w:t>that</w:t>
            </w:r>
            <w:r w:rsidR="004F3E0D" w:rsidRPr="000B38AA">
              <w:t xml:space="preserve"> special needs group</w:t>
            </w:r>
            <w:r w:rsidR="004F3E0D">
              <w:t xml:space="preserve">. Data are reported </w:t>
            </w:r>
            <w:r w:rsidR="00DF277B">
              <w:t>for</w:t>
            </w:r>
            <w:r w:rsidR="004F3E0D">
              <w:t xml:space="preserve"> </w:t>
            </w:r>
            <w:r w:rsidR="00E91F2F">
              <w:t>two</w:t>
            </w:r>
            <w:r w:rsidR="004F3E0D">
              <w:t xml:space="preserve"> special needs groups (Aboriginal and Torres Strait Islander </w:t>
            </w:r>
            <w:r w:rsidR="004F3E0D" w:rsidRPr="00382E90">
              <w:t>Australians</w:t>
            </w:r>
            <w:r w:rsidR="00E91F2F">
              <w:t xml:space="preserve"> and</w:t>
            </w:r>
            <w:r w:rsidR="004F3E0D">
              <w:t xml:space="preserve"> people </w:t>
            </w:r>
            <w:r w:rsidR="00021E8C">
              <w:t xml:space="preserve">from </w:t>
            </w:r>
            <w:proofErr w:type="spellStart"/>
            <w:r w:rsidR="004F3E0D">
              <w:t>CaLD</w:t>
            </w:r>
            <w:proofErr w:type="spellEnd"/>
            <w:r w:rsidR="004F3E0D">
              <w:t xml:space="preserve"> backgrounds</w:t>
            </w:r>
            <w:r w:rsidR="00E91F2F">
              <w:t>)</w:t>
            </w:r>
            <w:r w:rsidR="004F3E0D">
              <w:t xml:space="preserve">. </w:t>
            </w:r>
            <w:r w:rsidR="00A71BE0">
              <w:t xml:space="preserve">Data availability varies across service types. </w:t>
            </w:r>
            <w:r w:rsidR="004F3E0D">
              <w:t xml:space="preserve">People from </w:t>
            </w:r>
            <w:proofErr w:type="spellStart"/>
            <w:r w:rsidR="004F3E0D">
              <w:t>CaLD</w:t>
            </w:r>
            <w:proofErr w:type="spellEnd"/>
            <w:r w:rsidR="004F3E0D">
              <w:t xml:space="preserve"> backgrounds are </w:t>
            </w:r>
            <w:r w:rsidR="00BB5B41">
              <w:t xml:space="preserve">defined as </w:t>
            </w:r>
            <w:r w:rsidR="00B51B91">
              <w:t>those</w:t>
            </w:r>
            <w:r w:rsidR="004F3E0D">
              <w:t xml:space="preserve"> born overseas from countries other than the </w:t>
            </w:r>
            <w:r w:rsidR="004F3E0D" w:rsidRPr="00181C9D">
              <w:t>U</w:t>
            </w:r>
            <w:r w:rsidR="009B3493">
              <w:t xml:space="preserve">nited </w:t>
            </w:r>
            <w:r w:rsidR="009B3493" w:rsidRPr="00181C9D">
              <w:t>K</w:t>
            </w:r>
            <w:r w:rsidR="009B3493">
              <w:t>ingdom</w:t>
            </w:r>
            <w:r w:rsidR="004F3E0D" w:rsidRPr="00181C9D">
              <w:t>, Ireland, N</w:t>
            </w:r>
            <w:r w:rsidR="009B3493">
              <w:t xml:space="preserve">ew </w:t>
            </w:r>
            <w:r w:rsidR="004F3E0D" w:rsidRPr="00181C9D">
              <w:t>Z</w:t>
            </w:r>
            <w:r w:rsidR="009B3493">
              <w:t>ealand</w:t>
            </w:r>
            <w:r w:rsidR="004F3E0D" w:rsidRPr="00181C9D">
              <w:t>, Canada, South Africa and the U</w:t>
            </w:r>
            <w:r w:rsidR="009B3493">
              <w:t xml:space="preserve">nited </w:t>
            </w:r>
            <w:r w:rsidR="004F3E0D" w:rsidRPr="00181C9D">
              <w:t>S</w:t>
            </w:r>
            <w:r w:rsidR="009B3493">
              <w:t xml:space="preserve">tates of </w:t>
            </w:r>
            <w:r w:rsidR="004F3E0D" w:rsidRPr="00181C9D">
              <w:t>A</w:t>
            </w:r>
            <w:r w:rsidR="009B3493">
              <w:t>merica</w:t>
            </w:r>
            <w:r w:rsidR="004F3E0D">
              <w:t xml:space="preserve">. </w:t>
            </w:r>
          </w:p>
          <w:p w:rsidR="00AE3A3E" w:rsidRPr="00864C90" w:rsidRDefault="00BA3272" w:rsidP="00DF277B">
            <w:pPr>
              <w:pStyle w:val="BoxListBullet"/>
            </w:pPr>
            <w:r>
              <w:t>‘</w:t>
            </w:r>
            <w:r w:rsidR="004F3E0D">
              <w:t>A</w:t>
            </w:r>
            <w:r w:rsidR="004F3E0D" w:rsidRPr="00382E90">
              <w:t>ccess to residential aged care services for financially disadvantaged people</w:t>
            </w:r>
            <w:r>
              <w:t>’</w:t>
            </w:r>
            <w:r w:rsidR="004F3E0D">
              <w:t xml:space="preserve"> </w:t>
            </w:r>
            <w:r w:rsidRPr="00BA3272">
              <w:t>is</w:t>
            </w:r>
            <w:r w:rsidR="004F3E0D">
              <w:t xml:space="preserve"> </w:t>
            </w:r>
            <w:r w:rsidR="004F3E0D" w:rsidRPr="00CF784E">
              <w:t xml:space="preserve">defined as the </w:t>
            </w:r>
            <w:r w:rsidR="004F3E0D" w:rsidRPr="00382E90">
              <w:t xml:space="preserve">proportion of </w:t>
            </w:r>
            <w:r>
              <w:t xml:space="preserve">all </w:t>
            </w:r>
            <w:r w:rsidR="004F3E0D" w:rsidRPr="00382E90">
              <w:t xml:space="preserve">permanent resident care days classified as </w:t>
            </w:r>
            <w:r w:rsidR="00BA2C40">
              <w:t xml:space="preserve">for </w:t>
            </w:r>
            <w:r w:rsidR="004F3E0D" w:rsidRPr="00382E90">
              <w:t>conce</w:t>
            </w:r>
            <w:r w:rsidR="004F3E0D">
              <w:t>ssional, assisted</w:t>
            </w:r>
            <w:r w:rsidR="00327941">
              <w:t>,</w:t>
            </w:r>
            <w:r w:rsidR="004F3E0D">
              <w:t xml:space="preserve"> </w:t>
            </w:r>
            <w:r w:rsidR="004F3E0D" w:rsidRPr="00864C90">
              <w:t>supported</w:t>
            </w:r>
            <w:r w:rsidR="00327941" w:rsidRPr="00864C90">
              <w:t xml:space="preserve"> or low means residents</w:t>
            </w:r>
            <w:r w:rsidR="004F3E0D" w:rsidRPr="00864C90">
              <w:t xml:space="preserve">. </w:t>
            </w:r>
            <w:r w:rsidR="00D9594A" w:rsidRPr="00864C90">
              <w:t>See section</w:t>
            </w:r>
            <w:r w:rsidR="00E75264">
              <w:t> </w:t>
            </w:r>
            <w:r w:rsidR="00D9594A" w:rsidRPr="00864C90">
              <w:t>13.</w:t>
            </w:r>
            <w:r w:rsidR="004116F7" w:rsidRPr="00864C90">
              <w:t xml:space="preserve">5 for definitions of these concepts. </w:t>
            </w:r>
          </w:p>
          <w:p w:rsidR="00A77A56" w:rsidRDefault="00A77A56" w:rsidP="00A77A56">
            <w:pPr>
              <w:pStyle w:val="Box"/>
            </w:pPr>
            <w:r w:rsidRPr="00864C90">
              <w:t>Interpretation of results across these measures</w:t>
            </w:r>
            <w:r>
              <w:t xml:space="preserve"> varies:</w:t>
            </w:r>
          </w:p>
          <w:p w:rsidR="00A77A56" w:rsidRDefault="00A77A56" w:rsidP="00A77A56">
            <w:pPr>
              <w:pStyle w:val="BoxListBullet"/>
            </w:pPr>
            <w:r>
              <w:t>For the ‘Access to aged care services across special needs groups’, the proportion of service clients who are from a particular special needs group should be broadly similar to the proportion of the aged care target population who are from that special needs group.</w:t>
            </w:r>
          </w:p>
        </w:tc>
      </w:tr>
      <w:tr w:rsidR="004F3E0D" w:rsidTr="005C72D9">
        <w:trPr>
          <w:cantSplit/>
        </w:trPr>
        <w:tc>
          <w:tcPr>
            <w:tcW w:w="8771" w:type="dxa"/>
            <w:tcBorders>
              <w:top w:val="nil"/>
              <w:left w:val="nil"/>
              <w:bottom w:val="nil"/>
              <w:right w:val="nil"/>
            </w:tcBorders>
            <w:shd w:val="clear" w:color="auto" w:fill="F2F2F2" w:themeFill="background1" w:themeFillShade="F2"/>
          </w:tcPr>
          <w:p w:rsidR="004F3E0D" w:rsidRPr="003008BF" w:rsidRDefault="004F3E0D" w:rsidP="003008BF">
            <w:pPr>
              <w:pStyle w:val="Continued"/>
            </w:pPr>
            <w:r w:rsidRPr="003008BF">
              <w:t>(continued next page)</w:t>
            </w:r>
          </w:p>
        </w:tc>
      </w:tr>
      <w:tr w:rsidR="004F3E0D" w:rsidTr="005C72D9">
        <w:trPr>
          <w:cantSplit/>
        </w:trPr>
        <w:tc>
          <w:tcPr>
            <w:tcW w:w="8771" w:type="dxa"/>
            <w:tcBorders>
              <w:top w:val="nil"/>
              <w:left w:val="nil"/>
              <w:bottom w:val="single" w:sz="6" w:space="0" w:color="78A22F"/>
              <w:right w:val="nil"/>
            </w:tcBorders>
            <w:shd w:val="clear" w:color="auto" w:fill="F2F2F2" w:themeFill="background1" w:themeFillShade="F2"/>
          </w:tcPr>
          <w:p w:rsidR="004F3E0D" w:rsidRDefault="004F3E0D" w:rsidP="005C72D9">
            <w:pPr>
              <w:pStyle w:val="Box"/>
              <w:spacing w:before="0" w:line="120" w:lineRule="exact"/>
            </w:pPr>
          </w:p>
        </w:tc>
      </w:tr>
      <w:tr w:rsidR="004F3E0D" w:rsidRPr="000863A5" w:rsidTr="005C72D9">
        <w:tc>
          <w:tcPr>
            <w:tcW w:w="8771" w:type="dxa"/>
            <w:tcBorders>
              <w:top w:val="single" w:sz="6" w:space="0" w:color="78A22F"/>
              <w:left w:val="nil"/>
              <w:bottom w:val="nil"/>
              <w:right w:val="nil"/>
            </w:tcBorders>
          </w:tcPr>
          <w:p w:rsidR="004F3E0D" w:rsidRPr="00626D32" w:rsidRDefault="004F3E0D" w:rsidP="005C72D9">
            <w:pPr>
              <w:pStyle w:val="BoxSpaceBelow"/>
            </w:pPr>
          </w:p>
        </w:tc>
      </w:tr>
    </w:tbl>
    <w:p w:rsidR="004F3E0D" w:rsidRDefault="004F3E0D" w:rsidP="004F3E0D">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E0D" w:rsidTr="005C72D9">
        <w:tc>
          <w:tcPr>
            <w:tcW w:w="8771" w:type="dxa"/>
            <w:tcBorders>
              <w:top w:val="single" w:sz="6" w:space="0" w:color="78A22F"/>
              <w:left w:val="nil"/>
              <w:bottom w:val="nil"/>
              <w:right w:val="nil"/>
            </w:tcBorders>
            <w:shd w:val="clear" w:color="auto" w:fill="F2F2F2" w:themeFill="background1" w:themeFillShade="F2"/>
          </w:tcPr>
          <w:p w:rsidR="004F3E0D" w:rsidRDefault="004F3E0D" w:rsidP="0098622E">
            <w:pPr>
              <w:pStyle w:val="BoxTitle"/>
            </w:pPr>
            <w:r>
              <w:rPr>
                <w:b w:val="0"/>
              </w:rPr>
              <w:t xml:space="preserve">Box </w:t>
            </w:r>
            <w:r w:rsidR="00101707">
              <w:rPr>
                <w:b w:val="0"/>
              </w:rPr>
              <w:t>13.</w:t>
            </w:r>
            <w:r w:rsidR="0098622E">
              <w:rPr>
                <w:b w:val="0"/>
              </w:rPr>
              <w:t>3</w:t>
            </w:r>
            <w:r>
              <w:tab/>
            </w:r>
            <w:r w:rsidRPr="006F100B">
              <w:rPr>
                <w:b w:val="0"/>
                <w:sz w:val="18"/>
                <w:szCs w:val="18"/>
              </w:rPr>
              <w:t>(continued)</w:t>
            </w:r>
          </w:p>
        </w:tc>
      </w:tr>
      <w:tr w:rsidR="004F3E0D" w:rsidTr="005C72D9">
        <w:trPr>
          <w:cantSplit/>
        </w:trPr>
        <w:tc>
          <w:tcPr>
            <w:tcW w:w="8771" w:type="dxa"/>
            <w:tcBorders>
              <w:top w:val="nil"/>
              <w:left w:val="nil"/>
              <w:bottom w:val="nil"/>
              <w:right w:val="nil"/>
            </w:tcBorders>
            <w:shd w:val="clear" w:color="auto" w:fill="F2F2F2" w:themeFill="background1" w:themeFillShade="F2"/>
          </w:tcPr>
          <w:p w:rsidR="00610594" w:rsidRDefault="00610594" w:rsidP="00A71BE0">
            <w:pPr>
              <w:pStyle w:val="BoxListBullet"/>
            </w:pPr>
            <w:r>
              <w:t>For ‘Access to residential aged care services for financially disadvantaged people’, Australian Government planning guidelines require that services allocate a minimum proportion of residential places for concessional, assisted</w:t>
            </w:r>
            <w:r w:rsidR="00F45A68">
              <w:t>,</w:t>
            </w:r>
            <w:r>
              <w:t xml:space="preserve"> </w:t>
            </w:r>
            <w:r w:rsidRPr="00864C90">
              <w:t xml:space="preserve">supported </w:t>
            </w:r>
            <w:r w:rsidR="00F45A68" w:rsidRPr="00864C90">
              <w:t xml:space="preserve">or low means </w:t>
            </w:r>
            <w:r w:rsidRPr="00864C90">
              <w:t>residents. These targets range from 16 per cent to 40 per cent of places, depending on the service’s region. Proportions of permanent resident care days equal to, or higher than, the minimum are desirable</w:t>
            </w:r>
            <w:r>
              <w:t>.</w:t>
            </w:r>
          </w:p>
          <w:p w:rsidR="004F3E0D" w:rsidRDefault="004F3E0D" w:rsidP="005C72D9">
            <w:pPr>
              <w:pStyle w:val="Box"/>
              <w:keepNext w:val="0"/>
              <w:widowControl w:val="0"/>
            </w:pPr>
            <w:r>
              <w:t xml:space="preserve">There are nine groups identified by the </w:t>
            </w:r>
            <w:r w:rsidRPr="00A217C8">
              <w:rPr>
                <w:i/>
              </w:rPr>
              <w:t>Aged Care Act 1997</w:t>
            </w:r>
            <w:r>
              <w:t xml:space="preserve"> and its principles (regulations) as having special needs. </w:t>
            </w:r>
            <w:r w:rsidR="00A71BE0">
              <w:t>Measures are</w:t>
            </w:r>
            <w:r>
              <w:t xml:space="preserve"> available for only </w:t>
            </w:r>
            <w:r w:rsidR="00A71BE0">
              <w:t>three</w:t>
            </w:r>
            <w:r>
              <w:t xml:space="preserve"> of these special n</w:t>
            </w:r>
            <w:r w:rsidR="00A71BE0">
              <w:t>eeds groups for this year’s Report</w:t>
            </w:r>
            <w:r w:rsidR="007950B7">
              <w:t xml:space="preserve"> </w:t>
            </w:r>
            <w:r w:rsidR="007950B7">
              <w:rPr>
                <w:rFonts w:ascii="Calibri" w:hAnsi="Calibri"/>
              </w:rPr>
              <w:t>—</w:t>
            </w:r>
            <w:r w:rsidR="007950B7">
              <w:t xml:space="preserve"> </w:t>
            </w:r>
            <w:r>
              <w:t>people from Aboriginal and Torr</w:t>
            </w:r>
            <w:r w:rsidR="00A71BE0">
              <w:t>es Strait Islander and</w:t>
            </w:r>
            <w:r w:rsidRPr="00CA1F6E">
              <w:t xml:space="preserve"> </w:t>
            </w:r>
            <w:proofErr w:type="spellStart"/>
            <w:r>
              <w:t>CaLD</w:t>
            </w:r>
            <w:proofErr w:type="spellEnd"/>
            <w:r w:rsidRPr="00CA1F6E">
              <w:t xml:space="preserve"> backgrounds</w:t>
            </w:r>
            <w:r w:rsidR="007950B7">
              <w:t>,</w:t>
            </w:r>
            <w:r w:rsidR="00A71BE0">
              <w:t xml:space="preserve"> and </w:t>
            </w:r>
            <w:r w:rsidRPr="00CA1F6E">
              <w:t>people who are financially or socially disadvantaged</w:t>
            </w:r>
            <w:r w:rsidR="00A71BE0">
              <w:t xml:space="preserve">. </w:t>
            </w:r>
            <w:r w:rsidR="007950B7">
              <w:t>M</w:t>
            </w:r>
            <w:r w:rsidR="00A71BE0">
              <w:t xml:space="preserve">easures for </w:t>
            </w:r>
            <w:r w:rsidR="00A71BE0" w:rsidRPr="00CA1F6E">
              <w:t>people who live in rural or remote areas</w:t>
            </w:r>
            <w:r w:rsidR="007950B7">
              <w:t xml:space="preserve"> and </w:t>
            </w:r>
            <w:r w:rsidRPr="00CA1F6E">
              <w:t>veterans (including widows and</w:t>
            </w:r>
            <w:r>
              <w:t xml:space="preserve"> widowers of veterans)</w:t>
            </w:r>
            <w:r w:rsidR="007950B7">
              <w:t xml:space="preserve"> are currently under development</w:t>
            </w:r>
            <w:r>
              <w:t xml:space="preserve">. Data are not available for reporting </w:t>
            </w:r>
            <w:r w:rsidR="007950B7">
              <w:t xml:space="preserve">on </w:t>
            </w:r>
            <w:r>
              <w:t xml:space="preserve">people who </w:t>
            </w:r>
            <w:r w:rsidRPr="00CA1F6E">
              <w:t>are homeless or at risk of becoming homeless; people who are care leavers,</w:t>
            </w:r>
            <w:r w:rsidRPr="006552B8">
              <w:t xml:space="preserve"> </w:t>
            </w:r>
            <w:r w:rsidRPr="00CA1F6E">
              <w:t>parents separated from their children by forced adoption or removal and lesbian, gay, bisexual, transgender and intersex people.</w:t>
            </w:r>
            <w:r>
              <w:t xml:space="preserve"> </w:t>
            </w:r>
          </w:p>
          <w:p w:rsidR="004F3E0D" w:rsidRDefault="004F3E0D" w:rsidP="005C72D9">
            <w:pPr>
              <w:pStyle w:val="Box"/>
              <w:keepNext w:val="0"/>
              <w:widowControl w:val="0"/>
            </w:pPr>
            <w:r>
              <w:t xml:space="preserve">Several factors need to be considered </w:t>
            </w:r>
            <w:r w:rsidR="007950B7">
              <w:t>with the</w:t>
            </w:r>
            <w:r>
              <w:t xml:space="preserve"> results for th</w:t>
            </w:r>
            <w:r w:rsidR="007950B7">
              <w:t>ese</w:t>
            </w:r>
            <w:r w:rsidR="002E7067">
              <w:t xml:space="preserve"> </w:t>
            </w:r>
            <w:r>
              <w:t xml:space="preserve">measures: </w:t>
            </w:r>
          </w:p>
          <w:p w:rsidR="004F3E0D" w:rsidRDefault="004F3E0D" w:rsidP="005C72D9">
            <w:pPr>
              <w:pStyle w:val="BoxListBullet"/>
            </w:pPr>
            <w:r>
              <w:t>Cultural differences and higher disability rates, which suggest a greater level of need for services, can influence the extent to which the different special needs groups use different types of services. To account for higher disability rates, lower life expectancy and</w:t>
            </w:r>
            <w:r w:rsidRPr="004A0CC2">
              <w:t xml:space="preserve"> </w:t>
            </w:r>
            <w:r>
              <w:t xml:space="preserve">therefore an increased </w:t>
            </w:r>
            <w:r w:rsidRPr="004A0CC2">
              <w:t>likelihood of requiring aged care services</w:t>
            </w:r>
            <w:r>
              <w:t xml:space="preserve"> at a younger age, the aged care target population for </w:t>
            </w:r>
            <w:r w:rsidRPr="004A0CC2">
              <w:t xml:space="preserve">Aboriginal and Torres Strait Islander Australians </w:t>
            </w:r>
            <w:r>
              <w:t xml:space="preserve">is people </w:t>
            </w:r>
            <w:r w:rsidRPr="004A0CC2">
              <w:t>aged 50</w:t>
            </w:r>
            <w:r w:rsidR="00BA2C40">
              <w:t> </w:t>
            </w:r>
            <w:r w:rsidRPr="004A0CC2">
              <w:t xml:space="preserve">years or over, compared to </w:t>
            </w:r>
            <w:r>
              <w:t xml:space="preserve">people aged 65 years or over for </w:t>
            </w:r>
            <w:r w:rsidR="0010572E">
              <w:t>the general population and other population groups</w:t>
            </w:r>
            <w:r w:rsidRPr="004A0CC2">
              <w:t>.</w:t>
            </w:r>
          </w:p>
          <w:p w:rsidR="004F3E0D" w:rsidRDefault="004F3E0D" w:rsidP="005C72D9">
            <w:pPr>
              <w:pStyle w:val="BoxListBullet"/>
              <w:keepNext w:val="0"/>
              <w:widowControl w:val="0"/>
            </w:pPr>
            <w:r>
              <w:t xml:space="preserve">The availability of informal care and support can </w:t>
            </w:r>
            <w:r w:rsidR="007950B7">
              <w:t>affect</w:t>
            </w:r>
            <w:r>
              <w:t xml:space="preserve"> the use of aged care services </w:t>
            </w:r>
            <w:r w:rsidR="007950B7">
              <w:t>across</w:t>
            </w:r>
            <w:r>
              <w:t xml:space="preserve"> different population groups.</w:t>
            </w:r>
            <w:r w:rsidR="007950B7">
              <w:t xml:space="preserve"> Stronger informal support networks can reduce the need for formal aged care services</w:t>
            </w:r>
            <w:r w:rsidR="00B3061E">
              <w:t>, or for particular service types</w:t>
            </w:r>
            <w:r w:rsidR="007950B7">
              <w:t>.</w:t>
            </w:r>
          </w:p>
          <w:p w:rsidR="004F3E0D" w:rsidRDefault="004F3E0D" w:rsidP="005C72D9">
            <w:pPr>
              <w:pStyle w:val="Box"/>
              <w:keepNext w:val="0"/>
              <w:widowControl w:val="0"/>
            </w:pPr>
            <w:r>
              <w:t>Data reported for this indicator are:</w:t>
            </w:r>
          </w:p>
          <w:p w:rsidR="004F3E0D" w:rsidRPr="00864C90" w:rsidRDefault="004F3E0D" w:rsidP="005D5AA5">
            <w:pPr>
              <w:pStyle w:val="BoxListBullet"/>
            </w:pPr>
            <w:r>
              <w:t xml:space="preserve">comparable (subject to caveats) across jurisdictions </w:t>
            </w:r>
            <w:r w:rsidR="005D5AA5" w:rsidRPr="00864C90">
              <w:t xml:space="preserve">for both measures </w:t>
            </w:r>
            <w:r w:rsidRPr="00864C90">
              <w:t xml:space="preserve">and over time </w:t>
            </w:r>
            <w:r w:rsidR="005D5AA5" w:rsidRPr="00864C90">
              <w:t xml:space="preserve">for the </w:t>
            </w:r>
            <w:r w:rsidR="003A4D24" w:rsidRPr="00864C90">
              <w:t>‘</w:t>
            </w:r>
            <w:r w:rsidR="005D5AA5" w:rsidRPr="00864C90">
              <w:t>Access to aged care services across special needs groups</w:t>
            </w:r>
            <w:r w:rsidR="003A4D24" w:rsidRPr="00864C90">
              <w:t>’</w:t>
            </w:r>
            <w:r w:rsidR="005D5AA5" w:rsidRPr="00864C90">
              <w:t xml:space="preserve"> measure, but not comparable over time for the ‘Access to residential services by financially disadvantaged users’ measure (2014</w:t>
            </w:r>
            <w:r w:rsidR="00E75264">
              <w:noBreakHyphen/>
            </w:r>
            <w:r w:rsidR="005D5AA5" w:rsidRPr="00864C90">
              <w:t xml:space="preserve">15 data are </w:t>
            </w:r>
            <w:r w:rsidR="003A4D24" w:rsidRPr="00864C90">
              <w:t xml:space="preserve">not </w:t>
            </w:r>
            <w:r w:rsidR="005D5AA5" w:rsidRPr="00864C90">
              <w:t>comparable to earlier years</w:t>
            </w:r>
            <w:r w:rsidR="00F45A68" w:rsidRPr="00864C90">
              <w:t xml:space="preserve"> as data on people of low means are not available</w:t>
            </w:r>
            <w:r w:rsidR="005D5AA5" w:rsidRPr="00864C90">
              <w:t>)</w:t>
            </w:r>
          </w:p>
          <w:p w:rsidR="004F3E0D" w:rsidRDefault="004F3E0D" w:rsidP="005C72D9">
            <w:pPr>
              <w:pStyle w:val="BoxListBullet"/>
              <w:keepNext w:val="0"/>
              <w:widowControl w:val="0"/>
            </w:pPr>
            <w:r>
              <w:t xml:space="preserve">complete </w:t>
            </w:r>
            <w:r w:rsidR="00FF6F85">
              <w:t xml:space="preserve">(subject to caveats) </w:t>
            </w:r>
            <w:r>
              <w:t xml:space="preserve">for the current reporting period. All required </w:t>
            </w:r>
            <w:r w:rsidR="00B3061E">
              <w:t>latest year</w:t>
            </w:r>
            <w:r>
              <w:t xml:space="preserve"> data are available for all jurisdictions.</w:t>
            </w:r>
          </w:p>
          <w:p w:rsidR="004F3E0D" w:rsidRDefault="004F3E0D" w:rsidP="00AA3C69">
            <w:pPr>
              <w:pStyle w:val="Box"/>
              <w:keepNext w:val="0"/>
              <w:widowControl w:val="0"/>
            </w:pPr>
            <w:r>
              <w:t>Data quality information for</w:t>
            </w:r>
            <w:r w:rsidR="00AA3C69">
              <w:t xml:space="preserve"> this indicator</w:t>
            </w:r>
            <w:r>
              <w:t xml:space="preserve"> is at </w:t>
            </w:r>
            <w:proofErr w:type="spellStart"/>
            <w:r>
              <w:t>www.pc.gov.au</w:t>
            </w:r>
            <w:proofErr w:type="spellEnd"/>
            <w:r>
              <w:t>/</w:t>
            </w:r>
            <w:proofErr w:type="spellStart"/>
            <w:r>
              <w:t>rogs</w:t>
            </w:r>
            <w:proofErr w:type="spellEnd"/>
            <w:r>
              <w:t xml:space="preserve">/2016. </w:t>
            </w:r>
          </w:p>
        </w:tc>
      </w:tr>
      <w:tr w:rsidR="004F3E0D" w:rsidTr="005C72D9">
        <w:trPr>
          <w:cantSplit/>
        </w:trPr>
        <w:tc>
          <w:tcPr>
            <w:tcW w:w="8771" w:type="dxa"/>
            <w:tcBorders>
              <w:top w:val="nil"/>
              <w:left w:val="nil"/>
              <w:bottom w:val="single" w:sz="6" w:space="0" w:color="78A22F"/>
              <w:right w:val="nil"/>
            </w:tcBorders>
            <w:shd w:val="clear" w:color="auto" w:fill="F2F2F2" w:themeFill="background1" w:themeFillShade="F2"/>
          </w:tcPr>
          <w:p w:rsidR="004F3E0D" w:rsidRDefault="004F3E0D" w:rsidP="005C72D9">
            <w:pPr>
              <w:pStyle w:val="Box"/>
              <w:keepNext w:val="0"/>
              <w:widowControl w:val="0"/>
              <w:spacing w:before="0" w:line="120" w:lineRule="exact"/>
            </w:pPr>
          </w:p>
        </w:tc>
      </w:tr>
      <w:tr w:rsidR="004F3E0D" w:rsidRPr="000863A5" w:rsidTr="005C72D9">
        <w:tc>
          <w:tcPr>
            <w:tcW w:w="8771" w:type="dxa"/>
            <w:tcBorders>
              <w:top w:val="single" w:sz="6" w:space="0" w:color="78A22F"/>
              <w:left w:val="nil"/>
              <w:bottom w:val="nil"/>
              <w:right w:val="nil"/>
            </w:tcBorders>
          </w:tcPr>
          <w:p w:rsidR="004F3E0D" w:rsidRPr="00626D32" w:rsidRDefault="004F3E0D" w:rsidP="005C72D9">
            <w:pPr>
              <w:pStyle w:val="BoxSpaceBelow"/>
              <w:widowControl w:val="0"/>
            </w:pPr>
          </w:p>
        </w:tc>
      </w:tr>
    </w:tbl>
    <w:p w:rsidR="004F3E0D" w:rsidRDefault="004F3E0D" w:rsidP="00B6113E">
      <w:pPr>
        <w:pStyle w:val="Heading5"/>
      </w:pPr>
      <w:r>
        <w:t>Access to aged care services across special needs groups</w:t>
      </w:r>
    </w:p>
    <w:p w:rsidR="004F3E0D" w:rsidRPr="00BC30B5" w:rsidRDefault="00DF277B" w:rsidP="004F3E0D">
      <w:pPr>
        <w:pStyle w:val="BodyText"/>
      </w:pPr>
      <w:r>
        <w:t>Differences in the representation</w:t>
      </w:r>
      <w:r w:rsidR="007950B7">
        <w:t xml:space="preserve"> </w:t>
      </w:r>
      <w:r>
        <w:t>of a special needs group</w:t>
      </w:r>
      <w:r w:rsidR="007950B7">
        <w:t xml:space="preserve"> </w:t>
      </w:r>
      <w:r>
        <w:t xml:space="preserve">in services </w:t>
      </w:r>
      <w:r w:rsidR="00ED542D">
        <w:t xml:space="preserve">compared </w:t>
      </w:r>
      <w:r w:rsidR="007950B7">
        <w:t>to</w:t>
      </w:r>
      <w:r w:rsidR="007950B7" w:rsidRPr="008818BC">
        <w:t xml:space="preserve"> </w:t>
      </w:r>
      <w:r w:rsidR="004F3E0D">
        <w:t>the</w:t>
      </w:r>
      <w:r>
        <w:t>ir representation</w:t>
      </w:r>
      <w:r w:rsidR="004F3E0D">
        <w:t xml:space="preserve"> </w:t>
      </w:r>
      <w:r>
        <w:t>in</w:t>
      </w:r>
      <w:r w:rsidR="004F3E0D">
        <w:t xml:space="preserve"> the aged care target population varied across service types </w:t>
      </w:r>
      <w:r>
        <w:t xml:space="preserve">and groups </w:t>
      </w:r>
      <w:r w:rsidR="004F3E0D">
        <w:t>(table</w:t>
      </w:r>
      <w:r w:rsidR="00E75264">
        <w:t> </w:t>
      </w:r>
      <w:r w:rsidR="004F3E0D">
        <w:t>13.</w:t>
      </w:r>
      <w:r w:rsidR="00B3061E">
        <w:t>3</w:t>
      </w:r>
      <w:r w:rsidR="004F3E0D">
        <w:t>)</w:t>
      </w:r>
      <w:r w:rsidR="004F3E0D" w:rsidRPr="00BC30B5">
        <w:t>:</w:t>
      </w:r>
      <w:r w:rsidR="004F3E0D" w:rsidRPr="008B42D1">
        <w:rPr>
          <w:rStyle w:val="BoxChar"/>
        </w:rPr>
        <w:t xml:space="preserve"> </w:t>
      </w:r>
    </w:p>
    <w:p w:rsidR="004F3E0D" w:rsidRPr="00864C90" w:rsidRDefault="004F3E0D" w:rsidP="00E47D07">
      <w:pPr>
        <w:pStyle w:val="ListBullet"/>
      </w:pPr>
      <w:r>
        <w:t xml:space="preserve">Nationally, Aboriginal and </w:t>
      </w:r>
      <w:r w:rsidRPr="0062110F">
        <w:t xml:space="preserve">Torres Strait Islander </w:t>
      </w:r>
      <w:r>
        <w:t xml:space="preserve">Australians were </w:t>
      </w:r>
      <w:r w:rsidR="00CA5249">
        <w:t>2.9</w:t>
      </w:r>
      <w:r>
        <w:t xml:space="preserve"> per cent of the </w:t>
      </w:r>
      <w:r w:rsidRPr="0062110F">
        <w:t>aged</w:t>
      </w:r>
      <w:r>
        <w:t xml:space="preserve"> care target population and </w:t>
      </w:r>
      <w:r w:rsidR="0026598B" w:rsidRPr="00864C90">
        <w:t>were overrepresented in clients of Home Care</w:t>
      </w:r>
      <w:r w:rsidR="0026598B" w:rsidRPr="0026598B">
        <w:rPr>
          <w:shd w:val="clear" w:color="auto" w:fill="BFBFBF" w:themeFill="background1" w:themeFillShade="BF"/>
        </w:rPr>
        <w:t xml:space="preserve"> </w:t>
      </w:r>
      <w:r w:rsidR="0026598B" w:rsidRPr="0026598B">
        <w:rPr>
          <w:shd w:val="clear" w:color="auto" w:fill="BFBFBF" w:themeFill="background1" w:themeFillShade="BF"/>
        </w:rPr>
        <w:br/>
      </w:r>
      <w:r w:rsidR="0026598B" w:rsidRPr="00864C90">
        <w:lastRenderedPageBreak/>
        <w:t>levels 1</w:t>
      </w:r>
      <w:r w:rsidR="00BA2C40">
        <w:sym w:font="Symbol" w:char="F02D"/>
      </w:r>
      <w:r w:rsidR="0026598B" w:rsidRPr="00864C90">
        <w:t xml:space="preserve">2 (4.3 per cent) and </w:t>
      </w:r>
      <w:r w:rsidRPr="00864C90">
        <w:t xml:space="preserve">similarly represented in </w:t>
      </w:r>
      <w:r w:rsidR="003354AD" w:rsidRPr="00864C90">
        <w:t xml:space="preserve">clients of </w:t>
      </w:r>
      <w:r w:rsidRPr="00864C90">
        <w:t xml:space="preserve">HACC services </w:t>
      </w:r>
      <w:r w:rsidR="0026598B" w:rsidRPr="00864C90">
        <w:br/>
      </w:r>
      <w:r w:rsidRPr="00864C90">
        <w:t>(</w:t>
      </w:r>
      <w:r w:rsidR="00010F44" w:rsidRPr="00864C90">
        <w:t>2.9</w:t>
      </w:r>
      <w:r w:rsidRPr="00864C90">
        <w:t xml:space="preserve"> per cent)</w:t>
      </w:r>
      <w:r w:rsidR="0026598B" w:rsidRPr="00864C90">
        <w:t xml:space="preserve">, but </w:t>
      </w:r>
      <w:r w:rsidRPr="00864C90">
        <w:t xml:space="preserve">underrepresented in </w:t>
      </w:r>
      <w:r w:rsidR="003354AD" w:rsidRPr="00864C90">
        <w:t>clients of ACATs</w:t>
      </w:r>
      <w:r w:rsidRPr="00864C90">
        <w:t xml:space="preserve"> (</w:t>
      </w:r>
      <w:r w:rsidR="00CA46A7" w:rsidRPr="00864C90">
        <w:t>1.3</w:t>
      </w:r>
      <w:r w:rsidR="009A0BAB" w:rsidRPr="00864C90">
        <w:t> </w:t>
      </w:r>
      <w:r w:rsidRPr="00864C90">
        <w:t>per</w:t>
      </w:r>
      <w:r w:rsidR="009A0BAB" w:rsidRPr="00864C90">
        <w:t> </w:t>
      </w:r>
      <w:r w:rsidRPr="00864C90">
        <w:t>cent), residential aged care (</w:t>
      </w:r>
      <w:r w:rsidR="00010F44" w:rsidRPr="00864C90">
        <w:t>1.1</w:t>
      </w:r>
      <w:r w:rsidRPr="00864C90">
        <w:t xml:space="preserve"> per cent), </w:t>
      </w:r>
      <w:r w:rsidR="00F92039" w:rsidRPr="00864C90">
        <w:t>H</w:t>
      </w:r>
      <w:r w:rsidRPr="00864C90">
        <w:t xml:space="preserve">ome </w:t>
      </w:r>
      <w:r w:rsidR="00F92039" w:rsidRPr="00864C90">
        <w:t>C</w:t>
      </w:r>
      <w:r w:rsidRPr="00864C90">
        <w:t>are levels 3</w:t>
      </w:r>
      <w:r w:rsidR="00BA2C40">
        <w:sym w:font="Symbol" w:char="F02D"/>
      </w:r>
      <w:r w:rsidRPr="00864C90">
        <w:t>4 (</w:t>
      </w:r>
      <w:r w:rsidR="0026598B" w:rsidRPr="00864C90">
        <w:t>1</w:t>
      </w:r>
      <w:r w:rsidR="00F92039" w:rsidRPr="00864C90">
        <w:t>.</w:t>
      </w:r>
      <w:r w:rsidR="0026598B" w:rsidRPr="00864C90">
        <w:t>6</w:t>
      </w:r>
      <w:r w:rsidRPr="00864C90">
        <w:t> </w:t>
      </w:r>
      <w:r w:rsidR="00C656CC" w:rsidRPr="00864C90">
        <w:t>per cent)</w:t>
      </w:r>
      <w:r w:rsidRPr="00864C90">
        <w:t xml:space="preserve"> and </w:t>
      </w:r>
      <w:r w:rsidR="00905D77">
        <w:t>T</w:t>
      </w:r>
      <w:r w:rsidRPr="00864C90">
        <w:t xml:space="preserve">ransition </w:t>
      </w:r>
      <w:r w:rsidR="00905D77">
        <w:t>C</w:t>
      </w:r>
      <w:r w:rsidRPr="00864C90">
        <w:t xml:space="preserve">are </w:t>
      </w:r>
      <w:r w:rsidR="0026598B" w:rsidRPr="00864C90">
        <w:br/>
      </w:r>
      <w:r w:rsidRPr="00864C90">
        <w:t>(</w:t>
      </w:r>
      <w:r w:rsidR="004E627A" w:rsidRPr="00864C90">
        <w:t>0.8</w:t>
      </w:r>
      <w:r w:rsidRPr="00864C90">
        <w:t xml:space="preserve"> per cent).</w:t>
      </w:r>
      <w:r w:rsidR="00DF277B" w:rsidRPr="00864C90">
        <w:t xml:space="preserve"> </w:t>
      </w:r>
    </w:p>
    <w:p w:rsidR="003354AD" w:rsidRPr="00F06E9D" w:rsidRDefault="004F3E0D" w:rsidP="00F06E9D">
      <w:pPr>
        <w:pStyle w:val="ListBullet"/>
      </w:pPr>
      <w:r>
        <w:t xml:space="preserve">Nationally, people from </w:t>
      </w:r>
      <w:proofErr w:type="spellStart"/>
      <w:r>
        <w:t>CaLD</w:t>
      </w:r>
      <w:proofErr w:type="spellEnd"/>
      <w:r>
        <w:t xml:space="preserve"> backgrounds were </w:t>
      </w:r>
      <w:r w:rsidR="00CA5249">
        <w:t>22.6</w:t>
      </w:r>
      <w:r>
        <w:t xml:space="preserve"> per cent of the aged care target population and were therefore </w:t>
      </w:r>
      <w:r w:rsidR="00F06E9D" w:rsidRPr="00864C90">
        <w:t>over</w:t>
      </w:r>
      <w:r w:rsidR="00F92039" w:rsidRPr="00864C90">
        <w:t xml:space="preserve">represented in </w:t>
      </w:r>
      <w:r w:rsidR="00B3061E" w:rsidRPr="00864C90">
        <w:t xml:space="preserve">the group of clients receiving </w:t>
      </w:r>
      <w:r w:rsidR="00223571" w:rsidRPr="00864C90">
        <w:t>H</w:t>
      </w:r>
      <w:r w:rsidRPr="00864C90">
        <w:t xml:space="preserve">ome </w:t>
      </w:r>
      <w:r w:rsidR="00223571" w:rsidRPr="00864C90">
        <w:t>C</w:t>
      </w:r>
      <w:r w:rsidRPr="00864C90">
        <w:t>are levels 1</w:t>
      </w:r>
      <w:r w:rsidR="00BA2C40">
        <w:sym w:font="Symbol" w:char="F02D"/>
      </w:r>
      <w:r w:rsidRPr="00864C90">
        <w:t>2 (</w:t>
      </w:r>
      <w:r w:rsidR="00F06E9D" w:rsidRPr="00864C90">
        <w:t>25</w:t>
      </w:r>
      <w:r w:rsidR="00F92039" w:rsidRPr="00864C90">
        <w:t>.</w:t>
      </w:r>
      <w:r w:rsidR="00F06E9D" w:rsidRPr="00864C90">
        <w:t>5</w:t>
      </w:r>
      <w:r w:rsidRPr="00864C90">
        <w:t xml:space="preserve"> per cent) and </w:t>
      </w:r>
      <w:r w:rsidR="00223571" w:rsidRPr="00864C90">
        <w:t>H</w:t>
      </w:r>
      <w:r w:rsidRPr="00864C90">
        <w:t xml:space="preserve">ome </w:t>
      </w:r>
      <w:r w:rsidR="00223571" w:rsidRPr="00864C90">
        <w:t>C</w:t>
      </w:r>
      <w:r w:rsidRPr="00864C90">
        <w:t>are levels 3</w:t>
      </w:r>
      <w:r w:rsidR="00BA2C40">
        <w:sym w:font="Symbol" w:char="F02D"/>
      </w:r>
      <w:r w:rsidRPr="00864C90">
        <w:t>4 (</w:t>
      </w:r>
      <w:r w:rsidR="00F06E9D" w:rsidRPr="00864C90">
        <w:t>25.8</w:t>
      </w:r>
      <w:r w:rsidR="00F92039" w:rsidRPr="00864C90">
        <w:t xml:space="preserve"> per cent)</w:t>
      </w:r>
      <w:r w:rsidR="00F06E9D" w:rsidRPr="00864C90">
        <w:t>, but</w:t>
      </w:r>
      <w:r w:rsidR="00F06E9D" w:rsidRPr="00F06E9D">
        <w:t xml:space="preserve"> underrepresented in clients of</w:t>
      </w:r>
      <w:r w:rsidR="00F92039" w:rsidRPr="00F06E9D">
        <w:t xml:space="preserve"> </w:t>
      </w:r>
      <w:r w:rsidR="00F06E9D" w:rsidRPr="00F06E9D">
        <w:t>residential aged care (18.3 per cent).</w:t>
      </w:r>
    </w:p>
    <w:p w:rsidR="002E7067" w:rsidRDefault="002E7067" w:rsidP="005F19E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2E7067" w:rsidTr="002E7067">
        <w:tc>
          <w:tcPr>
            <w:tcW w:w="8909" w:type="dxa"/>
            <w:tcBorders>
              <w:top w:val="single" w:sz="6" w:space="0" w:color="78A22F"/>
              <w:left w:val="nil"/>
              <w:bottom w:val="nil"/>
              <w:right w:val="nil"/>
            </w:tcBorders>
            <w:shd w:val="clear" w:color="auto" w:fill="auto"/>
          </w:tcPr>
          <w:p w:rsidR="002E7067" w:rsidRPr="00784A05" w:rsidRDefault="002E7067" w:rsidP="002E7067">
            <w:pPr>
              <w:pStyle w:val="TableTitle"/>
            </w:pPr>
            <w:r>
              <w:rPr>
                <w:b w:val="0"/>
              </w:rPr>
              <w:t>Table 13.</w:t>
            </w:r>
            <w:r w:rsidR="00F132AA">
              <w:rPr>
                <w:b w:val="0"/>
                <w:noProof/>
              </w:rPr>
              <w:t>3</w:t>
            </w:r>
            <w:r>
              <w:tab/>
            </w:r>
            <w:r w:rsidRPr="00884BAA">
              <w:t xml:space="preserve">Proportion of the aged care target population from special needs groups, compared with the proportion of </w:t>
            </w:r>
            <w:r>
              <w:t xml:space="preserve">service clients </w:t>
            </w:r>
            <w:r w:rsidRPr="00884BAA">
              <w:t>who are from special needs group (per cent)</w:t>
            </w:r>
            <w:r w:rsidRPr="00FF6F85">
              <w:rPr>
                <w:rStyle w:val="NoteLabel"/>
                <w:b/>
              </w:rPr>
              <w:t>a</w:t>
            </w:r>
          </w:p>
        </w:tc>
      </w:tr>
      <w:tr w:rsidR="002E7067" w:rsidTr="002E7067">
        <w:trPr>
          <w:cantSplit/>
        </w:trPr>
        <w:tc>
          <w:tcPr>
            <w:tcW w:w="8909" w:type="dxa"/>
            <w:tcBorders>
              <w:top w:val="nil"/>
              <w:left w:val="nil"/>
              <w:bottom w:val="nil"/>
              <w:right w:val="nil"/>
            </w:tcBorders>
            <w:shd w:val="clear" w:color="auto" w:fill="auto"/>
          </w:tcPr>
          <w:tbl>
            <w:tblPr>
              <w:tblW w:w="8625" w:type="dxa"/>
              <w:tblCellMar>
                <w:left w:w="0" w:type="dxa"/>
                <w:right w:w="0" w:type="dxa"/>
              </w:tblCellMar>
              <w:tblLook w:val="0000" w:firstRow="0" w:lastRow="0" w:firstColumn="0" w:lastColumn="0" w:noHBand="0" w:noVBand="0"/>
            </w:tblPr>
            <w:tblGrid>
              <w:gridCol w:w="2244"/>
              <w:gridCol w:w="852"/>
              <w:gridCol w:w="707"/>
              <w:gridCol w:w="709"/>
              <w:gridCol w:w="709"/>
              <w:gridCol w:w="716"/>
              <w:gridCol w:w="709"/>
              <w:gridCol w:w="707"/>
              <w:gridCol w:w="706"/>
              <w:gridCol w:w="566"/>
            </w:tblGrid>
            <w:tr w:rsidR="002E7067" w:rsidRPr="003354AD" w:rsidTr="005F19EB">
              <w:tc>
                <w:tcPr>
                  <w:tcW w:w="1301" w:type="pct"/>
                  <w:tcBorders>
                    <w:top w:val="single" w:sz="6" w:space="0" w:color="BFBFBF"/>
                    <w:bottom w:val="single" w:sz="6" w:space="0" w:color="BFBFBF"/>
                  </w:tcBorders>
                  <w:shd w:val="clear" w:color="auto" w:fill="auto"/>
                </w:tcPr>
                <w:p w:rsidR="002E7067" w:rsidRPr="003354AD" w:rsidRDefault="002E7067" w:rsidP="005F19EB">
                  <w:pPr>
                    <w:pStyle w:val="TableColumnHeading"/>
                    <w:jc w:val="left"/>
                    <w:rPr>
                      <w:szCs w:val="18"/>
                    </w:rPr>
                  </w:pPr>
                </w:p>
              </w:tc>
              <w:tc>
                <w:tcPr>
                  <w:tcW w:w="494" w:type="pct"/>
                  <w:tcBorders>
                    <w:top w:val="single" w:sz="6" w:space="0" w:color="BFBFBF"/>
                    <w:bottom w:val="single" w:sz="6" w:space="0" w:color="BFBFBF"/>
                  </w:tcBorders>
                  <w:shd w:val="clear" w:color="auto" w:fill="auto"/>
                </w:tcPr>
                <w:p w:rsidR="002E7067" w:rsidRPr="003354AD" w:rsidRDefault="002E7067" w:rsidP="005F19EB">
                  <w:pPr>
                    <w:pStyle w:val="TableColumnHeading"/>
                    <w:rPr>
                      <w:szCs w:val="18"/>
                    </w:rPr>
                  </w:pPr>
                  <w:r w:rsidRPr="003354AD">
                    <w:rPr>
                      <w:szCs w:val="18"/>
                    </w:rPr>
                    <w:t>NSW</w:t>
                  </w:r>
                </w:p>
              </w:tc>
              <w:tc>
                <w:tcPr>
                  <w:tcW w:w="410" w:type="pct"/>
                  <w:tcBorders>
                    <w:top w:val="single" w:sz="6" w:space="0" w:color="BFBFBF"/>
                    <w:bottom w:val="single" w:sz="6" w:space="0" w:color="BFBFBF"/>
                  </w:tcBorders>
                  <w:shd w:val="clear" w:color="auto" w:fill="auto"/>
                </w:tcPr>
                <w:p w:rsidR="002E7067" w:rsidRPr="003354AD" w:rsidRDefault="002E7067" w:rsidP="005F19EB">
                  <w:pPr>
                    <w:pStyle w:val="TableColumnHeading"/>
                    <w:rPr>
                      <w:szCs w:val="18"/>
                    </w:rPr>
                  </w:pPr>
                  <w:r w:rsidRPr="003354AD">
                    <w:rPr>
                      <w:szCs w:val="18"/>
                    </w:rPr>
                    <w:t>Vic</w:t>
                  </w:r>
                </w:p>
              </w:tc>
              <w:tc>
                <w:tcPr>
                  <w:tcW w:w="411" w:type="pct"/>
                  <w:tcBorders>
                    <w:top w:val="single" w:sz="6" w:space="0" w:color="BFBFBF"/>
                    <w:bottom w:val="single" w:sz="6" w:space="0" w:color="BFBFBF"/>
                  </w:tcBorders>
                  <w:shd w:val="clear" w:color="auto" w:fill="auto"/>
                </w:tcPr>
                <w:p w:rsidR="002E7067" w:rsidRPr="003354AD" w:rsidRDefault="002E7067" w:rsidP="005F19EB">
                  <w:pPr>
                    <w:pStyle w:val="TableColumnHeading"/>
                    <w:rPr>
                      <w:szCs w:val="18"/>
                    </w:rPr>
                  </w:pPr>
                  <w:r w:rsidRPr="003354AD">
                    <w:rPr>
                      <w:szCs w:val="18"/>
                    </w:rPr>
                    <w:t>Qld</w:t>
                  </w:r>
                </w:p>
              </w:tc>
              <w:tc>
                <w:tcPr>
                  <w:tcW w:w="411" w:type="pct"/>
                  <w:tcBorders>
                    <w:top w:val="single" w:sz="6" w:space="0" w:color="BFBFBF"/>
                    <w:bottom w:val="single" w:sz="6" w:space="0" w:color="BFBFBF"/>
                  </w:tcBorders>
                  <w:shd w:val="clear" w:color="auto" w:fill="auto"/>
                </w:tcPr>
                <w:p w:rsidR="002E7067" w:rsidRPr="003354AD" w:rsidRDefault="002E7067" w:rsidP="005F19EB">
                  <w:pPr>
                    <w:pStyle w:val="TableColumnHeading"/>
                    <w:rPr>
                      <w:szCs w:val="18"/>
                    </w:rPr>
                  </w:pPr>
                  <w:r w:rsidRPr="003354AD">
                    <w:rPr>
                      <w:szCs w:val="18"/>
                    </w:rPr>
                    <w:t>WA</w:t>
                  </w:r>
                </w:p>
              </w:tc>
              <w:tc>
                <w:tcPr>
                  <w:tcW w:w="415" w:type="pct"/>
                  <w:tcBorders>
                    <w:top w:val="single" w:sz="6" w:space="0" w:color="BFBFBF"/>
                    <w:bottom w:val="single" w:sz="6" w:space="0" w:color="BFBFBF"/>
                  </w:tcBorders>
                  <w:shd w:val="clear" w:color="auto" w:fill="auto"/>
                </w:tcPr>
                <w:p w:rsidR="002E7067" w:rsidRPr="003354AD" w:rsidRDefault="002E7067" w:rsidP="005F19EB">
                  <w:pPr>
                    <w:pStyle w:val="TableColumnHeading"/>
                    <w:rPr>
                      <w:szCs w:val="18"/>
                    </w:rPr>
                  </w:pPr>
                  <w:r w:rsidRPr="003354AD">
                    <w:rPr>
                      <w:szCs w:val="18"/>
                    </w:rPr>
                    <w:t>SA</w:t>
                  </w:r>
                </w:p>
              </w:tc>
              <w:tc>
                <w:tcPr>
                  <w:tcW w:w="411" w:type="pct"/>
                  <w:tcBorders>
                    <w:top w:val="single" w:sz="6" w:space="0" w:color="BFBFBF"/>
                    <w:bottom w:val="single" w:sz="6" w:space="0" w:color="BFBFBF"/>
                  </w:tcBorders>
                  <w:shd w:val="clear" w:color="auto" w:fill="auto"/>
                </w:tcPr>
                <w:p w:rsidR="002E7067" w:rsidRPr="003354AD" w:rsidRDefault="002E7067" w:rsidP="005F19EB">
                  <w:pPr>
                    <w:pStyle w:val="TableColumnHeading"/>
                    <w:rPr>
                      <w:szCs w:val="18"/>
                    </w:rPr>
                  </w:pPr>
                  <w:r w:rsidRPr="003354AD">
                    <w:rPr>
                      <w:szCs w:val="18"/>
                    </w:rPr>
                    <w:t>Tas</w:t>
                  </w:r>
                </w:p>
              </w:tc>
              <w:tc>
                <w:tcPr>
                  <w:tcW w:w="410" w:type="pct"/>
                  <w:tcBorders>
                    <w:top w:val="single" w:sz="6" w:space="0" w:color="BFBFBF"/>
                    <w:bottom w:val="single" w:sz="6" w:space="0" w:color="BFBFBF"/>
                  </w:tcBorders>
                  <w:shd w:val="clear" w:color="auto" w:fill="auto"/>
                </w:tcPr>
                <w:p w:rsidR="002E7067" w:rsidRPr="003354AD" w:rsidRDefault="002E7067" w:rsidP="005F19EB">
                  <w:pPr>
                    <w:pStyle w:val="TableColumnHeading"/>
                    <w:rPr>
                      <w:szCs w:val="18"/>
                    </w:rPr>
                  </w:pPr>
                  <w:r w:rsidRPr="003354AD">
                    <w:rPr>
                      <w:szCs w:val="18"/>
                    </w:rPr>
                    <w:t>ACT</w:t>
                  </w:r>
                </w:p>
              </w:tc>
              <w:tc>
                <w:tcPr>
                  <w:tcW w:w="409" w:type="pct"/>
                  <w:tcBorders>
                    <w:top w:val="single" w:sz="6" w:space="0" w:color="BFBFBF"/>
                    <w:bottom w:val="single" w:sz="6" w:space="0" w:color="BFBFBF"/>
                  </w:tcBorders>
                  <w:shd w:val="clear" w:color="auto" w:fill="auto"/>
                </w:tcPr>
                <w:p w:rsidR="002E7067" w:rsidRPr="003354AD" w:rsidRDefault="002E7067" w:rsidP="005F19EB">
                  <w:pPr>
                    <w:pStyle w:val="TableColumnHeading"/>
                    <w:rPr>
                      <w:szCs w:val="18"/>
                    </w:rPr>
                  </w:pPr>
                  <w:r w:rsidRPr="003354AD">
                    <w:rPr>
                      <w:szCs w:val="18"/>
                    </w:rPr>
                    <w:t>NT</w:t>
                  </w:r>
                </w:p>
              </w:tc>
              <w:tc>
                <w:tcPr>
                  <w:tcW w:w="328" w:type="pct"/>
                  <w:tcBorders>
                    <w:top w:val="single" w:sz="6" w:space="0" w:color="BFBFBF"/>
                    <w:bottom w:val="single" w:sz="6" w:space="0" w:color="BFBFBF"/>
                  </w:tcBorders>
                  <w:shd w:val="clear" w:color="auto" w:fill="auto"/>
                </w:tcPr>
                <w:p w:rsidR="002E7067" w:rsidRPr="003354AD" w:rsidRDefault="002E7067" w:rsidP="00694E2F">
                  <w:pPr>
                    <w:pStyle w:val="TableColumnHeading"/>
                    <w:rPr>
                      <w:szCs w:val="18"/>
                    </w:rPr>
                  </w:pPr>
                  <w:r w:rsidRPr="003354AD">
                    <w:rPr>
                      <w:szCs w:val="18"/>
                    </w:rPr>
                    <w:t>Aust</w:t>
                  </w:r>
                </w:p>
              </w:tc>
            </w:tr>
            <w:tr w:rsidR="002E7067" w:rsidRPr="003354AD" w:rsidTr="005F19EB">
              <w:tc>
                <w:tcPr>
                  <w:tcW w:w="5000" w:type="pct"/>
                  <w:gridSpan w:val="10"/>
                </w:tcPr>
                <w:p w:rsidR="002E7067" w:rsidRPr="003354AD" w:rsidRDefault="002E7067" w:rsidP="00571A55">
                  <w:pPr>
                    <w:pStyle w:val="TableBodyText"/>
                    <w:spacing w:before="40"/>
                    <w:jc w:val="left"/>
                    <w:rPr>
                      <w:b/>
                      <w:szCs w:val="18"/>
                    </w:rPr>
                  </w:pPr>
                  <w:r w:rsidRPr="003354AD">
                    <w:rPr>
                      <w:b/>
                      <w:szCs w:val="18"/>
                    </w:rPr>
                    <w:t xml:space="preserve">Aboriginal and Torres Strait Islander people </w:t>
                  </w:r>
                </w:p>
              </w:tc>
            </w:tr>
            <w:tr w:rsidR="002E7067" w:rsidRPr="004116F7" w:rsidTr="005F19EB">
              <w:tc>
                <w:tcPr>
                  <w:tcW w:w="1301" w:type="pct"/>
                </w:tcPr>
                <w:p w:rsidR="002E7067" w:rsidRPr="003354AD" w:rsidRDefault="002E7067" w:rsidP="00DF6BBD">
                  <w:pPr>
                    <w:pStyle w:val="TableBodyText"/>
                    <w:ind w:left="120" w:hanging="22"/>
                    <w:jc w:val="left"/>
                    <w:rPr>
                      <w:i/>
                      <w:szCs w:val="18"/>
                    </w:rPr>
                  </w:pPr>
                  <w:r w:rsidRPr="003354AD">
                    <w:rPr>
                      <w:i/>
                      <w:szCs w:val="18"/>
                    </w:rPr>
                    <w:t>Aged care target population, June 2015</w:t>
                  </w:r>
                </w:p>
              </w:tc>
              <w:tc>
                <w:tcPr>
                  <w:tcW w:w="494" w:type="pct"/>
                  <w:shd w:val="clear" w:color="auto" w:fill="FFFFFF" w:themeFill="background1"/>
                  <w:vAlign w:val="center"/>
                </w:tcPr>
                <w:p w:rsidR="002E7067" w:rsidRPr="004116F7" w:rsidRDefault="002E7067" w:rsidP="005F19EB">
                  <w:pPr>
                    <w:pStyle w:val="TableBodyText"/>
                  </w:pPr>
                  <w:r w:rsidRPr="004116F7">
                    <w:t>2.9</w:t>
                  </w:r>
                </w:p>
              </w:tc>
              <w:tc>
                <w:tcPr>
                  <w:tcW w:w="410" w:type="pct"/>
                  <w:shd w:val="clear" w:color="auto" w:fill="FFFFFF" w:themeFill="background1"/>
                  <w:vAlign w:val="center"/>
                </w:tcPr>
                <w:p w:rsidR="002E7067" w:rsidRPr="004116F7" w:rsidRDefault="002E7067" w:rsidP="005F19EB">
                  <w:pPr>
                    <w:pStyle w:val="TableBodyText"/>
                  </w:pPr>
                  <w:r w:rsidRPr="004116F7">
                    <w:t>0.8</w:t>
                  </w:r>
                </w:p>
              </w:tc>
              <w:tc>
                <w:tcPr>
                  <w:tcW w:w="411" w:type="pct"/>
                  <w:shd w:val="clear" w:color="auto" w:fill="FFFFFF" w:themeFill="background1"/>
                  <w:vAlign w:val="center"/>
                </w:tcPr>
                <w:p w:rsidR="002E7067" w:rsidRPr="004116F7" w:rsidRDefault="002E7067" w:rsidP="005F19EB">
                  <w:pPr>
                    <w:pStyle w:val="TableBodyText"/>
                  </w:pPr>
                  <w:r w:rsidRPr="004116F7">
                    <w:t>4.0</w:t>
                  </w:r>
                </w:p>
              </w:tc>
              <w:tc>
                <w:tcPr>
                  <w:tcW w:w="411" w:type="pct"/>
                  <w:shd w:val="clear" w:color="auto" w:fill="FFFFFF" w:themeFill="background1"/>
                  <w:vAlign w:val="center"/>
                </w:tcPr>
                <w:p w:rsidR="002E7067" w:rsidRPr="004116F7" w:rsidRDefault="002E7067" w:rsidP="005F19EB">
                  <w:pPr>
                    <w:pStyle w:val="TableBodyText"/>
                  </w:pPr>
                  <w:r w:rsidRPr="004116F7">
                    <w:t>3.9</w:t>
                  </w:r>
                </w:p>
              </w:tc>
              <w:tc>
                <w:tcPr>
                  <w:tcW w:w="415" w:type="pct"/>
                  <w:shd w:val="clear" w:color="auto" w:fill="FFFFFF" w:themeFill="background1"/>
                  <w:vAlign w:val="center"/>
                </w:tcPr>
                <w:p w:rsidR="002E7067" w:rsidRPr="004116F7" w:rsidRDefault="002E7067" w:rsidP="005F19EB">
                  <w:pPr>
                    <w:pStyle w:val="TableBodyText"/>
                  </w:pPr>
                  <w:r w:rsidRPr="004116F7">
                    <w:t>2.0</w:t>
                  </w:r>
                </w:p>
              </w:tc>
              <w:tc>
                <w:tcPr>
                  <w:tcW w:w="411" w:type="pct"/>
                  <w:shd w:val="clear" w:color="auto" w:fill="FFFFFF" w:themeFill="background1"/>
                  <w:vAlign w:val="center"/>
                </w:tcPr>
                <w:p w:rsidR="002E7067" w:rsidRPr="004116F7" w:rsidRDefault="002E7067" w:rsidP="005F19EB">
                  <w:pPr>
                    <w:pStyle w:val="TableBodyText"/>
                  </w:pPr>
                  <w:r w:rsidRPr="004116F7">
                    <w:t>4.5</w:t>
                  </w:r>
                </w:p>
              </w:tc>
              <w:tc>
                <w:tcPr>
                  <w:tcW w:w="410" w:type="pct"/>
                  <w:shd w:val="clear" w:color="auto" w:fill="FFFFFF" w:themeFill="background1"/>
                  <w:vAlign w:val="center"/>
                </w:tcPr>
                <w:p w:rsidR="002E7067" w:rsidRPr="004116F7" w:rsidRDefault="002E7067" w:rsidP="005F19EB">
                  <w:pPr>
                    <w:pStyle w:val="TableBodyText"/>
                  </w:pPr>
                  <w:r w:rsidRPr="004116F7">
                    <w:t>1.7</w:t>
                  </w:r>
                </w:p>
              </w:tc>
              <w:tc>
                <w:tcPr>
                  <w:tcW w:w="409" w:type="pct"/>
                  <w:shd w:val="clear" w:color="auto" w:fill="FFFFFF" w:themeFill="background1"/>
                  <w:vAlign w:val="center"/>
                </w:tcPr>
                <w:p w:rsidR="002E7067" w:rsidRPr="004116F7" w:rsidRDefault="002E7067" w:rsidP="005F19EB">
                  <w:pPr>
                    <w:pStyle w:val="TableBodyText"/>
                  </w:pPr>
                  <w:r w:rsidRPr="004116F7">
                    <w:t>43.2</w:t>
                  </w:r>
                </w:p>
              </w:tc>
              <w:tc>
                <w:tcPr>
                  <w:tcW w:w="328" w:type="pct"/>
                  <w:shd w:val="clear" w:color="auto" w:fill="FFFFFF" w:themeFill="background1"/>
                  <w:vAlign w:val="center"/>
                </w:tcPr>
                <w:p w:rsidR="002E7067" w:rsidRPr="004116F7" w:rsidRDefault="002E7067" w:rsidP="005F19EB">
                  <w:pPr>
                    <w:pStyle w:val="TableBodyText"/>
                  </w:pPr>
                  <w:r w:rsidRPr="004116F7">
                    <w:t>2.9</w:t>
                  </w:r>
                </w:p>
              </w:tc>
            </w:tr>
            <w:tr w:rsidR="00CA46A7" w:rsidRPr="009E19DD" w:rsidTr="005F19EB">
              <w:tc>
                <w:tcPr>
                  <w:tcW w:w="1301" w:type="pct"/>
                </w:tcPr>
                <w:p w:rsidR="00CA46A7" w:rsidRPr="003354AD" w:rsidRDefault="00CA46A7" w:rsidP="00CA46A7">
                  <w:pPr>
                    <w:pStyle w:val="TableBodyText"/>
                    <w:ind w:left="120" w:hanging="22"/>
                    <w:jc w:val="left"/>
                    <w:rPr>
                      <w:szCs w:val="18"/>
                    </w:rPr>
                  </w:pPr>
                  <w:r w:rsidRPr="003354AD">
                    <w:rPr>
                      <w:szCs w:val="18"/>
                    </w:rPr>
                    <w:t>ACAT assessments, 201</w:t>
                  </w:r>
                  <w:r>
                    <w:rPr>
                      <w:szCs w:val="18"/>
                    </w:rPr>
                    <w:t>3</w:t>
                  </w:r>
                  <w:r w:rsidR="00E75264">
                    <w:rPr>
                      <w:szCs w:val="18"/>
                    </w:rPr>
                    <w:noBreakHyphen/>
                  </w:r>
                  <w:r w:rsidRPr="003354AD">
                    <w:rPr>
                      <w:szCs w:val="18"/>
                    </w:rPr>
                    <w:t>1</w:t>
                  </w:r>
                  <w:r>
                    <w:rPr>
                      <w:szCs w:val="18"/>
                    </w:rPr>
                    <w:t>4</w:t>
                  </w:r>
                </w:p>
              </w:tc>
              <w:tc>
                <w:tcPr>
                  <w:tcW w:w="494" w:type="pct"/>
                  <w:shd w:val="clear" w:color="auto" w:fill="FFFFFF" w:themeFill="background1"/>
                  <w:vAlign w:val="center"/>
                </w:tcPr>
                <w:p w:rsidR="00CA46A7" w:rsidRPr="00CA46A7" w:rsidRDefault="00E75264" w:rsidP="00CA46A7">
                  <w:pPr>
                    <w:pStyle w:val="TableBodyText"/>
                  </w:pPr>
                  <w:r>
                    <w:t xml:space="preserve"> </w:t>
                  </w:r>
                  <w:r w:rsidR="00CA46A7" w:rsidRPr="00CA46A7">
                    <w:t>1.1</w:t>
                  </w:r>
                </w:p>
              </w:tc>
              <w:tc>
                <w:tcPr>
                  <w:tcW w:w="410" w:type="pct"/>
                  <w:shd w:val="clear" w:color="auto" w:fill="FFFFFF" w:themeFill="background1"/>
                  <w:vAlign w:val="center"/>
                </w:tcPr>
                <w:p w:rsidR="00CA46A7" w:rsidRPr="00CA46A7" w:rsidRDefault="00E75264" w:rsidP="00CA46A7">
                  <w:pPr>
                    <w:pStyle w:val="TableBodyText"/>
                  </w:pPr>
                  <w:r>
                    <w:t xml:space="preserve"> </w:t>
                  </w:r>
                  <w:r w:rsidR="00CA46A7" w:rsidRPr="00CA46A7">
                    <w:t>0.6</w:t>
                  </w:r>
                </w:p>
              </w:tc>
              <w:tc>
                <w:tcPr>
                  <w:tcW w:w="411" w:type="pct"/>
                  <w:shd w:val="clear" w:color="auto" w:fill="FFFFFF" w:themeFill="background1"/>
                  <w:vAlign w:val="center"/>
                </w:tcPr>
                <w:p w:rsidR="00CA46A7" w:rsidRPr="00CA46A7" w:rsidRDefault="00E75264" w:rsidP="00CA46A7">
                  <w:pPr>
                    <w:pStyle w:val="TableBodyText"/>
                  </w:pPr>
                  <w:r>
                    <w:t xml:space="preserve"> </w:t>
                  </w:r>
                  <w:r w:rsidR="00CA46A7" w:rsidRPr="00CA46A7">
                    <w:t>1.7</w:t>
                  </w:r>
                </w:p>
              </w:tc>
              <w:tc>
                <w:tcPr>
                  <w:tcW w:w="411" w:type="pct"/>
                  <w:shd w:val="clear" w:color="auto" w:fill="FFFFFF" w:themeFill="background1"/>
                  <w:vAlign w:val="center"/>
                </w:tcPr>
                <w:p w:rsidR="00CA46A7" w:rsidRPr="00CA46A7" w:rsidRDefault="00E75264" w:rsidP="00CA46A7">
                  <w:pPr>
                    <w:pStyle w:val="TableBodyText"/>
                  </w:pPr>
                  <w:r>
                    <w:t xml:space="preserve"> </w:t>
                  </w:r>
                  <w:r w:rsidR="00CA46A7" w:rsidRPr="00CA46A7">
                    <w:t>1.8</w:t>
                  </w:r>
                </w:p>
              </w:tc>
              <w:tc>
                <w:tcPr>
                  <w:tcW w:w="415" w:type="pct"/>
                  <w:shd w:val="clear" w:color="auto" w:fill="FFFFFF" w:themeFill="background1"/>
                  <w:vAlign w:val="center"/>
                </w:tcPr>
                <w:p w:rsidR="00CA46A7" w:rsidRPr="00CA46A7" w:rsidRDefault="00E75264" w:rsidP="00CA46A7">
                  <w:pPr>
                    <w:pStyle w:val="TableBodyText"/>
                  </w:pPr>
                  <w:r>
                    <w:t xml:space="preserve"> </w:t>
                  </w:r>
                  <w:r w:rsidR="00CA46A7" w:rsidRPr="00CA46A7">
                    <w:t>0.8</w:t>
                  </w:r>
                </w:p>
              </w:tc>
              <w:tc>
                <w:tcPr>
                  <w:tcW w:w="411" w:type="pct"/>
                  <w:shd w:val="clear" w:color="auto" w:fill="FFFFFF" w:themeFill="background1"/>
                  <w:vAlign w:val="center"/>
                </w:tcPr>
                <w:p w:rsidR="00CA46A7" w:rsidRPr="00CA46A7" w:rsidRDefault="00E75264" w:rsidP="00CA46A7">
                  <w:pPr>
                    <w:pStyle w:val="TableBodyText"/>
                  </w:pPr>
                  <w:r>
                    <w:t xml:space="preserve"> </w:t>
                  </w:r>
                  <w:r w:rsidR="00CA46A7" w:rsidRPr="00CA46A7">
                    <w:t>0.8</w:t>
                  </w:r>
                </w:p>
              </w:tc>
              <w:tc>
                <w:tcPr>
                  <w:tcW w:w="410" w:type="pct"/>
                  <w:shd w:val="clear" w:color="auto" w:fill="FFFFFF" w:themeFill="background1"/>
                  <w:vAlign w:val="center"/>
                </w:tcPr>
                <w:p w:rsidR="00CA46A7" w:rsidRPr="00CA46A7" w:rsidRDefault="00E75264" w:rsidP="00CA46A7">
                  <w:pPr>
                    <w:pStyle w:val="TableBodyText"/>
                  </w:pPr>
                  <w:r>
                    <w:t xml:space="preserve"> </w:t>
                  </w:r>
                  <w:r w:rsidR="00CA46A7" w:rsidRPr="00CA46A7">
                    <w:t>0.6</w:t>
                  </w:r>
                </w:p>
              </w:tc>
              <w:tc>
                <w:tcPr>
                  <w:tcW w:w="409" w:type="pct"/>
                  <w:shd w:val="clear" w:color="auto" w:fill="FFFFFF" w:themeFill="background1"/>
                  <w:vAlign w:val="center"/>
                </w:tcPr>
                <w:p w:rsidR="00CA46A7" w:rsidRPr="00CA46A7" w:rsidRDefault="00E75264" w:rsidP="00CA46A7">
                  <w:pPr>
                    <w:pStyle w:val="TableBodyText"/>
                  </w:pPr>
                  <w:r>
                    <w:t xml:space="preserve"> </w:t>
                  </w:r>
                  <w:r w:rsidR="00CA46A7" w:rsidRPr="00CA46A7">
                    <w:t>33.2</w:t>
                  </w:r>
                </w:p>
              </w:tc>
              <w:tc>
                <w:tcPr>
                  <w:tcW w:w="328" w:type="pct"/>
                  <w:shd w:val="clear" w:color="auto" w:fill="FFFFFF" w:themeFill="background1"/>
                  <w:vAlign w:val="center"/>
                </w:tcPr>
                <w:p w:rsidR="00CA46A7" w:rsidRPr="00CA46A7" w:rsidRDefault="00E75264" w:rsidP="00CA46A7">
                  <w:pPr>
                    <w:pStyle w:val="TableBodyText"/>
                  </w:pPr>
                  <w:r>
                    <w:t xml:space="preserve"> </w:t>
                  </w:r>
                  <w:r w:rsidR="00CA46A7" w:rsidRPr="00CA46A7">
                    <w:t>1.3</w:t>
                  </w:r>
                </w:p>
              </w:tc>
            </w:tr>
            <w:tr w:rsidR="002E7067" w:rsidRPr="00CA5249" w:rsidTr="005F19EB">
              <w:tc>
                <w:tcPr>
                  <w:tcW w:w="1301" w:type="pct"/>
                </w:tcPr>
                <w:p w:rsidR="002E7067" w:rsidRPr="003354AD" w:rsidRDefault="002E7067" w:rsidP="005F19EB">
                  <w:pPr>
                    <w:pStyle w:val="TableBodyText"/>
                    <w:ind w:left="120" w:hanging="22"/>
                    <w:jc w:val="left"/>
                    <w:rPr>
                      <w:szCs w:val="18"/>
                    </w:rPr>
                  </w:pPr>
                  <w:r w:rsidRPr="003354AD">
                    <w:rPr>
                      <w:szCs w:val="18"/>
                    </w:rPr>
                    <w:t>Residential aged care, at 30</w:t>
                  </w:r>
                  <w:r w:rsidR="00E75264">
                    <w:rPr>
                      <w:szCs w:val="18"/>
                    </w:rPr>
                    <w:t> </w:t>
                  </w:r>
                  <w:r w:rsidRPr="003354AD">
                    <w:rPr>
                      <w:szCs w:val="18"/>
                    </w:rPr>
                    <w:t>June 2015</w:t>
                  </w:r>
                </w:p>
              </w:tc>
              <w:tc>
                <w:tcPr>
                  <w:tcW w:w="494" w:type="pct"/>
                  <w:shd w:val="clear" w:color="auto" w:fill="FFFFFF" w:themeFill="background1"/>
                  <w:vAlign w:val="center"/>
                </w:tcPr>
                <w:p w:rsidR="002E7067" w:rsidRPr="00CA5249" w:rsidRDefault="00E75264" w:rsidP="005F19EB">
                  <w:pPr>
                    <w:pStyle w:val="TableBodyText"/>
                  </w:pPr>
                  <w:r>
                    <w:t xml:space="preserve"> </w:t>
                  </w:r>
                  <w:r w:rsidR="002E7067" w:rsidRPr="00CA5249">
                    <w:t>0.7</w:t>
                  </w:r>
                </w:p>
              </w:tc>
              <w:tc>
                <w:tcPr>
                  <w:tcW w:w="410" w:type="pct"/>
                  <w:shd w:val="clear" w:color="auto" w:fill="FFFFFF" w:themeFill="background1"/>
                  <w:vAlign w:val="center"/>
                </w:tcPr>
                <w:p w:rsidR="002E7067" w:rsidRPr="00CA5249" w:rsidRDefault="00E75264" w:rsidP="005F19EB">
                  <w:pPr>
                    <w:pStyle w:val="TableBodyText"/>
                  </w:pPr>
                  <w:r>
                    <w:t xml:space="preserve"> </w:t>
                  </w:r>
                  <w:r w:rsidR="002E7067" w:rsidRPr="00CA5249">
                    <w:t>0.3</w:t>
                  </w:r>
                </w:p>
              </w:tc>
              <w:tc>
                <w:tcPr>
                  <w:tcW w:w="411" w:type="pct"/>
                  <w:shd w:val="clear" w:color="auto" w:fill="FFFFFF" w:themeFill="background1"/>
                  <w:vAlign w:val="center"/>
                </w:tcPr>
                <w:p w:rsidR="002E7067" w:rsidRPr="00CA5249" w:rsidRDefault="00E75264" w:rsidP="005F19EB">
                  <w:pPr>
                    <w:pStyle w:val="TableBodyText"/>
                  </w:pPr>
                  <w:r>
                    <w:t xml:space="preserve"> </w:t>
                  </w:r>
                  <w:r w:rsidR="002E7067" w:rsidRPr="00CA5249">
                    <w:t>1.6</w:t>
                  </w:r>
                </w:p>
              </w:tc>
              <w:tc>
                <w:tcPr>
                  <w:tcW w:w="411" w:type="pct"/>
                  <w:shd w:val="clear" w:color="auto" w:fill="FFFFFF" w:themeFill="background1"/>
                  <w:vAlign w:val="center"/>
                </w:tcPr>
                <w:p w:rsidR="002E7067" w:rsidRPr="00CA5249" w:rsidRDefault="00E75264" w:rsidP="005F19EB">
                  <w:pPr>
                    <w:pStyle w:val="TableBodyText"/>
                  </w:pPr>
                  <w:r>
                    <w:t xml:space="preserve"> </w:t>
                  </w:r>
                  <w:r w:rsidR="002E7067" w:rsidRPr="00CA5249">
                    <w:t>2.2</w:t>
                  </w:r>
                </w:p>
              </w:tc>
              <w:tc>
                <w:tcPr>
                  <w:tcW w:w="415" w:type="pct"/>
                  <w:shd w:val="clear" w:color="auto" w:fill="FFFFFF" w:themeFill="background1"/>
                  <w:vAlign w:val="center"/>
                </w:tcPr>
                <w:p w:rsidR="002E7067" w:rsidRPr="00CA5249" w:rsidRDefault="00E75264" w:rsidP="005F19EB">
                  <w:pPr>
                    <w:pStyle w:val="TableBodyText"/>
                  </w:pPr>
                  <w:r>
                    <w:t xml:space="preserve"> </w:t>
                  </w:r>
                  <w:r w:rsidR="002E7067" w:rsidRPr="00CA5249">
                    <w:t>1.2</w:t>
                  </w:r>
                </w:p>
              </w:tc>
              <w:tc>
                <w:tcPr>
                  <w:tcW w:w="411" w:type="pct"/>
                  <w:shd w:val="clear" w:color="auto" w:fill="FFFFFF" w:themeFill="background1"/>
                  <w:vAlign w:val="center"/>
                </w:tcPr>
                <w:p w:rsidR="002E7067" w:rsidRPr="00CA5249" w:rsidRDefault="00E75264" w:rsidP="005F19EB">
                  <w:pPr>
                    <w:pStyle w:val="TableBodyText"/>
                  </w:pPr>
                  <w:r>
                    <w:t xml:space="preserve"> </w:t>
                  </w:r>
                  <w:r w:rsidR="002E7067" w:rsidRPr="00CA5249">
                    <w:t>0.6</w:t>
                  </w:r>
                </w:p>
              </w:tc>
              <w:tc>
                <w:tcPr>
                  <w:tcW w:w="410" w:type="pct"/>
                  <w:shd w:val="clear" w:color="auto" w:fill="FFFFFF" w:themeFill="background1"/>
                  <w:vAlign w:val="center"/>
                </w:tcPr>
                <w:p w:rsidR="002E7067" w:rsidRPr="00CA5249" w:rsidRDefault="00E75264" w:rsidP="005F19EB">
                  <w:pPr>
                    <w:pStyle w:val="TableBodyText"/>
                  </w:pPr>
                  <w:r>
                    <w:t xml:space="preserve"> </w:t>
                  </w:r>
                  <w:r w:rsidR="002E7067" w:rsidRPr="00CA5249">
                    <w:t>0.4</w:t>
                  </w:r>
                </w:p>
              </w:tc>
              <w:tc>
                <w:tcPr>
                  <w:tcW w:w="409" w:type="pct"/>
                  <w:shd w:val="clear" w:color="auto" w:fill="FFFFFF" w:themeFill="background1"/>
                  <w:vAlign w:val="center"/>
                </w:tcPr>
                <w:p w:rsidR="002E7067" w:rsidRPr="00CA5249" w:rsidRDefault="00E75264" w:rsidP="005F19EB">
                  <w:pPr>
                    <w:pStyle w:val="TableBodyText"/>
                  </w:pPr>
                  <w:r>
                    <w:t xml:space="preserve"> </w:t>
                  </w:r>
                  <w:r w:rsidR="002E7067" w:rsidRPr="00CA5249">
                    <w:t>53.8</w:t>
                  </w:r>
                </w:p>
              </w:tc>
              <w:tc>
                <w:tcPr>
                  <w:tcW w:w="328" w:type="pct"/>
                  <w:shd w:val="clear" w:color="auto" w:fill="FFFFFF" w:themeFill="background1"/>
                  <w:vAlign w:val="center"/>
                </w:tcPr>
                <w:p w:rsidR="002E7067" w:rsidRPr="00CA5249" w:rsidRDefault="00E75264" w:rsidP="005F19EB">
                  <w:pPr>
                    <w:pStyle w:val="TableBodyText"/>
                  </w:pPr>
                  <w:r>
                    <w:t xml:space="preserve"> </w:t>
                  </w:r>
                  <w:r w:rsidR="002E7067" w:rsidRPr="00CA5249">
                    <w:t>1.1</w:t>
                  </w:r>
                </w:p>
              </w:tc>
            </w:tr>
            <w:tr w:rsidR="00F06E9D" w:rsidRPr="009E19DD" w:rsidTr="00864C90">
              <w:tc>
                <w:tcPr>
                  <w:tcW w:w="1301" w:type="pct"/>
                </w:tcPr>
                <w:p w:rsidR="00F06E9D" w:rsidRPr="003354AD" w:rsidRDefault="00F06E9D" w:rsidP="005F19EB">
                  <w:pPr>
                    <w:pStyle w:val="TableBodyText"/>
                    <w:ind w:left="120" w:hanging="22"/>
                    <w:jc w:val="left"/>
                    <w:rPr>
                      <w:szCs w:val="18"/>
                    </w:rPr>
                  </w:pPr>
                  <w:r w:rsidRPr="003354AD">
                    <w:rPr>
                      <w:szCs w:val="18"/>
                    </w:rPr>
                    <w:t>Home care levels 1‒2, at 30</w:t>
                  </w:r>
                  <w:r w:rsidR="00E75264">
                    <w:rPr>
                      <w:szCs w:val="18"/>
                    </w:rPr>
                    <w:t> </w:t>
                  </w:r>
                  <w:r w:rsidRPr="003354AD">
                    <w:rPr>
                      <w:szCs w:val="18"/>
                    </w:rPr>
                    <w:t>June 2015</w:t>
                  </w:r>
                </w:p>
              </w:tc>
              <w:tc>
                <w:tcPr>
                  <w:tcW w:w="494" w:type="pct"/>
                  <w:shd w:val="clear" w:color="auto" w:fill="FFFFFF" w:themeFill="background1"/>
                  <w:vAlign w:val="center"/>
                </w:tcPr>
                <w:p w:rsidR="00F06E9D" w:rsidRPr="00864C90" w:rsidRDefault="00E75264" w:rsidP="00F06E9D">
                  <w:pPr>
                    <w:pStyle w:val="TableBodyText"/>
                  </w:pPr>
                  <w:r>
                    <w:t xml:space="preserve"> </w:t>
                  </w:r>
                  <w:r w:rsidR="00F06E9D" w:rsidRPr="00864C90">
                    <w:t>2.6</w:t>
                  </w:r>
                </w:p>
              </w:tc>
              <w:tc>
                <w:tcPr>
                  <w:tcW w:w="410" w:type="pct"/>
                  <w:shd w:val="clear" w:color="auto" w:fill="FFFFFF" w:themeFill="background1"/>
                  <w:vAlign w:val="center"/>
                </w:tcPr>
                <w:p w:rsidR="00F06E9D" w:rsidRPr="00864C90" w:rsidRDefault="00E75264" w:rsidP="00F06E9D">
                  <w:pPr>
                    <w:pStyle w:val="TableBodyText"/>
                  </w:pPr>
                  <w:r>
                    <w:t xml:space="preserve"> </w:t>
                  </w:r>
                  <w:r w:rsidR="00F06E9D" w:rsidRPr="00864C90">
                    <w:t>3.2</w:t>
                  </w:r>
                </w:p>
              </w:tc>
              <w:tc>
                <w:tcPr>
                  <w:tcW w:w="411" w:type="pct"/>
                  <w:shd w:val="clear" w:color="auto" w:fill="FFFFFF" w:themeFill="background1"/>
                  <w:vAlign w:val="center"/>
                </w:tcPr>
                <w:p w:rsidR="00F06E9D" w:rsidRPr="00864C90" w:rsidRDefault="00E75264" w:rsidP="00F06E9D">
                  <w:pPr>
                    <w:pStyle w:val="TableBodyText"/>
                  </w:pPr>
                  <w:r>
                    <w:t xml:space="preserve"> </w:t>
                  </w:r>
                  <w:r w:rsidR="00F06E9D" w:rsidRPr="00864C90">
                    <w:t>4.1</w:t>
                  </w:r>
                </w:p>
              </w:tc>
              <w:tc>
                <w:tcPr>
                  <w:tcW w:w="411" w:type="pct"/>
                  <w:shd w:val="clear" w:color="auto" w:fill="FFFFFF" w:themeFill="background1"/>
                  <w:vAlign w:val="center"/>
                </w:tcPr>
                <w:p w:rsidR="00F06E9D" w:rsidRPr="00864C90" w:rsidRDefault="00E75264" w:rsidP="00F06E9D">
                  <w:pPr>
                    <w:pStyle w:val="TableBodyText"/>
                  </w:pPr>
                  <w:r>
                    <w:t xml:space="preserve"> </w:t>
                  </w:r>
                  <w:r w:rsidR="00F06E9D" w:rsidRPr="00864C90">
                    <w:t>4.7</w:t>
                  </w:r>
                </w:p>
              </w:tc>
              <w:tc>
                <w:tcPr>
                  <w:tcW w:w="415" w:type="pct"/>
                  <w:shd w:val="clear" w:color="auto" w:fill="FFFFFF" w:themeFill="background1"/>
                  <w:vAlign w:val="center"/>
                </w:tcPr>
                <w:p w:rsidR="00F06E9D" w:rsidRPr="00864C90" w:rsidRDefault="00E75264" w:rsidP="00F06E9D">
                  <w:pPr>
                    <w:pStyle w:val="TableBodyText"/>
                  </w:pPr>
                  <w:r>
                    <w:t xml:space="preserve"> </w:t>
                  </w:r>
                  <w:r w:rsidR="00F06E9D" w:rsidRPr="00864C90">
                    <w:t>3.0</w:t>
                  </w:r>
                </w:p>
              </w:tc>
              <w:tc>
                <w:tcPr>
                  <w:tcW w:w="411" w:type="pct"/>
                  <w:shd w:val="clear" w:color="auto" w:fill="FFFFFF" w:themeFill="background1"/>
                  <w:vAlign w:val="center"/>
                </w:tcPr>
                <w:p w:rsidR="00F06E9D" w:rsidRPr="00864C90" w:rsidRDefault="00E75264" w:rsidP="00F06E9D">
                  <w:pPr>
                    <w:pStyle w:val="TableBodyText"/>
                  </w:pPr>
                  <w:r>
                    <w:t xml:space="preserve"> </w:t>
                  </w:r>
                  <w:r w:rsidR="00F06E9D" w:rsidRPr="00864C90">
                    <w:t>5.3</w:t>
                  </w:r>
                </w:p>
              </w:tc>
              <w:tc>
                <w:tcPr>
                  <w:tcW w:w="410" w:type="pct"/>
                  <w:shd w:val="clear" w:color="auto" w:fill="FFFFFF" w:themeFill="background1"/>
                  <w:vAlign w:val="center"/>
                </w:tcPr>
                <w:p w:rsidR="00F06E9D" w:rsidRPr="00864C90" w:rsidRDefault="00E75264" w:rsidP="00F06E9D">
                  <w:pPr>
                    <w:pStyle w:val="TableBodyText"/>
                  </w:pPr>
                  <w:r>
                    <w:t xml:space="preserve"> </w:t>
                  </w:r>
                  <w:r w:rsidR="00F06E9D" w:rsidRPr="00864C90">
                    <w:t>4.8</w:t>
                  </w:r>
                </w:p>
              </w:tc>
              <w:tc>
                <w:tcPr>
                  <w:tcW w:w="409" w:type="pct"/>
                  <w:shd w:val="clear" w:color="auto" w:fill="FFFFFF" w:themeFill="background1"/>
                  <w:vAlign w:val="center"/>
                </w:tcPr>
                <w:p w:rsidR="00F06E9D" w:rsidRPr="00864C90" w:rsidRDefault="00E75264" w:rsidP="00F06E9D">
                  <w:pPr>
                    <w:pStyle w:val="TableBodyText"/>
                  </w:pPr>
                  <w:r>
                    <w:t xml:space="preserve"> </w:t>
                  </w:r>
                  <w:r w:rsidR="00F06E9D" w:rsidRPr="00864C90">
                    <w:t>57.8</w:t>
                  </w:r>
                </w:p>
              </w:tc>
              <w:tc>
                <w:tcPr>
                  <w:tcW w:w="328" w:type="pct"/>
                  <w:shd w:val="clear" w:color="auto" w:fill="FFFFFF" w:themeFill="background1"/>
                  <w:vAlign w:val="center"/>
                </w:tcPr>
                <w:p w:rsidR="00F06E9D" w:rsidRPr="00864C90" w:rsidRDefault="00E75264" w:rsidP="00F06E9D">
                  <w:pPr>
                    <w:pStyle w:val="TableBodyText"/>
                  </w:pPr>
                  <w:r>
                    <w:t xml:space="preserve"> </w:t>
                  </w:r>
                  <w:r w:rsidR="00F06E9D" w:rsidRPr="00864C90">
                    <w:t>4.3</w:t>
                  </w:r>
                </w:p>
              </w:tc>
            </w:tr>
            <w:tr w:rsidR="00F06E9D" w:rsidRPr="009E19DD" w:rsidTr="00864C90">
              <w:trPr>
                <w:trHeight w:val="246"/>
              </w:trPr>
              <w:tc>
                <w:tcPr>
                  <w:tcW w:w="1301" w:type="pct"/>
                </w:tcPr>
                <w:p w:rsidR="00F06E9D" w:rsidRPr="003354AD" w:rsidRDefault="00F06E9D" w:rsidP="005F19EB">
                  <w:pPr>
                    <w:pStyle w:val="TableBodyText"/>
                    <w:ind w:left="120" w:hanging="22"/>
                    <w:jc w:val="left"/>
                    <w:rPr>
                      <w:szCs w:val="18"/>
                    </w:rPr>
                  </w:pPr>
                  <w:r w:rsidRPr="003354AD">
                    <w:rPr>
                      <w:szCs w:val="18"/>
                    </w:rPr>
                    <w:t>Home care levels 3‒4, at 30</w:t>
                  </w:r>
                  <w:r w:rsidR="00E75264">
                    <w:rPr>
                      <w:szCs w:val="18"/>
                    </w:rPr>
                    <w:t> </w:t>
                  </w:r>
                  <w:r w:rsidRPr="003354AD">
                    <w:rPr>
                      <w:szCs w:val="18"/>
                    </w:rPr>
                    <w:t>June 2015</w:t>
                  </w:r>
                </w:p>
              </w:tc>
              <w:tc>
                <w:tcPr>
                  <w:tcW w:w="494" w:type="pct"/>
                  <w:shd w:val="clear" w:color="auto" w:fill="FFFFFF" w:themeFill="background1"/>
                  <w:vAlign w:val="center"/>
                </w:tcPr>
                <w:p w:rsidR="00F06E9D" w:rsidRPr="00864C90" w:rsidRDefault="00E75264" w:rsidP="00F06E9D">
                  <w:pPr>
                    <w:pStyle w:val="TableBodyText"/>
                  </w:pPr>
                  <w:r>
                    <w:t xml:space="preserve"> </w:t>
                  </w:r>
                  <w:r w:rsidR="00F06E9D" w:rsidRPr="00864C90">
                    <w:t>1.4</w:t>
                  </w:r>
                </w:p>
              </w:tc>
              <w:tc>
                <w:tcPr>
                  <w:tcW w:w="410" w:type="pct"/>
                  <w:shd w:val="clear" w:color="auto" w:fill="FFFFFF" w:themeFill="background1"/>
                  <w:vAlign w:val="center"/>
                </w:tcPr>
                <w:p w:rsidR="00F06E9D" w:rsidRPr="00864C90" w:rsidRDefault="00E75264" w:rsidP="00F06E9D">
                  <w:pPr>
                    <w:pStyle w:val="TableBodyText"/>
                  </w:pPr>
                  <w:r>
                    <w:t xml:space="preserve"> </w:t>
                  </w:r>
                  <w:r w:rsidR="00F06E9D" w:rsidRPr="00864C90">
                    <w:t>1.5</w:t>
                  </w:r>
                </w:p>
              </w:tc>
              <w:tc>
                <w:tcPr>
                  <w:tcW w:w="411" w:type="pct"/>
                  <w:shd w:val="clear" w:color="auto" w:fill="FFFFFF" w:themeFill="background1"/>
                  <w:vAlign w:val="center"/>
                </w:tcPr>
                <w:p w:rsidR="00F06E9D" w:rsidRPr="00864C90" w:rsidRDefault="00E75264" w:rsidP="00F06E9D">
                  <w:pPr>
                    <w:pStyle w:val="TableBodyText"/>
                  </w:pPr>
                  <w:r>
                    <w:t xml:space="preserve"> </w:t>
                  </w:r>
                  <w:r w:rsidR="00F06E9D" w:rsidRPr="00864C90">
                    <w:t>1.3</w:t>
                  </w:r>
                </w:p>
              </w:tc>
              <w:tc>
                <w:tcPr>
                  <w:tcW w:w="411" w:type="pct"/>
                  <w:shd w:val="clear" w:color="auto" w:fill="FFFFFF" w:themeFill="background1"/>
                  <w:vAlign w:val="center"/>
                </w:tcPr>
                <w:p w:rsidR="00F06E9D" w:rsidRPr="00864C90" w:rsidRDefault="00E75264" w:rsidP="00F06E9D">
                  <w:pPr>
                    <w:pStyle w:val="TableBodyText"/>
                  </w:pPr>
                  <w:r>
                    <w:t xml:space="preserve"> </w:t>
                  </w:r>
                  <w:r w:rsidR="00F06E9D" w:rsidRPr="00864C90">
                    <w:t>1.6</w:t>
                  </w:r>
                </w:p>
              </w:tc>
              <w:tc>
                <w:tcPr>
                  <w:tcW w:w="415" w:type="pct"/>
                  <w:shd w:val="clear" w:color="auto" w:fill="FFFFFF" w:themeFill="background1"/>
                  <w:vAlign w:val="center"/>
                </w:tcPr>
                <w:p w:rsidR="00F06E9D" w:rsidRPr="00864C90" w:rsidRDefault="00E75264" w:rsidP="00F06E9D">
                  <w:pPr>
                    <w:pStyle w:val="TableBodyText"/>
                  </w:pPr>
                  <w:r>
                    <w:t xml:space="preserve"> </w:t>
                  </w:r>
                  <w:r w:rsidR="00F06E9D" w:rsidRPr="00864C90">
                    <w:t>1.0</w:t>
                  </w:r>
                </w:p>
              </w:tc>
              <w:tc>
                <w:tcPr>
                  <w:tcW w:w="411" w:type="pct"/>
                  <w:shd w:val="clear" w:color="auto" w:fill="FFFFFF" w:themeFill="background1"/>
                  <w:vAlign w:val="center"/>
                </w:tcPr>
                <w:p w:rsidR="00F06E9D" w:rsidRPr="00864C90" w:rsidRDefault="00E75264" w:rsidP="00F06E9D">
                  <w:pPr>
                    <w:pStyle w:val="TableBodyText"/>
                  </w:pPr>
                  <w:r>
                    <w:t xml:space="preserve"> </w:t>
                  </w:r>
                  <w:r w:rsidR="00F06E9D" w:rsidRPr="00864C90">
                    <w:t>1.2</w:t>
                  </w:r>
                </w:p>
              </w:tc>
              <w:tc>
                <w:tcPr>
                  <w:tcW w:w="410" w:type="pct"/>
                  <w:shd w:val="clear" w:color="auto" w:fill="FFFFFF" w:themeFill="background1"/>
                  <w:vAlign w:val="center"/>
                </w:tcPr>
                <w:p w:rsidR="00F06E9D" w:rsidRPr="00864C90" w:rsidRDefault="00E75264" w:rsidP="00F06E9D">
                  <w:pPr>
                    <w:pStyle w:val="TableBodyText"/>
                  </w:pPr>
                  <w:r>
                    <w:t xml:space="preserve"> </w:t>
                  </w:r>
                  <w:r w:rsidR="00F06E9D" w:rsidRPr="00864C90">
                    <w:t>0.6</w:t>
                  </w:r>
                </w:p>
              </w:tc>
              <w:tc>
                <w:tcPr>
                  <w:tcW w:w="409" w:type="pct"/>
                  <w:shd w:val="clear" w:color="auto" w:fill="FFFFFF" w:themeFill="background1"/>
                  <w:vAlign w:val="center"/>
                </w:tcPr>
                <w:p w:rsidR="00F06E9D" w:rsidRPr="00864C90" w:rsidRDefault="00E75264" w:rsidP="00F06E9D">
                  <w:pPr>
                    <w:pStyle w:val="TableBodyText"/>
                  </w:pPr>
                  <w:r>
                    <w:t xml:space="preserve"> </w:t>
                  </w:r>
                  <w:r w:rsidR="00F06E9D" w:rsidRPr="00864C90">
                    <w:t>22.6</w:t>
                  </w:r>
                </w:p>
              </w:tc>
              <w:tc>
                <w:tcPr>
                  <w:tcW w:w="328" w:type="pct"/>
                  <w:shd w:val="clear" w:color="auto" w:fill="FFFFFF" w:themeFill="background1"/>
                  <w:vAlign w:val="center"/>
                </w:tcPr>
                <w:p w:rsidR="00F06E9D" w:rsidRPr="00864C90" w:rsidRDefault="00E75264" w:rsidP="00F06E9D">
                  <w:pPr>
                    <w:pStyle w:val="TableBodyText"/>
                  </w:pPr>
                  <w:r>
                    <w:t xml:space="preserve"> </w:t>
                  </w:r>
                  <w:r w:rsidR="00F06E9D" w:rsidRPr="00864C90">
                    <w:t>1.6</w:t>
                  </w:r>
                </w:p>
              </w:tc>
            </w:tr>
            <w:tr w:rsidR="002E7067" w:rsidRPr="00010F44" w:rsidTr="005F19EB">
              <w:trPr>
                <w:trHeight w:val="328"/>
              </w:trPr>
              <w:tc>
                <w:tcPr>
                  <w:tcW w:w="1301" w:type="pct"/>
                </w:tcPr>
                <w:p w:rsidR="002E7067" w:rsidRPr="003354AD" w:rsidRDefault="002E7067" w:rsidP="005F19EB">
                  <w:pPr>
                    <w:pStyle w:val="TableBodyText"/>
                    <w:ind w:left="120" w:hanging="22"/>
                    <w:jc w:val="left"/>
                    <w:rPr>
                      <w:szCs w:val="18"/>
                    </w:rPr>
                  </w:pPr>
                  <w:r w:rsidRPr="003354AD">
                    <w:rPr>
                      <w:szCs w:val="18"/>
                    </w:rPr>
                    <w:t>HACC, 2014</w:t>
                  </w:r>
                  <w:r w:rsidR="00E75264">
                    <w:rPr>
                      <w:szCs w:val="18"/>
                    </w:rPr>
                    <w:noBreakHyphen/>
                  </w:r>
                  <w:r w:rsidRPr="003354AD">
                    <w:rPr>
                      <w:szCs w:val="18"/>
                    </w:rPr>
                    <w:t>15</w:t>
                  </w:r>
                </w:p>
              </w:tc>
              <w:tc>
                <w:tcPr>
                  <w:tcW w:w="494" w:type="pct"/>
                  <w:shd w:val="clear" w:color="auto" w:fill="FFFFFF" w:themeFill="background1"/>
                  <w:vAlign w:val="center"/>
                </w:tcPr>
                <w:p w:rsidR="002E7067" w:rsidRPr="00864C90" w:rsidRDefault="002E7067" w:rsidP="005F19EB">
                  <w:pPr>
                    <w:pStyle w:val="TableBodyText"/>
                  </w:pPr>
                  <w:r w:rsidRPr="00864C90">
                    <w:t>4.0</w:t>
                  </w:r>
                </w:p>
              </w:tc>
              <w:tc>
                <w:tcPr>
                  <w:tcW w:w="410" w:type="pct"/>
                  <w:shd w:val="clear" w:color="auto" w:fill="FFFFFF" w:themeFill="background1"/>
                  <w:vAlign w:val="center"/>
                </w:tcPr>
                <w:p w:rsidR="002E7067" w:rsidRPr="00864C90" w:rsidRDefault="002E7067" w:rsidP="005F19EB">
                  <w:pPr>
                    <w:pStyle w:val="TableBodyText"/>
                  </w:pPr>
                  <w:r w:rsidRPr="00864C90">
                    <w:t>1.0</w:t>
                  </w:r>
                </w:p>
              </w:tc>
              <w:tc>
                <w:tcPr>
                  <w:tcW w:w="411" w:type="pct"/>
                  <w:shd w:val="clear" w:color="auto" w:fill="FFFFFF" w:themeFill="background1"/>
                  <w:vAlign w:val="center"/>
                </w:tcPr>
                <w:p w:rsidR="002E7067" w:rsidRPr="00864C90" w:rsidRDefault="002E7067" w:rsidP="005F19EB">
                  <w:pPr>
                    <w:pStyle w:val="TableBodyText"/>
                  </w:pPr>
                  <w:r w:rsidRPr="00864C90">
                    <w:t>3.2</w:t>
                  </w:r>
                </w:p>
              </w:tc>
              <w:tc>
                <w:tcPr>
                  <w:tcW w:w="411" w:type="pct"/>
                  <w:shd w:val="clear" w:color="auto" w:fill="FFFFFF" w:themeFill="background1"/>
                  <w:vAlign w:val="center"/>
                </w:tcPr>
                <w:p w:rsidR="002E7067" w:rsidRPr="00864C90" w:rsidRDefault="002E7067" w:rsidP="005F19EB">
                  <w:pPr>
                    <w:pStyle w:val="TableBodyText"/>
                  </w:pPr>
                  <w:r w:rsidRPr="00864C90">
                    <w:t>3.2</w:t>
                  </w:r>
                </w:p>
              </w:tc>
              <w:tc>
                <w:tcPr>
                  <w:tcW w:w="415" w:type="pct"/>
                  <w:shd w:val="clear" w:color="auto" w:fill="FFFFFF" w:themeFill="background1"/>
                  <w:vAlign w:val="center"/>
                </w:tcPr>
                <w:p w:rsidR="002E7067" w:rsidRPr="00864C90" w:rsidRDefault="002E7067" w:rsidP="005F19EB">
                  <w:pPr>
                    <w:pStyle w:val="TableBodyText"/>
                  </w:pPr>
                  <w:r w:rsidRPr="00864C90">
                    <w:t>2.2</w:t>
                  </w:r>
                </w:p>
              </w:tc>
              <w:tc>
                <w:tcPr>
                  <w:tcW w:w="411" w:type="pct"/>
                  <w:shd w:val="clear" w:color="auto" w:fill="FFFFFF" w:themeFill="background1"/>
                  <w:vAlign w:val="center"/>
                </w:tcPr>
                <w:p w:rsidR="002E7067" w:rsidRPr="00864C90" w:rsidRDefault="002E7067" w:rsidP="005F19EB">
                  <w:pPr>
                    <w:pStyle w:val="TableBodyText"/>
                  </w:pPr>
                  <w:r w:rsidRPr="00864C90">
                    <w:t>1.9</w:t>
                  </w:r>
                </w:p>
              </w:tc>
              <w:tc>
                <w:tcPr>
                  <w:tcW w:w="410" w:type="pct"/>
                  <w:shd w:val="clear" w:color="auto" w:fill="FFFFFF" w:themeFill="background1"/>
                  <w:vAlign w:val="center"/>
                </w:tcPr>
                <w:p w:rsidR="002E7067" w:rsidRPr="00864C90" w:rsidRDefault="002E7067" w:rsidP="005F19EB">
                  <w:pPr>
                    <w:pStyle w:val="TableBodyText"/>
                  </w:pPr>
                  <w:r w:rsidRPr="00864C90">
                    <w:t>1.0</w:t>
                  </w:r>
                </w:p>
              </w:tc>
              <w:tc>
                <w:tcPr>
                  <w:tcW w:w="409" w:type="pct"/>
                  <w:shd w:val="clear" w:color="auto" w:fill="FFFFFF" w:themeFill="background1"/>
                  <w:vAlign w:val="center"/>
                </w:tcPr>
                <w:p w:rsidR="002E7067" w:rsidRPr="00864C90" w:rsidRDefault="002E7067" w:rsidP="005F19EB">
                  <w:pPr>
                    <w:pStyle w:val="TableBodyText"/>
                  </w:pPr>
                  <w:r w:rsidRPr="00864C90">
                    <w:t>54.7</w:t>
                  </w:r>
                </w:p>
              </w:tc>
              <w:tc>
                <w:tcPr>
                  <w:tcW w:w="328" w:type="pct"/>
                  <w:shd w:val="clear" w:color="auto" w:fill="FFFFFF" w:themeFill="background1"/>
                  <w:vAlign w:val="center"/>
                </w:tcPr>
                <w:p w:rsidR="002E7067" w:rsidRPr="00864C90" w:rsidRDefault="002E7067" w:rsidP="005F19EB">
                  <w:pPr>
                    <w:pStyle w:val="TableBodyText"/>
                  </w:pPr>
                  <w:r w:rsidRPr="00864C90">
                    <w:t>2.9</w:t>
                  </w:r>
                </w:p>
              </w:tc>
            </w:tr>
            <w:tr w:rsidR="004E627A" w:rsidRPr="003354AD" w:rsidTr="00864C90">
              <w:trPr>
                <w:trHeight w:val="290"/>
              </w:trPr>
              <w:tc>
                <w:tcPr>
                  <w:tcW w:w="1301" w:type="pct"/>
                </w:tcPr>
                <w:p w:rsidR="004E627A" w:rsidRPr="003354AD" w:rsidRDefault="004E627A" w:rsidP="00905D77">
                  <w:pPr>
                    <w:pStyle w:val="TableBodyText"/>
                    <w:ind w:left="120" w:hanging="22"/>
                    <w:jc w:val="left"/>
                    <w:rPr>
                      <w:szCs w:val="18"/>
                    </w:rPr>
                  </w:pPr>
                  <w:r w:rsidRPr="003354AD">
                    <w:rPr>
                      <w:szCs w:val="18"/>
                    </w:rPr>
                    <w:t xml:space="preserve">Transition </w:t>
                  </w:r>
                  <w:r w:rsidR="00905D77">
                    <w:rPr>
                      <w:szCs w:val="18"/>
                    </w:rPr>
                    <w:t>C</w:t>
                  </w:r>
                  <w:r w:rsidRPr="003354AD">
                    <w:rPr>
                      <w:szCs w:val="18"/>
                    </w:rPr>
                    <w:t xml:space="preserve">are, </w:t>
                  </w:r>
                  <w:r>
                    <w:rPr>
                      <w:szCs w:val="18"/>
                    </w:rPr>
                    <w:br/>
                  </w:r>
                  <w:r w:rsidRPr="003354AD">
                    <w:rPr>
                      <w:szCs w:val="18"/>
                    </w:rPr>
                    <w:t>2014</w:t>
                  </w:r>
                  <w:r w:rsidR="00E75264">
                    <w:rPr>
                      <w:szCs w:val="18"/>
                    </w:rPr>
                    <w:noBreakHyphen/>
                  </w:r>
                  <w:r w:rsidRPr="003354AD">
                    <w:rPr>
                      <w:szCs w:val="18"/>
                    </w:rPr>
                    <w:t>15</w:t>
                  </w:r>
                </w:p>
              </w:tc>
              <w:tc>
                <w:tcPr>
                  <w:tcW w:w="494" w:type="pct"/>
                  <w:shd w:val="clear" w:color="auto" w:fill="FFFFFF" w:themeFill="background1"/>
                  <w:vAlign w:val="center"/>
                </w:tcPr>
                <w:p w:rsidR="004E627A" w:rsidRPr="00864C90" w:rsidRDefault="004E627A" w:rsidP="004E627A">
                  <w:pPr>
                    <w:pStyle w:val="TableBodyText"/>
                  </w:pPr>
                  <w:bookmarkStart w:id="12" w:name="RANGE!G79"/>
                  <w:r w:rsidRPr="00864C90">
                    <w:t>0.7</w:t>
                  </w:r>
                  <w:bookmarkEnd w:id="12"/>
                </w:p>
              </w:tc>
              <w:tc>
                <w:tcPr>
                  <w:tcW w:w="410" w:type="pct"/>
                  <w:shd w:val="clear" w:color="auto" w:fill="FFFFFF" w:themeFill="background1"/>
                  <w:vAlign w:val="center"/>
                </w:tcPr>
                <w:p w:rsidR="004E627A" w:rsidRPr="00864C90" w:rsidRDefault="004E627A" w:rsidP="004E627A">
                  <w:pPr>
                    <w:pStyle w:val="TableBodyText"/>
                  </w:pPr>
                  <w:bookmarkStart w:id="13" w:name="RANGE!H79"/>
                  <w:r w:rsidRPr="00864C90">
                    <w:t>0.3</w:t>
                  </w:r>
                  <w:bookmarkEnd w:id="13"/>
                </w:p>
              </w:tc>
              <w:tc>
                <w:tcPr>
                  <w:tcW w:w="411" w:type="pct"/>
                  <w:shd w:val="clear" w:color="auto" w:fill="FFFFFF" w:themeFill="background1"/>
                  <w:vAlign w:val="center"/>
                </w:tcPr>
                <w:p w:rsidR="004E627A" w:rsidRPr="00864C90" w:rsidRDefault="004E627A" w:rsidP="004E627A">
                  <w:pPr>
                    <w:pStyle w:val="TableBodyText"/>
                  </w:pPr>
                  <w:bookmarkStart w:id="14" w:name="RANGE!I79"/>
                  <w:r w:rsidRPr="00864C90">
                    <w:t>0.9</w:t>
                  </w:r>
                  <w:bookmarkEnd w:id="14"/>
                </w:p>
              </w:tc>
              <w:tc>
                <w:tcPr>
                  <w:tcW w:w="411" w:type="pct"/>
                  <w:shd w:val="clear" w:color="auto" w:fill="FFFFFF" w:themeFill="background1"/>
                  <w:vAlign w:val="center"/>
                </w:tcPr>
                <w:p w:rsidR="004E627A" w:rsidRPr="00864C90" w:rsidRDefault="004E627A" w:rsidP="004E627A">
                  <w:pPr>
                    <w:pStyle w:val="TableBodyText"/>
                  </w:pPr>
                  <w:bookmarkStart w:id="15" w:name="RANGE!J79"/>
                  <w:r w:rsidRPr="00864C90">
                    <w:t>0.6</w:t>
                  </w:r>
                  <w:bookmarkEnd w:id="15"/>
                </w:p>
              </w:tc>
              <w:tc>
                <w:tcPr>
                  <w:tcW w:w="415" w:type="pct"/>
                  <w:shd w:val="clear" w:color="auto" w:fill="FFFFFF" w:themeFill="background1"/>
                  <w:vAlign w:val="center"/>
                </w:tcPr>
                <w:p w:rsidR="004E627A" w:rsidRPr="00864C90" w:rsidRDefault="004E627A" w:rsidP="004E627A">
                  <w:pPr>
                    <w:pStyle w:val="TableBodyText"/>
                  </w:pPr>
                  <w:bookmarkStart w:id="16" w:name="RANGE!K79"/>
                  <w:r w:rsidRPr="00864C90">
                    <w:t>1.1</w:t>
                  </w:r>
                  <w:bookmarkEnd w:id="16"/>
                </w:p>
              </w:tc>
              <w:tc>
                <w:tcPr>
                  <w:tcW w:w="411" w:type="pct"/>
                  <w:shd w:val="clear" w:color="auto" w:fill="FFFFFF" w:themeFill="background1"/>
                  <w:vAlign w:val="center"/>
                </w:tcPr>
                <w:p w:rsidR="004E627A" w:rsidRPr="00864C90" w:rsidRDefault="004E627A" w:rsidP="004E627A">
                  <w:pPr>
                    <w:pStyle w:val="TableBodyText"/>
                  </w:pPr>
                  <w:bookmarkStart w:id="17" w:name="RANGE!L79"/>
                  <w:r w:rsidRPr="00864C90">
                    <w:t>1.1</w:t>
                  </w:r>
                  <w:bookmarkEnd w:id="17"/>
                </w:p>
              </w:tc>
              <w:tc>
                <w:tcPr>
                  <w:tcW w:w="410" w:type="pct"/>
                  <w:shd w:val="clear" w:color="auto" w:fill="FFFFFF" w:themeFill="background1"/>
                  <w:vAlign w:val="center"/>
                </w:tcPr>
                <w:p w:rsidR="004E627A" w:rsidRPr="00864C90" w:rsidRDefault="004E627A" w:rsidP="004E627A">
                  <w:pPr>
                    <w:pStyle w:val="TableBodyText"/>
                  </w:pPr>
                  <w:bookmarkStart w:id="18" w:name="RANGE!M79"/>
                  <w:r w:rsidRPr="00864C90">
                    <w:t>1.0</w:t>
                  </w:r>
                  <w:bookmarkEnd w:id="18"/>
                </w:p>
              </w:tc>
              <w:tc>
                <w:tcPr>
                  <w:tcW w:w="409" w:type="pct"/>
                  <w:shd w:val="clear" w:color="auto" w:fill="FFFFFF" w:themeFill="background1"/>
                  <w:vAlign w:val="center"/>
                </w:tcPr>
                <w:p w:rsidR="004E627A" w:rsidRPr="00864C90" w:rsidRDefault="008C37C5" w:rsidP="004E627A">
                  <w:pPr>
                    <w:pStyle w:val="TableBodyText"/>
                  </w:pPr>
                  <w:r w:rsidRPr="00864C90">
                    <w:t>16.7</w:t>
                  </w:r>
                </w:p>
              </w:tc>
              <w:tc>
                <w:tcPr>
                  <w:tcW w:w="328" w:type="pct"/>
                  <w:shd w:val="clear" w:color="auto" w:fill="FFFFFF" w:themeFill="background1"/>
                  <w:vAlign w:val="center"/>
                </w:tcPr>
                <w:p w:rsidR="004E627A" w:rsidRPr="00864C90" w:rsidRDefault="004E627A" w:rsidP="004E627A">
                  <w:pPr>
                    <w:pStyle w:val="TableBodyText"/>
                  </w:pPr>
                  <w:r w:rsidRPr="00864C90">
                    <w:t>0.8</w:t>
                  </w:r>
                </w:p>
              </w:tc>
            </w:tr>
            <w:tr w:rsidR="002E7067" w:rsidRPr="009E19DD" w:rsidTr="005F19EB">
              <w:trPr>
                <w:trHeight w:val="224"/>
              </w:trPr>
              <w:tc>
                <w:tcPr>
                  <w:tcW w:w="5000" w:type="pct"/>
                  <w:gridSpan w:val="10"/>
                  <w:vAlign w:val="center"/>
                </w:tcPr>
                <w:p w:rsidR="002E7067" w:rsidRPr="009E19DD" w:rsidRDefault="002E7067" w:rsidP="00571A55">
                  <w:pPr>
                    <w:pStyle w:val="TableBodyText"/>
                    <w:spacing w:before="40"/>
                    <w:jc w:val="left"/>
                  </w:pPr>
                  <w:proofErr w:type="spellStart"/>
                  <w:r w:rsidRPr="003354AD">
                    <w:rPr>
                      <w:b/>
                      <w:szCs w:val="18"/>
                    </w:rPr>
                    <w:t>CaLD</w:t>
                  </w:r>
                  <w:proofErr w:type="spellEnd"/>
                  <w:r w:rsidRPr="003354AD">
                    <w:rPr>
                      <w:b/>
                      <w:szCs w:val="18"/>
                    </w:rPr>
                    <w:t xml:space="preserve"> backgrounds</w:t>
                  </w:r>
                </w:p>
              </w:tc>
            </w:tr>
            <w:tr w:rsidR="002E7067" w:rsidRPr="008E589D" w:rsidTr="00864C90">
              <w:trPr>
                <w:trHeight w:val="224"/>
              </w:trPr>
              <w:tc>
                <w:tcPr>
                  <w:tcW w:w="1301" w:type="pct"/>
                </w:tcPr>
                <w:p w:rsidR="002E7067" w:rsidRPr="003354AD" w:rsidRDefault="002E7067" w:rsidP="00DF6BBD">
                  <w:pPr>
                    <w:pStyle w:val="TableBodyText"/>
                    <w:ind w:left="120" w:hanging="22"/>
                    <w:jc w:val="left"/>
                  </w:pPr>
                  <w:r w:rsidRPr="003354AD">
                    <w:rPr>
                      <w:i/>
                      <w:szCs w:val="18"/>
                    </w:rPr>
                    <w:t>Aged care target population, June 2011</w:t>
                  </w:r>
                  <w:r w:rsidRPr="003354AD">
                    <w:t xml:space="preserve"> </w:t>
                  </w:r>
                </w:p>
              </w:tc>
              <w:tc>
                <w:tcPr>
                  <w:tcW w:w="494" w:type="pct"/>
                  <w:shd w:val="clear" w:color="auto" w:fill="FFFFFF" w:themeFill="background1"/>
                  <w:vAlign w:val="bottom"/>
                </w:tcPr>
                <w:p w:rsidR="002E7067" w:rsidRPr="008E589D" w:rsidRDefault="002E7067" w:rsidP="005F19EB">
                  <w:pPr>
                    <w:pStyle w:val="TableBodyText"/>
                  </w:pPr>
                  <w:r w:rsidRPr="008E589D">
                    <w:t>24.6</w:t>
                  </w:r>
                </w:p>
              </w:tc>
              <w:tc>
                <w:tcPr>
                  <w:tcW w:w="410" w:type="pct"/>
                  <w:shd w:val="clear" w:color="auto" w:fill="FFFFFF" w:themeFill="background1"/>
                  <w:vAlign w:val="bottom"/>
                </w:tcPr>
                <w:p w:rsidR="002E7067" w:rsidRPr="008E589D" w:rsidRDefault="002E7067" w:rsidP="005F19EB">
                  <w:pPr>
                    <w:pStyle w:val="TableBodyText"/>
                  </w:pPr>
                  <w:r w:rsidRPr="008E589D">
                    <w:t>30.6</w:t>
                  </w:r>
                </w:p>
              </w:tc>
              <w:tc>
                <w:tcPr>
                  <w:tcW w:w="411" w:type="pct"/>
                  <w:shd w:val="clear" w:color="auto" w:fill="FFFFFF" w:themeFill="background1"/>
                  <w:vAlign w:val="bottom"/>
                </w:tcPr>
                <w:p w:rsidR="002E7067" w:rsidRPr="008E589D" w:rsidRDefault="002E7067" w:rsidP="005F19EB">
                  <w:pPr>
                    <w:pStyle w:val="TableBodyText"/>
                  </w:pPr>
                  <w:r w:rsidRPr="008E589D">
                    <w:t>12.1</w:t>
                  </w:r>
                </w:p>
              </w:tc>
              <w:tc>
                <w:tcPr>
                  <w:tcW w:w="411" w:type="pct"/>
                  <w:shd w:val="clear" w:color="auto" w:fill="FFFFFF" w:themeFill="background1"/>
                  <w:vAlign w:val="bottom"/>
                </w:tcPr>
                <w:p w:rsidR="002E7067" w:rsidRPr="008E589D" w:rsidRDefault="002E7067" w:rsidP="005F19EB">
                  <w:pPr>
                    <w:pStyle w:val="TableBodyText"/>
                  </w:pPr>
                  <w:r w:rsidRPr="008E589D">
                    <w:t>20.3</w:t>
                  </w:r>
                </w:p>
              </w:tc>
              <w:tc>
                <w:tcPr>
                  <w:tcW w:w="415" w:type="pct"/>
                  <w:shd w:val="clear" w:color="auto" w:fill="FFFFFF" w:themeFill="background1"/>
                  <w:vAlign w:val="bottom"/>
                </w:tcPr>
                <w:p w:rsidR="002E7067" w:rsidRPr="008E589D" w:rsidRDefault="002E7067" w:rsidP="00F06E9D">
                  <w:pPr>
                    <w:pStyle w:val="TableBodyText"/>
                  </w:pPr>
                  <w:r w:rsidRPr="008E589D">
                    <w:t>20.</w:t>
                  </w:r>
                  <w:r w:rsidR="00F06E9D">
                    <w:t>3</w:t>
                  </w:r>
                </w:p>
              </w:tc>
              <w:tc>
                <w:tcPr>
                  <w:tcW w:w="411" w:type="pct"/>
                  <w:shd w:val="clear" w:color="auto" w:fill="FFFFFF" w:themeFill="background1"/>
                  <w:vAlign w:val="bottom"/>
                </w:tcPr>
                <w:p w:rsidR="002E7067" w:rsidRPr="008E589D" w:rsidRDefault="002E7067" w:rsidP="005F19EB">
                  <w:pPr>
                    <w:pStyle w:val="TableBodyText"/>
                  </w:pPr>
                  <w:r w:rsidRPr="008E589D">
                    <w:t>8.0</w:t>
                  </w:r>
                </w:p>
              </w:tc>
              <w:tc>
                <w:tcPr>
                  <w:tcW w:w="410" w:type="pct"/>
                  <w:shd w:val="clear" w:color="auto" w:fill="FFFFFF" w:themeFill="background1"/>
                  <w:vAlign w:val="bottom"/>
                </w:tcPr>
                <w:p w:rsidR="002E7067" w:rsidRPr="008E589D" w:rsidRDefault="002E7067" w:rsidP="005F19EB">
                  <w:pPr>
                    <w:pStyle w:val="TableBodyText"/>
                  </w:pPr>
                  <w:r w:rsidRPr="008E589D">
                    <w:t>26.0</w:t>
                  </w:r>
                </w:p>
              </w:tc>
              <w:tc>
                <w:tcPr>
                  <w:tcW w:w="409" w:type="pct"/>
                  <w:shd w:val="clear" w:color="auto" w:fill="FFFFFF" w:themeFill="background1"/>
                  <w:vAlign w:val="bottom"/>
                </w:tcPr>
                <w:p w:rsidR="002E7067" w:rsidRPr="008E589D" w:rsidRDefault="002E7067" w:rsidP="005F19EB">
                  <w:pPr>
                    <w:pStyle w:val="TableBodyText"/>
                  </w:pPr>
                  <w:r w:rsidRPr="008E589D">
                    <w:t>20.4</w:t>
                  </w:r>
                </w:p>
              </w:tc>
              <w:tc>
                <w:tcPr>
                  <w:tcW w:w="328" w:type="pct"/>
                  <w:shd w:val="clear" w:color="auto" w:fill="FFFFFF" w:themeFill="background1"/>
                  <w:vAlign w:val="bottom"/>
                </w:tcPr>
                <w:p w:rsidR="002E7067" w:rsidRPr="008E589D" w:rsidRDefault="002E7067" w:rsidP="005F19EB">
                  <w:pPr>
                    <w:pStyle w:val="TableBodyText"/>
                  </w:pPr>
                  <w:r w:rsidRPr="008E589D">
                    <w:t>22.6</w:t>
                  </w:r>
                </w:p>
              </w:tc>
            </w:tr>
            <w:tr w:rsidR="002E7067" w:rsidRPr="00761E0E" w:rsidTr="005F19EB">
              <w:trPr>
                <w:trHeight w:val="224"/>
              </w:trPr>
              <w:tc>
                <w:tcPr>
                  <w:tcW w:w="1301" w:type="pct"/>
                </w:tcPr>
                <w:p w:rsidR="002E7067" w:rsidRPr="003354AD" w:rsidRDefault="002E7067" w:rsidP="005F19EB">
                  <w:pPr>
                    <w:pStyle w:val="TableBodyText"/>
                    <w:ind w:left="120" w:hanging="22"/>
                    <w:jc w:val="left"/>
                  </w:pPr>
                  <w:r w:rsidRPr="003354AD">
                    <w:t xml:space="preserve">Residential aged care, at </w:t>
                  </w:r>
                  <w:r w:rsidRPr="00BA3272">
                    <w:rPr>
                      <w:szCs w:val="18"/>
                    </w:rPr>
                    <w:t>30</w:t>
                  </w:r>
                  <w:r w:rsidR="00E75264">
                    <w:t> </w:t>
                  </w:r>
                  <w:r w:rsidRPr="003354AD">
                    <w:t>June 201</w:t>
                  </w:r>
                  <w:r>
                    <w:t>5</w:t>
                  </w:r>
                </w:p>
              </w:tc>
              <w:tc>
                <w:tcPr>
                  <w:tcW w:w="494" w:type="pct"/>
                  <w:shd w:val="clear" w:color="auto" w:fill="FFFFFF" w:themeFill="background1"/>
                  <w:vAlign w:val="center"/>
                </w:tcPr>
                <w:p w:rsidR="002E7067" w:rsidRPr="00761E0E" w:rsidRDefault="00E75264" w:rsidP="005F19EB">
                  <w:pPr>
                    <w:pStyle w:val="TableBodyText"/>
                  </w:pPr>
                  <w:r>
                    <w:t xml:space="preserve"> </w:t>
                  </w:r>
                  <w:r w:rsidR="002E7067" w:rsidRPr="00761E0E">
                    <w:t>19.5</w:t>
                  </w:r>
                </w:p>
              </w:tc>
              <w:tc>
                <w:tcPr>
                  <w:tcW w:w="410" w:type="pct"/>
                  <w:shd w:val="clear" w:color="auto" w:fill="FFFFFF" w:themeFill="background1"/>
                  <w:vAlign w:val="center"/>
                </w:tcPr>
                <w:p w:rsidR="002E7067" w:rsidRPr="00761E0E" w:rsidRDefault="00E75264" w:rsidP="005F19EB">
                  <w:pPr>
                    <w:pStyle w:val="TableBodyText"/>
                  </w:pPr>
                  <w:r>
                    <w:t xml:space="preserve"> </w:t>
                  </w:r>
                  <w:r w:rsidR="002E7067" w:rsidRPr="00761E0E">
                    <w:t>23.8</w:t>
                  </w:r>
                </w:p>
              </w:tc>
              <w:tc>
                <w:tcPr>
                  <w:tcW w:w="411" w:type="pct"/>
                  <w:shd w:val="clear" w:color="auto" w:fill="FFFFFF" w:themeFill="background1"/>
                  <w:vAlign w:val="center"/>
                </w:tcPr>
                <w:p w:rsidR="002E7067" w:rsidRPr="00761E0E" w:rsidRDefault="00E75264" w:rsidP="005F19EB">
                  <w:pPr>
                    <w:pStyle w:val="TableBodyText"/>
                  </w:pPr>
                  <w:r>
                    <w:t xml:space="preserve"> </w:t>
                  </w:r>
                  <w:r w:rsidR="002E7067" w:rsidRPr="00761E0E">
                    <w:t>9.9</w:t>
                  </w:r>
                </w:p>
              </w:tc>
              <w:tc>
                <w:tcPr>
                  <w:tcW w:w="411" w:type="pct"/>
                  <w:shd w:val="clear" w:color="auto" w:fill="FFFFFF" w:themeFill="background1"/>
                  <w:vAlign w:val="center"/>
                </w:tcPr>
                <w:p w:rsidR="002E7067" w:rsidRPr="00761E0E" w:rsidRDefault="00E75264" w:rsidP="005F19EB">
                  <w:pPr>
                    <w:pStyle w:val="TableBodyText"/>
                  </w:pPr>
                  <w:r>
                    <w:t xml:space="preserve"> </w:t>
                  </w:r>
                  <w:r w:rsidR="002E7067" w:rsidRPr="00761E0E">
                    <w:t>18.1</w:t>
                  </w:r>
                </w:p>
              </w:tc>
              <w:tc>
                <w:tcPr>
                  <w:tcW w:w="415" w:type="pct"/>
                  <w:shd w:val="clear" w:color="auto" w:fill="FFFFFF" w:themeFill="background1"/>
                  <w:vAlign w:val="center"/>
                </w:tcPr>
                <w:p w:rsidR="002E7067" w:rsidRPr="00761E0E" w:rsidRDefault="00E75264" w:rsidP="005F19EB">
                  <w:pPr>
                    <w:pStyle w:val="TableBodyText"/>
                  </w:pPr>
                  <w:r>
                    <w:t xml:space="preserve"> </w:t>
                  </w:r>
                  <w:r w:rsidR="002E7067" w:rsidRPr="00761E0E">
                    <w:t>17.2</w:t>
                  </w:r>
                </w:p>
              </w:tc>
              <w:tc>
                <w:tcPr>
                  <w:tcW w:w="411" w:type="pct"/>
                  <w:shd w:val="clear" w:color="auto" w:fill="FFFFFF" w:themeFill="background1"/>
                  <w:vAlign w:val="center"/>
                </w:tcPr>
                <w:p w:rsidR="002E7067" w:rsidRPr="00761E0E" w:rsidRDefault="00E75264" w:rsidP="005F19EB">
                  <w:pPr>
                    <w:pStyle w:val="TableBodyText"/>
                  </w:pPr>
                  <w:r>
                    <w:t xml:space="preserve"> </w:t>
                  </w:r>
                  <w:r w:rsidR="002E7067" w:rsidRPr="00761E0E">
                    <w:t>6.9</w:t>
                  </w:r>
                </w:p>
              </w:tc>
              <w:tc>
                <w:tcPr>
                  <w:tcW w:w="410" w:type="pct"/>
                  <w:shd w:val="clear" w:color="auto" w:fill="FFFFFF" w:themeFill="background1"/>
                  <w:vAlign w:val="center"/>
                </w:tcPr>
                <w:p w:rsidR="002E7067" w:rsidRPr="00761E0E" w:rsidRDefault="00E75264" w:rsidP="005F19EB">
                  <w:pPr>
                    <w:pStyle w:val="TableBodyText"/>
                  </w:pPr>
                  <w:r>
                    <w:t xml:space="preserve"> </w:t>
                  </w:r>
                  <w:r w:rsidR="002E7067" w:rsidRPr="00761E0E">
                    <w:t>20.5</w:t>
                  </w:r>
                </w:p>
              </w:tc>
              <w:tc>
                <w:tcPr>
                  <w:tcW w:w="409" w:type="pct"/>
                  <w:shd w:val="clear" w:color="auto" w:fill="FFFFFF" w:themeFill="background1"/>
                  <w:vAlign w:val="center"/>
                </w:tcPr>
                <w:p w:rsidR="002E7067" w:rsidRPr="00761E0E" w:rsidRDefault="00E75264" w:rsidP="005F19EB">
                  <w:pPr>
                    <w:pStyle w:val="TableBodyText"/>
                  </w:pPr>
                  <w:r>
                    <w:t xml:space="preserve"> </w:t>
                  </w:r>
                  <w:r w:rsidR="002E7067" w:rsidRPr="00761E0E">
                    <w:t>12.5</w:t>
                  </w:r>
                </w:p>
              </w:tc>
              <w:tc>
                <w:tcPr>
                  <w:tcW w:w="328" w:type="pct"/>
                  <w:shd w:val="clear" w:color="auto" w:fill="FFFFFF" w:themeFill="background1"/>
                  <w:vAlign w:val="center"/>
                </w:tcPr>
                <w:p w:rsidR="002E7067" w:rsidRPr="00761E0E" w:rsidRDefault="002E7067" w:rsidP="005F19EB">
                  <w:pPr>
                    <w:pStyle w:val="TableBodyText"/>
                  </w:pPr>
                  <w:r w:rsidRPr="00761E0E">
                    <w:t xml:space="preserve"> 18.3</w:t>
                  </w:r>
                </w:p>
              </w:tc>
            </w:tr>
            <w:tr w:rsidR="00F06E9D" w:rsidRPr="00AB0EB0" w:rsidTr="00F132AA">
              <w:trPr>
                <w:trHeight w:val="224"/>
              </w:trPr>
              <w:tc>
                <w:tcPr>
                  <w:tcW w:w="1301" w:type="pct"/>
                </w:tcPr>
                <w:p w:rsidR="00F06E9D" w:rsidRPr="003354AD" w:rsidRDefault="00F06E9D" w:rsidP="005F19EB">
                  <w:pPr>
                    <w:pStyle w:val="TableBodyText"/>
                    <w:ind w:left="120" w:hanging="22"/>
                    <w:jc w:val="left"/>
                  </w:pPr>
                  <w:r w:rsidRPr="003354AD">
                    <w:t>Home care levels 1‒2, at 30</w:t>
                  </w:r>
                  <w:r w:rsidR="00E75264">
                    <w:t> </w:t>
                  </w:r>
                  <w:r w:rsidRPr="003354AD">
                    <w:t xml:space="preserve">June </w:t>
                  </w:r>
                  <w:r w:rsidRPr="00BA3272">
                    <w:rPr>
                      <w:szCs w:val="18"/>
                    </w:rPr>
                    <w:t>2015</w:t>
                  </w:r>
                </w:p>
              </w:tc>
              <w:tc>
                <w:tcPr>
                  <w:tcW w:w="494" w:type="pct"/>
                  <w:shd w:val="clear" w:color="auto" w:fill="FFFFFF" w:themeFill="background1"/>
                  <w:vAlign w:val="center"/>
                </w:tcPr>
                <w:p w:rsidR="00F06E9D" w:rsidRPr="00F06E9D" w:rsidRDefault="00E75264" w:rsidP="00F06E9D">
                  <w:pPr>
                    <w:pStyle w:val="TableBodyText"/>
                  </w:pPr>
                  <w:r>
                    <w:t xml:space="preserve"> </w:t>
                  </w:r>
                  <w:r w:rsidR="00F06E9D" w:rsidRPr="00F06E9D">
                    <w:t>25.8</w:t>
                  </w:r>
                </w:p>
              </w:tc>
              <w:tc>
                <w:tcPr>
                  <w:tcW w:w="410" w:type="pct"/>
                  <w:shd w:val="clear" w:color="auto" w:fill="FFFFFF" w:themeFill="background1"/>
                  <w:vAlign w:val="center"/>
                </w:tcPr>
                <w:p w:rsidR="00F06E9D" w:rsidRPr="00F06E9D" w:rsidRDefault="00E75264" w:rsidP="00F06E9D">
                  <w:pPr>
                    <w:pStyle w:val="TableBodyText"/>
                  </w:pPr>
                  <w:r>
                    <w:t xml:space="preserve"> </w:t>
                  </w:r>
                  <w:r w:rsidR="00F06E9D" w:rsidRPr="00F06E9D">
                    <w:t>33.4</w:t>
                  </w:r>
                </w:p>
              </w:tc>
              <w:tc>
                <w:tcPr>
                  <w:tcW w:w="411" w:type="pct"/>
                  <w:shd w:val="clear" w:color="auto" w:fill="FFFFFF" w:themeFill="background1"/>
                  <w:vAlign w:val="center"/>
                </w:tcPr>
                <w:p w:rsidR="00F06E9D" w:rsidRPr="00F06E9D" w:rsidRDefault="00E75264" w:rsidP="00F06E9D">
                  <w:pPr>
                    <w:pStyle w:val="TableBodyText"/>
                  </w:pPr>
                  <w:r>
                    <w:t xml:space="preserve"> </w:t>
                  </w:r>
                  <w:r w:rsidR="00F06E9D" w:rsidRPr="00F06E9D">
                    <w:t>15.8</w:t>
                  </w:r>
                </w:p>
              </w:tc>
              <w:tc>
                <w:tcPr>
                  <w:tcW w:w="411" w:type="pct"/>
                  <w:shd w:val="clear" w:color="auto" w:fill="FFFFFF" w:themeFill="background1"/>
                  <w:vAlign w:val="center"/>
                </w:tcPr>
                <w:p w:rsidR="00F06E9D" w:rsidRPr="00F06E9D" w:rsidRDefault="00E75264" w:rsidP="00F06E9D">
                  <w:pPr>
                    <w:pStyle w:val="TableBodyText"/>
                  </w:pPr>
                  <w:r>
                    <w:t xml:space="preserve"> </w:t>
                  </w:r>
                  <w:r w:rsidR="00F06E9D" w:rsidRPr="00F06E9D">
                    <w:t>27.1</w:t>
                  </w:r>
                </w:p>
              </w:tc>
              <w:tc>
                <w:tcPr>
                  <w:tcW w:w="415" w:type="pct"/>
                  <w:shd w:val="clear" w:color="auto" w:fill="FFFFFF" w:themeFill="background1"/>
                  <w:vAlign w:val="center"/>
                </w:tcPr>
                <w:p w:rsidR="00F06E9D" w:rsidRPr="00F06E9D" w:rsidRDefault="00E75264" w:rsidP="00F06E9D">
                  <w:pPr>
                    <w:pStyle w:val="TableBodyText"/>
                  </w:pPr>
                  <w:r>
                    <w:t xml:space="preserve"> </w:t>
                  </w:r>
                  <w:r w:rsidR="00F06E9D" w:rsidRPr="00F06E9D">
                    <w:t>21.7</w:t>
                  </w:r>
                </w:p>
              </w:tc>
              <w:tc>
                <w:tcPr>
                  <w:tcW w:w="411" w:type="pct"/>
                  <w:shd w:val="clear" w:color="auto" w:fill="FFFFFF" w:themeFill="background1"/>
                  <w:vAlign w:val="center"/>
                </w:tcPr>
                <w:p w:rsidR="00F06E9D" w:rsidRPr="00F06E9D" w:rsidRDefault="00E75264" w:rsidP="00F06E9D">
                  <w:pPr>
                    <w:pStyle w:val="TableBodyText"/>
                  </w:pPr>
                  <w:r>
                    <w:t xml:space="preserve"> </w:t>
                  </w:r>
                  <w:r w:rsidR="00F06E9D" w:rsidRPr="00F06E9D">
                    <w:t>11.4</w:t>
                  </w:r>
                </w:p>
              </w:tc>
              <w:tc>
                <w:tcPr>
                  <w:tcW w:w="410" w:type="pct"/>
                  <w:shd w:val="clear" w:color="auto" w:fill="FFFFFF" w:themeFill="background1"/>
                  <w:vAlign w:val="center"/>
                </w:tcPr>
                <w:p w:rsidR="00F06E9D" w:rsidRPr="00F06E9D" w:rsidRDefault="00E75264" w:rsidP="00F06E9D">
                  <w:pPr>
                    <w:pStyle w:val="TableBodyText"/>
                  </w:pPr>
                  <w:r>
                    <w:t xml:space="preserve"> </w:t>
                  </w:r>
                  <w:r w:rsidR="00F06E9D" w:rsidRPr="00F06E9D">
                    <w:t>19.6</w:t>
                  </w:r>
                </w:p>
              </w:tc>
              <w:tc>
                <w:tcPr>
                  <w:tcW w:w="409" w:type="pct"/>
                  <w:shd w:val="clear" w:color="auto" w:fill="FFFFFF" w:themeFill="background1"/>
                  <w:vAlign w:val="center"/>
                </w:tcPr>
                <w:p w:rsidR="00F06E9D" w:rsidRPr="00F06E9D" w:rsidRDefault="00E75264" w:rsidP="00F06E9D">
                  <w:pPr>
                    <w:pStyle w:val="TableBodyText"/>
                  </w:pPr>
                  <w:r>
                    <w:t xml:space="preserve"> </w:t>
                  </w:r>
                  <w:r w:rsidR="00F06E9D" w:rsidRPr="00F06E9D">
                    <w:t>14.5</w:t>
                  </w:r>
                </w:p>
              </w:tc>
              <w:tc>
                <w:tcPr>
                  <w:tcW w:w="328" w:type="pct"/>
                  <w:shd w:val="clear" w:color="auto" w:fill="FFFFFF" w:themeFill="background1"/>
                  <w:vAlign w:val="center"/>
                </w:tcPr>
                <w:p w:rsidR="00F06E9D" w:rsidRPr="00F06E9D" w:rsidRDefault="00F06E9D" w:rsidP="00F06E9D">
                  <w:pPr>
                    <w:pStyle w:val="TableBodyText"/>
                  </w:pPr>
                  <w:r w:rsidRPr="00F06E9D">
                    <w:t xml:space="preserve"> 25.5</w:t>
                  </w:r>
                </w:p>
              </w:tc>
            </w:tr>
            <w:tr w:rsidR="00F06E9D" w:rsidRPr="00AB0EB0" w:rsidTr="00F132AA">
              <w:trPr>
                <w:trHeight w:val="462"/>
              </w:trPr>
              <w:tc>
                <w:tcPr>
                  <w:tcW w:w="1301" w:type="pct"/>
                  <w:tcBorders>
                    <w:bottom w:val="single" w:sz="6" w:space="0" w:color="BFBFBF"/>
                  </w:tcBorders>
                </w:tcPr>
                <w:p w:rsidR="00F06E9D" w:rsidRPr="003354AD" w:rsidRDefault="00F06E9D" w:rsidP="005F024E">
                  <w:pPr>
                    <w:pStyle w:val="TableBodyText"/>
                    <w:ind w:left="120"/>
                    <w:jc w:val="left"/>
                  </w:pPr>
                  <w:r w:rsidRPr="003354AD">
                    <w:t>Home care levels 3‒4, at 30</w:t>
                  </w:r>
                  <w:r w:rsidR="00E75264">
                    <w:t> </w:t>
                  </w:r>
                  <w:r w:rsidRPr="00BA3272">
                    <w:rPr>
                      <w:szCs w:val="18"/>
                    </w:rPr>
                    <w:t>June</w:t>
                  </w:r>
                  <w:r w:rsidRPr="003354AD">
                    <w:t xml:space="preserve"> 201</w:t>
                  </w:r>
                  <w:r>
                    <w:t>5</w:t>
                  </w:r>
                </w:p>
              </w:tc>
              <w:tc>
                <w:tcPr>
                  <w:tcW w:w="494" w:type="pct"/>
                  <w:tcBorders>
                    <w:bottom w:val="single" w:sz="6" w:space="0" w:color="BFBFBF"/>
                  </w:tcBorders>
                  <w:shd w:val="clear" w:color="auto" w:fill="FFFFFF" w:themeFill="background1"/>
                  <w:vAlign w:val="center"/>
                </w:tcPr>
                <w:p w:rsidR="00F06E9D" w:rsidRPr="00F06E9D" w:rsidRDefault="00E75264" w:rsidP="00F06E9D">
                  <w:pPr>
                    <w:pStyle w:val="TableBodyText"/>
                  </w:pPr>
                  <w:r>
                    <w:t xml:space="preserve"> </w:t>
                  </w:r>
                  <w:r w:rsidR="00F06E9D" w:rsidRPr="00F06E9D">
                    <w:t>28.0</w:t>
                  </w:r>
                </w:p>
              </w:tc>
              <w:tc>
                <w:tcPr>
                  <w:tcW w:w="410" w:type="pct"/>
                  <w:tcBorders>
                    <w:bottom w:val="single" w:sz="6" w:space="0" w:color="BFBFBF"/>
                  </w:tcBorders>
                  <w:shd w:val="clear" w:color="auto" w:fill="FFFFFF" w:themeFill="background1"/>
                  <w:vAlign w:val="center"/>
                </w:tcPr>
                <w:p w:rsidR="00F06E9D" w:rsidRPr="00F06E9D" w:rsidRDefault="00E75264" w:rsidP="00F06E9D">
                  <w:pPr>
                    <w:pStyle w:val="TableBodyText"/>
                  </w:pPr>
                  <w:r>
                    <w:t xml:space="preserve"> </w:t>
                  </w:r>
                  <w:r w:rsidR="00F06E9D" w:rsidRPr="00F06E9D">
                    <w:t>35.9</w:t>
                  </w:r>
                </w:p>
              </w:tc>
              <w:tc>
                <w:tcPr>
                  <w:tcW w:w="411" w:type="pct"/>
                  <w:tcBorders>
                    <w:bottom w:val="single" w:sz="6" w:space="0" w:color="BFBFBF"/>
                  </w:tcBorders>
                  <w:shd w:val="clear" w:color="auto" w:fill="FFFFFF" w:themeFill="background1"/>
                  <w:vAlign w:val="center"/>
                </w:tcPr>
                <w:p w:rsidR="00F06E9D" w:rsidRPr="00F06E9D" w:rsidRDefault="00E75264" w:rsidP="00F06E9D">
                  <w:pPr>
                    <w:pStyle w:val="TableBodyText"/>
                  </w:pPr>
                  <w:r>
                    <w:t xml:space="preserve"> </w:t>
                  </w:r>
                  <w:r w:rsidR="00F06E9D" w:rsidRPr="00F06E9D">
                    <w:t>14.9</w:t>
                  </w:r>
                </w:p>
              </w:tc>
              <w:tc>
                <w:tcPr>
                  <w:tcW w:w="411" w:type="pct"/>
                  <w:tcBorders>
                    <w:bottom w:val="single" w:sz="6" w:space="0" w:color="BFBFBF"/>
                  </w:tcBorders>
                  <w:shd w:val="clear" w:color="auto" w:fill="FFFFFF" w:themeFill="background1"/>
                  <w:vAlign w:val="center"/>
                </w:tcPr>
                <w:p w:rsidR="00F06E9D" w:rsidRPr="00F06E9D" w:rsidRDefault="00E75264" w:rsidP="00F06E9D">
                  <w:pPr>
                    <w:pStyle w:val="TableBodyText"/>
                  </w:pPr>
                  <w:r>
                    <w:t xml:space="preserve"> </w:t>
                  </w:r>
                  <w:r w:rsidR="00F06E9D" w:rsidRPr="00F06E9D">
                    <w:t>25.1</w:t>
                  </w:r>
                </w:p>
              </w:tc>
              <w:tc>
                <w:tcPr>
                  <w:tcW w:w="415" w:type="pct"/>
                  <w:tcBorders>
                    <w:bottom w:val="single" w:sz="6" w:space="0" w:color="BFBFBF"/>
                  </w:tcBorders>
                  <w:shd w:val="clear" w:color="auto" w:fill="FFFFFF" w:themeFill="background1"/>
                  <w:vAlign w:val="center"/>
                </w:tcPr>
                <w:p w:rsidR="00F06E9D" w:rsidRPr="00F06E9D" w:rsidRDefault="00E75264" w:rsidP="00F06E9D">
                  <w:pPr>
                    <w:pStyle w:val="TableBodyText"/>
                  </w:pPr>
                  <w:r>
                    <w:t xml:space="preserve"> </w:t>
                  </w:r>
                  <w:r w:rsidR="00F06E9D" w:rsidRPr="00F06E9D">
                    <w:t>20.4</w:t>
                  </w:r>
                </w:p>
              </w:tc>
              <w:tc>
                <w:tcPr>
                  <w:tcW w:w="411" w:type="pct"/>
                  <w:tcBorders>
                    <w:bottom w:val="single" w:sz="6" w:space="0" w:color="BFBFBF"/>
                  </w:tcBorders>
                  <w:shd w:val="clear" w:color="auto" w:fill="FFFFFF" w:themeFill="background1"/>
                  <w:vAlign w:val="center"/>
                </w:tcPr>
                <w:p w:rsidR="00F06E9D" w:rsidRPr="00F06E9D" w:rsidRDefault="00E75264" w:rsidP="00F06E9D">
                  <w:pPr>
                    <w:pStyle w:val="TableBodyText"/>
                  </w:pPr>
                  <w:r>
                    <w:t xml:space="preserve"> </w:t>
                  </w:r>
                  <w:r w:rsidR="00F06E9D" w:rsidRPr="00F06E9D">
                    <w:t>13.9</w:t>
                  </w:r>
                </w:p>
              </w:tc>
              <w:tc>
                <w:tcPr>
                  <w:tcW w:w="410" w:type="pct"/>
                  <w:tcBorders>
                    <w:bottom w:val="single" w:sz="6" w:space="0" w:color="BFBFBF"/>
                  </w:tcBorders>
                  <w:shd w:val="clear" w:color="auto" w:fill="FFFFFF" w:themeFill="background1"/>
                  <w:vAlign w:val="center"/>
                </w:tcPr>
                <w:p w:rsidR="00F06E9D" w:rsidRPr="00F06E9D" w:rsidRDefault="00E75264" w:rsidP="00F06E9D">
                  <w:pPr>
                    <w:pStyle w:val="TableBodyText"/>
                  </w:pPr>
                  <w:r>
                    <w:t xml:space="preserve"> </w:t>
                  </w:r>
                  <w:r w:rsidR="00F06E9D" w:rsidRPr="00F06E9D">
                    <w:t>29.0</w:t>
                  </w:r>
                </w:p>
              </w:tc>
              <w:tc>
                <w:tcPr>
                  <w:tcW w:w="409" w:type="pct"/>
                  <w:tcBorders>
                    <w:bottom w:val="single" w:sz="6" w:space="0" w:color="BFBFBF"/>
                  </w:tcBorders>
                  <w:shd w:val="clear" w:color="auto" w:fill="FFFFFF" w:themeFill="background1"/>
                  <w:vAlign w:val="center"/>
                </w:tcPr>
                <w:p w:rsidR="00F06E9D" w:rsidRPr="00F06E9D" w:rsidRDefault="00E75264" w:rsidP="00F06E9D">
                  <w:pPr>
                    <w:pStyle w:val="TableBodyText"/>
                  </w:pPr>
                  <w:r>
                    <w:t xml:space="preserve"> </w:t>
                  </w:r>
                  <w:r w:rsidR="00F06E9D" w:rsidRPr="00F06E9D">
                    <w:t>21.4</w:t>
                  </w:r>
                </w:p>
              </w:tc>
              <w:tc>
                <w:tcPr>
                  <w:tcW w:w="328" w:type="pct"/>
                  <w:tcBorders>
                    <w:bottom w:val="single" w:sz="6" w:space="0" w:color="BFBFBF"/>
                  </w:tcBorders>
                  <w:shd w:val="clear" w:color="auto" w:fill="FFFFFF" w:themeFill="background1"/>
                  <w:vAlign w:val="center"/>
                </w:tcPr>
                <w:p w:rsidR="00F06E9D" w:rsidRPr="00F06E9D" w:rsidRDefault="00F06E9D" w:rsidP="00F06E9D">
                  <w:pPr>
                    <w:pStyle w:val="TableBodyText"/>
                  </w:pPr>
                  <w:r w:rsidRPr="00F06E9D">
                    <w:t xml:space="preserve"> 25.8</w:t>
                  </w:r>
                </w:p>
              </w:tc>
            </w:tr>
          </w:tbl>
          <w:p w:rsidR="002E7067" w:rsidRDefault="002E7067" w:rsidP="005F19EB">
            <w:pPr>
              <w:pStyle w:val="Box"/>
            </w:pPr>
          </w:p>
        </w:tc>
      </w:tr>
      <w:tr w:rsidR="002E7067" w:rsidTr="00864C90">
        <w:trPr>
          <w:cantSplit/>
        </w:trPr>
        <w:tc>
          <w:tcPr>
            <w:tcW w:w="8909" w:type="dxa"/>
            <w:tcBorders>
              <w:top w:val="nil"/>
              <w:left w:val="nil"/>
              <w:bottom w:val="nil"/>
              <w:right w:val="nil"/>
            </w:tcBorders>
            <w:shd w:val="clear" w:color="auto" w:fill="FFFFFF" w:themeFill="background1"/>
          </w:tcPr>
          <w:p w:rsidR="002E7067" w:rsidRDefault="002E7067" w:rsidP="00A327F8">
            <w:pPr>
              <w:pStyle w:val="Note"/>
              <w:rPr>
                <w:i/>
              </w:rPr>
            </w:pPr>
            <w:r w:rsidRPr="008E77FE">
              <w:rPr>
                <w:rStyle w:val="NoteLabel"/>
              </w:rPr>
              <w:t>a</w:t>
            </w:r>
            <w:r>
              <w:t xml:space="preserve"> </w:t>
            </w:r>
            <w:r w:rsidRPr="00B51B91">
              <w:t xml:space="preserve">See </w:t>
            </w:r>
            <w:r>
              <w:t>box</w:t>
            </w:r>
            <w:r w:rsidR="00E75264">
              <w:t> </w:t>
            </w:r>
            <w:r>
              <w:t xml:space="preserve">13.3 and </w:t>
            </w:r>
            <w:r w:rsidRPr="00B51B91">
              <w:t>tables</w:t>
            </w:r>
            <w:r w:rsidR="00E75264">
              <w:t> </w:t>
            </w:r>
            <w:proofErr w:type="spellStart"/>
            <w:r w:rsidRPr="00B51B91">
              <w:t>13A.</w:t>
            </w:r>
            <w:r>
              <w:t>2</w:t>
            </w:r>
            <w:proofErr w:type="spellEnd"/>
            <w:r w:rsidR="00F744CB" w:rsidRPr="00733169">
              <w:t>–</w:t>
            </w:r>
            <w:r>
              <w:t>3</w:t>
            </w:r>
            <w:r w:rsidR="008C37C5">
              <w:t>,</w:t>
            </w:r>
            <w:r>
              <w:t xml:space="preserve"> </w:t>
            </w:r>
            <w:proofErr w:type="spellStart"/>
            <w:r w:rsidRPr="00B51B91">
              <w:t>13A.</w:t>
            </w:r>
            <w:r>
              <w:t>23</w:t>
            </w:r>
            <w:proofErr w:type="spellEnd"/>
            <w:r w:rsidR="00F744CB" w:rsidRPr="00733169">
              <w:t>–</w:t>
            </w:r>
            <w:r>
              <w:t>24</w:t>
            </w:r>
            <w:r w:rsidR="00A327F8">
              <w:t>,</w:t>
            </w:r>
            <w:r w:rsidRPr="00B51B91">
              <w:t xml:space="preserve"> </w:t>
            </w:r>
            <w:proofErr w:type="spellStart"/>
            <w:r w:rsidR="00A327F8">
              <w:t>13A.30</w:t>
            </w:r>
            <w:proofErr w:type="spellEnd"/>
            <w:r w:rsidR="00A327F8">
              <w:t xml:space="preserve"> </w:t>
            </w:r>
            <w:r w:rsidR="008C37C5" w:rsidRPr="00864C90">
              <w:rPr>
                <w:shd w:val="clear" w:color="auto" w:fill="FFFFFF" w:themeFill="background1"/>
              </w:rPr>
              <w:t xml:space="preserve">and </w:t>
            </w:r>
            <w:proofErr w:type="spellStart"/>
            <w:r w:rsidR="008C37C5" w:rsidRPr="00864C90">
              <w:rPr>
                <w:shd w:val="clear" w:color="auto" w:fill="FFFFFF" w:themeFill="background1"/>
              </w:rPr>
              <w:t>13A.33</w:t>
            </w:r>
            <w:proofErr w:type="spellEnd"/>
            <w:r w:rsidR="008C37C5">
              <w:t xml:space="preserve"> </w:t>
            </w:r>
            <w:r w:rsidRPr="00B51B91">
              <w:t xml:space="preserve">for </w:t>
            </w:r>
            <w:r w:rsidRPr="00010F44">
              <w:t>detailed definitions, footnotes and caveats</w:t>
            </w:r>
            <w:r w:rsidRPr="00B51B91">
              <w:t>.</w:t>
            </w:r>
          </w:p>
        </w:tc>
      </w:tr>
      <w:tr w:rsidR="002E7067" w:rsidTr="00864C90">
        <w:trPr>
          <w:cantSplit/>
        </w:trPr>
        <w:tc>
          <w:tcPr>
            <w:tcW w:w="8909" w:type="dxa"/>
            <w:tcBorders>
              <w:top w:val="nil"/>
              <w:left w:val="nil"/>
              <w:bottom w:val="nil"/>
              <w:right w:val="nil"/>
            </w:tcBorders>
            <w:shd w:val="clear" w:color="auto" w:fill="FFFFFF" w:themeFill="background1"/>
          </w:tcPr>
          <w:p w:rsidR="002E7067" w:rsidRDefault="002E7067" w:rsidP="001B672D">
            <w:pPr>
              <w:pStyle w:val="Source"/>
            </w:pPr>
            <w:r>
              <w:rPr>
                <w:i/>
              </w:rPr>
              <w:t>Source</w:t>
            </w:r>
            <w:r w:rsidRPr="000F664B">
              <w:t>:</w:t>
            </w:r>
            <w:r>
              <w:rPr>
                <w:i/>
              </w:rPr>
              <w:t xml:space="preserve"> </w:t>
            </w:r>
            <w:r w:rsidRPr="004116F7">
              <w:t>DSS (unpublished)</w:t>
            </w:r>
            <w:r>
              <w:t xml:space="preserve">; ABS (2014) </w:t>
            </w:r>
            <w:r w:rsidRPr="005F4933">
              <w:rPr>
                <w:i/>
              </w:rPr>
              <w:t>Estimated Resident Population, by Country of Birth by State, 1996</w:t>
            </w:r>
            <w:r>
              <w:rPr>
                <w:i/>
              </w:rPr>
              <w:sym w:font="Symbol" w:char="F02D"/>
            </w:r>
            <w:r w:rsidRPr="005F4933">
              <w:rPr>
                <w:i/>
              </w:rPr>
              <w:t>2011</w:t>
            </w:r>
            <w:r>
              <w:rPr>
                <w:i/>
              </w:rPr>
              <w:t xml:space="preserve">, </w:t>
            </w:r>
            <w:proofErr w:type="spellStart"/>
            <w:r>
              <w:t>ABS.Stat</w:t>
            </w:r>
            <w:proofErr w:type="spellEnd"/>
            <w:r>
              <w:t xml:space="preserve"> (available at</w:t>
            </w:r>
            <w:r w:rsidRPr="005F4933">
              <w:t xml:space="preserve"> </w:t>
            </w:r>
            <w:proofErr w:type="spellStart"/>
            <w:r w:rsidRPr="005F4933">
              <w:t>stat.abs.gov.au</w:t>
            </w:r>
            <w:proofErr w:type="spellEnd"/>
            <w:r w:rsidRPr="005F4933">
              <w:t>/</w:t>
            </w:r>
            <w:proofErr w:type="spellStart"/>
            <w:r w:rsidRPr="005F4933">
              <w:t>Index.aspx?DataSetCode</w:t>
            </w:r>
            <w:proofErr w:type="spellEnd"/>
            <w:r w:rsidRPr="005F4933">
              <w:t>=</w:t>
            </w:r>
            <w:proofErr w:type="spellStart"/>
            <w:r w:rsidRPr="005F4933">
              <w:t>ABS_</w:t>
            </w:r>
            <w:r w:rsidR="00916688">
              <w:t>FFR</w:t>
            </w:r>
            <w:r w:rsidRPr="005F4933">
              <w:t>_COB_STATE</w:t>
            </w:r>
            <w:proofErr w:type="spellEnd"/>
            <w:r>
              <w:t>)</w:t>
            </w:r>
            <w:r>
              <w:rPr>
                <w:i/>
              </w:rPr>
              <w:t>;</w:t>
            </w:r>
            <w:r w:rsidRPr="005F4933">
              <w:rPr>
                <w:i/>
              </w:rPr>
              <w:t xml:space="preserve"> </w:t>
            </w:r>
            <w:r w:rsidRPr="00010F44">
              <w:t>tables</w:t>
            </w:r>
            <w:r w:rsidR="00E75264">
              <w:t> </w:t>
            </w:r>
            <w:proofErr w:type="spellStart"/>
            <w:r w:rsidRPr="00010F44">
              <w:t>13A.2</w:t>
            </w:r>
            <w:proofErr w:type="spellEnd"/>
            <w:r w:rsidR="00F744CB" w:rsidRPr="00733169">
              <w:t>–</w:t>
            </w:r>
            <w:r w:rsidRPr="00010F44">
              <w:t>3</w:t>
            </w:r>
            <w:r w:rsidR="00CA46A7">
              <w:t>,</w:t>
            </w:r>
            <w:r>
              <w:t xml:space="preserve"> </w:t>
            </w:r>
            <w:proofErr w:type="spellStart"/>
            <w:r w:rsidRPr="00010F44">
              <w:t>13A.23</w:t>
            </w:r>
            <w:proofErr w:type="spellEnd"/>
            <w:r w:rsidR="00F744CB" w:rsidRPr="00733169">
              <w:t>–</w:t>
            </w:r>
            <w:r w:rsidRPr="00010F44">
              <w:t>24</w:t>
            </w:r>
            <w:r w:rsidR="001B672D">
              <w:t xml:space="preserve">, </w:t>
            </w:r>
            <w:proofErr w:type="spellStart"/>
            <w:r w:rsidR="001B672D">
              <w:t>13A.30</w:t>
            </w:r>
            <w:proofErr w:type="spellEnd"/>
            <w:r w:rsidR="00CA46A7">
              <w:t xml:space="preserve"> and </w:t>
            </w:r>
            <w:proofErr w:type="spellStart"/>
            <w:r w:rsidR="00CA46A7">
              <w:t>13A.33</w:t>
            </w:r>
            <w:proofErr w:type="spellEnd"/>
            <w:r>
              <w:t>.</w:t>
            </w:r>
          </w:p>
        </w:tc>
      </w:tr>
      <w:tr w:rsidR="002E7067" w:rsidTr="002E7067">
        <w:trPr>
          <w:cantSplit/>
        </w:trPr>
        <w:tc>
          <w:tcPr>
            <w:tcW w:w="8909" w:type="dxa"/>
            <w:tcBorders>
              <w:top w:val="nil"/>
              <w:left w:val="nil"/>
              <w:bottom w:val="single" w:sz="6" w:space="0" w:color="78A22F"/>
              <w:right w:val="nil"/>
            </w:tcBorders>
            <w:shd w:val="clear" w:color="auto" w:fill="auto"/>
          </w:tcPr>
          <w:p w:rsidR="002E7067" w:rsidRDefault="002E7067" w:rsidP="005F19EB">
            <w:pPr>
              <w:pStyle w:val="Box"/>
              <w:spacing w:before="0" w:line="120" w:lineRule="exact"/>
            </w:pPr>
          </w:p>
        </w:tc>
      </w:tr>
      <w:tr w:rsidR="002E7067" w:rsidRPr="000863A5" w:rsidTr="002E7067">
        <w:tc>
          <w:tcPr>
            <w:tcW w:w="8909" w:type="dxa"/>
            <w:tcBorders>
              <w:top w:val="single" w:sz="6" w:space="0" w:color="78A22F"/>
              <w:left w:val="nil"/>
              <w:bottom w:val="nil"/>
              <w:right w:val="nil"/>
            </w:tcBorders>
          </w:tcPr>
          <w:p w:rsidR="002E7067" w:rsidRPr="00626D32" w:rsidRDefault="002E7067" w:rsidP="005F19EB">
            <w:pPr>
              <w:pStyle w:val="BoxSpaceBelow"/>
            </w:pPr>
          </w:p>
        </w:tc>
      </w:tr>
    </w:tbl>
    <w:p w:rsidR="00BA3272" w:rsidRDefault="00BA3272" w:rsidP="00BA3272">
      <w:pPr>
        <w:pStyle w:val="Heading5"/>
      </w:pPr>
      <w:r>
        <w:t>Access to residential services by financially disadvantaged users</w:t>
      </w:r>
    </w:p>
    <w:p w:rsidR="00BA3272" w:rsidRPr="00864C90" w:rsidRDefault="00BA3272" w:rsidP="00BA3272">
      <w:pPr>
        <w:pStyle w:val="BodyText"/>
      </w:pPr>
      <w:r>
        <w:t xml:space="preserve">The proportion of all </w:t>
      </w:r>
      <w:r w:rsidR="00B677F5" w:rsidRPr="00864C90">
        <w:t xml:space="preserve">permanent residents’ care days </w:t>
      </w:r>
      <w:r w:rsidRPr="00864C90">
        <w:t xml:space="preserve">classified </w:t>
      </w:r>
      <w:r w:rsidR="00B677F5" w:rsidRPr="00864C90">
        <w:t xml:space="preserve">as concessional, assisted </w:t>
      </w:r>
      <w:r w:rsidR="00327941" w:rsidRPr="00864C90">
        <w:t xml:space="preserve">or </w:t>
      </w:r>
      <w:r w:rsidR="00B677F5" w:rsidRPr="00864C90">
        <w:t>supported</w:t>
      </w:r>
      <w:r w:rsidRPr="00864C90">
        <w:t xml:space="preserve"> during 201</w:t>
      </w:r>
      <w:r w:rsidR="00DF277B" w:rsidRPr="00864C90">
        <w:t>4</w:t>
      </w:r>
      <w:r w:rsidRPr="00864C90">
        <w:noBreakHyphen/>
        <w:t>1</w:t>
      </w:r>
      <w:r w:rsidR="00DF277B" w:rsidRPr="00864C90">
        <w:t>5</w:t>
      </w:r>
      <w:r w:rsidRPr="00864C90">
        <w:t xml:space="preserve"> was </w:t>
      </w:r>
      <w:r w:rsidR="00E47D07" w:rsidRPr="00864C90">
        <w:t>37.7</w:t>
      </w:r>
      <w:r w:rsidRPr="00864C90">
        <w:t> per cent nationally (figure 13.1</w:t>
      </w:r>
      <w:r w:rsidR="000F664B" w:rsidRPr="00864C90">
        <w:t>1</w:t>
      </w:r>
      <w:r w:rsidRPr="00864C90">
        <w:t xml:space="preserve">). </w:t>
      </w:r>
    </w:p>
    <w:p w:rsidR="00BA3272" w:rsidRDefault="00BA3272" w:rsidP="00BA3272">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A3272" w:rsidTr="00BB66AD">
        <w:tc>
          <w:tcPr>
            <w:tcW w:w="8771" w:type="dxa"/>
            <w:tcBorders>
              <w:top w:val="single" w:sz="6" w:space="0" w:color="78A22F"/>
              <w:left w:val="nil"/>
              <w:bottom w:val="nil"/>
              <w:right w:val="nil"/>
            </w:tcBorders>
            <w:shd w:val="clear" w:color="auto" w:fill="auto"/>
          </w:tcPr>
          <w:p w:rsidR="00BA3272" w:rsidRPr="00176D3F" w:rsidRDefault="00BA3272" w:rsidP="00940519">
            <w:pPr>
              <w:pStyle w:val="FigureTitle"/>
            </w:pPr>
            <w:r w:rsidRPr="00784A05">
              <w:rPr>
                <w:b w:val="0"/>
              </w:rPr>
              <w:t xml:space="preserve">Figure </w:t>
            </w:r>
            <w:r w:rsidR="00DF277B">
              <w:rPr>
                <w:b w:val="0"/>
              </w:rPr>
              <w:t>13.</w:t>
            </w:r>
            <w:r w:rsidR="00F132AA">
              <w:rPr>
                <w:b w:val="0"/>
                <w:noProof/>
              </w:rPr>
              <w:t>11</w:t>
            </w:r>
            <w:r>
              <w:tab/>
            </w:r>
            <w:r w:rsidRPr="003E64E3">
              <w:t>Permanent residents’ care days classified as concessional, assisted or supported</w:t>
            </w:r>
            <w:r w:rsidRPr="003E64E3">
              <w:rPr>
                <w:rStyle w:val="NoteLabel"/>
                <w:b/>
              </w:rPr>
              <w:t>a</w:t>
            </w:r>
          </w:p>
        </w:tc>
      </w:tr>
      <w:tr w:rsidR="00BA3272" w:rsidTr="00BB66AD">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A3272" w:rsidTr="00BB66AD">
              <w:tc>
                <w:tcPr>
                  <w:tcW w:w="5000" w:type="pct"/>
                  <w:tcBorders>
                    <w:top w:val="nil"/>
                    <w:bottom w:val="nil"/>
                  </w:tcBorders>
                </w:tcPr>
                <w:p w:rsidR="00BA3272" w:rsidRDefault="00E30882" w:rsidP="00BB66AD">
                  <w:pPr>
                    <w:pStyle w:val="Figure"/>
                    <w:keepLines/>
                    <w:spacing w:before="60" w:after="60"/>
                  </w:pPr>
                  <w:r>
                    <w:rPr>
                      <w:noProof/>
                    </w:rPr>
                    <w:drawing>
                      <wp:inline distT="0" distB="0" distL="0" distR="0">
                        <wp:extent cx="5381625" cy="2638425"/>
                        <wp:effectExtent l="0" t="0" r="9525" b="9525"/>
                        <wp:docPr id="13" name="Picture 13" descr="Figure 13.11 Permanent residents’ care days classified as concessional, assisted or support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1625" cy="2638425"/>
                                </a:xfrm>
                                <a:prstGeom prst="rect">
                                  <a:avLst/>
                                </a:prstGeom>
                                <a:noFill/>
                                <a:ln>
                                  <a:noFill/>
                                </a:ln>
                              </pic:spPr>
                            </pic:pic>
                          </a:graphicData>
                        </a:graphic>
                      </wp:inline>
                    </w:drawing>
                  </w:r>
                </w:p>
              </w:tc>
            </w:tr>
          </w:tbl>
          <w:p w:rsidR="00BA3272" w:rsidRDefault="00BA3272" w:rsidP="00BB66AD">
            <w:pPr>
              <w:pStyle w:val="Figure"/>
              <w:keepLines/>
            </w:pPr>
          </w:p>
        </w:tc>
      </w:tr>
      <w:tr w:rsidR="00BA3272" w:rsidRPr="00176D3F" w:rsidTr="00BB66AD">
        <w:tc>
          <w:tcPr>
            <w:tcW w:w="8771" w:type="dxa"/>
            <w:tcBorders>
              <w:top w:val="nil"/>
              <w:left w:val="nil"/>
              <w:bottom w:val="nil"/>
              <w:right w:val="nil"/>
            </w:tcBorders>
            <w:shd w:val="clear" w:color="auto" w:fill="auto"/>
          </w:tcPr>
          <w:p w:rsidR="00BA3272" w:rsidRPr="00176D3F" w:rsidRDefault="00BA3272" w:rsidP="00010F44">
            <w:pPr>
              <w:pStyle w:val="Note"/>
              <w:keepNext/>
            </w:pPr>
            <w:r w:rsidRPr="003E64E3">
              <w:rPr>
                <w:rStyle w:val="NoteLabel"/>
              </w:rPr>
              <w:t>a</w:t>
            </w:r>
            <w:r>
              <w:t xml:space="preserve"> </w:t>
            </w:r>
            <w:r w:rsidR="000F664B" w:rsidRPr="000F664B">
              <w:t xml:space="preserve">See </w:t>
            </w:r>
            <w:r w:rsidR="00010F44">
              <w:t>box</w:t>
            </w:r>
            <w:r w:rsidR="00E75264">
              <w:t> </w:t>
            </w:r>
            <w:r w:rsidR="00010F44">
              <w:t>13.3 and table</w:t>
            </w:r>
            <w:r w:rsidR="00E75264">
              <w:t> </w:t>
            </w:r>
            <w:proofErr w:type="spellStart"/>
            <w:r w:rsidR="00010F44" w:rsidRPr="00010F44">
              <w:t>13A.</w:t>
            </w:r>
            <w:r w:rsidR="00010F44">
              <w:t>26</w:t>
            </w:r>
            <w:proofErr w:type="spellEnd"/>
            <w:r w:rsidR="00010F44" w:rsidRPr="00010F44">
              <w:t xml:space="preserve"> for detailed definitions, footnotes and caveats.</w:t>
            </w:r>
          </w:p>
        </w:tc>
      </w:tr>
      <w:tr w:rsidR="00BA3272" w:rsidRPr="00176D3F" w:rsidTr="00BB66AD">
        <w:tc>
          <w:tcPr>
            <w:tcW w:w="8771" w:type="dxa"/>
            <w:tcBorders>
              <w:top w:val="nil"/>
              <w:left w:val="nil"/>
              <w:bottom w:val="nil"/>
              <w:right w:val="nil"/>
            </w:tcBorders>
            <w:shd w:val="clear" w:color="auto" w:fill="auto"/>
          </w:tcPr>
          <w:p w:rsidR="00BA3272" w:rsidRPr="00176D3F" w:rsidRDefault="00BA3272" w:rsidP="00C07DBA">
            <w:pPr>
              <w:pStyle w:val="Source"/>
              <w:keepNext/>
            </w:pPr>
            <w:r>
              <w:rPr>
                <w:i/>
              </w:rPr>
              <w:t>Source</w:t>
            </w:r>
            <w:r>
              <w:t xml:space="preserve">: </w:t>
            </w:r>
            <w:r w:rsidR="00C07DBA" w:rsidRPr="00C07DBA">
              <w:t>Department of Health and Ageing</w:t>
            </w:r>
            <w:r w:rsidR="00C07DBA">
              <w:t>/</w:t>
            </w:r>
            <w:proofErr w:type="spellStart"/>
            <w:r>
              <w:t>DSS</w:t>
            </w:r>
            <w:proofErr w:type="spellEnd"/>
            <w:r>
              <w:t xml:space="preserve"> (unpublished); table </w:t>
            </w:r>
            <w:proofErr w:type="spellStart"/>
            <w:r>
              <w:t>13A.2</w:t>
            </w:r>
            <w:r w:rsidR="00010F44">
              <w:t>6</w:t>
            </w:r>
            <w:proofErr w:type="spellEnd"/>
            <w:r>
              <w:t>.</w:t>
            </w:r>
          </w:p>
        </w:tc>
      </w:tr>
      <w:tr w:rsidR="00BA3272" w:rsidTr="00BB66AD">
        <w:tc>
          <w:tcPr>
            <w:tcW w:w="8771" w:type="dxa"/>
            <w:tcBorders>
              <w:top w:val="nil"/>
              <w:left w:val="nil"/>
              <w:bottom w:val="single" w:sz="6" w:space="0" w:color="78A22F"/>
              <w:right w:val="nil"/>
            </w:tcBorders>
            <w:shd w:val="clear" w:color="auto" w:fill="auto"/>
          </w:tcPr>
          <w:p w:rsidR="00BA3272" w:rsidRDefault="00BA3272" w:rsidP="00BB66AD">
            <w:pPr>
              <w:pStyle w:val="Figurespace"/>
              <w:keepLines/>
            </w:pPr>
          </w:p>
        </w:tc>
      </w:tr>
      <w:tr w:rsidR="00BA3272" w:rsidRPr="000863A5" w:rsidTr="00BB66AD">
        <w:tc>
          <w:tcPr>
            <w:tcW w:w="8771" w:type="dxa"/>
            <w:tcBorders>
              <w:top w:val="single" w:sz="6" w:space="0" w:color="78A22F"/>
              <w:left w:val="nil"/>
              <w:bottom w:val="nil"/>
              <w:right w:val="nil"/>
            </w:tcBorders>
          </w:tcPr>
          <w:p w:rsidR="00BA3272" w:rsidRPr="00626D32" w:rsidRDefault="00BA3272" w:rsidP="00BB66AD">
            <w:pPr>
              <w:pStyle w:val="BoxSpaceBelow"/>
              <w:keepNext/>
              <w:keepLines/>
            </w:pPr>
          </w:p>
        </w:tc>
      </w:tr>
    </w:tbl>
    <w:p w:rsidR="00BA3272" w:rsidRDefault="00BA3272" w:rsidP="000F664B">
      <w:pPr>
        <w:pStyle w:val="Heading3"/>
      </w:pPr>
      <w:r>
        <w:t xml:space="preserve">Effectiveness </w:t>
      </w:r>
    </w:p>
    <w:p w:rsidR="003E64E3" w:rsidRDefault="0086351C" w:rsidP="00B6113E">
      <w:pPr>
        <w:pStyle w:val="Heading4"/>
      </w:pPr>
      <w:r>
        <w:t xml:space="preserve">Access – </w:t>
      </w:r>
      <w:r w:rsidR="003E64E3">
        <w:t xml:space="preserve">Operational aged care places </w:t>
      </w:r>
    </w:p>
    <w:p w:rsidR="003E64E3" w:rsidRDefault="003E64E3" w:rsidP="00B3061E">
      <w:pPr>
        <w:pStyle w:val="BodyText"/>
        <w:widowControl w:val="0"/>
      </w:pPr>
      <w:r>
        <w:t>‘Operational aged care places’ is an indicator of governments’ objective to provide older Australians with access to a range of aged care services that can meet their care needs (box 13.</w:t>
      </w:r>
      <w:r w:rsidR="0098622E">
        <w:t>4</w:t>
      </w:r>
      <w:r>
        <w:t xml:space="preserve">). </w:t>
      </w:r>
    </w:p>
    <w:p w:rsidR="00653D20" w:rsidRDefault="00653D20" w:rsidP="00B3061E">
      <w:pPr>
        <w:pStyle w:val="BodyText"/>
        <w:widowControl w:val="0"/>
      </w:pPr>
      <w:r w:rsidRPr="00653D20">
        <w:t xml:space="preserve">The planning framework for services provided under the </w:t>
      </w:r>
      <w:r w:rsidRPr="00425EA1">
        <w:rPr>
          <w:i/>
        </w:rPr>
        <w:t>Aged Care Act 1997</w:t>
      </w:r>
      <w:r w:rsidRPr="00653D20">
        <w:t xml:space="preserve"> aims to keep the growth in operational aged care places in line with growth in the older population, and to ensure a balance of services across Australia, including services for people with lower levels of need and in rural and remote areas. The national provision ratio is planned to increase to 125 places per 1000 peopl</w:t>
      </w:r>
      <w:r>
        <w:t>e aged 70 years or over by 2021</w:t>
      </w:r>
      <w:r w:rsidR="00E75264">
        <w:noBreakHyphen/>
      </w:r>
      <w:r w:rsidRPr="00653D20">
        <w:t>22. Within this provision ratio, the number of home care places is planned to increase to 45 (and residential care places will decrease to 80), reflecting a greater emphasis on assisting people to remain in their own home as they age.</w:t>
      </w:r>
    </w:p>
    <w:p w:rsidR="0098622E" w:rsidRDefault="0098622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8622E" w:rsidTr="00760D08">
        <w:tc>
          <w:tcPr>
            <w:tcW w:w="8771" w:type="dxa"/>
            <w:tcBorders>
              <w:top w:val="single" w:sz="6" w:space="0" w:color="78A22F"/>
              <w:left w:val="nil"/>
              <w:bottom w:val="nil"/>
              <w:right w:val="nil"/>
            </w:tcBorders>
            <w:shd w:val="clear" w:color="auto" w:fill="F2F2F2"/>
          </w:tcPr>
          <w:p w:rsidR="0098622E" w:rsidRDefault="0098622E">
            <w:pPr>
              <w:pStyle w:val="BoxTitle"/>
            </w:pPr>
            <w:r>
              <w:rPr>
                <w:b w:val="0"/>
              </w:rPr>
              <w:t>Box 13.</w:t>
            </w:r>
            <w:r w:rsidR="00F132AA">
              <w:rPr>
                <w:b w:val="0"/>
                <w:noProof/>
              </w:rPr>
              <w:t>4</w:t>
            </w:r>
            <w:r>
              <w:tab/>
            </w:r>
            <w:r w:rsidRPr="003E64E3">
              <w:t>Operational aged care places</w:t>
            </w:r>
          </w:p>
        </w:tc>
      </w:tr>
      <w:tr w:rsidR="0098622E" w:rsidTr="00760D08">
        <w:trPr>
          <w:cantSplit/>
        </w:trPr>
        <w:tc>
          <w:tcPr>
            <w:tcW w:w="8771" w:type="dxa"/>
            <w:tcBorders>
              <w:top w:val="nil"/>
              <w:left w:val="nil"/>
              <w:bottom w:val="nil"/>
              <w:right w:val="nil"/>
            </w:tcBorders>
            <w:shd w:val="clear" w:color="auto" w:fill="F2F2F2"/>
          </w:tcPr>
          <w:p w:rsidR="0098622E" w:rsidRDefault="0098622E" w:rsidP="0098622E">
            <w:pPr>
              <w:pStyle w:val="Box"/>
            </w:pPr>
            <w:r>
              <w:t>‘Operational aged care places’ has two measures, the number of operational places (</w:t>
            </w:r>
            <w:r w:rsidRPr="00CC56A6">
              <w:t xml:space="preserve">by type of place </w:t>
            </w:r>
            <w:r w:rsidRPr="004B2BE8">
              <w:t>— residential aged care</w:t>
            </w:r>
            <w:r w:rsidRPr="00CC56A6">
              <w:t xml:space="preserve"> and Home Care levels 1</w:t>
            </w:r>
            <w:r w:rsidR="00AA3C69">
              <w:rPr>
                <w:rFonts w:ascii="Calibri" w:hAnsi="Calibri"/>
              </w:rPr>
              <w:t>–</w:t>
            </w:r>
            <w:r w:rsidRPr="00CC56A6">
              <w:t>2 or Home Care levels 3</w:t>
            </w:r>
            <w:r w:rsidR="00AA3C69">
              <w:rPr>
                <w:rFonts w:ascii="Calibri" w:hAnsi="Calibri"/>
              </w:rPr>
              <w:t>–</w:t>
            </w:r>
            <w:r w:rsidRPr="00CC56A6">
              <w:t>4</w:t>
            </w:r>
            <w:r>
              <w:t xml:space="preserve">) per 1000 people in the aged care planning population: </w:t>
            </w:r>
          </w:p>
          <w:p w:rsidR="0098622E" w:rsidRDefault="0098622E" w:rsidP="0098622E">
            <w:pPr>
              <w:pStyle w:val="BoxListBullet"/>
            </w:pPr>
            <w:r>
              <w:t xml:space="preserve">aged 70 years or over </w:t>
            </w:r>
          </w:p>
          <w:p w:rsidR="00653D20" w:rsidRDefault="0098622E" w:rsidP="00425EA1">
            <w:pPr>
              <w:pStyle w:val="BoxListBullet"/>
            </w:pPr>
            <w:r>
              <w:t xml:space="preserve">aged 70 years or over and Aboriginal and Torres Strait Islander Australians aged </w:t>
            </w:r>
            <w:r w:rsidR="00AA3C69">
              <w:br/>
            </w:r>
            <w:r>
              <w:t>50–69 years</w:t>
            </w:r>
            <w:r w:rsidR="00653D20">
              <w:t xml:space="preserve">. (This second measure is in recognition of poorer health among Aboriginal and Torres Strait Islander communities and that planning in some cases also takes account of the Aboriginal and Torres Strait Islander population aged 50–69 years. A provision ratio based on the population aged 70 years or over will appear high in areas with </w:t>
            </w:r>
            <w:r w:rsidR="00653D20" w:rsidRPr="00CC56A6">
              <w:t>a higher proportion of the population who are Aboriginal and Torres Strait Islander people</w:t>
            </w:r>
            <w:r w:rsidR="00653D20">
              <w:t>.)</w:t>
            </w:r>
          </w:p>
          <w:p w:rsidR="00653D20" w:rsidRDefault="00653D20" w:rsidP="00653D20">
            <w:pPr>
              <w:pStyle w:val="Box"/>
            </w:pPr>
            <w:r>
              <w:t xml:space="preserve">In general, provision ratios across states and territories, and across regions, that </w:t>
            </w:r>
            <w:r w:rsidR="00DA271F">
              <w:t xml:space="preserve">are broadly similar </w:t>
            </w:r>
            <w:r>
              <w:t xml:space="preserve">are desirable as it indicates that all older Australians have access to a similar level and mix of services to meet their care needs. </w:t>
            </w:r>
          </w:p>
          <w:p w:rsidR="00653D20" w:rsidRDefault="00653D20" w:rsidP="00653D20">
            <w:pPr>
              <w:pStyle w:val="Box"/>
            </w:pPr>
            <w:r>
              <w:t>This indicator does not provide information on whether the overall target provision ratios are adequate or provide an appropriate mix of services relative to need.</w:t>
            </w:r>
          </w:p>
          <w:p w:rsidR="00653D20" w:rsidRDefault="00653D20" w:rsidP="00653D20">
            <w:pPr>
              <w:pStyle w:val="Box"/>
            </w:pPr>
            <w:r>
              <w:t>Data reported for this indicator are:</w:t>
            </w:r>
          </w:p>
          <w:p w:rsidR="00653D20" w:rsidRDefault="00653D20" w:rsidP="00653D20">
            <w:pPr>
              <w:pStyle w:val="BoxListBullet"/>
            </w:pPr>
            <w:r>
              <w:t>comparable (subject to caveats) across jurisdictions and over time</w:t>
            </w:r>
          </w:p>
          <w:p w:rsidR="00653D20" w:rsidRDefault="00653D20" w:rsidP="00653D20">
            <w:pPr>
              <w:pStyle w:val="BoxListBullet"/>
            </w:pPr>
            <w:r>
              <w:t>complete (subject to caveats) for the current reporting period. All required 30 June 2015 data are available for all jurisdictions.</w:t>
            </w:r>
          </w:p>
          <w:p w:rsidR="00653D20" w:rsidRDefault="00653D20" w:rsidP="00425EA1">
            <w:pPr>
              <w:pStyle w:val="Box"/>
              <w:rPr>
                <w:szCs w:val="24"/>
              </w:rPr>
            </w:pPr>
            <w:r>
              <w:t xml:space="preserve">Data quality information for this indicator is at </w:t>
            </w:r>
            <w:proofErr w:type="spellStart"/>
            <w:r>
              <w:t>www.pc.gov.au</w:t>
            </w:r>
            <w:proofErr w:type="spellEnd"/>
            <w:r w:rsidRPr="000C4DA8">
              <w:t>/</w:t>
            </w:r>
            <w:proofErr w:type="spellStart"/>
            <w:r w:rsidRPr="000C4DA8">
              <w:t>rogs</w:t>
            </w:r>
            <w:proofErr w:type="spellEnd"/>
            <w:r w:rsidRPr="000C4DA8">
              <w:t>/201</w:t>
            </w:r>
            <w:r>
              <w:t>6.</w:t>
            </w:r>
          </w:p>
        </w:tc>
      </w:tr>
      <w:tr w:rsidR="0098622E" w:rsidTr="00760D08">
        <w:trPr>
          <w:cantSplit/>
        </w:trPr>
        <w:tc>
          <w:tcPr>
            <w:tcW w:w="8771" w:type="dxa"/>
            <w:tcBorders>
              <w:top w:val="nil"/>
              <w:left w:val="nil"/>
              <w:bottom w:val="single" w:sz="6" w:space="0" w:color="78A22F"/>
              <w:right w:val="nil"/>
            </w:tcBorders>
            <w:shd w:val="clear" w:color="auto" w:fill="F2F2F2"/>
          </w:tcPr>
          <w:p w:rsidR="0098622E" w:rsidRDefault="0098622E">
            <w:pPr>
              <w:pStyle w:val="Box"/>
              <w:spacing w:before="0" w:line="120" w:lineRule="exact"/>
            </w:pPr>
          </w:p>
        </w:tc>
      </w:tr>
      <w:tr w:rsidR="0098622E" w:rsidRPr="000863A5" w:rsidTr="00760D08">
        <w:tc>
          <w:tcPr>
            <w:tcW w:w="8771" w:type="dxa"/>
            <w:tcBorders>
              <w:top w:val="single" w:sz="6" w:space="0" w:color="78A22F"/>
              <w:left w:val="nil"/>
              <w:bottom w:val="nil"/>
              <w:right w:val="nil"/>
            </w:tcBorders>
          </w:tcPr>
          <w:p w:rsidR="0098622E" w:rsidRPr="00626D32" w:rsidRDefault="0098622E" w:rsidP="00760D08">
            <w:pPr>
              <w:pStyle w:val="BoxSpaceBelow"/>
            </w:pPr>
          </w:p>
        </w:tc>
      </w:tr>
    </w:tbl>
    <w:p w:rsidR="003E64E3" w:rsidRDefault="00087FC4" w:rsidP="00CF7ACD">
      <w:pPr>
        <w:pStyle w:val="BodyText"/>
      </w:pPr>
      <w:r>
        <w:t xml:space="preserve">Nationally, the combined number of residential </w:t>
      </w:r>
      <w:r w:rsidR="00AB7CF7">
        <w:t xml:space="preserve">care </w:t>
      </w:r>
      <w:r w:rsidR="001C50C9">
        <w:t xml:space="preserve">and </w:t>
      </w:r>
      <w:r w:rsidRPr="00CC56A6">
        <w:t>Home Care places at 30</w:t>
      </w:r>
      <w:r w:rsidR="009551A0">
        <w:t> </w:t>
      </w:r>
      <w:r w:rsidRPr="00CC56A6">
        <w:t>June 201</w:t>
      </w:r>
      <w:r w:rsidR="00DE681C">
        <w:t>5</w:t>
      </w:r>
      <w:r>
        <w:t xml:space="preserve">, was </w:t>
      </w:r>
      <w:r w:rsidR="0034414A">
        <w:t>111.5</w:t>
      </w:r>
      <w:r>
        <w:t xml:space="preserve"> per 1000 people aged 70 years or over (figure</w:t>
      </w:r>
      <w:r w:rsidR="009551A0">
        <w:t> </w:t>
      </w:r>
      <w:r>
        <w:t>13.</w:t>
      </w:r>
      <w:r w:rsidR="00211969">
        <w:t>1</w:t>
      </w:r>
      <w:r w:rsidR="0034414A">
        <w:t>2</w:t>
      </w:r>
      <w:r>
        <w:t xml:space="preserve">). Transition Care places add an additional </w:t>
      </w:r>
      <w:r w:rsidR="0034414A">
        <w:t xml:space="preserve">1.7 </w:t>
      </w:r>
      <w:r>
        <w:t>per 1000 people aged 70 years or over (table</w:t>
      </w:r>
      <w:r w:rsidR="009551A0">
        <w:t> </w:t>
      </w:r>
      <w:proofErr w:type="spellStart"/>
      <w:r>
        <w:t>13A.</w:t>
      </w:r>
      <w:r w:rsidR="001B4EEE">
        <w:t>19</w:t>
      </w:r>
      <w:proofErr w:type="spellEnd"/>
      <w:r>
        <w:t xml:space="preserve">), however, these places are not included in the </w:t>
      </w:r>
      <w:r w:rsidR="00935A1F" w:rsidRPr="00935A1F">
        <w:t>national provision ratio</w:t>
      </w:r>
      <w:r>
        <w:t xml:space="preserve">. The number of operational aged care places per 1000 people aged 70 </w:t>
      </w:r>
      <w:r w:rsidR="00CF7ACD">
        <w:t xml:space="preserve">years or over by care type was </w:t>
      </w:r>
      <w:r w:rsidR="0034414A">
        <w:t>81.1</w:t>
      </w:r>
      <w:r w:rsidR="00F85984">
        <w:t> </w:t>
      </w:r>
      <w:r>
        <w:t>places for residential care</w:t>
      </w:r>
      <w:r w:rsidR="00CF7ACD">
        <w:t>,</w:t>
      </w:r>
      <w:r>
        <w:t xml:space="preserve"> </w:t>
      </w:r>
      <w:r w:rsidR="0034414A">
        <w:t>22.8</w:t>
      </w:r>
      <w:r>
        <w:t xml:space="preserve"> places for Home Care </w:t>
      </w:r>
      <w:r w:rsidR="00CF34CE">
        <w:t>levels 1</w:t>
      </w:r>
      <w:r w:rsidR="001F0B82">
        <w:rPr>
          <w:rFonts w:ascii="Calibri" w:hAnsi="Calibri"/>
        </w:rPr>
        <w:t>–</w:t>
      </w:r>
      <w:r w:rsidR="00CF34CE">
        <w:t xml:space="preserve">2 </w:t>
      </w:r>
      <w:r w:rsidR="00CF7ACD">
        <w:t xml:space="preserve">and </w:t>
      </w:r>
      <w:r w:rsidR="0034414A">
        <w:t>7.7</w:t>
      </w:r>
      <w:r w:rsidR="00CF34CE">
        <w:t xml:space="preserve"> places for Home Care levels </w:t>
      </w:r>
      <w:r w:rsidR="00DB13BA">
        <w:t>3</w:t>
      </w:r>
      <w:r w:rsidR="001F0B82">
        <w:rPr>
          <w:rFonts w:ascii="Calibri" w:hAnsi="Calibri"/>
        </w:rPr>
        <w:t>–</w:t>
      </w:r>
      <w:r w:rsidR="00DB13BA">
        <w:t>4</w:t>
      </w:r>
      <w:r w:rsidR="00CF34CE">
        <w:t xml:space="preserve"> </w:t>
      </w:r>
      <w:r>
        <w:t>(figure</w:t>
      </w:r>
      <w:r w:rsidR="009551A0">
        <w:t> </w:t>
      </w:r>
      <w:r w:rsidR="00CC56A6">
        <w:t>13.</w:t>
      </w:r>
      <w:r w:rsidR="0034414A">
        <w:t xml:space="preserve"> 12</w:t>
      </w:r>
      <w:r w:rsidR="00CC56A6">
        <w:t>)</w:t>
      </w:r>
      <w:r>
        <w:t>.</w:t>
      </w:r>
    </w:p>
    <w:p w:rsidR="0034414A" w:rsidRDefault="0034414A" w:rsidP="0034414A">
      <w:pPr>
        <w:pStyle w:val="BodyText"/>
      </w:pPr>
      <w:r w:rsidRPr="0034414A">
        <w:t xml:space="preserve">The number of operational aged care places can also be shown using an aged care planning population that incorporates Aboriginal and Torres Strait Islander Australians aged </w:t>
      </w:r>
      <w:r w:rsidR="00044AE4">
        <w:br/>
      </w:r>
      <w:r w:rsidRPr="0034414A">
        <w:t>50–69</w:t>
      </w:r>
      <w:r w:rsidR="00044AE4">
        <w:t> </w:t>
      </w:r>
      <w:r w:rsidRPr="0034414A">
        <w:t>years (figure</w:t>
      </w:r>
      <w:r w:rsidR="00E75264">
        <w:t> </w:t>
      </w:r>
      <w:r w:rsidRPr="0034414A">
        <w:t>13.13). Use of this ‘adjusted’ aged care planning population has a noticeable effect on the NT, which has a large proportion of Aboriginal and Torres Strait Islander Australians.</w:t>
      </w:r>
    </w:p>
    <w:p w:rsidR="00691DC4" w:rsidRDefault="00691DC4" w:rsidP="001D20C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1DC4" w:rsidTr="001D20C3">
        <w:tc>
          <w:tcPr>
            <w:tcW w:w="8771" w:type="dxa"/>
            <w:tcBorders>
              <w:top w:val="single" w:sz="6" w:space="0" w:color="78A22F"/>
              <w:left w:val="nil"/>
              <w:bottom w:val="nil"/>
              <w:right w:val="nil"/>
            </w:tcBorders>
            <w:shd w:val="clear" w:color="auto" w:fill="auto"/>
          </w:tcPr>
          <w:p w:rsidR="00691DC4" w:rsidRPr="00176D3F" w:rsidRDefault="00691DC4" w:rsidP="00691DC4">
            <w:pPr>
              <w:pStyle w:val="FigureTitle"/>
            </w:pPr>
            <w:r w:rsidRPr="00784A05">
              <w:rPr>
                <w:b w:val="0"/>
              </w:rPr>
              <w:t xml:space="preserve">Figure </w:t>
            </w:r>
            <w:r>
              <w:rPr>
                <w:b w:val="0"/>
              </w:rPr>
              <w:t>13.</w:t>
            </w:r>
            <w:r w:rsidR="00F132AA">
              <w:rPr>
                <w:b w:val="0"/>
                <w:noProof/>
              </w:rPr>
              <w:t>12</w:t>
            </w:r>
            <w:r>
              <w:tab/>
            </w:r>
            <w:r w:rsidRPr="00087FC4">
              <w:t>Operational residential and Home Care places per 1000 people aged 70 years or over, 30</w:t>
            </w:r>
            <w:r>
              <w:t> </w:t>
            </w:r>
            <w:r w:rsidRPr="00087FC4">
              <w:t>June 201</w:t>
            </w:r>
            <w:r>
              <w:t>5</w:t>
            </w:r>
            <w:r w:rsidRPr="00087FC4">
              <w:rPr>
                <w:rStyle w:val="NoteLabel"/>
                <w:b/>
              </w:rPr>
              <w:t>a</w:t>
            </w:r>
          </w:p>
        </w:tc>
      </w:tr>
      <w:tr w:rsidR="00691DC4" w:rsidTr="001D20C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91DC4" w:rsidTr="001D20C3">
              <w:trPr>
                <w:jc w:val="center"/>
              </w:trPr>
              <w:tc>
                <w:tcPr>
                  <w:tcW w:w="5000" w:type="pct"/>
                  <w:tcBorders>
                    <w:top w:val="nil"/>
                    <w:bottom w:val="nil"/>
                  </w:tcBorders>
                </w:tcPr>
                <w:p w:rsidR="00691DC4" w:rsidRDefault="00E30882" w:rsidP="001D20C3">
                  <w:pPr>
                    <w:pStyle w:val="Figure"/>
                    <w:spacing w:before="60" w:after="60"/>
                  </w:pPr>
                  <w:r>
                    <w:rPr>
                      <w:noProof/>
                    </w:rPr>
                    <w:drawing>
                      <wp:inline distT="0" distB="0" distL="0" distR="0">
                        <wp:extent cx="5353050" cy="2638425"/>
                        <wp:effectExtent l="0" t="0" r="0" b="9525"/>
                        <wp:docPr id="14" name="Picture 14" descr="Figure 13.12 Operational residential and Home Care places per 1000 people aged 70 years or over, 30 Jun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53050" cy="2638425"/>
                                </a:xfrm>
                                <a:prstGeom prst="rect">
                                  <a:avLst/>
                                </a:prstGeom>
                                <a:noFill/>
                                <a:ln>
                                  <a:noFill/>
                                </a:ln>
                              </pic:spPr>
                            </pic:pic>
                          </a:graphicData>
                        </a:graphic>
                      </wp:inline>
                    </w:drawing>
                  </w:r>
                </w:p>
              </w:tc>
            </w:tr>
          </w:tbl>
          <w:p w:rsidR="00691DC4" w:rsidRDefault="00691DC4" w:rsidP="001D20C3">
            <w:pPr>
              <w:pStyle w:val="Figure"/>
            </w:pPr>
          </w:p>
        </w:tc>
      </w:tr>
      <w:tr w:rsidR="00691DC4" w:rsidRPr="00176D3F" w:rsidTr="001D20C3">
        <w:tc>
          <w:tcPr>
            <w:tcW w:w="8771" w:type="dxa"/>
            <w:tcBorders>
              <w:top w:val="nil"/>
              <w:left w:val="nil"/>
              <w:bottom w:val="nil"/>
              <w:right w:val="nil"/>
            </w:tcBorders>
            <w:shd w:val="clear" w:color="auto" w:fill="auto"/>
          </w:tcPr>
          <w:p w:rsidR="00691DC4" w:rsidRPr="00176D3F" w:rsidRDefault="00691DC4" w:rsidP="001D20C3">
            <w:pPr>
              <w:pStyle w:val="Note"/>
            </w:pPr>
            <w:r w:rsidRPr="00087FC4">
              <w:rPr>
                <w:rStyle w:val="NoteLabel"/>
              </w:rPr>
              <w:t xml:space="preserve">a </w:t>
            </w:r>
            <w:r w:rsidRPr="006F23A3">
              <w:t>See box</w:t>
            </w:r>
            <w:r w:rsidR="00E75264">
              <w:t> </w:t>
            </w:r>
            <w:r>
              <w:t>13</w:t>
            </w:r>
            <w:r w:rsidRPr="006F23A3">
              <w:t>.</w:t>
            </w:r>
            <w:r>
              <w:t>4</w:t>
            </w:r>
            <w:r w:rsidRPr="006F23A3">
              <w:t xml:space="preserve"> and table</w:t>
            </w:r>
            <w:r w:rsidR="00E75264">
              <w:t> </w:t>
            </w:r>
            <w:proofErr w:type="spellStart"/>
            <w:r>
              <w:t>13</w:t>
            </w:r>
            <w:r w:rsidRPr="006F23A3">
              <w:t>A.</w:t>
            </w:r>
            <w:r>
              <w:t>19</w:t>
            </w:r>
            <w:proofErr w:type="spellEnd"/>
            <w:r w:rsidRPr="006F23A3">
              <w:t xml:space="preserve"> for detailed </w:t>
            </w:r>
            <w:r w:rsidRPr="0032221B">
              <w:t xml:space="preserve">definitions, footnotes and </w:t>
            </w:r>
            <w:r w:rsidRPr="006F23A3">
              <w:t>caveats.</w:t>
            </w:r>
          </w:p>
        </w:tc>
      </w:tr>
      <w:tr w:rsidR="00691DC4" w:rsidRPr="00176D3F" w:rsidTr="001D20C3">
        <w:tc>
          <w:tcPr>
            <w:tcW w:w="8771" w:type="dxa"/>
            <w:tcBorders>
              <w:top w:val="nil"/>
              <w:left w:val="nil"/>
              <w:bottom w:val="nil"/>
              <w:right w:val="nil"/>
            </w:tcBorders>
            <w:shd w:val="clear" w:color="auto" w:fill="auto"/>
          </w:tcPr>
          <w:p w:rsidR="00691DC4" w:rsidRPr="00176D3F" w:rsidRDefault="00691DC4" w:rsidP="001D20C3">
            <w:pPr>
              <w:pStyle w:val="Source"/>
            </w:pPr>
            <w:r w:rsidRPr="00287070">
              <w:rPr>
                <w:i/>
              </w:rPr>
              <w:t>Source</w:t>
            </w:r>
            <w:r w:rsidRPr="00287070">
              <w:t>:</w:t>
            </w:r>
            <w:r w:rsidRPr="00287070">
              <w:rPr>
                <w:i/>
              </w:rPr>
              <w:t xml:space="preserve"> </w:t>
            </w:r>
            <w:proofErr w:type="spellStart"/>
            <w:r w:rsidRPr="00287070">
              <w:t>DSS</w:t>
            </w:r>
            <w:proofErr w:type="spellEnd"/>
            <w:r w:rsidRPr="00287070">
              <w:t xml:space="preserve"> (unpublished); table</w:t>
            </w:r>
            <w:r>
              <w:t> </w:t>
            </w:r>
            <w:proofErr w:type="spellStart"/>
            <w:r w:rsidRPr="00287070">
              <w:t>13A.</w:t>
            </w:r>
            <w:r>
              <w:t>19</w:t>
            </w:r>
            <w:proofErr w:type="spellEnd"/>
            <w:r w:rsidRPr="00287070">
              <w:t>.</w:t>
            </w:r>
          </w:p>
        </w:tc>
      </w:tr>
      <w:tr w:rsidR="00691DC4" w:rsidTr="001D20C3">
        <w:tc>
          <w:tcPr>
            <w:tcW w:w="8771" w:type="dxa"/>
            <w:tcBorders>
              <w:top w:val="nil"/>
              <w:left w:val="nil"/>
              <w:bottom w:val="single" w:sz="6" w:space="0" w:color="78A22F"/>
              <w:right w:val="nil"/>
            </w:tcBorders>
            <w:shd w:val="clear" w:color="auto" w:fill="auto"/>
          </w:tcPr>
          <w:p w:rsidR="00691DC4" w:rsidRDefault="00691DC4" w:rsidP="001D20C3">
            <w:pPr>
              <w:pStyle w:val="Figurespace"/>
            </w:pPr>
          </w:p>
        </w:tc>
      </w:tr>
      <w:tr w:rsidR="00691DC4" w:rsidRPr="000863A5" w:rsidTr="001D20C3">
        <w:tc>
          <w:tcPr>
            <w:tcW w:w="8771" w:type="dxa"/>
            <w:tcBorders>
              <w:top w:val="single" w:sz="6" w:space="0" w:color="78A22F"/>
              <w:left w:val="nil"/>
              <w:bottom w:val="nil"/>
              <w:right w:val="nil"/>
            </w:tcBorders>
          </w:tcPr>
          <w:p w:rsidR="00691DC4" w:rsidRPr="00626D32" w:rsidRDefault="00691DC4" w:rsidP="001D20C3">
            <w:pPr>
              <w:pStyle w:val="BoxSpaceBelow"/>
            </w:pPr>
          </w:p>
        </w:tc>
      </w:tr>
    </w:tbl>
    <w:p w:rsidR="00691DC4" w:rsidRDefault="00691DC4" w:rsidP="001D20C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1DC4" w:rsidTr="001D20C3">
        <w:tc>
          <w:tcPr>
            <w:tcW w:w="8771" w:type="dxa"/>
            <w:tcBorders>
              <w:top w:val="single" w:sz="6" w:space="0" w:color="78A22F"/>
              <w:left w:val="nil"/>
              <w:bottom w:val="nil"/>
              <w:right w:val="nil"/>
            </w:tcBorders>
            <w:shd w:val="clear" w:color="auto" w:fill="auto"/>
          </w:tcPr>
          <w:p w:rsidR="00691DC4" w:rsidRPr="00176D3F" w:rsidRDefault="00691DC4" w:rsidP="00691DC4">
            <w:pPr>
              <w:pStyle w:val="FigureTitle"/>
            </w:pPr>
            <w:r w:rsidRPr="00784A05">
              <w:rPr>
                <w:b w:val="0"/>
              </w:rPr>
              <w:t xml:space="preserve">Figure </w:t>
            </w:r>
            <w:r>
              <w:rPr>
                <w:b w:val="0"/>
              </w:rPr>
              <w:t>13.</w:t>
            </w:r>
            <w:r w:rsidR="00F132AA">
              <w:rPr>
                <w:b w:val="0"/>
                <w:noProof/>
              </w:rPr>
              <w:t>13</w:t>
            </w:r>
            <w:r>
              <w:tab/>
            </w:r>
            <w:r w:rsidRPr="004D7C64">
              <w:t xml:space="preserve">Operational residential and Home Care places per 1000 people aged 70 years or over and </w:t>
            </w:r>
            <w:r>
              <w:t>Aboriginal and Torres Strait Islander</w:t>
            </w:r>
            <w:r w:rsidRPr="004D7C64">
              <w:t xml:space="preserve"> Australians aged 50–69 years, 30</w:t>
            </w:r>
            <w:r>
              <w:t> </w:t>
            </w:r>
            <w:r w:rsidRPr="004D7C64">
              <w:t>June 201</w:t>
            </w:r>
            <w:r>
              <w:t>5</w:t>
            </w:r>
            <w:r w:rsidRPr="004D7C64">
              <w:rPr>
                <w:rStyle w:val="NoteLabel"/>
                <w:b/>
              </w:rPr>
              <w:t>a</w:t>
            </w:r>
          </w:p>
        </w:tc>
      </w:tr>
      <w:tr w:rsidR="00691DC4" w:rsidTr="001D20C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91DC4" w:rsidTr="001D20C3">
              <w:trPr>
                <w:jc w:val="center"/>
              </w:trPr>
              <w:tc>
                <w:tcPr>
                  <w:tcW w:w="5000" w:type="pct"/>
                  <w:tcBorders>
                    <w:top w:val="nil"/>
                    <w:bottom w:val="nil"/>
                  </w:tcBorders>
                </w:tcPr>
                <w:p w:rsidR="00691DC4" w:rsidRDefault="00E30882" w:rsidP="001D20C3">
                  <w:pPr>
                    <w:pStyle w:val="Figure"/>
                    <w:spacing w:before="60" w:after="60"/>
                  </w:pPr>
                  <w:r>
                    <w:rPr>
                      <w:noProof/>
                    </w:rPr>
                    <w:drawing>
                      <wp:inline distT="0" distB="0" distL="0" distR="0">
                        <wp:extent cx="5229225" cy="2647950"/>
                        <wp:effectExtent l="0" t="0" r="9525" b="0"/>
                        <wp:docPr id="15" name="Picture 15" descr="Figure 13.13 Operational residential and Home Care places per 1000 people aged 70 years or over and Aboriginal and Torres Strait Islander Australians aged 50–69 years, 30 Jun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29225" cy="2647950"/>
                                </a:xfrm>
                                <a:prstGeom prst="rect">
                                  <a:avLst/>
                                </a:prstGeom>
                                <a:noFill/>
                                <a:ln>
                                  <a:noFill/>
                                </a:ln>
                              </pic:spPr>
                            </pic:pic>
                          </a:graphicData>
                        </a:graphic>
                      </wp:inline>
                    </w:drawing>
                  </w:r>
                </w:p>
              </w:tc>
            </w:tr>
          </w:tbl>
          <w:p w:rsidR="00691DC4" w:rsidRDefault="00691DC4" w:rsidP="001D20C3">
            <w:pPr>
              <w:pStyle w:val="Figure"/>
            </w:pPr>
          </w:p>
        </w:tc>
      </w:tr>
      <w:tr w:rsidR="00691DC4" w:rsidRPr="00176D3F" w:rsidTr="001D20C3">
        <w:tc>
          <w:tcPr>
            <w:tcW w:w="8771" w:type="dxa"/>
            <w:tcBorders>
              <w:top w:val="nil"/>
              <w:left w:val="nil"/>
              <w:bottom w:val="nil"/>
              <w:right w:val="nil"/>
            </w:tcBorders>
            <w:shd w:val="clear" w:color="auto" w:fill="auto"/>
          </w:tcPr>
          <w:p w:rsidR="00691DC4" w:rsidRPr="00176D3F" w:rsidRDefault="00691DC4" w:rsidP="001D20C3">
            <w:pPr>
              <w:pStyle w:val="Note"/>
            </w:pPr>
            <w:r w:rsidRPr="00087FC4">
              <w:rPr>
                <w:rStyle w:val="NoteLabel"/>
              </w:rPr>
              <w:t xml:space="preserve">a </w:t>
            </w:r>
            <w:r w:rsidRPr="006F23A3">
              <w:t>See box</w:t>
            </w:r>
            <w:r w:rsidR="00E75264">
              <w:t> </w:t>
            </w:r>
            <w:r>
              <w:t>13</w:t>
            </w:r>
            <w:r w:rsidRPr="006F23A3">
              <w:t>.</w:t>
            </w:r>
            <w:r>
              <w:t>4</w:t>
            </w:r>
            <w:r w:rsidRPr="006F23A3">
              <w:t xml:space="preserve"> and table</w:t>
            </w:r>
            <w:r w:rsidR="00E75264">
              <w:t> </w:t>
            </w:r>
            <w:r>
              <w:t>13</w:t>
            </w:r>
            <w:r w:rsidRPr="006F23A3">
              <w:t>A.</w:t>
            </w:r>
            <w:r>
              <w:t>20</w:t>
            </w:r>
            <w:r w:rsidRPr="006F23A3">
              <w:t xml:space="preserve"> for detailed</w:t>
            </w:r>
            <w:r w:rsidRPr="0032221B">
              <w:t xml:space="preserve"> definitions, footnotes and caveats</w:t>
            </w:r>
            <w:r w:rsidRPr="006F23A3">
              <w:t>.</w:t>
            </w:r>
          </w:p>
        </w:tc>
      </w:tr>
      <w:tr w:rsidR="00691DC4" w:rsidRPr="00176D3F" w:rsidTr="001D20C3">
        <w:tc>
          <w:tcPr>
            <w:tcW w:w="8771" w:type="dxa"/>
            <w:tcBorders>
              <w:top w:val="nil"/>
              <w:left w:val="nil"/>
              <w:bottom w:val="nil"/>
              <w:right w:val="nil"/>
            </w:tcBorders>
            <w:shd w:val="clear" w:color="auto" w:fill="auto"/>
          </w:tcPr>
          <w:p w:rsidR="00691DC4" w:rsidRPr="00176D3F" w:rsidRDefault="00691DC4" w:rsidP="001D20C3">
            <w:pPr>
              <w:pStyle w:val="Source"/>
            </w:pPr>
            <w:r w:rsidRPr="0093178B">
              <w:rPr>
                <w:i/>
              </w:rPr>
              <w:t>Source</w:t>
            </w:r>
            <w:r w:rsidRPr="009551A0">
              <w:t>:</w:t>
            </w:r>
            <w:r w:rsidRPr="0093178B">
              <w:rPr>
                <w:i/>
              </w:rPr>
              <w:t xml:space="preserve"> </w:t>
            </w:r>
            <w:r w:rsidRPr="0093178B">
              <w:t>DSS (unpublished); table</w:t>
            </w:r>
            <w:r>
              <w:t> </w:t>
            </w:r>
            <w:r w:rsidRPr="0093178B">
              <w:t>13A.20.</w:t>
            </w:r>
          </w:p>
        </w:tc>
      </w:tr>
      <w:tr w:rsidR="00691DC4" w:rsidTr="001D20C3">
        <w:tc>
          <w:tcPr>
            <w:tcW w:w="8771" w:type="dxa"/>
            <w:tcBorders>
              <w:top w:val="nil"/>
              <w:left w:val="nil"/>
              <w:bottom w:val="single" w:sz="6" w:space="0" w:color="78A22F"/>
              <w:right w:val="nil"/>
            </w:tcBorders>
            <w:shd w:val="clear" w:color="auto" w:fill="auto"/>
          </w:tcPr>
          <w:p w:rsidR="00691DC4" w:rsidRDefault="00691DC4" w:rsidP="001D20C3">
            <w:pPr>
              <w:pStyle w:val="Figurespace"/>
            </w:pPr>
          </w:p>
        </w:tc>
      </w:tr>
      <w:tr w:rsidR="00691DC4" w:rsidRPr="000863A5" w:rsidTr="001D20C3">
        <w:tc>
          <w:tcPr>
            <w:tcW w:w="8771" w:type="dxa"/>
            <w:tcBorders>
              <w:top w:val="single" w:sz="6" w:space="0" w:color="78A22F"/>
              <w:left w:val="nil"/>
              <w:bottom w:val="nil"/>
              <w:right w:val="nil"/>
            </w:tcBorders>
          </w:tcPr>
          <w:p w:rsidR="00691DC4" w:rsidRPr="00626D32" w:rsidRDefault="00691DC4" w:rsidP="001D20C3">
            <w:pPr>
              <w:pStyle w:val="BoxSpaceBelow"/>
            </w:pPr>
          </w:p>
        </w:tc>
      </w:tr>
    </w:tbl>
    <w:p w:rsidR="004D7C64" w:rsidRPr="00864C90" w:rsidRDefault="00667C3B" w:rsidP="004D7C64">
      <w:pPr>
        <w:pStyle w:val="BodyText"/>
      </w:pPr>
      <w:r>
        <w:lastRenderedPageBreak/>
        <w:t>Nationally, at 30</w:t>
      </w:r>
      <w:r w:rsidR="00E75264">
        <w:t> </w:t>
      </w:r>
      <w:r w:rsidRPr="00864C90">
        <w:t>June 201</w:t>
      </w:r>
      <w:r w:rsidR="00A77A56" w:rsidRPr="00864C90">
        <w:t>5</w:t>
      </w:r>
      <w:r w:rsidRPr="00864C90">
        <w:t>, the</w:t>
      </w:r>
      <w:r w:rsidR="004D7C64" w:rsidRPr="00864C90">
        <w:t xml:space="preserve"> number of residential and </w:t>
      </w:r>
      <w:r w:rsidR="00AF0407" w:rsidRPr="00864C90">
        <w:t>Home Care</w:t>
      </w:r>
      <w:r w:rsidR="004D7C64" w:rsidRPr="00864C90">
        <w:t xml:space="preserve"> operational aged care places per 1000 people aged 70 years or over and </w:t>
      </w:r>
      <w:r w:rsidR="00127E2E" w:rsidRPr="00864C90">
        <w:t>Aboriginal and Torres Strait Islander</w:t>
      </w:r>
      <w:r w:rsidR="004D7C64" w:rsidRPr="00864C90">
        <w:t xml:space="preserve"> Australians aged</w:t>
      </w:r>
      <w:r w:rsidR="001115E6" w:rsidRPr="00864C90">
        <w:t> </w:t>
      </w:r>
      <w:r w:rsidR="004D7C64" w:rsidRPr="00864C90">
        <w:t xml:space="preserve">50–69 years </w:t>
      </w:r>
      <w:r w:rsidR="00CF7ACD" w:rsidRPr="00864C90">
        <w:t>was</w:t>
      </w:r>
      <w:r w:rsidRPr="00864C90">
        <w:t xml:space="preserve"> considerably higher in major cities at 11</w:t>
      </w:r>
      <w:r w:rsidR="00A77A56" w:rsidRPr="00864C90">
        <w:t>3</w:t>
      </w:r>
      <w:r w:rsidRPr="00864C90">
        <w:t>.</w:t>
      </w:r>
      <w:r w:rsidR="00A77A56" w:rsidRPr="00864C90">
        <w:t>3</w:t>
      </w:r>
      <w:r w:rsidRPr="00864C90">
        <w:t xml:space="preserve">, than for inner and outer regional </w:t>
      </w:r>
      <w:r w:rsidR="001115E6" w:rsidRPr="00864C90">
        <w:t xml:space="preserve">areas </w:t>
      </w:r>
      <w:r w:rsidRPr="00864C90">
        <w:t>(9</w:t>
      </w:r>
      <w:r w:rsidR="00A77A56" w:rsidRPr="00864C90">
        <w:t>7</w:t>
      </w:r>
      <w:r w:rsidRPr="00864C90">
        <w:t>.</w:t>
      </w:r>
      <w:r w:rsidR="00A77A56" w:rsidRPr="00864C90">
        <w:t>8</w:t>
      </w:r>
      <w:r w:rsidRPr="00864C90">
        <w:t>) or remote and very remote areas (8</w:t>
      </w:r>
      <w:r w:rsidR="00A77A56" w:rsidRPr="00864C90">
        <w:t>0</w:t>
      </w:r>
      <w:r w:rsidRPr="00864C90">
        <w:t>.</w:t>
      </w:r>
      <w:r w:rsidR="00A77A56" w:rsidRPr="00864C90">
        <w:t>9</w:t>
      </w:r>
      <w:r w:rsidRPr="00864C90">
        <w:t>) (</w:t>
      </w:r>
      <w:r w:rsidR="004D7C64" w:rsidRPr="00864C90">
        <w:t>table</w:t>
      </w:r>
      <w:r w:rsidR="009551A0" w:rsidRPr="00864C90">
        <w:t> </w:t>
      </w:r>
      <w:r w:rsidR="004D7C64" w:rsidRPr="00864C90">
        <w:t>13A.</w:t>
      </w:r>
      <w:r w:rsidR="0093178B" w:rsidRPr="00864C90">
        <w:t>21</w:t>
      </w:r>
      <w:r w:rsidRPr="00864C90">
        <w:t>)</w:t>
      </w:r>
      <w:r w:rsidR="004D7C64" w:rsidRPr="00864C90">
        <w:t xml:space="preserve">. </w:t>
      </w:r>
    </w:p>
    <w:p w:rsidR="004D7C64" w:rsidRDefault="0086351C" w:rsidP="00B6113E">
      <w:pPr>
        <w:pStyle w:val="Heading4"/>
      </w:pPr>
      <w:r>
        <w:t xml:space="preserve">Access – </w:t>
      </w:r>
      <w:r w:rsidR="004D7C64">
        <w:t xml:space="preserve">Elapsed times for aged care services </w:t>
      </w:r>
    </w:p>
    <w:p w:rsidR="004D7C64" w:rsidRDefault="004D7C64" w:rsidP="004B2BE8">
      <w:pPr>
        <w:pStyle w:val="BodyText"/>
        <w:shd w:val="clear" w:color="auto" w:fill="FFFFFF" w:themeFill="background1"/>
      </w:pPr>
      <w:r>
        <w:t>‘Elapsed tim</w:t>
      </w:r>
      <w:r w:rsidR="00F543E4">
        <w:t xml:space="preserve">es for aged care services’ is </w:t>
      </w:r>
      <w:r w:rsidR="00F543E4" w:rsidRPr="004B2BE8">
        <w:rPr>
          <w:shd w:val="clear" w:color="auto" w:fill="FFFFFF" w:themeFill="background1"/>
        </w:rPr>
        <w:t>a proxy</w:t>
      </w:r>
      <w:r>
        <w:t xml:space="preserve"> indicator of governments’ objective to </w:t>
      </w:r>
      <w:r w:rsidR="003269B4" w:rsidRPr="004B2BE8">
        <w:rPr>
          <w:shd w:val="clear" w:color="auto" w:fill="FFFFFF" w:themeFill="background1"/>
        </w:rPr>
        <w:t>minimise</w:t>
      </w:r>
      <w:r w:rsidRPr="004B2BE8">
        <w:rPr>
          <w:shd w:val="clear" w:color="auto" w:fill="FFFFFF" w:themeFill="background1"/>
        </w:rPr>
        <w:t xml:space="preserve"> the time people </w:t>
      </w:r>
      <w:r w:rsidR="003269B4" w:rsidRPr="004B2BE8">
        <w:rPr>
          <w:shd w:val="clear" w:color="auto" w:fill="FFFFFF" w:themeFill="background1"/>
        </w:rPr>
        <w:t xml:space="preserve">spend waiting to </w:t>
      </w:r>
      <w:r w:rsidRPr="004B2BE8">
        <w:rPr>
          <w:shd w:val="clear" w:color="auto" w:fill="FFFFFF" w:themeFill="background1"/>
        </w:rPr>
        <w:t>access aged care services.</w:t>
      </w:r>
      <w:r w:rsidR="00F543E4" w:rsidRPr="004B2BE8">
        <w:rPr>
          <w:shd w:val="clear" w:color="auto" w:fill="FFFFFF" w:themeFill="background1"/>
        </w:rPr>
        <w:t xml:space="preserve"> </w:t>
      </w:r>
      <w:r w:rsidR="003269B4">
        <w:t xml:space="preserve">Elapsed times are used as </w:t>
      </w:r>
      <w:r w:rsidR="00B0495A">
        <w:t xml:space="preserve">a proxy as </w:t>
      </w:r>
      <w:r w:rsidR="003269B4">
        <w:t xml:space="preserve">waiting times cannot be </w:t>
      </w:r>
      <w:r w:rsidR="0001680C">
        <w:t xml:space="preserve">measured accurately </w:t>
      </w:r>
      <w:r w:rsidR="003269B4">
        <w:t>(box 13.</w:t>
      </w:r>
      <w:r w:rsidR="006F23A3">
        <w:t>5</w:t>
      </w:r>
      <w:r w:rsidR="003269B4">
        <w:t>).</w:t>
      </w:r>
    </w:p>
    <w:p w:rsidR="00D64D2A" w:rsidRDefault="00D64D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4D2A" w:rsidTr="00F25D62">
        <w:tc>
          <w:tcPr>
            <w:tcW w:w="8771" w:type="dxa"/>
            <w:tcBorders>
              <w:top w:val="single" w:sz="6" w:space="0" w:color="78A22F"/>
              <w:left w:val="nil"/>
              <w:bottom w:val="nil"/>
              <w:right w:val="nil"/>
            </w:tcBorders>
            <w:shd w:val="clear" w:color="auto" w:fill="F2F2F2" w:themeFill="background1" w:themeFillShade="F2"/>
          </w:tcPr>
          <w:p w:rsidR="00D64D2A" w:rsidRDefault="00D64D2A" w:rsidP="00745804">
            <w:pPr>
              <w:pStyle w:val="BoxTitle"/>
            </w:pPr>
            <w:r>
              <w:rPr>
                <w:b w:val="0"/>
              </w:rPr>
              <w:t xml:space="preserve">Box </w:t>
            </w:r>
            <w:bookmarkStart w:id="19" w:name="OLE_LINK1"/>
            <w:r w:rsidR="009638BE">
              <w:rPr>
                <w:b w:val="0"/>
              </w:rPr>
              <w:t>13.</w:t>
            </w:r>
            <w:r w:rsidR="00F132AA">
              <w:rPr>
                <w:b w:val="0"/>
                <w:noProof/>
              </w:rPr>
              <w:t>5</w:t>
            </w:r>
            <w:bookmarkEnd w:id="19"/>
            <w:r>
              <w:tab/>
            </w:r>
            <w:r w:rsidRPr="00D64D2A">
              <w:t>Elapsed times for aged care services</w:t>
            </w:r>
          </w:p>
        </w:tc>
      </w:tr>
      <w:tr w:rsidR="00D64D2A" w:rsidTr="00F25D62">
        <w:trPr>
          <w:cantSplit/>
        </w:trPr>
        <w:tc>
          <w:tcPr>
            <w:tcW w:w="8771" w:type="dxa"/>
            <w:tcBorders>
              <w:top w:val="nil"/>
              <w:left w:val="nil"/>
              <w:bottom w:val="nil"/>
              <w:right w:val="nil"/>
            </w:tcBorders>
            <w:shd w:val="clear" w:color="auto" w:fill="F2F2F2" w:themeFill="background1" w:themeFillShade="F2"/>
          </w:tcPr>
          <w:p w:rsidR="00D64D2A" w:rsidRPr="00760D08" w:rsidRDefault="00D64D2A" w:rsidP="00D64D2A">
            <w:pPr>
              <w:pStyle w:val="Box"/>
            </w:pPr>
            <w:r>
              <w:t>‘</w:t>
            </w:r>
            <w:r w:rsidRPr="00760D08">
              <w:t xml:space="preserve">Elapsed times for aged care services’ </w:t>
            </w:r>
            <w:r w:rsidR="003D363E" w:rsidRPr="00760D08">
              <w:t>has</w:t>
            </w:r>
            <w:r w:rsidRPr="00760D08">
              <w:t xml:space="preserve"> two measures</w:t>
            </w:r>
            <w:r w:rsidR="003D363E" w:rsidRPr="00760D08">
              <w:t>, the proportions of people who</w:t>
            </w:r>
            <w:r w:rsidR="00AD3960">
              <w:t>:</w:t>
            </w:r>
          </w:p>
          <w:p w:rsidR="00D64D2A" w:rsidRPr="00760D08" w:rsidRDefault="00D64D2A" w:rsidP="00397EA4">
            <w:pPr>
              <w:pStyle w:val="BoxListBullet"/>
            </w:pPr>
            <w:r w:rsidRPr="00760D08">
              <w:t>entered residential care</w:t>
            </w:r>
            <w:r w:rsidR="00760D08" w:rsidRPr="00760D08">
              <w:t xml:space="preserve"> that </w:t>
            </w:r>
            <w:r w:rsidRPr="00760D08">
              <w:t>did so within thre</w:t>
            </w:r>
            <w:r w:rsidR="003D363E" w:rsidRPr="00760D08">
              <w:t xml:space="preserve">e months of their </w:t>
            </w:r>
            <w:r w:rsidR="00C44D5E">
              <w:t xml:space="preserve">most recent </w:t>
            </w:r>
            <w:r w:rsidR="003D363E" w:rsidRPr="00760D08">
              <w:t>ACAT approval</w:t>
            </w:r>
            <w:r w:rsidRPr="00760D08">
              <w:t xml:space="preserve"> </w:t>
            </w:r>
          </w:p>
          <w:p w:rsidR="00D64D2A" w:rsidRPr="00760D08" w:rsidRDefault="00D64D2A" w:rsidP="00C44D5E">
            <w:pPr>
              <w:pStyle w:val="BoxListBullet"/>
            </w:pPr>
            <w:r w:rsidRPr="00760D08">
              <w:t xml:space="preserve">commenced Home Care </w:t>
            </w:r>
            <w:r w:rsidR="00760D08" w:rsidRPr="00760D08">
              <w:t xml:space="preserve">that </w:t>
            </w:r>
            <w:r w:rsidRPr="00760D08">
              <w:t xml:space="preserve">did so within three months of their </w:t>
            </w:r>
            <w:r w:rsidR="00C44D5E" w:rsidRPr="00C44D5E">
              <w:t xml:space="preserve">most recent </w:t>
            </w:r>
            <w:r w:rsidRPr="00760D08">
              <w:t xml:space="preserve">ACAT approval. </w:t>
            </w:r>
          </w:p>
          <w:p w:rsidR="00D64D2A" w:rsidRPr="00C44D5E" w:rsidRDefault="00D64D2A" w:rsidP="00D64D2A">
            <w:pPr>
              <w:pStyle w:val="Box"/>
            </w:pPr>
            <w:r w:rsidRPr="00C44D5E">
              <w:t xml:space="preserve">Higher proportions of admission to residential care or </w:t>
            </w:r>
            <w:r w:rsidR="00983B3C" w:rsidRPr="00C44D5E">
              <w:t>commencement of</w:t>
            </w:r>
            <w:r w:rsidRPr="00C44D5E">
              <w:t xml:space="preserve"> Home Care within three months of ACAT approval are desirable. </w:t>
            </w:r>
          </w:p>
          <w:p w:rsidR="00D64D2A" w:rsidRPr="001332B5" w:rsidRDefault="00D64D2A" w:rsidP="003D363E">
            <w:pPr>
              <w:pStyle w:val="Box"/>
            </w:pPr>
            <w:r w:rsidRPr="00C44D5E">
              <w:t>This indicator needs to be interpreted with c</w:t>
            </w:r>
            <w:r w:rsidR="007758B7" w:rsidRPr="00C44D5E">
              <w:t>aution</w:t>
            </w:r>
            <w:r w:rsidRPr="00C44D5E">
              <w:t>. The measure of ‘elapsed time’ is utilised, rather than ‘waiting times’</w:t>
            </w:r>
            <w:r w:rsidR="00C44D5E" w:rsidRPr="00C44D5E">
              <w:t xml:space="preserve"> as</w:t>
            </w:r>
            <w:r w:rsidRPr="00C44D5E">
              <w:t xml:space="preserve"> the period of time between the ACAT approval and entry into residential care or commencement</w:t>
            </w:r>
            <w:r w:rsidR="005C273E" w:rsidRPr="00C44D5E">
              <w:t xml:space="preserve"> of</w:t>
            </w:r>
            <w:r w:rsidRPr="00C44D5E">
              <w:t xml:space="preserve"> Home Care </w:t>
            </w:r>
            <w:r w:rsidR="00C44D5E" w:rsidRPr="00C44D5E">
              <w:t>can</w:t>
            </w:r>
            <w:r w:rsidRPr="00C44D5E">
              <w:t xml:space="preserve"> be affected by factors other than time spent ‘waiting’</w:t>
            </w:r>
            <w:r w:rsidR="00C44D5E" w:rsidRPr="00C44D5E">
              <w:t>.</w:t>
            </w:r>
            <w:r w:rsidRPr="00C44D5E">
              <w:t xml:space="preserve"> </w:t>
            </w:r>
            <w:r w:rsidR="00C44D5E" w:rsidRPr="00C44D5E">
              <w:t>H</w:t>
            </w:r>
            <w:r w:rsidRPr="00C44D5E">
              <w:t>ospital discharge policies and practices</w:t>
            </w:r>
            <w:r w:rsidR="003D363E" w:rsidRPr="00C44D5E">
              <w:t xml:space="preserve"> </w:t>
            </w:r>
            <w:r w:rsidR="00C44D5E" w:rsidRPr="00C44D5E">
              <w:t xml:space="preserve">or </w:t>
            </w:r>
            <w:r w:rsidR="003D363E" w:rsidRPr="00C44D5E">
              <w:t xml:space="preserve">a </w:t>
            </w:r>
            <w:r w:rsidRPr="00C44D5E">
              <w:t>client</w:t>
            </w:r>
            <w:r w:rsidR="003D363E" w:rsidRPr="00C44D5E">
              <w:t>’s</w:t>
            </w:r>
            <w:r w:rsidRPr="00C44D5E">
              <w:t xml:space="preserve"> choice not to enter or commence care immediately but to take up the option at a later time</w:t>
            </w:r>
            <w:r w:rsidR="00C44D5E" w:rsidRPr="00C44D5E">
              <w:t xml:space="preserve"> for example</w:t>
            </w:r>
            <w:r w:rsidR="00982E18">
              <w:t>,</w:t>
            </w:r>
            <w:r w:rsidR="00C44D5E" w:rsidRPr="00C44D5E">
              <w:t xml:space="preserve"> might delay entry or commencement of care</w:t>
            </w:r>
            <w:r w:rsidRPr="00C44D5E">
              <w:t>.</w:t>
            </w:r>
            <w:r w:rsidR="00C44D5E">
              <w:t xml:space="preserve"> </w:t>
            </w:r>
            <w:r w:rsidR="00C44D5E" w:rsidRPr="001332B5">
              <w:t xml:space="preserve">A client’s decision to take up care at a point in time can be </w:t>
            </w:r>
            <w:r w:rsidR="007317F0">
              <w:t>a</w:t>
            </w:r>
            <w:r w:rsidR="001332B5">
              <w:t>ffected</w:t>
            </w:r>
            <w:r w:rsidR="00C44D5E" w:rsidRPr="001332B5">
              <w:t xml:space="preserve"> by </w:t>
            </w:r>
            <w:r w:rsidR="001332B5">
              <w:t>the</w:t>
            </w:r>
            <w:r w:rsidR="001332B5" w:rsidRPr="001332B5">
              <w:t xml:space="preserve"> availability of alternative </w:t>
            </w:r>
            <w:r w:rsidR="001332B5">
              <w:t xml:space="preserve">care options (for example, informal care) or </w:t>
            </w:r>
            <w:r w:rsidR="00855626">
              <w:t>their preference for a particular</w:t>
            </w:r>
            <w:r w:rsidR="00C70EB9" w:rsidRPr="001332B5">
              <w:t xml:space="preserve"> service</w:t>
            </w:r>
            <w:r w:rsidR="001332B5" w:rsidRPr="001332B5">
              <w:t xml:space="preserve"> </w:t>
            </w:r>
            <w:r w:rsidR="009638BE">
              <w:rPr>
                <w:rFonts w:ascii="Calibri" w:hAnsi="Calibri"/>
              </w:rPr>
              <w:t>—</w:t>
            </w:r>
            <w:r w:rsidR="009638BE">
              <w:t xml:space="preserve"> a client’s perceptions of a service’s</w:t>
            </w:r>
            <w:r w:rsidR="001332B5" w:rsidRPr="001332B5">
              <w:t xml:space="preserve"> </w:t>
            </w:r>
            <w:r w:rsidR="00C44D5E" w:rsidRPr="001332B5">
              <w:t xml:space="preserve">fee regimes </w:t>
            </w:r>
            <w:r w:rsidR="007317F0">
              <w:t xml:space="preserve">or </w:t>
            </w:r>
            <w:r w:rsidR="00C44D5E" w:rsidRPr="001332B5">
              <w:t>building quality</w:t>
            </w:r>
            <w:r w:rsidR="00855626">
              <w:t xml:space="preserve"> may affect this preference</w:t>
            </w:r>
            <w:r w:rsidR="00C44D5E" w:rsidRPr="001332B5">
              <w:t xml:space="preserve">. </w:t>
            </w:r>
            <w:r w:rsidR="00F85984">
              <w:t>T</w:t>
            </w:r>
            <w:r w:rsidRPr="001332B5">
              <w:t>he measure does not include clients who may h</w:t>
            </w:r>
            <w:r w:rsidR="003D363E" w:rsidRPr="001332B5">
              <w:t xml:space="preserve">ave spent time waiting, but </w:t>
            </w:r>
            <w:r w:rsidRPr="001332B5">
              <w:t>d</w:t>
            </w:r>
            <w:r w:rsidR="00300BF1" w:rsidRPr="001332B5">
              <w:t>id</w:t>
            </w:r>
            <w:r w:rsidRPr="001332B5">
              <w:t xml:space="preserve"> not enter residential care or commence Home Care (for example, who die</w:t>
            </w:r>
            <w:r w:rsidR="00300BF1" w:rsidRPr="001332B5">
              <w:t>d</w:t>
            </w:r>
            <w:r w:rsidRPr="001332B5">
              <w:t xml:space="preserve"> before entering care)</w:t>
            </w:r>
            <w:r w:rsidR="00C44D5E" w:rsidRPr="001332B5">
              <w:t xml:space="preserve"> or </w:t>
            </w:r>
            <w:r w:rsidR="00855626">
              <w:t xml:space="preserve">who </w:t>
            </w:r>
            <w:r w:rsidRPr="001332B5">
              <w:t>ultimately decide</w:t>
            </w:r>
            <w:r w:rsidR="00300BF1" w:rsidRPr="001332B5">
              <w:t>d</w:t>
            </w:r>
            <w:r w:rsidRPr="001332B5">
              <w:t xml:space="preserve"> </w:t>
            </w:r>
            <w:r w:rsidR="00C44D5E" w:rsidRPr="001332B5">
              <w:t xml:space="preserve">to delay or </w:t>
            </w:r>
            <w:r w:rsidRPr="001332B5">
              <w:t xml:space="preserve">not </w:t>
            </w:r>
            <w:r w:rsidR="003D363E" w:rsidRPr="001332B5">
              <w:t>take up a care placement offer</w:t>
            </w:r>
            <w:r w:rsidR="00DE681C">
              <w:t xml:space="preserve"> during the relevant period</w:t>
            </w:r>
            <w:r w:rsidR="003269B4" w:rsidRPr="001332B5">
              <w:t>.</w:t>
            </w:r>
            <w:r w:rsidR="00C44D5E" w:rsidRPr="001332B5">
              <w:t xml:space="preserve"> </w:t>
            </w:r>
          </w:p>
          <w:p w:rsidR="007317F0" w:rsidRDefault="007317F0" w:rsidP="007317F0">
            <w:pPr>
              <w:pStyle w:val="Box"/>
            </w:pPr>
            <w:r>
              <w:t>It is recognised that this indicator has limitations and work is underway to review the data. This indicator will continue to be reported until improved data are available.</w:t>
            </w:r>
          </w:p>
          <w:p w:rsidR="007317F0" w:rsidRDefault="007317F0" w:rsidP="007317F0">
            <w:pPr>
              <w:pStyle w:val="Box"/>
            </w:pPr>
            <w:r>
              <w:t>Data reported for this indicator are:</w:t>
            </w:r>
          </w:p>
          <w:p w:rsidR="007317F0" w:rsidRDefault="007317F0" w:rsidP="007317F0">
            <w:pPr>
              <w:pStyle w:val="BoxListBullet"/>
            </w:pPr>
            <w:r>
              <w:t>comparable (subject to caveats) across jurisdictions and over time</w:t>
            </w:r>
          </w:p>
          <w:p w:rsidR="007317F0" w:rsidRDefault="007317F0" w:rsidP="007317F0">
            <w:pPr>
              <w:pStyle w:val="BoxListBullet"/>
            </w:pPr>
            <w:r>
              <w:t xml:space="preserve">complete </w:t>
            </w:r>
            <w:r w:rsidR="00DE681C">
              <w:t xml:space="preserve">(subject to caveats) </w:t>
            </w:r>
            <w:r>
              <w:t>for the current reporting period. All required 201</w:t>
            </w:r>
            <w:r w:rsidR="00C32824">
              <w:t>4</w:t>
            </w:r>
            <w:r>
              <w:noBreakHyphen/>
              <w:t>1</w:t>
            </w:r>
            <w:r w:rsidR="00C32824">
              <w:t>5</w:t>
            </w:r>
            <w:r>
              <w:t xml:space="preserve"> data are available for all jurisdictions.</w:t>
            </w:r>
          </w:p>
          <w:p w:rsidR="003D363E" w:rsidRDefault="007317F0" w:rsidP="007317F0">
            <w:pPr>
              <w:pStyle w:val="Box"/>
            </w:pPr>
            <w:r>
              <w:t xml:space="preserve">Data quality information for this indicator is at </w:t>
            </w:r>
            <w:proofErr w:type="spellStart"/>
            <w:r>
              <w:t>www.pc.gov.au</w:t>
            </w:r>
            <w:proofErr w:type="spellEnd"/>
            <w:r>
              <w:t>/</w:t>
            </w:r>
            <w:proofErr w:type="spellStart"/>
            <w:r>
              <w:t>rogs</w:t>
            </w:r>
            <w:proofErr w:type="spellEnd"/>
            <w:r>
              <w:t>/2016.</w:t>
            </w:r>
          </w:p>
        </w:tc>
      </w:tr>
      <w:tr w:rsidR="00D64D2A" w:rsidTr="001573BE">
        <w:trPr>
          <w:cantSplit/>
        </w:trPr>
        <w:tc>
          <w:tcPr>
            <w:tcW w:w="8771" w:type="dxa"/>
            <w:tcBorders>
              <w:top w:val="nil"/>
              <w:left w:val="nil"/>
              <w:bottom w:val="single" w:sz="6" w:space="0" w:color="78A22F"/>
              <w:right w:val="nil"/>
            </w:tcBorders>
            <w:shd w:val="clear" w:color="auto" w:fill="F2F2F2" w:themeFill="background1" w:themeFillShade="F2"/>
          </w:tcPr>
          <w:p w:rsidR="00D64D2A" w:rsidRDefault="00D64D2A">
            <w:pPr>
              <w:pStyle w:val="Box"/>
              <w:spacing w:before="0" w:line="120" w:lineRule="exact"/>
            </w:pPr>
          </w:p>
        </w:tc>
      </w:tr>
      <w:tr w:rsidR="00D64D2A" w:rsidRPr="000863A5" w:rsidTr="001573BE">
        <w:tc>
          <w:tcPr>
            <w:tcW w:w="8771" w:type="dxa"/>
            <w:tcBorders>
              <w:top w:val="single" w:sz="6" w:space="0" w:color="78A22F"/>
              <w:left w:val="nil"/>
              <w:bottom w:val="nil"/>
              <w:right w:val="nil"/>
            </w:tcBorders>
          </w:tcPr>
          <w:p w:rsidR="00D64D2A" w:rsidRPr="00626D32" w:rsidRDefault="00D64D2A" w:rsidP="001573BE">
            <w:pPr>
              <w:pStyle w:val="BoxSpaceBelow"/>
            </w:pPr>
          </w:p>
        </w:tc>
      </w:tr>
    </w:tbl>
    <w:p w:rsidR="004D7C64" w:rsidRDefault="008B0DB8" w:rsidP="00C32824">
      <w:pPr>
        <w:pStyle w:val="BodyText"/>
      </w:pPr>
      <w:r>
        <w:t xml:space="preserve">Overall, </w:t>
      </w:r>
      <w:r w:rsidR="00855626">
        <w:t>9.8</w:t>
      </w:r>
      <w:r>
        <w:t xml:space="preserve"> per cent of all people entering </w:t>
      </w:r>
      <w:r w:rsidRPr="004B2BE8">
        <w:rPr>
          <w:shd w:val="clear" w:color="auto" w:fill="FFFFFF" w:themeFill="background1"/>
        </w:rPr>
        <w:t>residential care</w:t>
      </w:r>
      <w:r>
        <w:t xml:space="preserve"> during 201</w:t>
      </w:r>
      <w:r w:rsidR="003269B4">
        <w:t>4</w:t>
      </w:r>
      <w:r w:rsidR="00D57DEC">
        <w:noBreakHyphen/>
      </w:r>
      <w:r>
        <w:t>1</w:t>
      </w:r>
      <w:r w:rsidR="003269B4">
        <w:t>5</w:t>
      </w:r>
      <w:r>
        <w:t xml:space="preserve"> did so within seven days of being approved by an ACAT</w:t>
      </w:r>
      <w:r w:rsidR="00807C9F">
        <w:t>,</w:t>
      </w:r>
      <w:r>
        <w:t xml:space="preserve"> compared with </w:t>
      </w:r>
      <w:r w:rsidR="00855626">
        <w:t>16.0</w:t>
      </w:r>
      <w:r>
        <w:t xml:space="preserve"> per cent in 201</w:t>
      </w:r>
      <w:r w:rsidR="003269B4">
        <w:t>3</w:t>
      </w:r>
      <w:r w:rsidR="00D57DEC">
        <w:noBreakHyphen/>
      </w:r>
      <w:r>
        <w:t>1</w:t>
      </w:r>
      <w:r w:rsidR="003269B4">
        <w:t>4</w:t>
      </w:r>
      <w:r w:rsidR="00300BF1">
        <w:t xml:space="preserve"> (table</w:t>
      </w:r>
      <w:r w:rsidR="009551A0">
        <w:t> </w:t>
      </w:r>
      <w:proofErr w:type="spellStart"/>
      <w:r w:rsidR="00300BF1">
        <w:t>13A.</w:t>
      </w:r>
      <w:r w:rsidR="009638BE">
        <w:t>35</w:t>
      </w:r>
      <w:proofErr w:type="spellEnd"/>
      <w:r w:rsidR="00300BF1">
        <w:t>)</w:t>
      </w:r>
      <w:r>
        <w:t>. In 201</w:t>
      </w:r>
      <w:r w:rsidR="003269B4">
        <w:t>4</w:t>
      </w:r>
      <w:r w:rsidR="00D57DEC">
        <w:noBreakHyphen/>
      </w:r>
      <w:r>
        <w:t>1</w:t>
      </w:r>
      <w:r w:rsidR="003269B4">
        <w:t>5</w:t>
      </w:r>
      <w:r>
        <w:t xml:space="preserve">, </w:t>
      </w:r>
      <w:r w:rsidR="00855626">
        <w:t>30.6</w:t>
      </w:r>
      <w:r>
        <w:t xml:space="preserve"> per cent entered within one month of their ACAT approval and </w:t>
      </w:r>
      <w:r w:rsidR="00855626">
        <w:t>58.4</w:t>
      </w:r>
      <w:r>
        <w:t xml:space="preserve"> per cent entered within three months of their approval (figure</w:t>
      </w:r>
      <w:r w:rsidR="009551A0">
        <w:t> </w:t>
      </w:r>
      <w:r>
        <w:t>13.</w:t>
      </w:r>
      <w:r w:rsidR="001D2738">
        <w:t>14</w:t>
      </w:r>
      <w:r>
        <w:t xml:space="preserve">), </w:t>
      </w:r>
      <w:r>
        <w:lastRenderedPageBreak/>
        <w:t xml:space="preserve">compared with </w:t>
      </w:r>
      <w:r w:rsidR="00855626">
        <w:t>41.2</w:t>
      </w:r>
      <w:r>
        <w:t xml:space="preserve"> per cent and </w:t>
      </w:r>
      <w:r w:rsidR="00DE681C">
        <w:t>66.7</w:t>
      </w:r>
      <w:r>
        <w:t xml:space="preserve"> per cent respectively in 201</w:t>
      </w:r>
      <w:r w:rsidR="003269B4">
        <w:t>3</w:t>
      </w:r>
      <w:r w:rsidR="00D57DEC">
        <w:noBreakHyphen/>
      </w:r>
      <w:r>
        <w:t>1</w:t>
      </w:r>
      <w:r w:rsidR="003269B4">
        <w:t>4</w:t>
      </w:r>
      <w:r>
        <w:t xml:space="preserve"> (table</w:t>
      </w:r>
      <w:r w:rsidR="009551A0">
        <w:t> </w:t>
      </w:r>
      <w:proofErr w:type="spellStart"/>
      <w:r>
        <w:t>13A.</w:t>
      </w:r>
      <w:r w:rsidR="00DE681C">
        <w:t>35</w:t>
      </w:r>
      <w:proofErr w:type="spellEnd"/>
      <w:r>
        <w:t xml:space="preserve">). The median time for entry into residential services was </w:t>
      </w:r>
      <w:r w:rsidR="00855626">
        <w:t>68</w:t>
      </w:r>
      <w:r>
        <w:t xml:space="preserve"> days in 201</w:t>
      </w:r>
      <w:r w:rsidR="003269B4">
        <w:t>4</w:t>
      </w:r>
      <w:r w:rsidR="00D57DEC">
        <w:noBreakHyphen/>
      </w:r>
      <w:r>
        <w:t>1</w:t>
      </w:r>
      <w:r w:rsidR="003269B4">
        <w:t>5</w:t>
      </w:r>
      <w:r>
        <w:t xml:space="preserve"> compared to </w:t>
      </w:r>
      <w:r w:rsidR="00855626">
        <w:t>45 </w:t>
      </w:r>
      <w:r>
        <w:t>days in 201</w:t>
      </w:r>
      <w:r w:rsidR="003269B4">
        <w:t>3</w:t>
      </w:r>
      <w:r w:rsidR="00D57DEC">
        <w:noBreakHyphen/>
      </w:r>
      <w:r>
        <w:t>1</w:t>
      </w:r>
      <w:r w:rsidR="003269B4">
        <w:t>4</w:t>
      </w:r>
      <w:r>
        <w:t xml:space="preserve"> (table</w:t>
      </w:r>
      <w:r w:rsidR="00D57DEC">
        <w:t> </w:t>
      </w:r>
      <w:proofErr w:type="spellStart"/>
      <w:r>
        <w:t>13A.</w:t>
      </w:r>
      <w:r w:rsidR="00886661">
        <w:t>35</w:t>
      </w:r>
      <w:proofErr w:type="spellEnd"/>
      <w:r>
        <w:t>). Further data on elapsed time by remoteness, Socio</w:t>
      </w:r>
      <w:r w:rsidR="004262BC">
        <w:noBreakHyphen/>
      </w:r>
      <w:r>
        <w:t xml:space="preserve">Economic Indexes for Areas (SEIFA) and Indigenous status are included in </w:t>
      </w:r>
      <w:r w:rsidR="00855626">
        <w:br/>
      </w:r>
      <w:r>
        <w:t>table</w:t>
      </w:r>
      <w:r w:rsidR="00855626">
        <w:t>s</w:t>
      </w:r>
      <w:r w:rsidR="009551A0">
        <w:t> </w:t>
      </w:r>
      <w:proofErr w:type="spellStart"/>
      <w:r>
        <w:t>13A.</w:t>
      </w:r>
      <w:r w:rsidR="009638BE">
        <w:t>36</w:t>
      </w:r>
      <w:proofErr w:type="spellEnd"/>
      <w:r>
        <w:t>–</w:t>
      </w:r>
      <w:r w:rsidR="009638BE">
        <w:t>38</w:t>
      </w:r>
      <w:r>
        <w:t xml:space="preserve">. </w:t>
      </w:r>
    </w:p>
    <w:p w:rsidR="00C919C4" w:rsidRDefault="00C919C4" w:rsidP="00C74E9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919C4" w:rsidTr="00C74E99">
        <w:tc>
          <w:tcPr>
            <w:tcW w:w="8771" w:type="dxa"/>
            <w:tcBorders>
              <w:top w:val="single" w:sz="6" w:space="0" w:color="78A22F"/>
              <w:left w:val="nil"/>
              <w:bottom w:val="nil"/>
              <w:right w:val="nil"/>
            </w:tcBorders>
            <w:shd w:val="clear" w:color="auto" w:fill="auto"/>
          </w:tcPr>
          <w:p w:rsidR="00C919C4" w:rsidRPr="00176D3F" w:rsidRDefault="00C919C4" w:rsidP="00C919C4">
            <w:pPr>
              <w:pStyle w:val="FigureTitle"/>
            </w:pPr>
            <w:r w:rsidRPr="00784A05">
              <w:rPr>
                <w:b w:val="0"/>
              </w:rPr>
              <w:t xml:space="preserve">Figure </w:t>
            </w:r>
            <w:r w:rsidR="001D2738">
              <w:rPr>
                <w:b w:val="0"/>
              </w:rPr>
              <w:t>13.</w:t>
            </w:r>
            <w:r w:rsidR="00F132AA">
              <w:rPr>
                <w:b w:val="0"/>
                <w:noProof/>
              </w:rPr>
              <w:t>14</w:t>
            </w:r>
            <w:r>
              <w:tab/>
            </w:r>
            <w:r w:rsidRPr="00B2494F">
              <w:t xml:space="preserve">People </w:t>
            </w:r>
            <w:r w:rsidRPr="004B2BE8">
              <w:rPr>
                <w:shd w:val="clear" w:color="auto" w:fill="FFFFFF" w:themeFill="background1"/>
              </w:rPr>
              <w:t>entering residential</w:t>
            </w:r>
            <w:r w:rsidRPr="00B2494F">
              <w:t xml:space="preserve"> care within specified time periods of their ACAT approval, 201</w:t>
            </w:r>
            <w:r>
              <w:t>4</w:t>
            </w:r>
            <w:r>
              <w:noBreakHyphen/>
            </w:r>
            <w:r w:rsidRPr="00B2494F">
              <w:t>1</w:t>
            </w:r>
            <w:r>
              <w:t>5</w:t>
            </w:r>
            <w:r w:rsidRPr="00C919C4">
              <w:rPr>
                <w:rStyle w:val="NoteLabel"/>
                <w:b/>
                <w:szCs w:val="20"/>
              </w:rPr>
              <w:t>a</w:t>
            </w:r>
            <w:r w:rsidR="00AB1B72">
              <w:rPr>
                <w:rStyle w:val="NoteLabel"/>
                <w:b/>
                <w:szCs w:val="20"/>
              </w:rPr>
              <w:t>, b</w:t>
            </w:r>
          </w:p>
        </w:tc>
      </w:tr>
      <w:tr w:rsidR="00C919C4" w:rsidTr="00C74E9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919C4" w:rsidTr="00C74E99">
              <w:trPr>
                <w:jc w:val="center"/>
              </w:trPr>
              <w:tc>
                <w:tcPr>
                  <w:tcW w:w="5000" w:type="pct"/>
                  <w:tcBorders>
                    <w:top w:val="nil"/>
                    <w:bottom w:val="nil"/>
                  </w:tcBorders>
                </w:tcPr>
                <w:p w:rsidR="00C919C4" w:rsidRDefault="00E30882" w:rsidP="00C74E99">
                  <w:pPr>
                    <w:pStyle w:val="Figure"/>
                    <w:spacing w:before="60" w:after="60"/>
                  </w:pPr>
                  <w:r>
                    <w:rPr>
                      <w:noProof/>
                    </w:rPr>
                    <w:drawing>
                      <wp:inline distT="0" distB="0" distL="0" distR="0">
                        <wp:extent cx="5362575" cy="2686050"/>
                        <wp:effectExtent l="0" t="0" r="9525" b="0"/>
                        <wp:docPr id="16" name="Picture 16" descr="Figure 13.14 People entering residential care within specified time periods of their ACAT approval,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62575" cy="2686050"/>
                                </a:xfrm>
                                <a:prstGeom prst="rect">
                                  <a:avLst/>
                                </a:prstGeom>
                                <a:noFill/>
                                <a:ln>
                                  <a:noFill/>
                                </a:ln>
                              </pic:spPr>
                            </pic:pic>
                          </a:graphicData>
                        </a:graphic>
                      </wp:inline>
                    </w:drawing>
                  </w:r>
                </w:p>
              </w:tc>
            </w:tr>
          </w:tbl>
          <w:p w:rsidR="00C919C4" w:rsidRDefault="00C919C4" w:rsidP="00C74E99">
            <w:pPr>
              <w:pStyle w:val="Figure"/>
            </w:pPr>
          </w:p>
        </w:tc>
      </w:tr>
      <w:tr w:rsidR="00C919C4" w:rsidRPr="00176D3F" w:rsidTr="00C74E99">
        <w:tc>
          <w:tcPr>
            <w:tcW w:w="8771" w:type="dxa"/>
            <w:tcBorders>
              <w:top w:val="nil"/>
              <w:left w:val="nil"/>
              <w:bottom w:val="nil"/>
              <w:right w:val="nil"/>
            </w:tcBorders>
            <w:shd w:val="clear" w:color="auto" w:fill="auto"/>
          </w:tcPr>
          <w:p w:rsidR="00C919C4" w:rsidRPr="00176D3F" w:rsidRDefault="00C919C4" w:rsidP="00AB1B72">
            <w:pPr>
              <w:pStyle w:val="Note"/>
            </w:pPr>
            <w:r w:rsidRPr="00087FC4">
              <w:rPr>
                <w:rStyle w:val="NoteLabel"/>
              </w:rPr>
              <w:t>a</w:t>
            </w:r>
            <w:r w:rsidRPr="00AB1B72">
              <w:t xml:space="preserve"> </w:t>
            </w:r>
            <w:r w:rsidR="00AB1B72" w:rsidRPr="00AB1B72">
              <w:t xml:space="preserve">NT data for </w:t>
            </w:r>
            <w:r w:rsidR="00AB1B72">
              <w:t>‘</w:t>
            </w:r>
            <w:r w:rsidR="00AB1B72" w:rsidRPr="00AB1B72">
              <w:t>2 days or less</w:t>
            </w:r>
            <w:r w:rsidR="00AB1B72">
              <w:t>’</w:t>
            </w:r>
            <w:r w:rsidR="00AB1B72" w:rsidRPr="00AB1B72">
              <w:t xml:space="preserve"> and </w:t>
            </w:r>
            <w:r w:rsidR="00AB1B72">
              <w:t>‘</w:t>
            </w:r>
            <w:r w:rsidR="00AB1B72" w:rsidRPr="00AB1B72">
              <w:t>7 days or less</w:t>
            </w:r>
            <w:r w:rsidR="00AB1B72">
              <w:t>’</w:t>
            </w:r>
            <w:r w:rsidR="00AB1B72" w:rsidRPr="00AB1B72">
              <w:t xml:space="preserve"> are not published. </w:t>
            </w:r>
            <w:r w:rsidR="00AB1B72">
              <w:rPr>
                <w:rStyle w:val="NoteLabel"/>
              </w:rPr>
              <w:t>b</w:t>
            </w:r>
            <w:r w:rsidR="00AB1B72" w:rsidRPr="00AB1B72">
              <w:t xml:space="preserve"> </w:t>
            </w:r>
            <w:r w:rsidRPr="006F23A3">
              <w:t>See box</w:t>
            </w:r>
            <w:r w:rsidR="00E75264">
              <w:t> </w:t>
            </w:r>
            <w:r>
              <w:t>13</w:t>
            </w:r>
            <w:r w:rsidR="009638BE">
              <w:t>.5</w:t>
            </w:r>
            <w:r w:rsidRPr="006F23A3">
              <w:t xml:space="preserve"> and table</w:t>
            </w:r>
            <w:r w:rsidR="00E75264">
              <w:t> </w:t>
            </w:r>
            <w:proofErr w:type="spellStart"/>
            <w:r>
              <w:t>13</w:t>
            </w:r>
            <w:r w:rsidRPr="006F23A3">
              <w:t>A.</w:t>
            </w:r>
            <w:r w:rsidR="009638BE">
              <w:t>35</w:t>
            </w:r>
            <w:proofErr w:type="spellEnd"/>
            <w:r w:rsidRPr="006F23A3">
              <w:t xml:space="preserve"> for detailed</w:t>
            </w:r>
            <w:r w:rsidRPr="0032221B">
              <w:t xml:space="preserve"> definitions, footnotes and caveats</w:t>
            </w:r>
            <w:r w:rsidRPr="006F23A3">
              <w:t>.</w:t>
            </w:r>
          </w:p>
        </w:tc>
      </w:tr>
      <w:tr w:rsidR="00C919C4" w:rsidRPr="00176D3F" w:rsidTr="00C74E99">
        <w:tc>
          <w:tcPr>
            <w:tcW w:w="8771" w:type="dxa"/>
            <w:tcBorders>
              <w:top w:val="nil"/>
              <w:left w:val="nil"/>
              <w:bottom w:val="nil"/>
              <w:right w:val="nil"/>
            </w:tcBorders>
            <w:shd w:val="clear" w:color="auto" w:fill="auto"/>
          </w:tcPr>
          <w:p w:rsidR="00C919C4" w:rsidRPr="00176D3F" w:rsidRDefault="00C919C4" w:rsidP="009638BE">
            <w:pPr>
              <w:pStyle w:val="Source"/>
            </w:pPr>
            <w:r w:rsidRPr="00B2494F">
              <w:rPr>
                <w:i/>
              </w:rPr>
              <w:t>Source</w:t>
            </w:r>
            <w:r w:rsidRPr="009551A0">
              <w:t>:</w:t>
            </w:r>
            <w:r w:rsidRPr="00B2494F">
              <w:rPr>
                <w:i/>
              </w:rPr>
              <w:t xml:space="preserve"> </w:t>
            </w:r>
            <w:proofErr w:type="spellStart"/>
            <w:r w:rsidRPr="00B2494F">
              <w:t>DSS</w:t>
            </w:r>
            <w:proofErr w:type="spellEnd"/>
            <w:r w:rsidRPr="00B2494F">
              <w:t xml:space="preserve"> (unpublished); table</w:t>
            </w:r>
            <w:r>
              <w:t> </w:t>
            </w:r>
            <w:proofErr w:type="spellStart"/>
            <w:r w:rsidRPr="00B2494F">
              <w:t>13A.</w:t>
            </w:r>
            <w:r w:rsidR="009638BE">
              <w:t>35</w:t>
            </w:r>
            <w:proofErr w:type="spellEnd"/>
            <w:r w:rsidRPr="00B2494F">
              <w:t>.</w:t>
            </w:r>
            <w:r w:rsidRPr="00176D3F">
              <w:t xml:space="preserve"> </w:t>
            </w:r>
          </w:p>
        </w:tc>
      </w:tr>
      <w:tr w:rsidR="00C919C4" w:rsidTr="00C74E99">
        <w:tc>
          <w:tcPr>
            <w:tcW w:w="8771" w:type="dxa"/>
            <w:tcBorders>
              <w:top w:val="nil"/>
              <w:left w:val="nil"/>
              <w:bottom w:val="single" w:sz="6" w:space="0" w:color="78A22F"/>
              <w:right w:val="nil"/>
            </w:tcBorders>
            <w:shd w:val="clear" w:color="auto" w:fill="auto"/>
          </w:tcPr>
          <w:p w:rsidR="00C919C4" w:rsidRDefault="00C919C4" w:rsidP="00C74E99">
            <w:pPr>
              <w:pStyle w:val="Figurespace"/>
            </w:pPr>
          </w:p>
        </w:tc>
      </w:tr>
      <w:tr w:rsidR="00C919C4" w:rsidRPr="000863A5" w:rsidTr="00C74E99">
        <w:tc>
          <w:tcPr>
            <w:tcW w:w="8771" w:type="dxa"/>
            <w:tcBorders>
              <w:top w:val="single" w:sz="6" w:space="0" w:color="78A22F"/>
              <w:left w:val="nil"/>
              <w:bottom w:val="nil"/>
              <w:right w:val="nil"/>
            </w:tcBorders>
          </w:tcPr>
          <w:p w:rsidR="00C919C4" w:rsidRPr="00626D32" w:rsidRDefault="00C919C4" w:rsidP="00C74E99">
            <w:pPr>
              <w:pStyle w:val="BoxSpaceBelow"/>
            </w:pPr>
          </w:p>
        </w:tc>
      </w:tr>
    </w:tbl>
    <w:p w:rsidR="000D1072" w:rsidRDefault="00B73095" w:rsidP="00B73095">
      <w:pPr>
        <w:pStyle w:val="BodyText"/>
      </w:pPr>
      <w:r>
        <w:t xml:space="preserve">Overall, </w:t>
      </w:r>
      <w:r w:rsidR="000D1072" w:rsidRPr="000D1072">
        <w:t>58.6</w:t>
      </w:r>
      <w:r w:rsidRPr="000D1072">
        <w:t xml:space="preserve"> per</w:t>
      </w:r>
      <w:r>
        <w:t xml:space="preserve"> cent of all people commencing Home Care during 2014</w:t>
      </w:r>
      <w:r>
        <w:noBreakHyphen/>
        <w:t>15</w:t>
      </w:r>
      <w:r w:rsidR="00855626">
        <w:t>,</w:t>
      </w:r>
      <w:r>
        <w:t xml:space="preserve"> received </w:t>
      </w:r>
      <w:r w:rsidR="000D1072">
        <w:t>care</w:t>
      </w:r>
      <w:r>
        <w:t xml:space="preserve"> within three months of being approved by an ACAT. This proportion varied across jurisdictions. Nationally, </w:t>
      </w:r>
      <w:r w:rsidR="000D1072" w:rsidRPr="000D1072">
        <w:t>33.7</w:t>
      </w:r>
      <w:r w:rsidRPr="000D1072">
        <w:t xml:space="preserve"> per</w:t>
      </w:r>
      <w:r>
        <w:t xml:space="preserve"> cent started receiving Home Care within one month of being approved by an ACAT (figure 13.15). </w:t>
      </w:r>
    </w:p>
    <w:p w:rsidR="000D1072" w:rsidRDefault="000D1072" w:rsidP="00B73095">
      <w:pPr>
        <w:pStyle w:val="BodyText"/>
      </w:pPr>
    </w:p>
    <w:p w:rsidR="00B73095" w:rsidRPr="00694E2F" w:rsidRDefault="00B73095" w:rsidP="00B73095">
      <w:pPr>
        <w:pStyle w:val="BodyText"/>
      </w:pPr>
      <w:r w:rsidRPr="00694E2F">
        <w:rPr>
          <w:b/>
          <w:color w:val="FF00FF"/>
          <w:sz w:val="14"/>
        </w:rPr>
        <w:br w:type="page"/>
      </w:r>
    </w:p>
    <w:p w:rsidR="001D2738" w:rsidRDefault="001D2738" w:rsidP="00C74E9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2738" w:rsidTr="00C74E99">
        <w:tc>
          <w:tcPr>
            <w:tcW w:w="8771" w:type="dxa"/>
            <w:tcBorders>
              <w:top w:val="single" w:sz="6" w:space="0" w:color="78A22F"/>
              <w:left w:val="nil"/>
              <w:bottom w:val="nil"/>
              <w:right w:val="nil"/>
            </w:tcBorders>
            <w:shd w:val="clear" w:color="auto" w:fill="auto"/>
          </w:tcPr>
          <w:p w:rsidR="001D2738" w:rsidRPr="00176D3F" w:rsidRDefault="001D2738" w:rsidP="001D2738">
            <w:pPr>
              <w:pStyle w:val="FigureTitle"/>
            </w:pPr>
            <w:r w:rsidRPr="00784A05">
              <w:rPr>
                <w:b w:val="0"/>
              </w:rPr>
              <w:t xml:space="preserve">Figure </w:t>
            </w:r>
            <w:r>
              <w:rPr>
                <w:b w:val="0"/>
              </w:rPr>
              <w:t>13.</w:t>
            </w:r>
            <w:r w:rsidR="00F132AA">
              <w:rPr>
                <w:b w:val="0"/>
                <w:noProof/>
              </w:rPr>
              <w:t>15</w:t>
            </w:r>
            <w:r>
              <w:tab/>
            </w:r>
            <w:r w:rsidRPr="001A5803">
              <w:t xml:space="preserve">People commencing Home Care within </w:t>
            </w:r>
            <w:r w:rsidR="00E174BA">
              <w:t xml:space="preserve">one or </w:t>
            </w:r>
            <w:r w:rsidRPr="001A5803">
              <w:t>three months of their ACAT approval, 201</w:t>
            </w:r>
            <w:r>
              <w:t>4</w:t>
            </w:r>
            <w:r>
              <w:noBreakHyphen/>
            </w:r>
            <w:r w:rsidRPr="001A5803">
              <w:t>1</w:t>
            </w:r>
            <w:r>
              <w:t>5</w:t>
            </w:r>
            <w:r w:rsidRPr="00C919C4">
              <w:rPr>
                <w:rStyle w:val="NoteLabel"/>
                <w:b/>
                <w:szCs w:val="20"/>
              </w:rPr>
              <w:t>a</w:t>
            </w:r>
          </w:p>
        </w:tc>
      </w:tr>
      <w:tr w:rsidR="001D2738" w:rsidTr="00C74E9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D2738" w:rsidTr="00C74E99">
              <w:trPr>
                <w:jc w:val="center"/>
              </w:trPr>
              <w:tc>
                <w:tcPr>
                  <w:tcW w:w="5000" w:type="pct"/>
                  <w:tcBorders>
                    <w:top w:val="nil"/>
                    <w:bottom w:val="nil"/>
                  </w:tcBorders>
                </w:tcPr>
                <w:p w:rsidR="001D2738" w:rsidRDefault="00E30882" w:rsidP="00C74E99">
                  <w:pPr>
                    <w:pStyle w:val="Figure"/>
                    <w:spacing w:before="60" w:after="60"/>
                  </w:pPr>
                  <w:r>
                    <w:rPr>
                      <w:noProof/>
                    </w:rPr>
                    <w:drawing>
                      <wp:inline distT="0" distB="0" distL="0" distR="0">
                        <wp:extent cx="5391150" cy="2638425"/>
                        <wp:effectExtent l="0" t="0" r="0" b="9525"/>
                        <wp:docPr id="17" name="Picture 17" descr="Figure 13.15 People commencing Home Care within one or three months of their ACAT approval,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1D2738" w:rsidRDefault="001D2738" w:rsidP="00C74E99">
            <w:pPr>
              <w:pStyle w:val="Figure"/>
            </w:pPr>
          </w:p>
        </w:tc>
      </w:tr>
      <w:tr w:rsidR="001D2738" w:rsidRPr="00176D3F" w:rsidTr="00C74E99">
        <w:tc>
          <w:tcPr>
            <w:tcW w:w="8771" w:type="dxa"/>
            <w:tcBorders>
              <w:top w:val="nil"/>
              <w:left w:val="nil"/>
              <w:bottom w:val="nil"/>
              <w:right w:val="nil"/>
            </w:tcBorders>
            <w:shd w:val="clear" w:color="auto" w:fill="auto"/>
          </w:tcPr>
          <w:p w:rsidR="001D2738" w:rsidRPr="00176D3F" w:rsidRDefault="001D2738" w:rsidP="00AD3960">
            <w:pPr>
              <w:pStyle w:val="Note"/>
            </w:pPr>
            <w:r w:rsidRPr="00087FC4">
              <w:rPr>
                <w:rStyle w:val="NoteLabel"/>
              </w:rPr>
              <w:t xml:space="preserve">a </w:t>
            </w:r>
            <w:r w:rsidRPr="006F23A3">
              <w:t>See box</w:t>
            </w:r>
            <w:r w:rsidR="00E75264">
              <w:t> </w:t>
            </w:r>
            <w:r>
              <w:t>13</w:t>
            </w:r>
            <w:r w:rsidRPr="006F23A3">
              <w:t>.</w:t>
            </w:r>
            <w:r w:rsidR="00AD3960">
              <w:t>5</w:t>
            </w:r>
            <w:r w:rsidRPr="006F23A3">
              <w:t xml:space="preserve"> and table</w:t>
            </w:r>
            <w:r w:rsidR="00E75264">
              <w:t> </w:t>
            </w:r>
            <w:proofErr w:type="spellStart"/>
            <w:r>
              <w:t>13</w:t>
            </w:r>
            <w:r w:rsidRPr="006F23A3">
              <w:t>A.</w:t>
            </w:r>
            <w:r w:rsidR="009638BE">
              <w:t>35</w:t>
            </w:r>
            <w:proofErr w:type="spellEnd"/>
            <w:r w:rsidRPr="006F23A3">
              <w:t xml:space="preserve"> for detailed</w:t>
            </w:r>
            <w:r w:rsidRPr="0032221B">
              <w:t xml:space="preserve"> definitions, footnotes and caveats</w:t>
            </w:r>
            <w:r w:rsidRPr="006F23A3">
              <w:t>.</w:t>
            </w:r>
          </w:p>
        </w:tc>
      </w:tr>
      <w:tr w:rsidR="001D2738" w:rsidRPr="00176D3F" w:rsidTr="00C74E99">
        <w:tc>
          <w:tcPr>
            <w:tcW w:w="8771" w:type="dxa"/>
            <w:tcBorders>
              <w:top w:val="nil"/>
              <w:left w:val="nil"/>
              <w:bottom w:val="nil"/>
              <w:right w:val="nil"/>
            </w:tcBorders>
            <w:shd w:val="clear" w:color="auto" w:fill="auto"/>
          </w:tcPr>
          <w:p w:rsidR="001D2738" w:rsidRPr="00176D3F" w:rsidRDefault="001D2738" w:rsidP="009638BE">
            <w:pPr>
              <w:pStyle w:val="Source"/>
            </w:pPr>
            <w:r w:rsidRPr="00B2494F">
              <w:rPr>
                <w:i/>
              </w:rPr>
              <w:t>Source</w:t>
            </w:r>
            <w:r w:rsidRPr="009551A0">
              <w:t>:</w:t>
            </w:r>
            <w:r w:rsidRPr="00B2494F">
              <w:rPr>
                <w:i/>
              </w:rPr>
              <w:t xml:space="preserve"> </w:t>
            </w:r>
            <w:proofErr w:type="spellStart"/>
            <w:r w:rsidRPr="00B2494F">
              <w:t>DSS</w:t>
            </w:r>
            <w:proofErr w:type="spellEnd"/>
            <w:r w:rsidRPr="00B2494F">
              <w:t xml:space="preserve"> (unpublished); table</w:t>
            </w:r>
            <w:r>
              <w:t> </w:t>
            </w:r>
            <w:proofErr w:type="spellStart"/>
            <w:r w:rsidRPr="00B2494F">
              <w:t>13A.</w:t>
            </w:r>
            <w:r w:rsidR="009638BE">
              <w:t>35</w:t>
            </w:r>
            <w:proofErr w:type="spellEnd"/>
            <w:r w:rsidRPr="00B2494F">
              <w:t>.</w:t>
            </w:r>
            <w:r w:rsidRPr="00176D3F">
              <w:t xml:space="preserve"> </w:t>
            </w:r>
          </w:p>
        </w:tc>
      </w:tr>
      <w:tr w:rsidR="001D2738" w:rsidTr="00C74E99">
        <w:tc>
          <w:tcPr>
            <w:tcW w:w="8771" w:type="dxa"/>
            <w:tcBorders>
              <w:top w:val="nil"/>
              <w:left w:val="nil"/>
              <w:bottom w:val="single" w:sz="6" w:space="0" w:color="78A22F"/>
              <w:right w:val="nil"/>
            </w:tcBorders>
            <w:shd w:val="clear" w:color="auto" w:fill="auto"/>
          </w:tcPr>
          <w:p w:rsidR="001D2738" w:rsidRDefault="001D2738" w:rsidP="00C74E99">
            <w:pPr>
              <w:pStyle w:val="Figurespace"/>
            </w:pPr>
          </w:p>
        </w:tc>
      </w:tr>
      <w:tr w:rsidR="001D2738" w:rsidRPr="000863A5" w:rsidTr="00C74E99">
        <w:tc>
          <w:tcPr>
            <w:tcW w:w="8771" w:type="dxa"/>
            <w:tcBorders>
              <w:top w:val="single" w:sz="6" w:space="0" w:color="78A22F"/>
              <w:left w:val="nil"/>
              <w:bottom w:val="nil"/>
              <w:right w:val="nil"/>
            </w:tcBorders>
          </w:tcPr>
          <w:p w:rsidR="001D2738" w:rsidRPr="00626D32" w:rsidRDefault="001D2738" w:rsidP="00C74E99">
            <w:pPr>
              <w:pStyle w:val="BoxSpaceBelow"/>
            </w:pPr>
          </w:p>
        </w:tc>
      </w:tr>
    </w:tbl>
    <w:p w:rsidR="006C3F0B" w:rsidRDefault="0086351C" w:rsidP="00B6113E">
      <w:pPr>
        <w:pStyle w:val="Heading4"/>
      </w:pPr>
      <w:r>
        <w:t xml:space="preserve">Appropriateness – </w:t>
      </w:r>
      <w:r w:rsidR="006C3F0B">
        <w:t xml:space="preserve">Assessed </w:t>
      </w:r>
      <w:r w:rsidR="0043066F">
        <w:t>long</w:t>
      </w:r>
      <w:r w:rsidR="009551A0">
        <w:noBreakHyphen/>
      </w:r>
      <w:r w:rsidR="0043066F">
        <w:t>term</w:t>
      </w:r>
      <w:r w:rsidR="006C3F0B">
        <w:t xml:space="preserve"> care arrangements</w:t>
      </w:r>
    </w:p>
    <w:p w:rsidR="00B2494F" w:rsidRDefault="006C3F0B" w:rsidP="006C3F0B">
      <w:pPr>
        <w:pStyle w:val="BodyText"/>
      </w:pPr>
      <w:r>
        <w:t xml:space="preserve">‘Assessed </w:t>
      </w:r>
      <w:r w:rsidR="0043066F">
        <w:t>long</w:t>
      </w:r>
      <w:r w:rsidR="009551A0">
        <w:noBreakHyphen/>
      </w:r>
      <w:r w:rsidR="0043066F">
        <w:t>term</w:t>
      </w:r>
      <w:r>
        <w:t xml:space="preserve"> care arrangements’ is an indicator of governments’ objective to meet clients’ needs through provision of appropriate aged care services (box</w:t>
      </w:r>
      <w:r w:rsidR="009551A0">
        <w:t> </w:t>
      </w:r>
      <w:r>
        <w:t>13.</w:t>
      </w:r>
      <w:r w:rsidR="00C32824">
        <w:t>6</w:t>
      </w:r>
      <w:r>
        <w:t>).</w:t>
      </w:r>
    </w:p>
    <w:p w:rsidR="00C32824" w:rsidRDefault="00C3282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2824" w:rsidTr="00C74E99">
        <w:tc>
          <w:tcPr>
            <w:tcW w:w="8771" w:type="dxa"/>
            <w:tcBorders>
              <w:top w:val="single" w:sz="6" w:space="0" w:color="78A22F"/>
              <w:left w:val="nil"/>
              <w:bottom w:val="nil"/>
              <w:right w:val="nil"/>
            </w:tcBorders>
            <w:shd w:val="clear" w:color="auto" w:fill="F2F2F2"/>
          </w:tcPr>
          <w:p w:rsidR="00C32824" w:rsidRDefault="00C32824">
            <w:pPr>
              <w:pStyle w:val="BoxTitle"/>
            </w:pPr>
            <w:r>
              <w:rPr>
                <w:b w:val="0"/>
              </w:rPr>
              <w:t xml:space="preserve">Box </w:t>
            </w:r>
            <w:r w:rsidR="00DE681C">
              <w:rPr>
                <w:b w:val="0"/>
              </w:rPr>
              <w:t>13.</w:t>
            </w:r>
            <w:r w:rsidR="00F132AA">
              <w:rPr>
                <w:b w:val="0"/>
                <w:noProof/>
              </w:rPr>
              <w:t>6</w:t>
            </w:r>
            <w:r>
              <w:tab/>
            </w:r>
            <w:r w:rsidRPr="006C3F0B">
              <w:t>Assessed long</w:t>
            </w:r>
            <w:r>
              <w:noBreakHyphen/>
            </w:r>
            <w:r w:rsidRPr="006C3F0B">
              <w:t>term care arrangements</w:t>
            </w:r>
          </w:p>
        </w:tc>
      </w:tr>
      <w:tr w:rsidR="00C32824" w:rsidTr="00C74E99">
        <w:trPr>
          <w:cantSplit/>
        </w:trPr>
        <w:tc>
          <w:tcPr>
            <w:tcW w:w="8771" w:type="dxa"/>
            <w:tcBorders>
              <w:top w:val="nil"/>
              <w:left w:val="nil"/>
              <w:bottom w:val="nil"/>
              <w:right w:val="nil"/>
            </w:tcBorders>
            <w:shd w:val="clear" w:color="auto" w:fill="F2F2F2"/>
          </w:tcPr>
          <w:p w:rsidR="00C32824" w:rsidRDefault="00AD3960" w:rsidP="00C32824">
            <w:pPr>
              <w:pStyle w:val="Box"/>
            </w:pPr>
            <w:r>
              <w:t>‘</w:t>
            </w:r>
            <w:r w:rsidR="00C32824">
              <w:t>Assessed long</w:t>
            </w:r>
            <w:r w:rsidR="00C32824">
              <w:noBreakHyphen/>
              <w:t>term care arrangements’ is defined as the proportions of ACAT clients recommended to reside in the community (private residence or other community). ACAT clients are also recommended for long</w:t>
            </w:r>
            <w:r w:rsidR="00E75264">
              <w:noBreakHyphen/>
            </w:r>
            <w:r w:rsidR="00C32824">
              <w:t xml:space="preserve">term care in residential care or in another location (such as, other institutional care) and for some ACAT clients a recommendation was not made due to reasons such as death. A recommendation does not mean that the person will be approved for care and an approval does not mean that the person will take up care. </w:t>
            </w:r>
          </w:p>
          <w:p w:rsidR="00C32824" w:rsidRDefault="00C32824" w:rsidP="00C32824">
            <w:pPr>
              <w:pStyle w:val="Box"/>
            </w:pPr>
            <w:r>
              <w:t>High or increasing proportions of clients recommended to remain in the community (assuming this is appropriate) are desirable.</w:t>
            </w:r>
          </w:p>
          <w:p w:rsidR="00C32824" w:rsidRDefault="00C32824" w:rsidP="00C74E99">
            <w:pPr>
              <w:pStyle w:val="Box"/>
            </w:pPr>
            <w:r>
              <w:t xml:space="preserve">Differences in recommendations across jurisdictions can reflect external factors such as geographic dispersion of clients and service availability, but also views on the types of client best served by </w:t>
            </w:r>
            <w:r w:rsidRPr="004B2BE8">
              <w:t>home care and support services</w:t>
            </w:r>
            <w:r>
              <w:t xml:space="preserve"> and client preferences. The distribution of ACAT recommendations for various care arrangements is also influenced by the degree to which any pre</w:t>
            </w:r>
            <w:r w:rsidR="00E75264">
              <w:noBreakHyphen/>
            </w:r>
            <w:r>
              <w:t>selection process refers people requiring residential care to an ACAT for an assessment.</w:t>
            </w:r>
          </w:p>
        </w:tc>
      </w:tr>
      <w:tr w:rsidR="00C32824" w:rsidTr="00C74E99">
        <w:trPr>
          <w:cantSplit/>
        </w:trPr>
        <w:tc>
          <w:tcPr>
            <w:tcW w:w="8771" w:type="dxa"/>
            <w:tcBorders>
              <w:top w:val="nil"/>
              <w:left w:val="nil"/>
              <w:bottom w:val="nil"/>
              <w:right w:val="nil"/>
            </w:tcBorders>
            <w:shd w:val="clear" w:color="auto" w:fill="F2F2F2"/>
          </w:tcPr>
          <w:p w:rsidR="00C32824" w:rsidRPr="003008BF" w:rsidRDefault="00C32824" w:rsidP="003008BF">
            <w:pPr>
              <w:pStyle w:val="Continued"/>
            </w:pPr>
            <w:r w:rsidRPr="003008BF">
              <w:t>(continued</w:t>
            </w:r>
            <w:r w:rsidR="00855626" w:rsidRPr="003008BF">
              <w:t xml:space="preserve"> next page</w:t>
            </w:r>
            <w:r w:rsidRPr="003008BF">
              <w:t>)</w:t>
            </w:r>
          </w:p>
        </w:tc>
      </w:tr>
      <w:tr w:rsidR="00C32824" w:rsidTr="00C74E99">
        <w:trPr>
          <w:cantSplit/>
        </w:trPr>
        <w:tc>
          <w:tcPr>
            <w:tcW w:w="8771" w:type="dxa"/>
            <w:tcBorders>
              <w:top w:val="nil"/>
              <w:left w:val="nil"/>
              <w:bottom w:val="single" w:sz="6" w:space="0" w:color="78A22F"/>
              <w:right w:val="nil"/>
            </w:tcBorders>
            <w:shd w:val="clear" w:color="auto" w:fill="F2F2F2"/>
          </w:tcPr>
          <w:p w:rsidR="00C32824" w:rsidRDefault="00C32824">
            <w:pPr>
              <w:pStyle w:val="Box"/>
              <w:spacing w:before="0" w:line="120" w:lineRule="exact"/>
            </w:pPr>
          </w:p>
        </w:tc>
      </w:tr>
      <w:tr w:rsidR="00C32824" w:rsidRPr="000863A5" w:rsidTr="00C74E99">
        <w:tc>
          <w:tcPr>
            <w:tcW w:w="8771" w:type="dxa"/>
            <w:tcBorders>
              <w:top w:val="single" w:sz="6" w:space="0" w:color="78A22F"/>
              <w:left w:val="nil"/>
              <w:bottom w:val="nil"/>
              <w:right w:val="nil"/>
            </w:tcBorders>
          </w:tcPr>
          <w:p w:rsidR="00C32824" w:rsidRPr="00626D32" w:rsidRDefault="00C32824" w:rsidP="00C74E99">
            <w:pPr>
              <w:pStyle w:val="BoxSpaceBelow"/>
            </w:pPr>
          </w:p>
        </w:tc>
      </w:tr>
    </w:tbl>
    <w:p w:rsidR="006C3F0B" w:rsidRDefault="006C3F0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C3F0B" w:rsidTr="001573BE">
        <w:tc>
          <w:tcPr>
            <w:tcW w:w="8771" w:type="dxa"/>
            <w:tcBorders>
              <w:top w:val="single" w:sz="6" w:space="0" w:color="78A22F"/>
              <w:left w:val="nil"/>
              <w:bottom w:val="nil"/>
              <w:right w:val="nil"/>
            </w:tcBorders>
            <w:shd w:val="clear" w:color="auto" w:fill="F2F2F2" w:themeFill="background1" w:themeFillShade="F2"/>
          </w:tcPr>
          <w:p w:rsidR="006C3F0B" w:rsidRDefault="006C3F0B" w:rsidP="007D4D17">
            <w:pPr>
              <w:pStyle w:val="BoxTitle"/>
            </w:pPr>
            <w:r>
              <w:rPr>
                <w:b w:val="0"/>
              </w:rPr>
              <w:t xml:space="preserve">Box </w:t>
            </w:r>
            <w:r w:rsidR="007D4D17">
              <w:rPr>
                <w:b w:val="0"/>
              </w:rPr>
              <w:t>13.6</w:t>
            </w:r>
            <w:r>
              <w:tab/>
            </w:r>
            <w:r w:rsidR="007D4D17" w:rsidRPr="00855626">
              <w:rPr>
                <w:b w:val="0"/>
                <w:sz w:val="18"/>
                <w:szCs w:val="20"/>
              </w:rPr>
              <w:t>(continued)</w:t>
            </w:r>
          </w:p>
        </w:tc>
      </w:tr>
      <w:tr w:rsidR="006C3F0B" w:rsidTr="001573BE">
        <w:trPr>
          <w:cantSplit/>
        </w:trPr>
        <w:tc>
          <w:tcPr>
            <w:tcW w:w="8771" w:type="dxa"/>
            <w:tcBorders>
              <w:top w:val="nil"/>
              <w:left w:val="nil"/>
              <w:bottom w:val="nil"/>
              <w:right w:val="nil"/>
            </w:tcBorders>
            <w:shd w:val="clear" w:color="auto" w:fill="F2F2F2" w:themeFill="background1" w:themeFillShade="F2"/>
          </w:tcPr>
          <w:p w:rsidR="006C3F0B" w:rsidRDefault="006C3F0B" w:rsidP="006C3F0B">
            <w:pPr>
              <w:pStyle w:val="Box"/>
            </w:pPr>
            <w:r>
              <w:t>Data reported for this indicator are:</w:t>
            </w:r>
          </w:p>
          <w:p w:rsidR="006C3F0B" w:rsidRDefault="006C3F0B" w:rsidP="006C3F0B">
            <w:pPr>
              <w:pStyle w:val="BoxListBullet"/>
            </w:pPr>
            <w:r>
              <w:t>comparable (subject to caveats) across jurisdictions and over time</w:t>
            </w:r>
          </w:p>
          <w:p w:rsidR="006C3F0B" w:rsidRDefault="006C3F0B" w:rsidP="006C3F0B">
            <w:pPr>
              <w:pStyle w:val="BoxListBullet"/>
            </w:pPr>
            <w:r>
              <w:t>complete for the current reporting period (subject to caveats). All required 201</w:t>
            </w:r>
            <w:r w:rsidR="007D4D17">
              <w:t>3</w:t>
            </w:r>
            <w:r>
              <w:noBreakHyphen/>
              <w:t>1</w:t>
            </w:r>
            <w:r w:rsidR="007D4D17">
              <w:t>4</w:t>
            </w:r>
            <w:r>
              <w:t xml:space="preserve"> data are available for all jurisdictions.</w:t>
            </w:r>
          </w:p>
          <w:p w:rsidR="006C3F0B" w:rsidRDefault="006C3F0B" w:rsidP="006C3F0B">
            <w:pPr>
              <w:pStyle w:val="Box"/>
            </w:pPr>
            <w:r>
              <w:t>Data quality information for this indicator is under development.</w:t>
            </w:r>
          </w:p>
        </w:tc>
      </w:tr>
      <w:tr w:rsidR="006C3F0B" w:rsidTr="001573BE">
        <w:trPr>
          <w:cantSplit/>
        </w:trPr>
        <w:tc>
          <w:tcPr>
            <w:tcW w:w="8771" w:type="dxa"/>
            <w:tcBorders>
              <w:top w:val="nil"/>
              <w:left w:val="nil"/>
              <w:bottom w:val="single" w:sz="6" w:space="0" w:color="78A22F"/>
              <w:right w:val="nil"/>
            </w:tcBorders>
            <w:shd w:val="clear" w:color="auto" w:fill="F2F2F2" w:themeFill="background1" w:themeFillShade="F2"/>
          </w:tcPr>
          <w:p w:rsidR="006C3F0B" w:rsidRDefault="006C3F0B">
            <w:pPr>
              <w:pStyle w:val="Box"/>
              <w:spacing w:before="0" w:line="120" w:lineRule="exact"/>
            </w:pPr>
          </w:p>
        </w:tc>
      </w:tr>
      <w:tr w:rsidR="006C3F0B" w:rsidRPr="000863A5" w:rsidTr="001573BE">
        <w:tc>
          <w:tcPr>
            <w:tcW w:w="8771" w:type="dxa"/>
            <w:tcBorders>
              <w:top w:val="single" w:sz="6" w:space="0" w:color="78A22F"/>
              <w:left w:val="nil"/>
              <w:bottom w:val="nil"/>
              <w:right w:val="nil"/>
            </w:tcBorders>
          </w:tcPr>
          <w:p w:rsidR="006C3F0B" w:rsidRPr="00626D32" w:rsidRDefault="006C3F0B" w:rsidP="001573BE">
            <w:pPr>
              <w:pStyle w:val="BoxSpaceBelow"/>
            </w:pPr>
          </w:p>
        </w:tc>
      </w:tr>
    </w:tbl>
    <w:p w:rsidR="006C3F0B" w:rsidRDefault="006C3F0B" w:rsidP="006C3F0B">
      <w:pPr>
        <w:pStyle w:val="BodyText"/>
      </w:pPr>
      <w:r>
        <w:t>The national proportion of ACAT clients recommended to remain in the community</w:t>
      </w:r>
      <w:r w:rsidR="00216559">
        <w:t xml:space="preserve"> in 2013</w:t>
      </w:r>
      <w:r w:rsidR="00B169DC">
        <w:noBreakHyphen/>
      </w:r>
      <w:r w:rsidR="00216559">
        <w:t>14</w:t>
      </w:r>
      <w:r>
        <w:t xml:space="preserve"> was </w:t>
      </w:r>
      <w:r w:rsidR="00D37572" w:rsidRPr="00D37572">
        <w:t>52.7</w:t>
      </w:r>
      <w:r w:rsidR="00426BB7">
        <w:t> </w:t>
      </w:r>
      <w:r>
        <w:t>per</w:t>
      </w:r>
      <w:r w:rsidR="00426BB7">
        <w:t> </w:t>
      </w:r>
      <w:r>
        <w:t>cent</w:t>
      </w:r>
      <w:r w:rsidR="00216559">
        <w:t xml:space="preserve"> and</w:t>
      </w:r>
      <w:r w:rsidR="002D1E5A">
        <w:t xml:space="preserve"> a further </w:t>
      </w:r>
      <w:r w:rsidR="00D37572">
        <w:t>36.6</w:t>
      </w:r>
      <w:r w:rsidR="002D1E5A">
        <w:t xml:space="preserve"> per cent </w:t>
      </w:r>
      <w:r w:rsidR="00216559">
        <w:t xml:space="preserve">was </w:t>
      </w:r>
      <w:r w:rsidR="002D1E5A">
        <w:t xml:space="preserve">recommended for residential care </w:t>
      </w:r>
      <w:r>
        <w:t>(figure</w:t>
      </w:r>
      <w:r w:rsidR="009551A0">
        <w:t> </w:t>
      </w:r>
      <w:r>
        <w:t>13.</w:t>
      </w:r>
      <w:r w:rsidR="007D4D17">
        <w:t>16</w:t>
      </w:r>
      <w:r>
        <w:t xml:space="preserve">). The remaining </w:t>
      </w:r>
      <w:r w:rsidR="00D37572" w:rsidRPr="00D37572">
        <w:t>9.9</w:t>
      </w:r>
      <w:r>
        <w:t xml:space="preserve"> per cent comprise those for whom the recommendation was another location (for example, other institutional care) or for whom reasons such as death, transfer or cancellation meant that no recommendation for </w:t>
      </w:r>
      <w:r w:rsidR="0043066F">
        <w:t>long</w:t>
      </w:r>
      <w:r w:rsidR="009551A0">
        <w:noBreakHyphen/>
      </w:r>
      <w:r w:rsidR="0043066F">
        <w:t>term</w:t>
      </w:r>
      <w:r>
        <w:t xml:space="preserve"> care arrangements was made.</w:t>
      </w:r>
    </w:p>
    <w:p w:rsidR="00D00F31" w:rsidRDefault="00D00F31" w:rsidP="00C64E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0F31" w:rsidTr="00C64EFF">
        <w:tc>
          <w:tcPr>
            <w:tcW w:w="8771" w:type="dxa"/>
            <w:tcBorders>
              <w:top w:val="single" w:sz="6" w:space="0" w:color="78A22F"/>
              <w:left w:val="nil"/>
              <w:bottom w:val="nil"/>
              <w:right w:val="nil"/>
            </w:tcBorders>
            <w:shd w:val="clear" w:color="auto" w:fill="auto"/>
          </w:tcPr>
          <w:p w:rsidR="00D00F31" w:rsidRPr="00176D3F" w:rsidRDefault="00D00F31" w:rsidP="00BB10BF">
            <w:pPr>
              <w:pStyle w:val="FigureTitle"/>
            </w:pPr>
            <w:r w:rsidRPr="00784A05">
              <w:rPr>
                <w:b w:val="0"/>
              </w:rPr>
              <w:t xml:space="preserve">Figure </w:t>
            </w:r>
            <w:r>
              <w:rPr>
                <w:b w:val="0"/>
              </w:rPr>
              <w:t>13.</w:t>
            </w:r>
            <w:r w:rsidR="00F132AA">
              <w:rPr>
                <w:b w:val="0"/>
                <w:noProof/>
              </w:rPr>
              <w:t>16</w:t>
            </w:r>
            <w:r>
              <w:tab/>
            </w:r>
            <w:r w:rsidRPr="006C3F0B">
              <w:t xml:space="preserve">Recommended </w:t>
            </w:r>
            <w:r>
              <w:t>long</w:t>
            </w:r>
            <w:r>
              <w:noBreakHyphen/>
              <w:t>term</w:t>
            </w:r>
            <w:r w:rsidRPr="006C3F0B">
              <w:t xml:space="preserve"> care arrangements of ACAT clients, 201</w:t>
            </w:r>
            <w:r>
              <w:t>3</w:t>
            </w:r>
            <w:r>
              <w:noBreakHyphen/>
            </w:r>
            <w:r w:rsidRPr="006C3F0B">
              <w:t>1</w:t>
            </w:r>
            <w:r>
              <w:t>4</w:t>
            </w:r>
            <w:r w:rsidRPr="009C7155">
              <w:rPr>
                <w:rStyle w:val="NoteLabel"/>
                <w:b/>
              </w:rPr>
              <w:t>a</w:t>
            </w:r>
          </w:p>
        </w:tc>
      </w:tr>
      <w:tr w:rsidR="00D00F31" w:rsidTr="00C64E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00F31" w:rsidTr="00C64EFF">
              <w:trPr>
                <w:jc w:val="center"/>
              </w:trPr>
              <w:tc>
                <w:tcPr>
                  <w:tcW w:w="5000" w:type="pct"/>
                  <w:tcBorders>
                    <w:top w:val="nil"/>
                    <w:bottom w:val="nil"/>
                  </w:tcBorders>
                </w:tcPr>
                <w:p w:rsidR="00D00F31" w:rsidRDefault="00E30882" w:rsidP="00C64EFF">
                  <w:pPr>
                    <w:pStyle w:val="Figure"/>
                    <w:spacing w:before="60" w:after="60"/>
                  </w:pPr>
                  <w:r>
                    <w:rPr>
                      <w:noProof/>
                    </w:rPr>
                    <w:drawing>
                      <wp:inline distT="0" distB="0" distL="0" distR="0">
                        <wp:extent cx="5295900" cy="2628900"/>
                        <wp:effectExtent l="0" t="0" r="0" b="0"/>
                        <wp:docPr id="18" name="Picture 18" descr="Figure 13.16 Recommended long-term care arrangements of ACAT client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95900" cy="2628900"/>
                                </a:xfrm>
                                <a:prstGeom prst="rect">
                                  <a:avLst/>
                                </a:prstGeom>
                                <a:noFill/>
                                <a:ln>
                                  <a:noFill/>
                                </a:ln>
                              </pic:spPr>
                            </pic:pic>
                          </a:graphicData>
                        </a:graphic>
                      </wp:inline>
                    </w:drawing>
                  </w:r>
                </w:p>
              </w:tc>
            </w:tr>
          </w:tbl>
          <w:p w:rsidR="00D00F31" w:rsidRDefault="00D00F31" w:rsidP="00C64EFF">
            <w:pPr>
              <w:pStyle w:val="Figure"/>
            </w:pPr>
          </w:p>
        </w:tc>
      </w:tr>
      <w:tr w:rsidR="00D00F31" w:rsidRPr="00176D3F" w:rsidTr="00C64EFF">
        <w:tc>
          <w:tcPr>
            <w:tcW w:w="8771" w:type="dxa"/>
            <w:tcBorders>
              <w:top w:val="nil"/>
              <w:left w:val="nil"/>
              <w:bottom w:val="nil"/>
              <w:right w:val="nil"/>
            </w:tcBorders>
            <w:shd w:val="clear" w:color="auto" w:fill="auto"/>
          </w:tcPr>
          <w:p w:rsidR="00D00F31" w:rsidRPr="00176D3F" w:rsidRDefault="00D00F31" w:rsidP="00BB10BF">
            <w:pPr>
              <w:pStyle w:val="Note"/>
            </w:pPr>
            <w:r w:rsidRPr="00087FC4">
              <w:rPr>
                <w:rStyle w:val="NoteLabel"/>
              </w:rPr>
              <w:t xml:space="preserve">a </w:t>
            </w:r>
            <w:r w:rsidRPr="006F23A3">
              <w:t>See box</w:t>
            </w:r>
            <w:r w:rsidR="00E75264">
              <w:t> </w:t>
            </w:r>
            <w:r>
              <w:t>13</w:t>
            </w:r>
            <w:r w:rsidRPr="006F23A3">
              <w:t>.</w:t>
            </w:r>
            <w:r>
              <w:t>6</w:t>
            </w:r>
            <w:r w:rsidRPr="006F23A3">
              <w:t xml:space="preserve"> and table</w:t>
            </w:r>
            <w:r w:rsidR="00E75264">
              <w:t> </w:t>
            </w:r>
            <w:proofErr w:type="spellStart"/>
            <w:r>
              <w:t>13</w:t>
            </w:r>
            <w:r w:rsidRPr="006F23A3">
              <w:t>A.</w:t>
            </w:r>
            <w:r w:rsidR="00BB10BF">
              <w:t>39</w:t>
            </w:r>
            <w:proofErr w:type="spellEnd"/>
            <w:r w:rsidRPr="006F23A3">
              <w:t xml:space="preserve"> for detailed</w:t>
            </w:r>
            <w:r w:rsidRPr="0032221B">
              <w:t xml:space="preserve"> definitions, footnotes and caveats</w:t>
            </w:r>
            <w:r w:rsidRPr="006F23A3">
              <w:t>.</w:t>
            </w:r>
          </w:p>
        </w:tc>
      </w:tr>
      <w:tr w:rsidR="00D00F31" w:rsidRPr="00176D3F" w:rsidTr="00C64EFF">
        <w:tc>
          <w:tcPr>
            <w:tcW w:w="8771" w:type="dxa"/>
            <w:tcBorders>
              <w:top w:val="nil"/>
              <w:left w:val="nil"/>
              <w:bottom w:val="nil"/>
              <w:right w:val="nil"/>
            </w:tcBorders>
            <w:shd w:val="clear" w:color="auto" w:fill="auto"/>
          </w:tcPr>
          <w:p w:rsidR="00D00F31" w:rsidRPr="00176D3F" w:rsidRDefault="00D00F31" w:rsidP="00391E20">
            <w:pPr>
              <w:pStyle w:val="Source"/>
            </w:pPr>
            <w:r w:rsidRPr="00ED5EA8">
              <w:rPr>
                <w:i/>
              </w:rPr>
              <w:t>Source</w:t>
            </w:r>
            <w:r w:rsidRPr="009551A0">
              <w:t>:</w:t>
            </w:r>
            <w:r w:rsidRPr="00ED5EA8">
              <w:rPr>
                <w:i/>
              </w:rPr>
              <w:t xml:space="preserve"> </w:t>
            </w:r>
            <w:r w:rsidRPr="00ED5EA8">
              <w:t xml:space="preserve">DSS (unpublished) Ageing and Aged Care Data Warehouse from </w:t>
            </w:r>
            <w:r w:rsidR="00CB0089">
              <w:t xml:space="preserve">the </w:t>
            </w:r>
            <w:r w:rsidR="00CB0089" w:rsidRPr="00CB0089">
              <w:t xml:space="preserve">Aged Care Assessment Program </w:t>
            </w:r>
            <w:r w:rsidRPr="00ED5EA8">
              <w:t>Minimum Data Set; table</w:t>
            </w:r>
            <w:r>
              <w:t> </w:t>
            </w:r>
            <w:proofErr w:type="spellStart"/>
            <w:r w:rsidRPr="00ED5EA8">
              <w:t>13A.</w:t>
            </w:r>
            <w:r w:rsidR="00C863CB">
              <w:t>39</w:t>
            </w:r>
            <w:proofErr w:type="spellEnd"/>
            <w:r w:rsidRPr="00ED5EA8">
              <w:t>.</w:t>
            </w:r>
          </w:p>
        </w:tc>
      </w:tr>
      <w:tr w:rsidR="00D00F31" w:rsidTr="00C64EFF">
        <w:tc>
          <w:tcPr>
            <w:tcW w:w="8771" w:type="dxa"/>
            <w:tcBorders>
              <w:top w:val="nil"/>
              <w:left w:val="nil"/>
              <w:bottom w:val="single" w:sz="6" w:space="0" w:color="78A22F"/>
              <w:right w:val="nil"/>
            </w:tcBorders>
            <w:shd w:val="clear" w:color="auto" w:fill="auto"/>
          </w:tcPr>
          <w:p w:rsidR="00D00F31" w:rsidRDefault="00D00F31" w:rsidP="00C64EFF">
            <w:pPr>
              <w:pStyle w:val="Figurespace"/>
            </w:pPr>
          </w:p>
        </w:tc>
      </w:tr>
      <w:tr w:rsidR="00D00F31" w:rsidRPr="000863A5" w:rsidTr="00C64EFF">
        <w:tc>
          <w:tcPr>
            <w:tcW w:w="8771" w:type="dxa"/>
            <w:tcBorders>
              <w:top w:val="single" w:sz="6" w:space="0" w:color="78A22F"/>
              <w:left w:val="nil"/>
              <w:bottom w:val="nil"/>
              <w:right w:val="nil"/>
            </w:tcBorders>
          </w:tcPr>
          <w:p w:rsidR="00D00F31" w:rsidRPr="00626D32" w:rsidRDefault="00D00F31" w:rsidP="00C64EFF">
            <w:pPr>
              <w:pStyle w:val="BoxSpaceBelow"/>
            </w:pPr>
          </w:p>
        </w:tc>
      </w:tr>
    </w:tbl>
    <w:p w:rsidR="00ED5EA8" w:rsidRDefault="0086351C" w:rsidP="00B6113E">
      <w:pPr>
        <w:pStyle w:val="Heading4"/>
      </w:pPr>
      <w:r>
        <w:t xml:space="preserve">Appropriateness – </w:t>
      </w:r>
      <w:r w:rsidR="00ED5EA8">
        <w:t>Unmet need</w:t>
      </w:r>
    </w:p>
    <w:p w:rsidR="006C3F0B" w:rsidRDefault="00ED5EA8" w:rsidP="00ED5EA8">
      <w:pPr>
        <w:pStyle w:val="BodyText"/>
      </w:pPr>
      <w:r>
        <w:t>‘Unmet need’ is an indicator of governments’ objective of ensuring aged care services are allocated to meet clients’ needs (box</w:t>
      </w:r>
      <w:r w:rsidR="009551A0">
        <w:t> </w:t>
      </w:r>
      <w:r>
        <w:t>13.</w:t>
      </w:r>
      <w:r w:rsidR="007D4D17">
        <w:t>7</w:t>
      </w:r>
      <w:r>
        <w:t>).</w:t>
      </w:r>
    </w:p>
    <w:p w:rsidR="00ED5EA8" w:rsidRDefault="00ED5E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5EA8" w:rsidTr="001573BE">
        <w:tc>
          <w:tcPr>
            <w:tcW w:w="8771" w:type="dxa"/>
            <w:tcBorders>
              <w:top w:val="single" w:sz="6" w:space="0" w:color="78A22F"/>
              <w:left w:val="nil"/>
              <w:bottom w:val="nil"/>
              <w:right w:val="nil"/>
            </w:tcBorders>
            <w:shd w:val="clear" w:color="auto" w:fill="F2F2F2" w:themeFill="background1" w:themeFillShade="F2"/>
          </w:tcPr>
          <w:p w:rsidR="00ED5EA8" w:rsidRDefault="00ED5EA8" w:rsidP="0080776E">
            <w:pPr>
              <w:pStyle w:val="BoxTitle"/>
            </w:pPr>
            <w:r>
              <w:rPr>
                <w:b w:val="0"/>
              </w:rPr>
              <w:t xml:space="preserve">Box </w:t>
            </w:r>
            <w:bookmarkStart w:id="20" w:name="OLE_LINK2"/>
            <w:r w:rsidR="001D20C3">
              <w:rPr>
                <w:b w:val="0"/>
              </w:rPr>
              <w:t>13.</w:t>
            </w:r>
            <w:r w:rsidR="00F132AA">
              <w:rPr>
                <w:b w:val="0"/>
                <w:noProof/>
              </w:rPr>
              <w:t>7</w:t>
            </w:r>
            <w:bookmarkEnd w:id="20"/>
            <w:r>
              <w:tab/>
            </w:r>
            <w:r w:rsidRPr="00ED5EA8">
              <w:t>Unmet need</w:t>
            </w:r>
          </w:p>
        </w:tc>
      </w:tr>
      <w:tr w:rsidR="00ED5EA8" w:rsidTr="001573BE">
        <w:trPr>
          <w:cantSplit/>
        </w:trPr>
        <w:tc>
          <w:tcPr>
            <w:tcW w:w="8771" w:type="dxa"/>
            <w:tcBorders>
              <w:top w:val="nil"/>
              <w:left w:val="nil"/>
              <w:bottom w:val="nil"/>
              <w:right w:val="nil"/>
            </w:tcBorders>
            <w:shd w:val="clear" w:color="auto" w:fill="F2F2F2" w:themeFill="background1" w:themeFillShade="F2"/>
          </w:tcPr>
          <w:p w:rsidR="00ED5EA8" w:rsidRDefault="00ED5EA8" w:rsidP="00ED5EA8">
            <w:pPr>
              <w:pStyle w:val="Box"/>
            </w:pPr>
            <w:r>
              <w:t xml:space="preserve">‘Unmet need’ is defined as the extent to which demand for services to support older people requiring assistance with </w:t>
            </w:r>
            <w:r w:rsidR="001C18DF">
              <w:t>everyday</w:t>
            </w:r>
            <w:r>
              <w:t xml:space="preserve"> activities is not met. </w:t>
            </w:r>
          </w:p>
          <w:p w:rsidR="00ED5EA8" w:rsidRDefault="00ED5EA8" w:rsidP="00ED5EA8">
            <w:pPr>
              <w:pStyle w:val="Box"/>
            </w:pPr>
            <w:r>
              <w:t xml:space="preserve">Low rates of unmet need are desirable; however, defining and determining the level of need at an individual level is complex and at a population level is highly complex. Perceptions of need and unmet need are often subjective. </w:t>
            </w:r>
          </w:p>
          <w:p w:rsidR="007D4D17" w:rsidRDefault="00ED5EA8" w:rsidP="00C07DBA">
            <w:pPr>
              <w:pStyle w:val="Box"/>
            </w:pPr>
            <w:r>
              <w:t xml:space="preserve">Data from the ABS 2012 </w:t>
            </w:r>
            <w:proofErr w:type="spellStart"/>
            <w:r w:rsidR="00025AE5">
              <w:t>SDAC</w:t>
            </w:r>
            <w:proofErr w:type="spellEnd"/>
            <w:r w:rsidR="00025AE5">
              <w:t xml:space="preserve"> </w:t>
            </w:r>
            <w:r w:rsidR="001C240F">
              <w:t>on older people with a need for assistance with at least one everyday activity, and the extent to which that need was being met (fully, partly or not at all) are reported in table</w:t>
            </w:r>
            <w:r w:rsidR="00E75264">
              <w:t> </w:t>
            </w:r>
            <w:proofErr w:type="spellStart"/>
            <w:r w:rsidR="001C240F">
              <w:t>13A.</w:t>
            </w:r>
            <w:r w:rsidR="00C863CB">
              <w:t>40</w:t>
            </w:r>
            <w:proofErr w:type="spellEnd"/>
            <w:r w:rsidR="001C240F">
              <w:t xml:space="preserve">. Although </w:t>
            </w:r>
            <w:r w:rsidR="001C18DF">
              <w:t xml:space="preserve">these </w:t>
            </w:r>
            <w:r w:rsidR="001C240F">
              <w:t xml:space="preserve">data are included, this indicator </w:t>
            </w:r>
            <w:r w:rsidR="007D4D17">
              <w:t xml:space="preserve">is </w:t>
            </w:r>
            <w:r w:rsidR="00860559">
              <w:t>regarded as yet to be developed</w:t>
            </w:r>
            <w:r w:rsidR="007D4D17">
              <w:t xml:space="preserve"> becau</w:t>
            </w:r>
            <w:r w:rsidR="001C240F">
              <w:t xml:space="preserve">se </w:t>
            </w:r>
            <w:r w:rsidR="00860559">
              <w:t>further work is need</w:t>
            </w:r>
            <w:r w:rsidR="001C18DF">
              <w:t>ed</w:t>
            </w:r>
            <w:r w:rsidR="00860559">
              <w:t xml:space="preserve"> to understand the </w:t>
            </w:r>
            <w:r w:rsidR="001C18DF">
              <w:t xml:space="preserve">extent of the </w:t>
            </w:r>
            <w:r w:rsidR="00860559">
              <w:t>caveats</w:t>
            </w:r>
            <w:r w:rsidR="001C240F">
              <w:t xml:space="preserve">. </w:t>
            </w:r>
          </w:p>
        </w:tc>
      </w:tr>
      <w:tr w:rsidR="00ED5EA8" w:rsidTr="001573BE">
        <w:trPr>
          <w:cantSplit/>
        </w:trPr>
        <w:tc>
          <w:tcPr>
            <w:tcW w:w="8771" w:type="dxa"/>
            <w:tcBorders>
              <w:top w:val="nil"/>
              <w:left w:val="nil"/>
              <w:bottom w:val="single" w:sz="6" w:space="0" w:color="78A22F"/>
              <w:right w:val="nil"/>
            </w:tcBorders>
            <w:shd w:val="clear" w:color="auto" w:fill="F2F2F2" w:themeFill="background1" w:themeFillShade="F2"/>
          </w:tcPr>
          <w:p w:rsidR="00ED5EA8" w:rsidRDefault="00ED5EA8">
            <w:pPr>
              <w:pStyle w:val="Box"/>
              <w:spacing w:before="0" w:line="120" w:lineRule="exact"/>
            </w:pPr>
          </w:p>
        </w:tc>
      </w:tr>
      <w:tr w:rsidR="00ED5EA8" w:rsidRPr="000863A5" w:rsidTr="001573BE">
        <w:tc>
          <w:tcPr>
            <w:tcW w:w="8771" w:type="dxa"/>
            <w:tcBorders>
              <w:top w:val="single" w:sz="6" w:space="0" w:color="78A22F"/>
              <w:left w:val="nil"/>
              <w:bottom w:val="nil"/>
              <w:right w:val="nil"/>
            </w:tcBorders>
          </w:tcPr>
          <w:p w:rsidR="00ED5EA8" w:rsidRPr="00626D32" w:rsidRDefault="00ED5EA8" w:rsidP="001573BE">
            <w:pPr>
              <w:pStyle w:val="BoxSpaceBelow"/>
            </w:pPr>
          </w:p>
        </w:tc>
      </w:tr>
    </w:tbl>
    <w:p w:rsidR="00ED5EA8" w:rsidRDefault="00ED5EA8" w:rsidP="00ED5EA8">
      <w:pPr>
        <w:pStyle w:val="BodyText"/>
      </w:pPr>
      <w:r>
        <w:t xml:space="preserve">Of those people aged 65 years or over in 2012, who were living in households and who </w:t>
      </w:r>
      <w:r w:rsidR="00316889">
        <w:t>have</w:t>
      </w:r>
      <w:r>
        <w:t xml:space="preserve"> a need for assistance with at least one everyday activity, 34.0 per cent reported that their need for assistance was not fully met (table</w:t>
      </w:r>
      <w:r w:rsidR="009551A0">
        <w:t> </w:t>
      </w:r>
      <w:proofErr w:type="spellStart"/>
      <w:r>
        <w:t>13A.</w:t>
      </w:r>
      <w:r w:rsidR="00426BB7">
        <w:t>4</w:t>
      </w:r>
      <w:r w:rsidR="00391E5A">
        <w:t>0</w:t>
      </w:r>
      <w:proofErr w:type="spellEnd"/>
      <w:r>
        <w:t>).</w:t>
      </w:r>
    </w:p>
    <w:p w:rsidR="00ED5EA8" w:rsidRDefault="0086351C" w:rsidP="00B6113E">
      <w:pPr>
        <w:pStyle w:val="Heading4"/>
      </w:pPr>
      <w:r>
        <w:t xml:space="preserve">Appropriateness – </w:t>
      </w:r>
      <w:r w:rsidR="00ED5EA8">
        <w:t xml:space="preserve">Hospital patient days used by aged care type patients </w:t>
      </w:r>
    </w:p>
    <w:p w:rsidR="00ED5EA8" w:rsidRDefault="00ED5EA8" w:rsidP="00ED5EA8">
      <w:pPr>
        <w:pStyle w:val="BodyText"/>
      </w:pPr>
      <w:r>
        <w:t>‘Hospital patient days used by aged care type patients’ is a</w:t>
      </w:r>
      <w:r w:rsidR="008B6DBC">
        <w:t xml:space="preserve"> proxy</w:t>
      </w:r>
      <w:r>
        <w:t xml:space="preserve"> indicator of governments’ objective to minimise the incidence of older people staying in hospitals for extended periods of time when their care needs </w:t>
      </w:r>
      <w:r w:rsidR="00391E5A">
        <w:t>can</w:t>
      </w:r>
      <w:r>
        <w:t xml:space="preserve"> be met more appropriately through residential or </w:t>
      </w:r>
      <w:r w:rsidR="00391E5A">
        <w:t>home</w:t>
      </w:r>
      <w:r>
        <w:t xml:space="preserve"> care</w:t>
      </w:r>
      <w:r w:rsidR="00391E5A">
        <w:t xml:space="preserve"> and support</w:t>
      </w:r>
      <w:r>
        <w:t xml:space="preserve"> services (box</w:t>
      </w:r>
      <w:r w:rsidR="009551A0">
        <w:t> </w:t>
      </w:r>
      <w:r>
        <w:t>13.</w:t>
      </w:r>
      <w:r w:rsidR="00391E5A">
        <w:t>8</w:t>
      </w:r>
      <w:r>
        <w:t>).</w:t>
      </w:r>
    </w:p>
    <w:p w:rsidR="00391E5A" w:rsidRDefault="00391E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1E5A" w:rsidTr="00C74E99">
        <w:tc>
          <w:tcPr>
            <w:tcW w:w="8771" w:type="dxa"/>
            <w:tcBorders>
              <w:top w:val="single" w:sz="6" w:space="0" w:color="78A22F"/>
              <w:left w:val="nil"/>
              <w:bottom w:val="nil"/>
              <w:right w:val="nil"/>
            </w:tcBorders>
            <w:shd w:val="clear" w:color="auto" w:fill="F2F2F2"/>
          </w:tcPr>
          <w:p w:rsidR="00391E5A" w:rsidRDefault="00391E5A" w:rsidP="00391E5A">
            <w:pPr>
              <w:pStyle w:val="BoxTitle"/>
            </w:pPr>
            <w:r>
              <w:rPr>
                <w:b w:val="0"/>
              </w:rPr>
              <w:t xml:space="preserve">Box </w:t>
            </w:r>
            <w:r w:rsidR="0085349D">
              <w:rPr>
                <w:b w:val="0"/>
              </w:rPr>
              <w:t>13.</w:t>
            </w:r>
            <w:r w:rsidR="00F132AA">
              <w:rPr>
                <w:b w:val="0"/>
                <w:noProof/>
              </w:rPr>
              <w:t>8</w:t>
            </w:r>
            <w:r>
              <w:tab/>
            </w:r>
            <w:r w:rsidRPr="00ED5EA8">
              <w:t>Hospital patient days used by aged care type patients</w:t>
            </w:r>
            <w:r>
              <w:t xml:space="preserve"> </w:t>
            </w:r>
          </w:p>
        </w:tc>
      </w:tr>
      <w:tr w:rsidR="00391E5A" w:rsidTr="00C74E99">
        <w:trPr>
          <w:cantSplit/>
        </w:trPr>
        <w:tc>
          <w:tcPr>
            <w:tcW w:w="8771" w:type="dxa"/>
            <w:tcBorders>
              <w:top w:val="nil"/>
              <w:left w:val="nil"/>
              <w:bottom w:val="nil"/>
              <w:right w:val="nil"/>
            </w:tcBorders>
            <w:shd w:val="clear" w:color="auto" w:fill="F2F2F2"/>
          </w:tcPr>
          <w:p w:rsidR="001C18DF" w:rsidRDefault="001C18DF" w:rsidP="001C18DF">
            <w:pPr>
              <w:pStyle w:val="Box"/>
            </w:pPr>
            <w:r>
              <w:t>‘Hospital patient days used by aged care type patients’ has two measures:</w:t>
            </w:r>
          </w:p>
          <w:p w:rsidR="001C18DF" w:rsidRDefault="001C18DF" w:rsidP="001C18DF">
            <w:pPr>
              <w:pStyle w:val="BoxListBullet"/>
            </w:pPr>
            <w:r>
              <w:t>the proportion of completed aged care type public hospital separations for people aged 65 years or over and Aboriginal and Torres Strait Islander Australians aged 50–64 years for which the length of stay was 35 days or longer, where ‘aged care type’ hospital separations are defined as:</w:t>
            </w:r>
          </w:p>
          <w:p w:rsidR="001C18DF" w:rsidRDefault="001C18DF" w:rsidP="001C18DF">
            <w:pPr>
              <w:pStyle w:val="BoxListBullet2"/>
            </w:pPr>
            <w:r>
              <w:t xml:space="preserve">the care type was maintenance, and </w:t>
            </w:r>
          </w:p>
          <w:p w:rsidR="00391E5A" w:rsidRDefault="001C18DF" w:rsidP="00AC61CC">
            <w:pPr>
              <w:pStyle w:val="BoxListBullet2"/>
            </w:pPr>
            <w:r>
              <w:tab/>
              <w:t>the diagnosis (either principal or additional) was either</w:t>
            </w:r>
            <w:r w:rsidR="00AD3960">
              <w:t xml:space="preserve"> a</w:t>
            </w:r>
            <w:r>
              <w:t xml:space="preserve"> person awaiting admission to </w:t>
            </w:r>
            <w:r w:rsidR="00AD3960">
              <w:t xml:space="preserve">a </w:t>
            </w:r>
            <w:r>
              <w:t>residential aged care service or need for assistance at home and no other house</w:t>
            </w:r>
            <w:r w:rsidR="00AC61CC">
              <w:t>hold member able to render care</w:t>
            </w:r>
          </w:p>
          <w:p w:rsidR="00AC61CC" w:rsidRDefault="00AC61CC" w:rsidP="00AC61CC">
            <w:pPr>
              <w:pStyle w:val="BoxListBullet"/>
            </w:pPr>
            <w:r>
              <w:t>the proportion of all patient days (for overnight separations only) used by patients who are waiting for residential aged care, where the:</w:t>
            </w:r>
          </w:p>
          <w:p w:rsidR="00AC61CC" w:rsidRDefault="00AC61CC" w:rsidP="00AC61CC">
            <w:pPr>
              <w:pStyle w:val="BoxListBullet2"/>
            </w:pPr>
            <w:r>
              <w:tab/>
              <w:t>care type was maintenance, and</w:t>
            </w:r>
          </w:p>
          <w:p w:rsidR="00D00F31" w:rsidRDefault="00AC61CC" w:rsidP="00E8096D">
            <w:pPr>
              <w:pStyle w:val="BoxListBullet2"/>
            </w:pPr>
            <w:r>
              <w:tab/>
              <w:t xml:space="preserve">diagnosis (either principal or additional) was </w:t>
            </w:r>
            <w:r w:rsidR="00AD3960">
              <w:t xml:space="preserve">a </w:t>
            </w:r>
            <w:r>
              <w:t xml:space="preserve">person awaiting admission to </w:t>
            </w:r>
            <w:r w:rsidR="00AD3960">
              <w:t xml:space="preserve">a </w:t>
            </w:r>
            <w:r>
              <w:t>residential aged care service, and</w:t>
            </w:r>
          </w:p>
          <w:p w:rsidR="00C07DBA" w:rsidRDefault="00C07DBA" w:rsidP="00C07DBA">
            <w:pPr>
              <w:pStyle w:val="BoxListBullet2"/>
            </w:pPr>
            <w:r>
              <w:t xml:space="preserve">separation mode was not ‘other’ (includes discharge to place of usual residence or </w:t>
            </w:r>
            <w:r w:rsidRPr="008B6DBC">
              <w:t>own accommodation/welfare institution</w:t>
            </w:r>
            <w:r>
              <w:t>).</w:t>
            </w:r>
          </w:p>
        </w:tc>
      </w:tr>
      <w:tr w:rsidR="00391E5A" w:rsidTr="00C74E99">
        <w:trPr>
          <w:cantSplit/>
        </w:trPr>
        <w:tc>
          <w:tcPr>
            <w:tcW w:w="8771" w:type="dxa"/>
            <w:tcBorders>
              <w:top w:val="nil"/>
              <w:left w:val="nil"/>
              <w:bottom w:val="nil"/>
              <w:right w:val="nil"/>
            </w:tcBorders>
            <w:shd w:val="clear" w:color="auto" w:fill="F2F2F2"/>
          </w:tcPr>
          <w:p w:rsidR="00391E5A" w:rsidRPr="008B6DBC" w:rsidRDefault="008B6DBC" w:rsidP="003008BF">
            <w:pPr>
              <w:pStyle w:val="Continued"/>
            </w:pPr>
            <w:r w:rsidRPr="008B6DBC">
              <w:t>(continued</w:t>
            </w:r>
            <w:r w:rsidR="00E8096D">
              <w:t xml:space="preserve"> next page</w:t>
            </w:r>
            <w:r w:rsidRPr="008B6DBC">
              <w:t>)</w:t>
            </w:r>
          </w:p>
        </w:tc>
      </w:tr>
      <w:tr w:rsidR="00391E5A" w:rsidTr="00C74E99">
        <w:trPr>
          <w:cantSplit/>
        </w:trPr>
        <w:tc>
          <w:tcPr>
            <w:tcW w:w="8771" w:type="dxa"/>
            <w:tcBorders>
              <w:top w:val="nil"/>
              <w:left w:val="nil"/>
              <w:bottom w:val="single" w:sz="6" w:space="0" w:color="78A22F"/>
              <w:right w:val="nil"/>
            </w:tcBorders>
            <w:shd w:val="clear" w:color="auto" w:fill="F2F2F2"/>
          </w:tcPr>
          <w:p w:rsidR="00391E5A" w:rsidRDefault="00391E5A">
            <w:pPr>
              <w:pStyle w:val="Box"/>
              <w:spacing w:before="0" w:line="120" w:lineRule="exact"/>
            </w:pPr>
          </w:p>
        </w:tc>
      </w:tr>
      <w:tr w:rsidR="00391E5A" w:rsidRPr="000863A5" w:rsidTr="00C74E99">
        <w:tc>
          <w:tcPr>
            <w:tcW w:w="8771" w:type="dxa"/>
            <w:tcBorders>
              <w:top w:val="single" w:sz="6" w:space="0" w:color="78A22F"/>
              <w:left w:val="nil"/>
              <w:bottom w:val="nil"/>
              <w:right w:val="nil"/>
            </w:tcBorders>
          </w:tcPr>
          <w:p w:rsidR="00391E5A" w:rsidRPr="00626D32" w:rsidRDefault="00391E5A" w:rsidP="00C74E99">
            <w:pPr>
              <w:pStyle w:val="BoxSpaceBelow"/>
            </w:pPr>
          </w:p>
        </w:tc>
      </w:tr>
    </w:tbl>
    <w:p w:rsidR="00ED5EA8" w:rsidRDefault="00ED5E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5EA8" w:rsidTr="001573BE">
        <w:tc>
          <w:tcPr>
            <w:tcW w:w="8771" w:type="dxa"/>
            <w:tcBorders>
              <w:top w:val="single" w:sz="6" w:space="0" w:color="78A22F"/>
              <w:left w:val="nil"/>
              <w:bottom w:val="nil"/>
              <w:right w:val="nil"/>
            </w:tcBorders>
            <w:shd w:val="clear" w:color="auto" w:fill="F2F2F2" w:themeFill="background1" w:themeFillShade="F2"/>
          </w:tcPr>
          <w:p w:rsidR="00ED5EA8" w:rsidRDefault="00ED5EA8" w:rsidP="00BC09A5">
            <w:pPr>
              <w:pStyle w:val="BoxTitle"/>
            </w:pPr>
            <w:r>
              <w:rPr>
                <w:b w:val="0"/>
              </w:rPr>
              <w:t xml:space="preserve">Box </w:t>
            </w:r>
            <w:r w:rsidR="00BC09A5">
              <w:rPr>
                <w:b w:val="0"/>
              </w:rPr>
              <w:t>13.8</w:t>
            </w:r>
            <w:r>
              <w:tab/>
            </w:r>
            <w:r w:rsidR="008B6DBC" w:rsidRPr="00855626">
              <w:rPr>
                <w:b w:val="0"/>
                <w:sz w:val="18"/>
                <w:szCs w:val="20"/>
              </w:rPr>
              <w:t>(continued)</w:t>
            </w:r>
          </w:p>
        </w:tc>
      </w:tr>
      <w:tr w:rsidR="00ED5EA8" w:rsidTr="001573BE">
        <w:trPr>
          <w:cantSplit/>
        </w:trPr>
        <w:tc>
          <w:tcPr>
            <w:tcW w:w="8771" w:type="dxa"/>
            <w:tcBorders>
              <w:top w:val="nil"/>
              <w:left w:val="nil"/>
              <w:bottom w:val="nil"/>
              <w:right w:val="nil"/>
            </w:tcBorders>
            <w:shd w:val="clear" w:color="auto" w:fill="F2F2F2" w:themeFill="background1" w:themeFillShade="F2"/>
          </w:tcPr>
          <w:p w:rsidR="00ED5EA8" w:rsidRDefault="00ED5EA8" w:rsidP="00ED5EA8">
            <w:pPr>
              <w:pStyle w:val="Box"/>
            </w:pPr>
            <w:r>
              <w:t xml:space="preserve">Low or decreasing proportions of hospital stays of </w:t>
            </w:r>
            <w:r w:rsidR="00D016B2">
              <w:t>‘</w:t>
            </w:r>
            <w:r>
              <w:t>35 days or more</w:t>
            </w:r>
            <w:r w:rsidR="00D016B2">
              <w:t>’</w:t>
            </w:r>
            <w:r>
              <w:t xml:space="preserve"> and low or decreasing proportions of patient days used by people waiting for residential aged care are desirable. </w:t>
            </w:r>
          </w:p>
          <w:p w:rsidR="00ED5EA8" w:rsidRDefault="00ED5EA8" w:rsidP="00ED5EA8">
            <w:pPr>
              <w:pStyle w:val="Box"/>
            </w:pPr>
            <w:r>
              <w:t xml:space="preserve">Hospital inpatient services are geared towards shorter periods of care aimed at addressing serious illness or injury, or diagnosis, and are a less effective form of </w:t>
            </w:r>
            <w:r w:rsidR="00D016B2">
              <w:t>long</w:t>
            </w:r>
            <w:r w:rsidR="00E75264">
              <w:noBreakHyphen/>
            </w:r>
            <w:r w:rsidR="00D016B2">
              <w:t xml:space="preserve">term </w:t>
            </w:r>
            <w:r>
              <w:t xml:space="preserve">care for older people who cannot live independently. </w:t>
            </w:r>
          </w:p>
          <w:p w:rsidR="00ED5EA8" w:rsidRDefault="00ED5EA8" w:rsidP="00ED5EA8">
            <w:pPr>
              <w:pStyle w:val="Box"/>
            </w:pPr>
            <w:r>
              <w:t xml:space="preserve">These measures should be interpreted with </w:t>
            </w:r>
            <w:r w:rsidR="007758B7" w:rsidRPr="00BA4DEF">
              <w:t>caution</w:t>
            </w:r>
            <w:r w:rsidRPr="00BA4DEF">
              <w:t>,</w:t>
            </w:r>
            <w:r>
              <w:t xml:space="preserve"> because:</w:t>
            </w:r>
          </w:p>
          <w:p w:rsidR="00ED5EA8" w:rsidRDefault="00ED5EA8" w:rsidP="00ED5EA8">
            <w:pPr>
              <w:pStyle w:val="BoxListBullet"/>
            </w:pPr>
            <w:r>
              <w:t>patients who have not completed their period of care in a hospital are not included</w:t>
            </w:r>
          </w:p>
          <w:p w:rsidR="00ED5EA8" w:rsidRDefault="00ED5EA8" w:rsidP="00ED5EA8">
            <w:pPr>
              <w:pStyle w:val="BoxListBullet"/>
            </w:pPr>
            <w:r>
              <w:t>although the diagnosis codes reflect a care type, they do not determine a person’s eligibility for</w:t>
            </w:r>
            <w:r w:rsidR="008B6DBC">
              <w:t xml:space="preserve"> residential or home </w:t>
            </w:r>
            <w:r>
              <w:t xml:space="preserve">care </w:t>
            </w:r>
            <w:r w:rsidR="008B6DBC">
              <w:t xml:space="preserve">services </w:t>
            </w:r>
            <w:r>
              <w:t xml:space="preserve">(this is determined by </w:t>
            </w:r>
            <w:r w:rsidR="008B6DBC">
              <w:t>an</w:t>
            </w:r>
            <w:r>
              <w:t xml:space="preserve"> ACAT assessment) or reliably reflect access issues for residential aged care from the acute care sector</w:t>
            </w:r>
            <w:r w:rsidR="008B6DBC">
              <w:t xml:space="preserve"> </w:t>
            </w:r>
            <w:r w:rsidR="008B6DBC">
              <w:rPr>
                <w:rFonts w:ascii="Calibri" w:hAnsi="Calibri"/>
              </w:rPr>
              <w:t xml:space="preserve">— </w:t>
            </w:r>
            <w:r w:rsidR="008B6DBC">
              <w:t>data (utilising appropriate linked hospital separations and ACAT approvals) are not available at this time</w:t>
            </w:r>
          </w:p>
          <w:p w:rsidR="00ED5EA8" w:rsidRDefault="008B5756" w:rsidP="00ED5EA8">
            <w:pPr>
              <w:pStyle w:val="BoxListBullet"/>
            </w:pPr>
            <w:r>
              <w:t xml:space="preserve">these </w:t>
            </w:r>
            <w:r w:rsidR="00ED5EA8">
              <w:t xml:space="preserve">diagnosis codes may not be applied consistently across jurisdictions or over time </w:t>
            </w:r>
          </w:p>
          <w:p w:rsidR="00ED5EA8" w:rsidRDefault="00ED5EA8" w:rsidP="00ED5EA8">
            <w:pPr>
              <w:pStyle w:val="BoxListBullet"/>
            </w:pPr>
            <w:r>
              <w:t>reported hospital separations and patient days do not necessarily reflect the full length of hospital stay for an individual patient</w:t>
            </w:r>
            <w:r w:rsidR="00D016B2">
              <w:t xml:space="preserve"> </w:t>
            </w:r>
            <w:r w:rsidR="00D016B2">
              <w:rPr>
                <w:rFonts w:ascii="Calibri" w:hAnsi="Calibri"/>
              </w:rPr>
              <w:t>—</w:t>
            </w:r>
            <w:r>
              <w:t xml:space="preserve"> </w:t>
            </w:r>
            <w:r w:rsidR="00D016B2">
              <w:t xml:space="preserve">if </w:t>
            </w:r>
            <w:r>
              <w:t>a change in the type of care occurs during a patient’s hospital stay (for example, from acute to maintenance) then two separations are reported for that patient</w:t>
            </w:r>
          </w:p>
          <w:p w:rsidR="00ED5EA8" w:rsidRDefault="00ED5EA8" w:rsidP="008B6DBC">
            <w:pPr>
              <w:pStyle w:val="BoxListBullet"/>
            </w:pPr>
            <w:r w:rsidRPr="00ED5EA8">
              <w:t xml:space="preserve">for the first measure, the code ‘need for assistance at home and no other household member able to render care’ may also be used for respite care for aged care residents or those receiving </w:t>
            </w:r>
            <w:r w:rsidR="008B6DBC">
              <w:t>home</w:t>
            </w:r>
            <w:r w:rsidRPr="00ED5EA8">
              <w:t xml:space="preserve"> care, and some jurisdictions may have </w:t>
            </w:r>
            <w:r w:rsidR="00D016B2">
              <w:t>higher</w:t>
            </w:r>
            <w:r w:rsidRPr="00ED5EA8">
              <w:t xml:space="preserve"> proportion</w:t>
            </w:r>
            <w:r w:rsidR="00D016B2">
              <w:t>s</w:t>
            </w:r>
            <w:r w:rsidRPr="00ED5EA8">
              <w:t xml:space="preserve"> of this type</w:t>
            </w:r>
            <w:r w:rsidR="00D016B2">
              <w:t xml:space="preserve"> </w:t>
            </w:r>
            <w:r w:rsidR="00D016B2">
              <w:rPr>
                <w:rFonts w:ascii="Calibri" w:hAnsi="Calibri"/>
              </w:rPr>
              <w:t>—</w:t>
            </w:r>
            <w:r w:rsidR="00D016B2">
              <w:t xml:space="preserve"> t</w:t>
            </w:r>
            <w:r w:rsidRPr="00ED5EA8">
              <w:t>his is particularly relevant in some rural areas where there are few alternative options for these clients</w:t>
            </w:r>
          </w:p>
          <w:p w:rsidR="008B6DBC" w:rsidRDefault="008B6DBC" w:rsidP="008B6DBC">
            <w:pPr>
              <w:pStyle w:val="BoxListBullet"/>
            </w:pPr>
            <w:r>
              <w:t>they do not necessarily reflect alternative strategies in place by states and territories to manage the older person into appropriate residential aged care facilities from acute care hospitals.</w:t>
            </w:r>
          </w:p>
          <w:p w:rsidR="008B6DBC" w:rsidRDefault="008B6DBC" w:rsidP="008B6DBC">
            <w:pPr>
              <w:pStyle w:val="Box"/>
            </w:pPr>
            <w:r>
              <w:t>Data reported for the first measure are:</w:t>
            </w:r>
          </w:p>
          <w:p w:rsidR="008B6DBC" w:rsidRDefault="008B6DBC" w:rsidP="00C863CB">
            <w:pPr>
              <w:pStyle w:val="BoxListBullet"/>
            </w:pPr>
            <w:r>
              <w:t>comparable (subject to caveats) across jurisdictions</w:t>
            </w:r>
            <w:r w:rsidR="00C863CB">
              <w:t xml:space="preserve"> </w:t>
            </w:r>
            <w:r w:rsidR="00C863CB" w:rsidRPr="00C863CB">
              <w:t xml:space="preserve">but a break in series means that data </w:t>
            </w:r>
            <w:r>
              <w:t>from 2011</w:t>
            </w:r>
            <w:r>
              <w:rPr>
                <w:rFonts w:ascii="Times New Roman" w:hAnsi="Times New Roman"/>
              </w:rPr>
              <w:noBreakHyphen/>
            </w:r>
            <w:r>
              <w:t xml:space="preserve">12 </w:t>
            </w:r>
            <w:r w:rsidR="00C863CB">
              <w:t xml:space="preserve">are </w:t>
            </w:r>
            <w:r>
              <w:t>not comparable to data for earlier years</w:t>
            </w:r>
          </w:p>
          <w:p w:rsidR="008B6DBC" w:rsidRDefault="008B6DBC" w:rsidP="008B6DBC">
            <w:pPr>
              <w:pStyle w:val="BoxListBullet"/>
            </w:pPr>
            <w:r>
              <w:t xml:space="preserve">complete </w:t>
            </w:r>
            <w:r w:rsidR="00C863CB">
              <w:t xml:space="preserve">(subject to caveats) </w:t>
            </w:r>
            <w:r>
              <w:t>for the current reporting period. All required 201</w:t>
            </w:r>
            <w:r w:rsidR="00AD3960">
              <w:t>3</w:t>
            </w:r>
            <w:r>
              <w:rPr>
                <w:rFonts w:ascii="Times New Roman" w:hAnsi="Times New Roman"/>
              </w:rPr>
              <w:noBreakHyphen/>
            </w:r>
            <w:r>
              <w:t>1</w:t>
            </w:r>
            <w:r w:rsidR="00AD3960">
              <w:t>4</w:t>
            </w:r>
            <w:r>
              <w:t xml:space="preserve"> data are available for all jurisdictions.</w:t>
            </w:r>
          </w:p>
          <w:p w:rsidR="008B6DBC" w:rsidRDefault="008B6DBC" w:rsidP="008B6DBC">
            <w:pPr>
              <w:pStyle w:val="Box"/>
            </w:pPr>
            <w:r>
              <w:t>Data reported for the second measure are:</w:t>
            </w:r>
          </w:p>
          <w:p w:rsidR="008B6DBC" w:rsidRDefault="008B6DBC" w:rsidP="008B6DBC">
            <w:pPr>
              <w:pStyle w:val="BoxListBullet"/>
            </w:pPr>
            <w:r>
              <w:t xml:space="preserve">comparable (subject to caveats) across jurisdictions and over time (except </w:t>
            </w:r>
            <w:r w:rsidR="00C863CB">
              <w:t>for Tasmania for 2008</w:t>
            </w:r>
            <w:r w:rsidR="00C863CB">
              <w:noBreakHyphen/>
              <w:t xml:space="preserve">09 </w:t>
            </w:r>
            <w:r>
              <w:t>where two significant private hospitals are excluded)</w:t>
            </w:r>
          </w:p>
          <w:p w:rsidR="008B6DBC" w:rsidRDefault="008B6DBC" w:rsidP="008B6DBC">
            <w:pPr>
              <w:pStyle w:val="BoxListBullet"/>
            </w:pPr>
            <w:r>
              <w:t xml:space="preserve">complete </w:t>
            </w:r>
            <w:r w:rsidR="00C863CB">
              <w:t xml:space="preserve">(subject to caveats) </w:t>
            </w:r>
            <w:r>
              <w:t>for the current reporting period</w:t>
            </w:r>
            <w:r w:rsidR="00C863CB">
              <w:t>.</w:t>
            </w:r>
            <w:r>
              <w:t xml:space="preserve"> All required 201</w:t>
            </w:r>
            <w:r w:rsidR="00AD3960">
              <w:t>3</w:t>
            </w:r>
            <w:r>
              <w:rPr>
                <w:rFonts w:ascii="Times New Roman" w:hAnsi="Times New Roman"/>
              </w:rPr>
              <w:noBreakHyphen/>
            </w:r>
            <w:r>
              <w:t>1</w:t>
            </w:r>
            <w:r w:rsidR="00AD3960">
              <w:t>4</w:t>
            </w:r>
            <w:r>
              <w:t xml:space="preserve"> data are available for all jurisdictions.</w:t>
            </w:r>
          </w:p>
          <w:p w:rsidR="008B6DBC" w:rsidRDefault="008B6DBC" w:rsidP="008B6DBC">
            <w:pPr>
              <w:pStyle w:val="BoxListBullet"/>
              <w:numPr>
                <w:ilvl w:val="0"/>
                <w:numId w:val="0"/>
              </w:numPr>
              <w:ind w:left="284" w:hanging="284"/>
            </w:pPr>
            <w:r w:rsidRPr="00BA4DEF">
              <w:t xml:space="preserve">Data quality information for this indicator is at </w:t>
            </w:r>
            <w:proofErr w:type="spellStart"/>
            <w:r w:rsidRPr="00BA4DEF">
              <w:t>www.pc.gov.au</w:t>
            </w:r>
            <w:proofErr w:type="spellEnd"/>
            <w:r w:rsidRPr="00BA4DEF">
              <w:t>/</w:t>
            </w:r>
            <w:proofErr w:type="spellStart"/>
            <w:r w:rsidRPr="00BA4DEF">
              <w:t>rogs</w:t>
            </w:r>
            <w:proofErr w:type="spellEnd"/>
            <w:r w:rsidRPr="00BA4DEF">
              <w:t>/201</w:t>
            </w:r>
            <w:r>
              <w:t>6</w:t>
            </w:r>
            <w:r w:rsidRPr="00BA4DEF">
              <w:t>.</w:t>
            </w:r>
          </w:p>
        </w:tc>
      </w:tr>
      <w:tr w:rsidR="00ED5EA8" w:rsidTr="001573BE">
        <w:trPr>
          <w:cantSplit/>
        </w:trPr>
        <w:tc>
          <w:tcPr>
            <w:tcW w:w="8771" w:type="dxa"/>
            <w:tcBorders>
              <w:top w:val="nil"/>
              <w:left w:val="nil"/>
              <w:bottom w:val="single" w:sz="6" w:space="0" w:color="78A22F"/>
              <w:right w:val="nil"/>
            </w:tcBorders>
            <w:shd w:val="clear" w:color="auto" w:fill="F2F2F2" w:themeFill="background1" w:themeFillShade="F2"/>
          </w:tcPr>
          <w:p w:rsidR="00ED5EA8" w:rsidRDefault="00ED5EA8">
            <w:pPr>
              <w:pStyle w:val="Box"/>
              <w:spacing w:before="0" w:line="120" w:lineRule="exact"/>
            </w:pPr>
          </w:p>
        </w:tc>
      </w:tr>
      <w:tr w:rsidR="00ED5EA8" w:rsidRPr="000863A5" w:rsidTr="001573BE">
        <w:tc>
          <w:tcPr>
            <w:tcW w:w="8771" w:type="dxa"/>
            <w:tcBorders>
              <w:top w:val="single" w:sz="6" w:space="0" w:color="78A22F"/>
              <w:left w:val="nil"/>
              <w:bottom w:val="nil"/>
              <w:right w:val="nil"/>
            </w:tcBorders>
          </w:tcPr>
          <w:p w:rsidR="00ED5EA8" w:rsidRPr="00626D32" w:rsidRDefault="00ED5EA8" w:rsidP="001573BE">
            <w:pPr>
              <w:pStyle w:val="BoxSpaceBelow"/>
            </w:pPr>
          </w:p>
        </w:tc>
      </w:tr>
    </w:tbl>
    <w:p w:rsidR="008B5756" w:rsidRDefault="00ED5EA8" w:rsidP="008B5756">
      <w:pPr>
        <w:pStyle w:val="BodyText"/>
      </w:pPr>
      <w:r>
        <w:t>The proportion of separations for ‘aged care type’ patients aged 65</w:t>
      </w:r>
      <w:r w:rsidR="00426BB7">
        <w:t> </w:t>
      </w:r>
      <w:r>
        <w:t xml:space="preserve">years or over and </w:t>
      </w:r>
      <w:r w:rsidR="00127E2E">
        <w:t>Aboriginal and Torres Strait Islander</w:t>
      </w:r>
      <w:r>
        <w:t xml:space="preserve"> Australians aged 50–64 years whose separation was 35 days or longer was </w:t>
      </w:r>
      <w:r w:rsidR="0085349D">
        <w:t>11.5</w:t>
      </w:r>
      <w:r>
        <w:t xml:space="preserve"> per cent nationally in 201</w:t>
      </w:r>
      <w:r w:rsidR="008B5756">
        <w:t>3</w:t>
      </w:r>
      <w:r>
        <w:noBreakHyphen/>
        <w:t>1</w:t>
      </w:r>
      <w:r w:rsidR="008B5756">
        <w:t>4</w:t>
      </w:r>
      <w:r>
        <w:t xml:space="preserve"> (figure</w:t>
      </w:r>
      <w:r w:rsidR="00426BB7">
        <w:t> </w:t>
      </w:r>
      <w:r>
        <w:t>13.</w:t>
      </w:r>
      <w:r w:rsidR="008B5756">
        <w:t>1</w:t>
      </w:r>
      <w:r w:rsidR="00BC09A5">
        <w:t>7</w:t>
      </w:r>
      <w:r>
        <w:t xml:space="preserve">). </w:t>
      </w:r>
    </w:p>
    <w:p w:rsidR="00ED5EA8" w:rsidRDefault="00ED5EA8" w:rsidP="001573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5EA8" w:rsidTr="001573BE">
        <w:tc>
          <w:tcPr>
            <w:tcW w:w="8771" w:type="dxa"/>
            <w:tcBorders>
              <w:top w:val="single" w:sz="6" w:space="0" w:color="78A22F"/>
              <w:left w:val="nil"/>
              <w:bottom w:val="nil"/>
              <w:right w:val="nil"/>
            </w:tcBorders>
            <w:shd w:val="clear" w:color="auto" w:fill="auto"/>
          </w:tcPr>
          <w:p w:rsidR="00ED5EA8" w:rsidRPr="00176D3F" w:rsidRDefault="00ED5EA8" w:rsidP="00C07DBA">
            <w:pPr>
              <w:pStyle w:val="FigureTitle"/>
              <w:spacing w:before="80"/>
            </w:pPr>
            <w:r w:rsidRPr="00784A05">
              <w:rPr>
                <w:b w:val="0"/>
              </w:rPr>
              <w:t xml:space="preserve">Figure </w:t>
            </w:r>
            <w:r w:rsidR="002B715A">
              <w:rPr>
                <w:b w:val="0"/>
              </w:rPr>
              <w:t>13.</w:t>
            </w:r>
            <w:r w:rsidR="00F132AA">
              <w:rPr>
                <w:b w:val="0"/>
                <w:noProof/>
              </w:rPr>
              <w:t>17</w:t>
            </w:r>
            <w:r>
              <w:tab/>
            </w:r>
            <w:r w:rsidRPr="00ED5EA8">
              <w:t>Proportion of separations for ‘aged care type’ public hospitals patients that were 35 days or longer</w:t>
            </w:r>
            <w:r w:rsidR="002B715A">
              <w:rPr>
                <w:rStyle w:val="NoteLabel"/>
                <w:b/>
              </w:rPr>
              <w:t>a</w:t>
            </w:r>
          </w:p>
        </w:tc>
      </w:tr>
      <w:tr w:rsidR="00ED5EA8" w:rsidTr="001573BE">
        <w:tc>
          <w:tcPr>
            <w:tcW w:w="8771" w:type="dxa"/>
            <w:tcBorders>
              <w:top w:val="nil"/>
              <w:left w:val="nil"/>
              <w:bottom w:val="nil"/>
              <w:right w:val="nil"/>
            </w:tcBorders>
            <w:shd w:val="clear" w:color="auto" w:fill="auto"/>
            <w:tcMar>
              <w:top w:w="28" w:type="dxa"/>
              <w:bottom w:w="28" w:type="dxa"/>
            </w:tcMar>
          </w:tcPr>
          <w:tbl>
            <w:tblPr>
              <w:tblW w:w="4976"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46"/>
            </w:tblGrid>
            <w:tr w:rsidR="00ED5EA8" w:rsidTr="00E9064C">
              <w:trPr>
                <w:trHeight w:val="4252"/>
              </w:trPr>
              <w:tc>
                <w:tcPr>
                  <w:tcW w:w="5000" w:type="pct"/>
                  <w:tcBorders>
                    <w:top w:val="nil"/>
                    <w:bottom w:val="nil"/>
                  </w:tcBorders>
                </w:tcPr>
                <w:p w:rsidR="00ED5EA8" w:rsidRDefault="00E30882" w:rsidP="00C07DBA">
                  <w:pPr>
                    <w:pStyle w:val="Figure"/>
                    <w:keepLines/>
                    <w:spacing w:before="60" w:after="60"/>
                  </w:pPr>
                  <w:r>
                    <w:rPr>
                      <w:noProof/>
                    </w:rPr>
                    <w:drawing>
                      <wp:inline distT="0" distB="0" distL="0" distR="0">
                        <wp:extent cx="5334000" cy="2638425"/>
                        <wp:effectExtent l="0" t="0" r="0" b="9525"/>
                        <wp:docPr id="19" name="Picture 19" descr="Figure 13.17 Proportion of separations for ‘aged care type’ public hospitals patients that were 35 days or long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0" cy="2638425"/>
                                </a:xfrm>
                                <a:prstGeom prst="rect">
                                  <a:avLst/>
                                </a:prstGeom>
                                <a:noFill/>
                                <a:ln>
                                  <a:noFill/>
                                </a:ln>
                              </pic:spPr>
                            </pic:pic>
                          </a:graphicData>
                        </a:graphic>
                      </wp:inline>
                    </w:drawing>
                  </w:r>
                </w:p>
              </w:tc>
            </w:tr>
          </w:tbl>
          <w:p w:rsidR="00ED5EA8" w:rsidRDefault="00ED5EA8" w:rsidP="00C07DBA">
            <w:pPr>
              <w:pStyle w:val="Figure"/>
              <w:keepLines/>
            </w:pPr>
          </w:p>
        </w:tc>
      </w:tr>
      <w:tr w:rsidR="00ED5EA8" w:rsidRPr="00176D3F" w:rsidTr="001573BE">
        <w:tc>
          <w:tcPr>
            <w:tcW w:w="8771" w:type="dxa"/>
            <w:tcBorders>
              <w:top w:val="nil"/>
              <w:left w:val="nil"/>
              <w:bottom w:val="nil"/>
              <w:right w:val="nil"/>
            </w:tcBorders>
            <w:shd w:val="clear" w:color="auto" w:fill="auto"/>
          </w:tcPr>
          <w:p w:rsidR="00ED5EA8" w:rsidRPr="00ED5EA8" w:rsidRDefault="002B715A" w:rsidP="00C07DBA">
            <w:pPr>
              <w:pStyle w:val="Note"/>
              <w:keepNext/>
              <w:rPr>
                <w:i/>
              </w:rPr>
            </w:pPr>
            <w:r w:rsidRPr="00087FC4">
              <w:rPr>
                <w:rStyle w:val="NoteLabel"/>
              </w:rPr>
              <w:t xml:space="preserve">a </w:t>
            </w:r>
            <w:r w:rsidRPr="006F23A3">
              <w:t>See box</w:t>
            </w:r>
            <w:r w:rsidR="00E75264">
              <w:t> </w:t>
            </w:r>
            <w:r>
              <w:t>13</w:t>
            </w:r>
            <w:r w:rsidRPr="006F23A3">
              <w:t>.</w:t>
            </w:r>
            <w:r>
              <w:t>8</w:t>
            </w:r>
            <w:r w:rsidRPr="006F23A3">
              <w:t xml:space="preserve"> and table</w:t>
            </w:r>
            <w:r w:rsidR="00E75264">
              <w:t> </w:t>
            </w:r>
            <w:proofErr w:type="spellStart"/>
            <w:r>
              <w:t>13</w:t>
            </w:r>
            <w:r w:rsidRPr="006F23A3">
              <w:t>A.</w:t>
            </w:r>
            <w:r>
              <w:t>4</w:t>
            </w:r>
            <w:r w:rsidR="00855626">
              <w:t>1</w:t>
            </w:r>
            <w:proofErr w:type="spellEnd"/>
            <w:r w:rsidRPr="006F23A3">
              <w:t xml:space="preserve"> for detailed</w:t>
            </w:r>
            <w:r w:rsidRPr="0032221B">
              <w:t xml:space="preserve"> definitions, footnotes and caveats</w:t>
            </w:r>
            <w:r w:rsidRPr="006F23A3">
              <w:t>.</w:t>
            </w:r>
          </w:p>
        </w:tc>
      </w:tr>
      <w:tr w:rsidR="00ED5EA8" w:rsidRPr="00176D3F" w:rsidTr="001573BE">
        <w:tc>
          <w:tcPr>
            <w:tcW w:w="8771" w:type="dxa"/>
            <w:tcBorders>
              <w:top w:val="nil"/>
              <w:left w:val="nil"/>
              <w:bottom w:val="nil"/>
              <w:right w:val="nil"/>
            </w:tcBorders>
            <w:shd w:val="clear" w:color="auto" w:fill="auto"/>
          </w:tcPr>
          <w:p w:rsidR="00ED5EA8" w:rsidRPr="00176D3F" w:rsidRDefault="00F64DAC" w:rsidP="00C07DBA">
            <w:pPr>
              <w:pStyle w:val="Source"/>
              <w:keepNext/>
            </w:pPr>
            <w:r w:rsidRPr="00F64DAC">
              <w:rPr>
                <w:i/>
              </w:rPr>
              <w:t>Source</w:t>
            </w:r>
            <w:r w:rsidRPr="009551A0">
              <w:t>:</w:t>
            </w:r>
            <w:r w:rsidRPr="00F64DAC">
              <w:rPr>
                <w:i/>
              </w:rPr>
              <w:t xml:space="preserve"> </w:t>
            </w:r>
            <w:r w:rsidRPr="00F64DAC">
              <w:t>A</w:t>
            </w:r>
            <w:r w:rsidR="00EA379E">
              <w:t xml:space="preserve">ustralian </w:t>
            </w:r>
            <w:r w:rsidRPr="00F64DAC">
              <w:t>I</w:t>
            </w:r>
            <w:r w:rsidR="00EA379E">
              <w:t xml:space="preserve">nstitute of </w:t>
            </w:r>
            <w:r w:rsidRPr="00F64DAC">
              <w:t>H</w:t>
            </w:r>
            <w:r w:rsidR="00EA379E">
              <w:t xml:space="preserve">ealth and </w:t>
            </w:r>
            <w:r w:rsidRPr="00F64DAC">
              <w:t>W</w:t>
            </w:r>
            <w:r w:rsidR="00EA379E">
              <w:t>elfare (</w:t>
            </w:r>
            <w:proofErr w:type="spellStart"/>
            <w:r w:rsidR="00EA379E">
              <w:t>AIHW</w:t>
            </w:r>
            <w:proofErr w:type="spellEnd"/>
            <w:r w:rsidR="00EA379E">
              <w:t>)</w:t>
            </w:r>
            <w:r w:rsidRPr="00F64DAC">
              <w:t xml:space="preserve"> (unpublished); table</w:t>
            </w:r>
            <w:r w:rsidR="009551A0">
              <w:t> </w:t>
            </w:r>
            <w:proofErr w:type="spellStart"/>
            <w:r w:rsidRPr="00F64DAC">
              <w:t>13A.</w:t>
            </w:r>
            <w:r w:rsidR="00426BB7">
              <w:t>4</w:t>
            </w:r>
            <w:r w:rsidR="00855626">
              <w:t>1</w:t>
            </w:r>
            <w:proofErr w:type="spellEnd"/>
            <w:r w:rsidRPr="00F64DAC">
              <w:t>.</w:t>
            </w:r>
          </w:p>
        </w:tc>
      </w:tr>
      <w:tr w:rsidR="00ED5EA8" w:rsidTr="001573BE">
        <w:tc>
          <w:tcPr>
            <w:tcW w:w="8771" w:type="dxa"/>
            <w:tcBorders>
              <w:top w:val="nil"/>
              <w:left w:val="nil"/>
              <w:bottom w:val="single" w:sz="6" w:space="0" w:color="78A22F"/>
              <w:right w:val="nil"/>
            </w:tcBorders>
            <w:shd w:val="clear" w:color="auto" w:fill="auto"/>
          </w:tcPr>
          <w:p w:rsidR="00ED5EA8" w:rsidRDefault="00ED5EA8" w:rsidP="00C07DBA">
            <w:pPr>
              <w:pStyle w:val="Figurespace"/>
              <w:keepLines/>
            </w:pPr>
          </w:p>
        </w:tc>
      </w:tr>
      <w:tr w:rsidR="00ED5EA8" w:rsidRPr="000863A5" w:rsidTr="001573BE">
        <w:tc>
          <w:tcPr>
            <w:tcW w:w="8771" w:type="dxa"/>
            <w:tcBorders>
              <w:top w:val="single" w:sz="6" w:space="0" w:color="78A22F"/>
              <w:left w:val="nil"/>
              <w:bottom w:val="nil"/>
              <w:right w:val="nil"/>
            </w:tcBorders>
          </w:tcPr>
          <w:p w:rsidR="00ED5EA8" w:rsidRPr="00626D32" w:rsidRDefault="00ED5EA8" w:rsidP="00C07DBA">
            <w:pPr>
              <w:pStyle w:val="BoxSpaceBelow"/>
              <w:keepNext/>
              <w:keepLines/>
            </w:pPr>
          </w:p>
        </w:tc>
      </w:tr>
    </w:tbl>
    <w:p w:rsidR="00E8096D" w:rsidRPr="00AD3960" w:rsidRDefault="00E8096D" w:rsidP="00AD3960">
      <w:pPr>
        <w:pStyle w:val="BodyText"/>
        <w:spacing w:before="120"/>
        <w:rPr>
          <w:sz w:val="20"/>
        </w:rPr>
      </w:pPr>
      <w:r w:rsidRPr="00E8096D">
        <w:t xml:space="preserve">The proportion of all hospital patient days used by patients who are waiting for residential aged care was </w:t>
      </w:r>
      <w:r w:rsidR="00735B20" w:rsidRPr="00735B20">
        <w:t>9.5</w:t>
      </w:r>
      <w:r w:rsidRPr="00735B20">
        <w:t xml:space="preserve"> </w:t>
      </w:r>
      <w:r w:rsidRPr="00E8096D">
        <w:t>per 1000 patient days nationally in 2013</w:t>
      </w:r>
      <w:r w:rsidR="00AD3960">
        <w:noBreakHyphen/>
      </w:r>
      <w:r w:rsidRPr="00E8096D">
        <w:t>14 (figure</w:t>
      </w:r>
      <w:r w:rsidR="00E75264">
        <w:t> </w:t>
      </w:r>
      <w:r w:rsidRPr="00E8096D">
        <w:t>13.18).</w:t>
      </w:r>
      <w:r w:rsidR="004F0B02">
        <w:t xml:space="preserve"> </w:t>
      </w:r>
    </w:p>
    <w:p w:rsidR="00351D64" w:rsidRDefault="00351D64" w:rsidP="00AD3960">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1D64" w:rsidTr="00CC56A6">
        <w:tc>
          <w:tcPr>
            <w:tcW w:w="8771" w:type="dxa"/>
            <w:tcBorders>
              <w:top w:val="single" w:sz="6" w:space="0" w:color="78A22F"/>
              <w:left w:val="nil"/>
              <w:bottom w:val="nil"/>
              <w:right w:val="nil"/>
            </w:tcBorders>
            <w:shd w:val="clear" w:color="auto" w:fill="FFFFFF" w:themeFill="background1"/>
          </w:tcPr>
          <w:p w:rsidR="00351D64" w:rsidRPr="00176D3F" w:rsidRDefault="00351D64" w:rsidP="00D00F31">
            <w:pPr>
              <w:pStyle w:val="FigureTitle"/>
            </w:pPr>
            <w:r w:rsidRPr="00784A05">
              <w:rPr>
                <w:b w:val="0"/>
              </w:rPr>
              <w:t xml:space="preserve">Figure </w:t>
            </w:r>
            <w:r w:rsidR="00735B20">
              <w:rPr>
                <w:b w:val="0"/>
              </w:rPr>
              <w:t>13.</w:t>
            </w:r>
            <w:r w:rsidR="00F132AA">
              <w:rPr>
                <w:b w:val="0"/>
                <w:noProof/>
              </w:rPr>
              <w:t>18</w:t>
            </w:r>
            <w:r>
              <w:tab/>
            </w:r>
            <w:r w:rsidRPr="00351D64">
              <w:t>Hospital patient days used by patients waiting for residential aged care</w:t>
            </w:r>
            <w:r w:rsidRPr="00351D64">
              <w:rPr>
                <w:rStyle w:val="NoteLabel"/>
                <w:b/>
              </w:rPr>
              <w:t>a</w:t>
            </w:r>
          </w:p>
        </w:tc>
      </w:tr>
      <w:tr w:rsidR="00351D64" w:rsidTr="00CC56A6">
        <w:tc>
          <w:tcPr>
            <w:tcW w:w="8771" w:type="dxa"/>
            <w:tcBorders>
              <w:top w:val="nil"/>
              <w:left w:val="nil"/>
              <w:bottom w:val="nil"/>
              <w:right w:val="nil"/>
            </w:tcBorders>
            <w:shd w:val="clear" w:color="auto" w:fill="FFFFFF" w:themeFill="background1"/>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351D64" w:rsidTr="0080776E">
              <w:trPr>
                <w:trHeight w:val="3606"/>
              </w:trPr>
              <w:tc>
                <w:tcPr>
                  <w:tcW w:w="5000" w:type="pct"/>
                  <w:tcBorders>
                    <w:top w:val="nil"/>
                    <w:bottom w:val="nil"/>
                    <w:right w:val="nil"/>
                  </w:tcBorders>
                </w:tcPr>
                <w:p w:rsidR="00351D64" w:rsidRDefault="00E30882" w:rsidP="001573BE">
                  <w:pPr>
                    <w:pStyle w:val="Figure"/>
                    <w:spacing w:before="60" w:after="60"/>
                  </w:pPr>
                  <w:r>
                    <w:rPr>
                      <w:noProof/>
                    </w:rPr>
                    <w:drawing>
                      <wp:inline distT="0" distB="0" distL="0" distR="0">
                        <wp:extent cx="5353050" cy="2638425"/>
                        <wp:effectExtent l="0" t="0" r="0" b="9525"/>
                        <wp:docPr id="20" name="Picture 20" descr="Figure 13.18 Hospital patient days used by patients waiting for residential aged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53050" cy="2638425"/>
                                </a:xfrm>
                                <a:prstGeom prst="rect">
                                  <a:avLst/>
                                </a:prstGeom>
                                <a:noFill/>
                                <a:ln>
                                  <a:noFill/>
                                </a:ln>
                              </pic:spPr>
                            </pic:pic>
                          </a:graphicData>
                        </a:graphic>
                      </wp:inline>
                    </w:drawing>
                  </w:r>
                </w:p>
              </w:tc>
            </w:tr>
          </w:tbl>
          <w:p w:rsidR="00351D64" w:rsidRDefault="00351D64" w:rsidP="001573BE">
            <w:pPr>
              <w:pStyle w:val="Figure"/>
            </w:pPr>
          </w:p>
        </w:tc>
      </w:tr>
      <w:tr w:rsidR="00351D64" w:rsidRPr="00176D3F" w:rsidTr="001573BE">
        <w:tc>
          <w:tcPr>
            <w:tcW w:w="8771" w:type="dxa"/>
            <w:tcBorders>
              <w:top w:val="nil"/>
              <w:left w:val="nil"/>
              <w:bottom w:val="nil"/>
              <w:right w:val="nil"/>
            </w:tcBorders>
            <w:shd w:val="clear" w:color="auto" w:fill="auto"/>
          </w:tcPr>
          <w:p w:rsidR="00351D64" w:rsidRPr="00351D64" w:rsidRDefault="00D00F31" w:rsidP="009A3FD8">
            <w:pPr>
              <w:pStyle w:val="Note"/>
              <w:rPr>
                <w:i/>
              </w:rPr>
            </w:pPr>
            <w:r w:rsidRPr="00087FC4">
              <w:rPr>
                <w:rStyle w:val="NoteLabel"/>
              </w:rPr>
              <w:t xml:space="preserve">a </w:t>
            </w:r>
            <w:r w:rsidRPr="006F23A3">
              <w:t>See box</w:t>
            </w:r>
            <w:r w:rsidR="00E75264">
              <w:t> </w:t>
            </w:r>
            <w:r>
              <w:t>13</w:t>
            </w:r>
            <w:r w:rsidRPr="006F23A3">
              <w:t>.</w:t>
            </w:r>
            <w:r>
              <w:t>8</w:t>
            </w:r>
            <w:r w:rsidRPr="006F23A3">
              <w:t xml:space="preserve"> and table</w:t>
            </w:r>
            <w:r w:rsidR="00E75264">
              <w:t> </w:t>
            </w:r>
            <w:r>
              <w:t>13</w:t>
            </w:r>
            <w:r w:rsidRPr="006F23A3">
              <w:t>A.</w:t>
            </w:r>
            <w:r>
              <w:t>4</w:t>
            </w:r>
            <w:r w:rsidR="00E8096D">
              <w:t>2</w:t>
            </w:r>
            <w:r w:rsidRPr="006F23A3">
              <w:t xml:space="preserve"> for detailed</w:t>
            </w:r>
            <w:r w:rsidRPr="0032221B">
              <w:t xml:space="preserve"> definitions, footnotes and caveats</w:t>
            </w:r>
            <w:r w:rsidRPr="006F23A3">
              <w:t>.</w:t>
            </w:r>
            <w:r w:rsidR="00351D64" w:rsidRPr="00351D64">
              <w:rPr>
                <w:rStyle w:val="NoteLabel"/>
                <w:b w:val="0"/>
                <w:position w:val="0"/>
              </w:rPr>
              <w:t xml:space="preserve"> </w:t>
            </w:r>
          </w:p>
        </w:tc>
      </w:tr>
      <w:tr w:rsidR="00351D64" w:rsidRPr="00176D3F" w:rsidTr="001573BE">
        <w:tc>
          <w:tcPr>
            <w:tcW w:w="8771" w:type="dxa"/>
            <w:tcBorders>
              <w:top w:val="nil"/>
              <w:left w:val="nil"/>
              <w:bottom w:val="nil"/>
              <w:right w:val="nil"/>
            </w:tcBorders>
            <w:shd w:val="clear" w:color="auto" w:fill="auto"/>
          </w:tcPr>
          <w:p w:rsidR="00351D64" w:rsidRPr="00176D3F" w:rsidRDefault="00351D64" w:rsidP="00E8096D">
            <w:pPr>
              <w:pStyle w:val="Source"/>
            </w:pPr>
            <w:r w:rsidRPr="00351D64">
              <w:rPr>
                <w:i/>
              </w:rPr>
              <w:t>Source</w:t>
            </w:r>
            <w:r w:rsidRPr="009551A0">
              <w:t>:</w:t>
            </w:r>
            <w:r w:rsidRPr="00351D64">
              <w:rPr>
                <w:i/>
              </w:rPr>
              <w:t xml:space="preserve"> </w:t>
            </w:r>
            <w:r w:rsidRPr="00351D64">
              <w:t>AIHW (unpublished); table</w:t>
            </w:r>
            <w:r w:rsidR="009551A0">
              <w:t> </w:t>
            </w:r>
            <w:r w:rsidRPr="00351D64">
              <w:t>13A.</w:t>
            </w:r>
            <w:r w:rsidR="00426BB7">
              <w:t>4</w:t>
            </w:r>
            <w:r w:rsidR="00E8096D">
              <w:t>2</w:t>
            </w:r>
            <w:r w:rsidRPr="00351D64">
              <w:t>.</w:t>
            </w:r>
          </w:p>
        </w:tc>
      </w:tr>
      <w:tr w:rsidR="00351D64" w:rsidTr="001573BE">
        <w:tc>
          <w:tcPr>
            <w:tcW w:w="8771" w:type="dxa"/>
            <w:tcBorders>
              <w:top w:val="nil"/>
              <w:left w:val="nil"/>
              <w:bottom w:val="single" w:sz="6" w:space="0" w:color="78A22F"/>
              <w:right w:val="nil"/>
            </w:tcBorders>
            <w:shd w:val="clear" w:color="auto" w:fill="auto"/>
          </w:tcPr>
          <w:p w:rsidR="00351D64" w:rsidRDefault="00351D64" w:rsidP="001573BE">
            <w:pPr>
              <w:pStyle w:val="Figurespace"/>
            </w:pPr>
          </w:p>
        </w:tc>
      </w:tr>
      <w:tr w:rsidR="00351D64" w:rsidRPr="000863A5" w:rsidTr="001573BE">
        <w:tc>
          <w:tcPr>
            <w:tcW w:w="8771" w:type="dxa"/>
            <w:tcBorders>
              <w:top w:val="single" w:sz="6" w:space="0" w:color="78A22F"/>
              <w:left w:val="nil"/>
              <w:bottom w:val="nil"/>
              <w:right w:val="nil"/>
            </w:tcBorders>
          </w:tcPr>
          <w:p w:rsidR="00351D64" w:rsidRPr="00626D32" w:rsidRDefault="00351D64" w:rsidP="001573BE">
            <w:pPr>
              <w:pStyle w:val="BoxSpaceBelow"/>
            </w:pPr>
          </w:p>
        </w:tc>
      </w:tr>
    </w:tbl>
    <w:p w:rsidR="00351D64" w:rsidRDefault="0086351C" w:rsidP="00B6113E">
      <w:pPr>
        <w:pStyle w:val="Heading4"/>
      </w:pPr>
      <w:r>
        <w:lastRenderedPageBreak/>
        <w:t xml:space="preserve">Appropriateness – </w:t>
      </w:r>
      <w:r w:rsidR="00351D64">
        <w:t>Intensity of care</w:t>
      </w:r>
    </w:p>
    <w:p w:rsidR="00745804" w:rsidRDefault="00745804" w:rsidP="00DA3C2E">
      <w:pPr>
        <w:pStyle w:val="BodyText"/>
        <w:shd w:val="clear" w:color="auto" w:fill="FFFFFF" w:themeFill="background1"/>
      </w:pPr>
      <w:r>
        <w:t xml:space="preserve">‘Intensity of care’ has been identified for development as an indicator of governments’ objective to provide </w:t>
      </w:r>
      <w:r w:rsidR="003053CF">
        <w:t xml:space="preserve">flexible </w:t>
      </w:r>
      <w:r>
        <w:t xml:space="preserve">services that are appropriate to </w:t>
      </w:r>
      <w:r w:rsidR="003053CF">
        <w:t>clients’</w:t>
      </w:r>
      <w:r>
        <w:t xml:space="preserve"> needs (box 13.</w:t>
      </w:r>
      <w:r w:rsidR="001D20C3">
        <w:t>9</w:t>
      </w:r>
      <w:r>
        <w:t>).</w:t>
      </w:r>
    </w:p>
    <w:p w:rsidR="008B5756" w:rsidRDefault="008B575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B5756" w:rsidTr="00C74E99">
        <w:tc>
          <w:tcPr>
            <w:tcW w:w="8771" w:type="dxa"/>
            <w:tcBorders>
              <w:top w:val="single" w:sz="6" w:space="0" w:color="78A22F"/>
              <w:left w:val="nil"/>
              <w:bottom w:val="nil"/>
              <w:right w:val="nil"/>
            </w:tcBorders>
            <w:shd w:val="clear" w:color="auto" w:fill="F2F2F2"/>
          </w:tcPr>
          <w:p w:rsidR="008B5756" w:rsidRDefault="008B5756" w:rsidP="008B5756">
            <w:pPr>
              <w:pStyle w:val="BoxTitle"/>
            </w:pPr>
            <w:r>
              <w:rPr>
                <w:b w:val="0"/>
              </w:rPr>
              <w:t xml:space="preserve">Box </w:t>
            </w:r>
            <w:r w:rsidR="0085349D">
              <w:rPr>
                <w:b w:val="0"/>
              </w:rPr>
              <w:t>13.</w:t>
            </w:r>
            <w:r w:rsidR="00F132AA">
              <w:rPr>
                <w:b w:val="0"/>
                <w:noProof/>
              </w:rPr>
              <w:t>9</w:t>
            </w:r>
            <w:r>
              <w:tab/>
              <w:t>Intensity of care</w:t>
            </w:r>
          </w:p>
        </w:tc>
      </w:tr>
      <w:tr w:rsidR="008B5756" w:rsidTr="00C74E99">
        <w:trPr>
          <w:cantSplit/>
        </w:trPr>
        <w:tc>
          <w:tcPr>
            <w:tcW w:w="8771" w:type="dxa"/>
            <w:tcBorders>
              <w:top w:val="nil"/>
              <w:left w:val="nil"/>
              <w:bottom w:val="nil"/>
              <w:right w:val="nil"/>
            </w:tcBorders>
            <w:shd w:val="clear" w:color="auto" w:fill="F2F2F2"/>
          </w:tcPr>
          <w:p w:rsidR="008B5756" w:rsidRDefault="008B5756" w:rsidP="008B5756">
            <w:pPr>
              <w:pStyle w:val="Box"/>
            </w:pPr>
            <w:r>
              <w:t>‘Intensity of care’ is yet to be defined.</w:t>
            </w:r>
          </w:p>
          <w:p w:rsidR="008B5756" w:rsidRDefault="008B5756" w:rsidP="0086351C">
            <w:pPr>
              <w:pStyle w:val="Box"/>
            </w:pPr>
            <w:r>
              <w:t>Data for this indicator were not available for th</w:t>
            </w:r>
            <w:r w:rsidR="0086351C">
              <w:t>is</w:t>
            </w:r>
            <w:r>
              <w:t xml:space="preserve"> Report.</w:t>
            </w:r>
          </w:p>
        </w:tc>
      </w:tr>
      <w:tr w:rsidR="008B5756" w:rsidTr="00C74E99">
        <w:trPr>
          <w:cantSplit/>
        </w:trPr>
        <w:tc>
          <w:tcPr>
            <w:tcW w:w="8771" w:type="dxa"/>
            <w:tcBorders>
              <w:top w:val="nil"/>
              <w:left w:val="nil"/>
              <w:bottom w:val="single" w:sz="6" w:space="0" w:color="78A22F"/>
              <w:right w:val="nil"/>
            </w:tcBorders>
            <w:shd w:val="clear" w:color="auto" w:fill="F2F2F2"/>
          </w:tcPr>
          <w:p w:rsidR="008B5756" w:rsidRDefault="008B5756">
            <w:pPr>
              <w:pStyle w:val="Box"/>
              <w:spacing w:before="0" w:line="120" w:lineRule="exact"/>
            </w:pPr>
          </w:p>
        </w:tc>
      </w:tr>
      <w:tr w:rsidR="008B5756" w:rsidRPr="000863A5" w:rsidTr="00C74E99">
        <w:tc>
          <w:tcPr>
            <w:tcW w:w="8771" w:type="dxa"/>
            <w:tcBorders>
              <w:top w:val="single" w:sz="6" w:space="0" w:color="78A22F"/>
              <w:left w:val="nil"/>
              <w:bottom w:val="nil"/>
              <w:right w:val="nil"/>
            </w:tcBorders>
          </w:tcPr>
          <w:p w:rsidR="008B5756" w:rsidRPr="00626D32" w:rsidRDefault="008B5756" w:rsidP="00C74E99">
            <w:pPr>
              <w:pStyle w:val="BoxSpaceBelow"/>
            </w:pPr>
          </w:p>
        </w:tc>
      </w:tr>
    </w:tbl>
    <w:p w:rsidR="001573BE" w:rsidRDefault="008B5756" w:rsidP="009E0820">
      <w:pPr>
        <w:pStyle w:val="Heading4"/>
      </w:pPr>
      <w:r>
        <w:t>Q</w:t>
      </w:r>
      <w:r w:rsidR="001573BE">
        <w:t xml:space="preserve">uality </w:t>
      </w:r>
      <w:r w:rsidR="0086351C">
        <w:t xml:space="preserve">– </w:t>
      </w:r>
      <w:r w:rsidR="001573BE">
        <w:t>Compliance with service standards for residential care</w:t>
      </w:r>
    </w:p>
    <w:p w:rsidR="001573BE" w:rsidRDefault="001573BE" w:rsidP="006C36D6">
      <w:pPr>
        <w:pStyle w:val="BodyText"/>
        <w:shd w:val="clear" w:color="auto" w:fill="FFFFFF" w:themeFill="background1"/>
      </w:pPr>
      <w:r>
        <w:t xml:space="preserve">‘Compliance with service standards for residential care’ is an indicator of governments’ objective to ensure residential care services </w:t>
      </w:r>
      <w:r w:rsidR="00255999" w:rsidRPr="006C36D6">
        <w:t>meet minimum acceptable</w:t>
      </w:r>
      <w:r w:rsidR="00255999" w:rsidRPr="00255999">
        <w:t xml:space="preserve"> </w:t>
      </w:r>
      <w:r>
        <w:t xml:space="preserve">levels of service quality </w:t>
      </w:r>
      <w:r w:rsidR="00255999" w:rsidRPr="00255999">
        <w:t xml:space="preserve">that include systems for continual improvement in the care provided to residents </w:t>
      </w:r>
      <w:r>
        <w:t>(box</w:t>
      </w:r>
      <w:r w:rsidR="009551A0">
        <w:t> </w:t>
      </w:r>
      <w:r>
        <w:t>13.</w:t>
      </w:r>
      <w:r w:rsidR="00D12D12">
        <w:t>1</w:t>
      </w:r>
      <w:r w:rsidR="001D20C3">
        <w:t>0</w:t>
      </w:r>
      <w:r>
        <w:t>).</w:t>
      </w:r>
    </w:p>
    <w:p w:rsidR="00D12D12" w:rsidRDefault="00D12D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12D12" w:rsidTr="00C74E99">
        <w:tc>
          <w:tcPr>
            <w:tcW w:w="8771" w:type="dxa"/>
            <w:tcBorders>
              <w:top w:val="single" w:sz="6" w:space="0" w:color="78A22F"/>
              <w:left w:val="nil"/>
              <w:bottom w:val="nil"/>
              <w:right w:val="nil"/>
            </w:tcBorders>
            <w:shd w:val="clear" w:color="auto" w:fill="F2F2F2"/>
          </w:tcPr>
          <w:p w:rsidR="00D12D12" w:rsidRDefault="00D12D12">
            <w:pPr>
              <w:pStyle w:val="BoxTitle"/>
            </w:pPr>
            <w:r>
              <w:rPr>
                <w:b w:val="0"/>
              </w:rPr>
              <w:t xml:space="preserve">Box </w:t>
            </w:r>
            <w:r w:rsidR="00E174BA">
              <w:rPr>
                <w:b w:val="0"/>
              </w:rPr>
              <w:t>13.</w:t>
            </w:r>
            <w:r w:rsidR="00F132AA">
              <w:rPr>
                <w:b w:val="0"/>
                <w:noProof/>
              </w:rPr>
              <w:t>10</w:t>
            </w:r>
            <w:r>
              <w:tab/>
            </w:r>
            <w:r w:rsidRPr="00D12D12">
              <w:t>Compliance with service standards for residential care</w:t>
            </w:r>
          </w:p>
        </w:tc>
      </w:tr>
      <w:tr w:rsidR="00D12D12" w:rsidTr="00C74E99">
        <w:trPr>
          <w:cantSplit/>
        </w:trPr>
        <w:tc>
          <w:tcPr>
            <w:tcW w:w="8771" w:type="dxa"/>
            <w:tcBorders>
              <w:top w:val="nil"/>
              <w:left w:val="nil"/>
              <w:bottom w:val="nil"/>
              <w:right w:val="nil"/>
            </w:tcBorders>
            <w:shd w:val="clear" w:color="auto" w:fill="F2F2F2"/>
          </w:tcPr>
          <w:p w:rsidR="00B32773" w:rsidRPr="00A21E1B" w:rsidRDefault="00B32773" w:rsidP="00B32773">
            <w:pPr>
              <w:pStyle w:val="Box"/>
            </w:pPr>
            <w:r>
              <w:t>‘Compliance with service standards for residential care’ is defined as the proportion of re</w:t>
            </w:r>
            <w:r>
              <w:noBreakHyphen/>
              <w:t>accredited services that have received three</w:t>
            </w:r>
            <w:r w:rsidR="00E75264">
              <w:noBreakHyphen/>
            </w:r>
            <w:r>
              <w:t xml:space="preserve">year accreditation for </w:t>
            </w:r>
            <w:r w:rsidR="00AD3960">
              <w:t xml:space="preserve">both </w:t>
            </w:r>
            <w:r>
              <w:t>services re</w:t>
            </w:r>
            <w:r>
              <w:noBreakHyphen/>
              <w:t>accredited within the financial year</w:t>
            </w:r>
            <w:r w:rsidR="00C278DF">
              <w:t>,</w:t>
            </w:r>
            <w:r>
              <w:t xml:space="preserve"> and </w:t>
            </w:r>
            <w:r w:rsidR="00C278DF">
              <w:t xml:space="preserve">for </w:t>
            </w:r>
            <w:r>
              <w:t>all re</w:t>
            </w:r>
            <w:r>
              <w:noBreakHyphen/>
              <w:t xml:space="preserve">accredited services. </w:t>
            </w:r>
          </w:p>
          <w:p w:rsidR="00D12D12" w:rsidRDefault="00AB3C2B" w:rsidP="00C278DF">
            <w:pPr>
              <w:pStyle w:val="Box"/>
            </w:pPr>
            <w:r>
              <w:t>High or increasing proportions of facilities with three</w:t>
            </w:r>
            <w:r w:rsidR="00E75264">
              <w:noBreakHyphen/>
            </w:r>
            <w:r>
              <w:t>year re</w:t>
            </w:r>
            <w:r>
              <w:noBreakHyphen/>
              <w:t xml:space="preserve">accreditation is desirable. </w:t>
            </w:r>
            <w:r w:rsidR="00C278DF">
              <w:t xml:space="preserve">Three years is the longest period for which </w:t>
            </w:r>
            <w:r w:rsidR="00660441">
              <w:t>re</w:t>
            </w:r>
            <w:r w:rsidR="00E75264">
              <w:noBreakHyphen/>
            </w:r>
            <w:r w:rsidR="00C278DF">
              <w:t>accreditation can be granted (in most cases), so if a service is re</w:t>
            </w:r>
            <w:r w:rsidR="00E75264">
              <w:noBreakHyphen/>
            </w:r>
            <w:r w:rsidR="00C278DF">
              <w:t xml:space="preserve">accredited for </w:t>
            </w:r>
            <w:r w:rsidR="00660441">
              <w:t>this period</w:t>
            </w:r>
            <w:r w:rsidR="00C278DF">
              <w:t xml:space="preserve"> it</w:t>
            </w:r>
            <w:r>
              <w:t xml:space="preserve"> implies a </w:t>
            </w:r>
            <w:r w:rsidR="00C278DF">
              <w:t>higher</w:t>
            </w:r>
            <w:r>
              <w:t xml:space="preserve"> level of care and service quality</w:t>
            </w:r>
            <w:r w:rsidR="00C278DF">
              <w:t>, than for those re</w:t>
            </w:r>
            <w:r w:rsidR="00E75264">
              <w:noBreakHyphen/>
            </w:r>
            <w:r w:rsidR="00C278DF">
              <w:t>accredited for a shorter period.</w:t>
            </w:r>
          </w:p>
          <w:p w:rsidR="00E8096D" w:rsidRDefault="00C278DF" w:rsidP="00660441">
            <w:pPr>
              <w:pStyle w:val="Box"/>
            </w:pPr>
            <w:r>
              <w:t>Australian Government funded residential services are required to meet accreditation standards (which comprise 44 expected outcomes). The accreditation process is managed by an accreditation agency (currently the Australian Aged Care Quality Agency). A service applying for accreditation undertakes an initial self</w:t>
            </w:r>
            <w:r>
              <w:noBreakHyphen/>
              <w:t>assessment against the accreditation standards. A team of quality assessors review the application, conduct an onsite assessment and prepare a report based on the</w:t>
            </w:r>
            <w:r w:rsidR="00660441">
              <w:t>ir</w:t>
            </w:r>
            <w:r>
              <w:t xml:space="preserve"> observations</w:t>
            </w:r>
            <w:r w:rsidR="00660441">
              <w:t xml:space="preserve"> and</w:t>
            </w:r>
            <w:r>
              <w:t xml:space="preserve"> interviews with residents, relatives, staff and management, and </w:t>
            </w:r>
            <w:r w:rsidR="00660441">
              <w:t xml:space="preserve">other </w:t>
            </w:r>
            <w:r>
              <w:t xml:space="preserve">relevant documentation. </w:t>
            </w:r>
            <w:r w:rsidR="00660441">
              <w:t xml:space="preserve">Based on this report and </w:t>
            </w:r>
            <w:r>
              <w:t>any submission</w:t>
            </w:r>
            <w:r w:rsidR="00660441">
              <w:t>s</w:t>
            </w:r>
            <w:r>
              <w:t xml:space="preserve"> from the residential service and other relevant information (including information from DSS) an</w:t>
            </w:r>
            <w:r w:rsidR="00660441">
              <w:t xml:space="preserve"> authorised decision maker</w:t>
            </w:r>
            <w:r>
              <w:t xml:space="preserve"> </w:t>
            </w:r>
            <w:r w:rsidR="00660441">
              <w:t>considers</w:t>
            </w:r>
            <w:r>
              <w:t xml:space="preserve"> whether to accredit and, if so, for how long. Commencing services are subject to a desk audit only, and are accredited for one year.</w:t>
            </w:r>
          </w:p>
          <w:p w:rsidR="008C0E34" w:rsidRDefault="008C0E34" w:rsidP="008C0E34">
            <w:pPr>
              <w:pStyle w:val="Box"/>
            </w:pPr>
            <w:r>
              <w:t>Data reported for this indicator are:</w:t>
            </w:r>
          </w:p>
          <w:p w:rsidR="008C0E34" w:rsidRDefault="008C0E34" w:rsidP="00660441">
            <w:pPr>
              <w:pStyle w:val="BoxListBullet"/>
            </w:pPr>
            <w:r>
              <w:t xml:space="preserve">comparable (subject to caveats) across jurisdictions and over time </w:t>
            </w:r>
          </w:p>
          <w:p w:rsidR="008F7A7F" w:rsidRDefault="008F7A7F" w:rsidP="008F7A7F">
            <w:pPr>
              <w:pStyle w:val="BoxListBullet"/>
            </w:pPr>
            <w:r>
              <w:t>complete (subject to caveats) for the current reporting period. All required June 2015 data are available for all jurisdictions.</w:t>
            </w:r>
          </w:p>
          <w:p w:rsidR="008F7A7F" w:rsidRDefault="008F7A7F" w:rsidP="00C6461C">
            <w:pPr>
              <w:pStyle w:val="Box"/>
            </w:pPr>
            <w:r>
              <w:t xml:space="preserve">Data quality information for this indicator is at </w:t>
            </w:r>
            <w:proofErr w:type="spellStart"/>
            <w:r>
              <w:t>www.pc.gov.au</w:t>
            </w:r>
            <w:proofErr w:type="spellEnd"/>
            <w:r>
              <w:t>/</w:t>
            </w:r>
            <w:proofErr w:type="spellStart"/>
            <w:r>
              <w:t>rogs</w:t>
            </w:r>
            <w:proofErr w:type="spellEnd"/>
            <w:r>
              <w:t>/2016.</w:t>
            </w:r>
          </w:p>
        </w:tc>
      </w:tr>
      <w:tr w:rsidR="00D12D12" w:rsidTr="00C74E99">
        <w:trPr>
          <w:cantSplit/>
        </w:trPr>
        <w:tc>
          <w:tcPr>
            <w:tcW w:w="8771" w:type="dxa"/>
            <w:tcBorders>
              <w:top w:val="nil"/>
              <w:left w:val="nil"/>
              <w:bottom w:val="single" w:sz="6" w:space="0" w:color="78A22F"/>
              <w:right w:val="nil"/>
            </w:tcBorders>
            <w:shd w:val="clear" w:color="auto" w:fill="F2F2F2"/>
          </w:tcPr>
          <w:p w:rsidR="00D12D12" w:rsidRDefault="00D12D12">
            <w:pPr>
              <w:pStyle w:val="Box"/>
              <w:spacing w:before="0" w:line="120" w:lineRule="exact"/>
            </w:pPr>
          </w:p>
        </w:tc>
      </w:tr>
      <w:tr w:rsidR="00D12D12" w:rsidRPr="000863A5" w:rsidTr="00C74E99">
        <w:tc>
          <w:tcPr>
            <w:tcW w:w="8771" w:type="dxa"/>
            <w:tcBorders>
              <w:top w:val="single" w:sz="6" w:space="0" w:color="78A22F"/>
              <w:left w:val="nil"/>
              <w:bottom w:val="nil"/>
              <w:right w:val="nil"/>
            </w:tcBorders>
          </w:tcPr>
          <w:p w:rsidR="00D12D12" w:rsidRPr="00626D32" w:rsidRDefault="00D12D12" w:rsidP="00C74E99">
            <w:pPr>
              <w:pStyle w:val="BoxSpaceBelow"/>
            </w:pPr>
          </w:p>
        </w:tc>
      </w:tr>
    </w:tbl>
    <w:p w:rsidR="00351D64" w:rsidRDefault="00660441" w:rsidP="001573BE">
      <w:pPr>
        <w:pStyle w:val="BodyText"/>
      </w:pPr>
      <w:r>
        <w:lastRenderedPageBreak/>
        <w:t>Of all re</w:t>
      </w:r>
      <w:r>
        <w:noBreakHyphen/>
        <w:t xml:space="preserve">accredited residential aged care services, </w:t>
      </w:r>
      <w:r w:rsidR="00761E0E">
        <w:t>97.6</w:t>
      </w:r>
      <w:r>
        <w:t xml:space="preserve"> per cent had an accreditation status of a period of three years as at 30 June 2015 (table 13.</w:t>
      </w:r>
      <w:r w:rsidR="00D750FB">
        <w:t>4</w:t>
      </w:r>
      <w:r>
        <w:t xml:space="preserve">). </w:t>
      </w:r>
      <w:r w:rsidR="008C0E34">
        <w:t>A re</w:t>
      </w:r>
      <w:r w:rsidR="008C0E34">
        <w:noBreakHyphen/>
        <w:t>accreditation decision was made during 2014</w:t>
      </w:r>
      <w:r w:rsidR="008C0E34">
        <w:noBreakHyphen/>
        <w:t xml:space="preserve">15 for </w:t>
      </w:r>
      <w:r w:rsidR="00761E0E">
        <w:t>1237</w:t>
      </w:r>
      <w:r w:rsidR="001573BE">
        <w:t xml:space="preserve"> </w:t>
      </w:r>
      <w:r w:rsidR="008C0E34">
        <w:t>services, of which</w:t>
      </w:r>
      <w:r w:rsidR="001573BE">
        <w:t xml:space="preserve"> </w:t>
      </w:r>
      <w:r w:rsidR="00761E0E">
        <w:t>96.8</w:t>
      </w:r>
      <w:r w:rsidR="001573BE">
        <w:t xml:space="preserve"> per cent were granted three year accreditation (table</w:t>
      </w:r>
      <w:r w:rsidR="009551A0">
        <w:t> </w:t>
      </w:r>
      <w:r w:rsidR="001573BE">
        <w:t>13.</w:t>
      </w:r>
      <w:r w:rsidR="00D750FB">
        <w:t>4</w:t>
      </w:r>
      <w:r w:rsidR="001573BE">
        <w:t xml:space="preserve">). </w:t>
      </w:r>
      <w:r w:rsidR="00567F3E">
        <w:t>Data on re</w:t>
      </w:r>
      <w:r w:rsidR="009551A0">
        <w:noBreakHyphen/>
      </w:r>
      <w:r w:rsidR="00567F3E">
        <w:t>accreditation decisions during 201</w:t>
      </w:r>
      <w:r w:rsidR="003053CF">
        <w:t>4</w:t>
      </w:r>
      <w:r w:rsidR="009551A0">
        <w:noBreakHyphen/>
      </w:r>
      <w:r w:rsidR="00567F3E">
        <w:t>1</w:t>
      </w:r>
      <w:r w:rsidR="003053CF">
        <w:t>5</w:t>
      </w:r>
      <w:r w:rsidR="00567F3E">
        <w:t xml:space="preserve"> by remoteness and size of facility are in tables 13A.</w:t>
      </w:r>
      <w:r w:rsidR="00D750FB">
        <w:t>44</w:t>
      </w:r>
      <w:r w:rsidR="00F744CB" w:rsidRPr="00733169">
        <w:t>–</w:t>
      </w:r>
      <w:r w:rsidR="00D750FB">
        <w:t>4</w:t>
      </w:r>
      <w:r w:rsidR="00761E0E">
        <w:t>5</w:t>
      </w:r>
      <w:r w:rsidR="00567F3E">
        <w:t xml:space="preserve">. </w:t>
      </w:r>
    </w:p>
    <w:p w:rsidR="00F82615" w:rsidRDefault="00F82615" w:rsidP="005D39D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82615" w:rsidTr="005D39DF">
        <w:tc>
          <w:tcPr>
            <w:tcW w:w="8771" w:type="dxa"/>
            <w:tcBorders>
              <w:top w:val="single" w:sz="6" w:space="0" w:color="78A22F" w:themeColor="accent1"/>
              <w:left w:val="nil"/>
              <w:bottom w:val="nil"/>
              <w:right w:val="nil"/>
            </w:tcBorders>
            <w:shd w:val="clear" w:color="auto" w:fill="auto"/>
          </w:tcPr>
          <w:p w:rsidR="00F82615" w:rsidRPr="00784A05" w:rsidRDefault="00F82615" w:rsidP="00D750FB">
            <w:pPr>
              <w:pStyle w:val="TableTitle"/>
            </w:pPr>
            <w:r>
              <w:rPr>
                <w:b w:val="0"/>
              </w:rPr>
              <w:t xml:space="preserve">Table </w:t>
            </w:r>
            <w:r w:rsidR="00660441">
              <w:rPr>
                <w:b w:val="0"/>
              </w:rPr>
              <w:t>13.</w:t>
            </w:r>
            <w:r w:rsidR="00F132AA">
              <w:rPr>
                <w:b w:val="0"/>
                <w:noProof/>
              </w:rPr>
              <w:t>4</w:t>
            </w:r>
            <w:r>
              <w:tab/>
            </w:r>
            <w:r w:rsidRPr="00F82615">
              <w:t>Residential aged care services re</w:t>
            </w:r>
            <w:r w:rsidR="009551A0">
              <w:noBreakHyphen/>
            </w:r>
            <w:r w:rsidRPr="00F82615">
              <w:t>accredited for three years, 30</w:t>
            </w:r>
            <w:r w:rsidR="009551A0">
              <w:t> </w:t>
            </w:r>
            <w:r w:rsidRPr="00F82615">
              <w:t>June 201</w:t>
            </w:r>
            <w:r w:rsidR="0086534B">
              <w:t>5</w:t>
            </w:r>
            <w:r w:rsidRPr="00F82615">
              <w:rPr>
                <w:rStyle w:val="NoteLabel"/>
                <w:b/>
              </w:rPr>
              <w:t>a</w:t>
            </w:r>
          </w:p>
        </w:tc>
      </w:tr>
      <w:tr w:rsidR="00F82615" w:rsidTr="005D39DF">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47"/>
              <w:gridCol w:w="725"/>
              <w:gridCol w:w="712"/>
              <w:gridCol w:w="714"/>
              <w:gridCol w:w="715"/>
              <w:gridCol w:w="712"/>
              <w:gridCol w:w="716"/>
              <w:gridCol w:w="720"/>
              <w:gridCol w:w="711"/>
              <w:gridCol w:w="715"/>
            </w:tblGrid>
            <w:tr w:rsidR="00F82615" w:rsidTr="007933CF">
              <w:tc>
                <w:tcPr>
                  <w:tcW w:w="2047" w:type="dxa"/>
                  <w:tcBorders>
                    <w:top w:val="single" w:sz="6" w:space="0" w:color="BFBFBF"/>
                    <w:bottom w:val="single" w:sz="6" w:space="0" w:color="BFBFBF"/>
                  </w:tcBorders>
                  <w:shd w:val="clear" w:color="auto" w:fill="auto"/>
                </w:tcPr>
                <w:p w:rsidR="00F82615" w:rsidRDefault="00F82615" w:rsidP="005D39DF">
                  <w:pPr>
                    <w:pStyle w:val="TableColumnHeading"/>
                    <w:jc w:val="left"/>
                  </w:pPr>
                </w:p>
              </w:tc>
              <w:tc>
                <w:tcPr>
                  <w:tcW w:w="725"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NSW</w:t>
                  </w:r>
                </w:p>
              </w:tc>
              <w:tc>
                <w:tcPr>
                  <w:tcW w:w="712"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Vic</w:t>
                  </w:r>
                </w:p>
              </w:tc>
              <w:tc>
                <w:tcPr>
                  <w:tcW w:w="714"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Qld</w:t>
                  </w:r>
                </w:p>
              </w:tc>
              <w:tc>
                <w:tcPr>
                  <w:tcW w:w="715"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WA</w:t>
                  </w:r>
                </w:p>
              </w:tc>
              <w:tc>
                <w:tcPr>
                  <w:tcW w:w="712"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SA</w:t>
                  </w:r>
                </w:p>
              </w:tc>
              <w:tc>
                <w:tcPr>
                  <w:tcW w:w="716"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Tas</w:t>
                  </w:r>
                </w:p>
              </w:tc>
              <w:tc>
                <w:tcPr>
                  <w:tcW w:w="720"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ACT</w:t>
                  </w:r>
                </w:p>
              </w:tc>
              <w:tc>
                <w:tcPr>
                  <w:tcW w:w="711" w:type="dxa"/>
                  <w:tcBorders>
                    <w:top w:val="single" w:sz="6" w:space="0" w:color="BFBFBF"/>
                    <w:bottom w:val="single" w:sz="6" w:space="0" w:color="BFBFBF"/>
                  </w:tcBorders>
                  <w:shd w:val="clear" w:color="auto" w:fill="auto"/>
                </w:tcPr>
                <w:p w:rsidR="00F82615" w:rsidRPr="00794159" w:rsidRDefault="00F82615" w:rsidP="005D39DF">
                  <w:pPr>
                    <w:pStyle w:val="TableColumnHeading"/>
                  </w:pPr>
                  <w:r w:rsidRPr="00794159">
                    <w:t>NT</w:t>
                  </w:r>
                </w:p>
              </w:tc>
              <w:tc>
                <w:tcPr>
                  <w:tcW w:w="715" w:type="dxa"/>
                  <w:tcBorders>
                    <w:top w:val="single" w:sz="6" w:space="0" w:color="BFBFBF"/>
                    <w:bottom w:val="single" w:sz="6" w:space="0" w:color="BFBFBF"/>
                  </w:tcBorders>
                  <w:shd w:val="clear" w:color="auto" w:fill="auto"/>
                </w:tcPr>
                <w:p w:rsidR="00F82615" w:rsidRDefault="00F82615" w:rsidP="005D39DF">
                  <w:pPr>
                    <w:pStyle w:val="TableColumnHeading"/>
                    <w:ind w:right="28"/>
                  </w:pPr>
                  <w:r>
                    <w:t>Aust</w:t>
                  </w:r>
                </w:p>
              </w:tc>
            </w:tr>
            <w:tr w:rsidR="00F82615" w:rsidTr="007933CF">
              <w:tc>
                <w:tcPr>
                  <w:tcW w:w="8487" w:type="dxa"/>
                  <w:gridSpan w:val="10"/>
                  <w:tcBorders>
                    <w:top w:val="single" w:sz="6" w:space="0" w:color="BFBFBF"/>
                  </w:tcBorders>
                  <w:vAlign w:val="bottom"/>
                </w:tcPr>
                <w:p w:rsidR="00F82615" w:rsidRDefault="00F82615" w:rsidP="003832D3">
                  <w:pPr>
                    <w:pStyle w:val="TableBodyText"/>
                    <w:spacing w:before="40"/>
                    <w:ind w:right="0"/>
                    <w:jc w:val="left"/>
                  </w:pPr>
                  <w:r w:rsidRPr="00930170">
                    <w:rPr>
                      <w:i/>
                    </w:rPr>
                    <w:t>Services re</w:t>
                  </w:r>
                  <w:r>
                    <w:rPr>
                      <w:i/>
                    </w:rPr>
                    <w:noBreakHyphen/>
                  </w:r>
                  <w:r w:rsidRPr="00930170">
                    <w:rPr>
                      <w:i/>
                    </w:rPr>
                    <w:t xml:space="preserve">accredited </w:t>
                  </w:r>
                  <w:r>
                    <w:rPr>
                      <w:i/>
                    </w:rPr>
                    <w:t>during</w:t>
                  </w:r>
                  <w:r w:rsidRPr="00930170">
                    <w:rPr>
                      <w:i/>
                    </w:rPr>
                    <w:t xml:space="preserve"> </w:t>
                  </w:r>
                  <w:r>
                    <w:rPr>
                      <w:i/>
                    </w:rPr>
                    <w:t>201</w:t>
                  </w:r>
                  <w:r w:rsidR="0086534B">
                    <w:rPr>
                      <w:i/>
                    </w:rPr>
                    <w:t>4</w:t>
                  </w:r>
                  <w:r>
                    <w:rPr>
                      <w:i/>
                    </w:rPr>
                    <w:noBreakHyphen/>
                    <w:t>1</w:t>
                  </w:r>
                  <w:r w:rsidR="0086534B">
                    <w:rPr>
                      <w:i/>
                    </w:rPr>
                    <w:t>5</w:t>
                  </w:r>
                </w:p>
              </w:tc>
            </w:tr>
            <w:tr w:rsidR="00D750FB" w:rsidRPr="00417108" w:rsidTr="00C64EFF">
              <w:tc>
                <w:tcPr>
                  <w:tcW w:w="2047" w:type="dxa"/>
                  <w:vAlign w:val="bottom"/>
                </w:tcPr>
                <w:p w:rsidR="00D750FB" w:rsidRPr="006B2192" w:rsidRDefault="00D750FB" w:rsidP="005D39DF">
                  <w:pPr>
                    <w:pStyle w:val="TableBodyText"/>
                    <w:ind w:left="142"/>
                    <w:jc w:val="left"/>
                  </w:pPr>
                  <w:r>
                    <w:t>Total no.</w:t>
                  </w:r>
                </w:p>
              </w:tc>
              <w:tc>
                <w:tcPr>
                  <w:tcW w:w="725" w:type="dxa"/>
                  <w:vAlign w:val="center"/>
                </w:tcPr>
                <w:p w:rsidR="00D750FB" w:rsidRPr="00D750FB" w:rsidRDefault="00E75264" w:rsidP="00D750FB">
                  <w:pPr>
                    <w:pStyle w:val="TableBodyText"/>
                  </w:pPr>
                  <w:r>
                    <w:t xml:space="preserve"> </w:t>
                  </w:r>
                  <w:r w:rsidR="00D750FB" w:rsidRPr="00D750FB">
                    <w:t>443</w:t>
                  </w:r>
                </w:p>
              </w:tc>
              <w:tc>
                <w:tcPr>
                  <w:tcW w:w="712" w:type="dxa"/>
                  <w:vAlign w:val="center"/>
                </w:tcPr>
                <w:p w:rsidR="00D750FB" w:rsidRPr="00D750FB" w:rsidRDefault="00E75264" w:rsidP="00D750FB">
                  <w:pPr>
                    <w:pStyle w:val="TableBodyText"/>
                  </w:pPr>
                  <w:r>
                    <w:t xml:space="preserve"> </w:t>
                  </w:r>
                  <w:r w:rsidR="00D750FB" w:rsidRPr="00D750FB">
                    <w:t>305</w:t>
                  </w:r>
                </w:p>
              </w:tc>
              <w:tc>
                <w:tcPr>
                  <w:tcW w:w="714" w:type="dxa"/>
                  <w:vAlign w:val="center"/>
                </w:tcPr>
                <w:p w:rsidR="00D750FB" w:rsidRPr="00D750FB" w:rsidRDefault="00E75264" w:rsidP="00D750FB">
                  <w:pPr>
                    <w:pStyle w:val="TableBodyText"/>
                  </w:pPr>
                  <w:r>
                    <w:t xml:space="preserve"> </w:t>
                  </w:r>
                  <w:r w:rsidR="00D750FB" w:rsidRPr="00D750FB">
                    <w:t>156</w:t>
                  </w:r>
                </w:p>
              </w:tc>
              <w:tc>
                <w:tcPr>
                  <w:tcW w:w="715" w:type="dxa"/>
                  <w:vAlign w:val="center"/>
                </w:tcPr>
                <w:p w:rsidR="00D750FB" w:rsidRPr="00D750FB" w:rsidRDefault="00E75264" w:rsidP="00D750FB">
                  <w:pPr>
                    <w:pStyle w:val="TableBodyText"/>
                  </w:pPr>
                  <w:r>
                    <w:t xml:space="preserve"> </w:t>
                  </w:r>
                  <w:r w:rsidR="00D750FB" w:rsidRPr="00D750FB">
                    <w:t>117</w:t>
                  </w:r>
                </w:p>
              </w:tc>
              <w:tc>
                <w:tcPr>
                  <w:tcW w:w="712" w:type="dxa"/>
                  <w:vAlign w:val="center"/>
                </w:tcPr>
                <w:p w:rsidR="00D750FB" w:rsidRPr="00D750FB" w:rsidRDefault="00E75264" w:rsidP="00D750FB">
                  <w:pPr>
                    <w:pStyle w:val="TableBodyText"/>
                  </w:pPr>
                  <w:r>
                    <w:t xml:space="preserve"> </w:t>
                  </w:r>
                  <w:r w:rsidR="00D750FB" w:rsidRPr="00D750FB">
                    <w:t>153</w:t>
                  </w:r>
                </w:p>
              </w:tc>
              <w:tc>
                <w:tcPr>
                  <w:tcW w:w="716" w:type="dxa"/>
                  <w:shd w:val="clear" w:color="auto" w:fill="FFFFFF" w:themeFill="background1"/>
                  <w:vAlign w:val="center"/>
                </w:tcPr>
                <w:p w:rsidR="00D750FB" w:rsidRPr="00D750FB" w:rsidRDefault="00E75264" w:rsidP="00D750FB">
                  <w:pPr>
                    <w:pStyle w:val="TableBodyText"/>
                  </w:pPr>
                  <w:r>
                    <w:t xml:space="preserve"> </w:t>
                  </w:r>
                  <w:r w:rsidR="00D750FB" w:rsidRPr="00D750FB">
                    <w:t>43</w:t>
                  </w:r>
                </w:p>
              </w:tc>
              <w:tc>
                <w:tcPr>
                  <w:tcW w:w="720" w:type="dxa"/>
                  <w:shd w:val="clear" w:color="auto" w:fill="FFFFFF" w:themeFill="background1"/>
                  <w:vAlign w:val="center"/>
                </w:tcPr>
                <w:p w:rsidR="00D750FB" w:rsidRPr="00D750FB" w:rsidRDefault="00E75264" w:rsidP="00D750FB">
                  <w:pPr>
                    <w:pStyle w:val="TableBodyText"/>
                  </w:pPr>
                  <w:r>
                    <w:t xml:space="preserve"> </w:t>
                  </w:r>
                  <w:r w:rsidR="00D750FB" w:rsidRPr="00D750FB">
                    <w:t>13</w:t>
                  </w:r>
                </w:p>
              </w:tc>
              <w:tc>
                <w:tcPr>
                  <w:tcW w:w="711" w:type="dxa"/>
                  <w:vAlign w:val="center"/>
                </w:tcPr>
                <w:p w:rsidR="00D750FB" w:rsidRPr="00D750FB" w:rsidRDefault="00E75264" w:rsidP="00D750FB">
                  <w:pPr>
                    <w:pStyle w:val="TableBodyText"/>
                  </w:pPr>
                  <w:r>
                    <w:t xml:space="preserve"> </w:t>
                  </w:r>
                  <w:r w:rsidR="00D750FB" w:rsidRPr="00D750FB">
                    <w:t>7</w:t>
                  </w:r>
                </w:p>
              </w:tc>
              <w:tc>
                <w:tcPr>
                  <w:tcW w:w="715" w:type="dxa"/>
                  <w:vAlign w:val="center"/>
                </w:tcPr>
                <w:p w:rsidR="00D750FB" w:rsidRPr="00D750FB" w:rsidRDefault="00D750FB" w:rsidP="00D750FB">
                  <w:pPr>
                    <w:pStyle w:val="TableBodyText"/>
                    <w:ind w:right="4"/>
                  </w:pPr>
                  <w:r w:rsidRPr="00D750FB">
                    <w:t xml:space="preserve"> 1 237</w:t>
                  </w:r>
                </w:p>
              </w:tc>
            </w:tr>
            <w:tr w:rsidR="00D750FB" w:rsidRPr="00417108" w:rsidTr="00C64EFF">
              <w:tc>
                <w:tcPr>
                  <w:tcW w:w="2047" w:type="dxa"/>
                  <w:vAlign w:val="bottom"/>
                </w:tcPr>
                <w:p w:rsidR="00D750FB" w:rsidRPr="006B2192" w:rsidRDefault="00D750FB" w:rsidP="005D39DF">
                  <w:pPr>
                    <w:pStyle w:val="TableBodyText"/>
                    <w:ind w:left="142"/>
                    <w:jc w:val="left"/>
                  </w:pPr>
                  <w:r>
                    <w:t>% 3 year accredited</w:t>
                  </w:r>
                </w:p>
              </w:tc>
              <w:tc>
                <w:tcPr>
                  <w:tcW w:w="725" w:type="dxa"/>
                  <w:vAlign w:val="center"/>
                </w:tcPr>
                <w:p w:rsidR="00D750FB" w:rsidRPr="00D750FB" w:rsidRDefault="00E75264" w:rsidP="00D750FB">
                  <w:pPr>
                    <w:pStyle w:val="TableBodyText"/>
                  </w:pPr>
                  <w:r>
                    <w:t xml:space="preserve"> </w:t>
                  </w:r>
                  <w:r w:rsidR="00D750FB" w:rsidRPr="00D750FB">
                    <w:t>97.1</w:t>
                  </w:r>
                </w:p>
              </w:tc>
              <w:tc>
                <w:tcPr>
                  <w:tcW w:w="712" w:type="dxa"/>
                  <w:vAlign w:val="center"/>
                </w:tcPr>
                <w:p w:rsidR="00D750FB" w:rsidRPr="00D750FB" w:rsidRDefault="00E75264" w:rsidP="00D750FB">
                  <w:pPr>
                    <w:pStyle w:val="TableBodyText"/>
                  </w:pPr>
                  <w:r>
                    <w:t xml:space="preserve"> </w:t>
                  </w:r>
                  <w:r w:rsidR="00D750FB" w:rsidRPr="00D750FB">
                    <w:t>98.7</w:t>
                  </w:r>
                </w:p>
              </w:tc>
              <w:tc>
                <w:tcPr>
                  <w:tcW w:w="714" w:type="dxa"/>
                  <w:vAlign w:val="center"/>
                </w:tcPr>
                <w:p w:rsidR="00D750FB" w:rsidRPr="00D750FB" w:rsidRDefault="00E75264" w:rsidP="00D750FB">
                  <w:pPr>
                    <w:pStyle w:val="TableBodyText"/>
                  </w:pPr>
                  <w:r>
                    <w:t xml:space="preserve"> </w:t>
                  </w:r>
                  <w:r w:rsidR="00D750FB" w:rsidRPr="00D750FB">
                    <w:t>91.7</w:t>
                  </w:r>
                </w:p>
              </w:tc>
              <w:tc>
                <w:tcPr>
                  <w:tcW w:w="715" w:type="dxa"/>
                  <w:vAlign w:val="center"/>
                </w:tcPr>
                <w:p w:rsidR="00D750FB" w:rsidRPr="00D750FB" w:rsidRDefault="00E75264" w:rsidP="00D750FB">
                  <w:pPr>
                    <w:pStyle w:val="TableBodyText"/>
                  </w:pPr>
                  <w:r>
                    <w:t xml:space="preserve"> </w:t>
                  </w:r>
                  <w:r w:rsidR="00D750FB" w:rsidRPr="00D750FB">
                    <w:t>97.4</w:t>
                  </w:r>
                </w:p>
              </w:tc>
              <w:tc>
                <w:tcPr>
                  <w:tcW w:w="712" w:type="dxa"/>
                  <w:vAlign w:val="center"/>
                </w:tcPr>
                <w:p w:rsidR="00D750FB" w:rsidRPr="00D750FB" w:rsidRDefault="00E75264" w:rsidP="00D750FB">
                  <w:pPr>
                    <w:pStyle w:val="TableBodyText"/>
                  </w:pPr>
                  <w:r>
                    <w:t xml:space="preserve"> </w:t>
                  </w:r>
                  <w:r w:rsidR="00D750FB" w:rsidRPr="00D750FB">
                    <w:t>96.7</w:t>
                  </w:r>
                </w:p>
              </w:tc>
              <w:tc>
                <w:tcPr>
                  <w:tcW w:w="716" w:type="dxa"/>
                  <w:shd w:val="clear" w:color="auto" w:fill="FFFFFF" w:themeFill="background1"/>
                  <w:vAlign w:val="center"/>
                </w:tcPr>
                <w:p w:rsidR="00D750FB" w:rsidRPr="00D750FB" w:rsidRDefault="00E75264" w:rsidP="00D750FB">
                  <w:pPr>
                    <w:pStyle w:val="TableBodyText"/>
                  </w:pPr>
                  <w:r>
                    <w:t xml:space="preserve"> </w:t>
                  </w:r>
                  <w:r w:rsidR="00D750FB" w:rsidRPr="00D750FB">
                    <w:t>100.0</w:t>
                  </w:r>
                </w:p>
              </w:tc>
              <w:tc>
                <w:tcPr>
                  <w:tcW w:w="720" w:type="dxa"/>
                  <w:shd w:val="clear" w:color="auto" w:fill="FFFFFF" w:themeFill="background1"/>
                  <w:vAlign w:val="center"/>
                </w:tcPr>
                <w:p w:rsidR="00D750FB" w:rsidRPr="00D750FB" w:rsidRDefault="00E75264" w:rsidP="00D750FB">
                  <w:pPr>
                    <w:pStyle w:val="TableBodyText"/>
                  </w:pPr>
                  <w:r>
                    <w:t xml:space="preserve"> </w:t>
                  </w:r>
                  <w:r w:rsidR="00D750FB" w:rsidRPr="00D750FB">
                    <w:t>100.0</w:t>
                  </w:r>
                </w:p>
              </w:tc>
              <w:tc>
                <w:tcPr>
                  <w:tcW w:w="711" w:type="dxa"/>
                  <w:vAlign w:val="center"/>
                </w:tcPr>
                <w:p w:rsidR="00D750FB" w:rsidRPr="00D750FB" w:rsidRDefault="00E75264" w:rsidP="00D750FB">
                  <w:pPr>
                    <w:pStyle w:val="TableBodyText"/>
                  </w:pPr>
                  <w:r>
                    <w:t xml:space="preserve"> </w:t>
                  </w:r>
                  <w:r w:rsidR="00D750FB" w:rsidRPr="00D750FB">
                    <w:t>85.7</w:t>
                  </w:r>
                </w:p>
              </w:tc>
              <w:tc>
                <w:tcPr>
                  <w:tcW w:w="715" w:type="dxa"/>
                  <w:vAlign w:val="center"/>
                </w:tcPr>
                <w:p w:rsidR="00D750FB" w:rsidRPr="00D750FB" w:rsidRDefault="00E75264" w:rsidP="00D750FB">
                  <w:pPr>
                    <w:pStyle w:val="TableBodyText"/>
                    <w:ind w:right="4"/>
                  </w:pPr>
                  <w:r>
                    <w:t xml:space="preserve"> </w:t>
                  </w:r>
                  <w:r w:rsidR="00D750FB" w:rsidRPr="00D750FB">
                    <w:t>96.8</w:t>
                  </w:r>
                </w:p>
              </w:tc>
            </w:tr>
            <w:tr w:rsidR="00F82615" w:rsidRPr="0012432C" w:rsidTr="007933CF">
              <w:tc>
                <w:tcPr>
                  <w:tcW w:w="7772" w:type="dxa"/>
                  <w:gridSpan w:val="9"/>
                  <w:shd w:val="clear" w:color="auto" w:fill="auto"/>
                  <w:vAlign w:val="bottom"/>
                </w:tcPr>
                <w:p w:rsidR="00F82615" w:rsidRPr="0012432C" w:rsidRDefault="00F82615" w:rsidP="003832D3">
                  <w:pPr>
                    <w:pStyle w:val="TableBodyText"/>
                    <w:spacing w:before="40"/>
                    <w:jc w:val="left"/>
                    <w:rPr>
                      <w:b/>
                      <w:bCs/>
                    </w:rPr>
                  </w:pPr>
                  <w:r w:rsidRPr="00930170">
                    <w:rPr>
                      <w:i/>
                    </w:rPr>
                    <w:t>All re</w:t>
                  </w:r>
                  <w:r>
                    <w:rPr>
                      <w:i/>
                    </w:rPr>
                    <w:noBreakHyphen/>
                  </w:r>
                  <w:r w:rsidRPr="00930170">
                    <w:rPr>
                      <w:i/>
                    </w:rPr>
                    <w:t>accredit</w:t>
                  </w:r>
                  <w:r w:rsidR="0086534B">
                    <w:rPr>
                      <w:i/>
                    </w:rPr>
                    <w:t xml:space="preserve">ed services </w:t>
                  </w:r>
                </w:p>
              </w:tc>
              <w:tc>
                <w:tcPr>
                  <w:tcW w:w="715" w:type="dxa"/>
                  <w:shd w:val="clear" w:color="auto" w:fill="auto"/>
                  <w:vAlign w:val="bottom"/>
                </w:tcPr>
                <w:p w:rsidR="00F82615" w:rsidRPr="0012432C" w:rsidRDefault="00F82615" w:rsidP="005D39DF">
                  <w:pPr>
                    <w:pStyle w:val="TableBodyText"/>
                    <w:ind w:right="28"/>
                    <w:rPr>
                      <w:b/>
                      <w:bCs/>
                    </w:rPr>
                  </w:pPr>
                </w:p>
              </w:tc>
            </w:tr>
            <w:tr w:rsidR="00D750FB" w:rsidRPr="00417108" w:rsidTr="00C64EFF">
              <w:tc>
                <w:tcPr>
                  <w:tcW w:w="2047" w:type="dxa"/>
                  <w:shd w:val="clear" w:color="auto" w:fill="auto"/>
                  <w:vAlign w:val="bottom"/>
                </w:tcPr>
                <w:p w:rsidR="00D750FB" w:rsidRPr="006B2192" w:rsidRDefault="00D750FB" w:rsidP="005D39DF">
                  <w:pPr>
                    <w:pStyle w:val="TableBodyText"/>
                    <w:ind w:left="142"/>
                    <w:jc w:val="left"/>
                  </w:pPr>
                  <w:r>
                    <w:t>Total no.</w:t>
                  </w:r>
                </w:p>
              </w:tc>
              <w:tc>
                <w:tcPr>
                  <w:tcW w:w="725" w:type="dxa"/>
                  <w:shd w:val="clear" w:color="auto" w:fill="auto"/>
                  <w:vAlign w:val="center"/>
                </w:tcPr>
                <w:p w:rsidR="00D750FB" w:rsidRPr="00D750FB" w:rsidRDefault="00E75264" w:rsidP="00D750FB">
                  <w:pPr>
                    <w:pStyle w:val="TableBodyText"/>
                  </w:pPr>
                  <w:r>
                    <w:t xml:space="preserve"> </w:t>
                  </w:r>
                  <w:r w:rsidR="00D750FB" w:rsidRPr="00D750FB">
                    <w:t>870</w:t>
                  </w:r>
                </w:p>
              </w:tc>
              <w:tc>
                <w:tcPr>
                  <w:tcW w:w="712" w:type="dxa"/>
                  <w:shd w:val="clear" w:color="auto" w:fill="auto"/>
                  <w:vAlign w:val="center"/>
                </w:tcPr>
                <w:p w:rsidR="00D750FB" w:rsidRPr="00D750FB" w:rsidRDefault="00E75264" w:rsidP="00D750FB">
                  <w:pPr>
                    <w:pStyle w:val="TableBodyText"/>
                  </w:pPr>
                  <w:r>
                    <w:t xml:space="preserve"> </w:t>
                  </w:r>
                  <w:r w:rsidR="00D750FB" w:rsidRPr="00D750FB">
                    <w:t>745</w:t>
                  </w:r>
                </w:p>
              </w:tc>
              <w:tc>
                <w:tcPr>
                  <w:tcW w:w="714" w:type="dxa"/>
                  <w:shd w:val="clear" w:color="auto" w:fill="auto"/>
                  <w:vAlign w:val="center"/>
                </w:tcPr>
                <w:p w:rsidR="00D750FB" w:rsidRPr="00D750FB" w:rsidRDefault="00E75264" w:rsidP="00D750FB">
                  <w:pPr>
                    <w:pStyle w:val="TableBodyText"/>
                  </w:pPr>
                  <w:r>
                    <w:t xml:space="preserve"> </w:t>
                  </w:r>
                  <w:r w:rsidR="00D750FB" w:rsidRPr="00D750FB">
                    <w:t>442</w:t>
                  </w:r>
                </w:p>
              </w:tc>
              <w:tc>
                <w:tcPr>
                  <w:tcW w:w="715" w:type="dxa"/>
                  <w:shd w:val="clear" w:color="auto" w:fill="auto"/>
                  <w:vAlign w:val="center"/>
                </w:tcPr>
                <w:p w:rsidR="00D750FB" w:rsidRPr="00D750FB" w:rsidRDefault="00E75264" w:rsidP="00D750FB">
                  <w:pPr>
                    <w:pStyle w:val="TableBodyText"/>
                  </w:pPr>
                  <w:r>
                    <w:t xml:space="preserve"> </w:t>
                  </w:r>
                  <w:r w:rsidR="00D750FB" w:rsidRPr="00D750FB">
                    <w:t>237</w:t>
                  </w:r>
                </w:p>
              </w:tc>
              <w:tc>
                <w:tcPr>
                  <w:tcW w:w="712" w:type="dxa"/>
                  <w:shd w:val="clear" w:color="auto" w:fill="auto"/>
                  <w:vAlign w:val="center"/>
                </w:tcPr>
                <w:p w:rsidR="00D750FB" w:rsidRPr="00D750FB" w:rsidRDefault="00E75264" w:rsidP="00D750FB">
                  <w:pPr>
                    <w:pStyle w:val="TableBodyText"/>
                  </w:pPr>
                  <w:r>
                    <w:t xml:space="preserve"> </w:t>
                  </w:r>
                  <w:r w:rsidR="00D750FB" w:rsidRPr="00D750FB">
                    <w:t>254</w:t>
                  </w:r>
                </w:p>
              </w:tc>
              <w:tc>
                <w:tcPr>
                  <w:tcW w:w="716" w:type="dxa"/>
                  <w:shd w:val="clear" w:color="auto" w:fill="auto"/>
                  <w:vAlign w:val="center"/>
                </w:tcPr>
                <w:p w:rsidR="00D750FB" w:rsidRPr="00D750FB" w:rsidRDefault="00E75264" w:rsidP="00D750FB">
                  <w:pPr>
                    <w:pStyle w:val="TableBodyText"/>
                  </w:pPr>
                  <w:r>
                    <w:t xml:space="preserve"> </w:t>
                  </w:r>
                  <w:r w:rsidR="00D750FB" w:rsidRPr="00D750FB">
                    <w:t>77</w:t>
                  </w:r>
                </w:p>
              </w:tc>
              <w:tc>
                <w:tcPr>
                  <w:tcW w:w="720" w:type="dxa"/>
                  <w:shd w:val="clear" w:color="auto" w:fill="auto"/>
                  <w:vAlign w:val="center"/>
                </w:tcPr>
                <w:p w:rsidR="00D750FB" w:rsidRPr="00D750FB" w:rsidRDefault="00E75264" w:rsidP="00D750FB">
                  <w:pPr>
                    <w:pStyle w:val="TableBodyText"/>
                  </w:pPr>
                  <w:r>
                    <w:t xml:space="preserve"> </w:t>
                  </w:r>
                  <w:r w:rsidR="00D750FB" w:rsidRPr="00D750FB">
                    <w:t>24</w:t>
                  </w:r>
                </w:p>
              </w:tc>
              <w:tc>
                <w:tcPr>
                  <w:tcW w:w="711" w:type="dxa"/>
                  <w:shd w:val="clear" w:color="auto" w:fill="auto"/>
                  <w:vAlign w:val="center"/>
                </w:tcPr>
                <w:p w:rsidR="00D750FB" w:rsidRPr="00D750FB" w:rsidRDefault="00E75264" w:rsidP="00D750FB">
                  <w:pPr>
                    <w:pStyle w:val="TableBodyText"/>
                  </w:pPr>
                  <w:r>
                    <w:t xml:space="preserve"> </w:t>
                  </w:r>
                  <w:r w:rsidR="00D750FB" w:rsidRPr="00D750FB">
                    <w:t>12</w:t>
                  </w:r>
                </w:p>
              </w:tc>
              <w:tc>
                <w:tcPr>
                  <w:tcW w:w="715" w:type="dxa"/>
                  <w:shd w:val="clear" w:color="auto" w:fill="auto"/>
                  <w:vAlign w:val="center"/>
                </w:tcPr>
                <w:p w:rsidR="00D750FB" w:rsidRPr="00D750FB" w:rsidRDefault="00D750FB" w:rsidP="00D750FB">
                  <w:pPr>
                    <w:pStyle w:val="TableBodyText"/>
                    <w:ind w:right="4"/>
                  </w:pPr>
                  <w:r w:rsidRPr="00D750FB">
                    <w:t xml:space="preserve"> 2 661</w:t>
                  </w:r>
                </w:p>
              </w:tc>
            </w:tr>
            <w:tr w:rsidR="00D750FB" w:rsidRPr="00417108" w:rsidTr="00B85E8D">
              <w:tc>
                <w:tcPr>
                  <w:tcW w:w="2047" w:type="dxa"/>
                  <w:tcBorders>
                    <w:bottom w:val="single" w:sz="6" w:space="0" w:color="BFBFBF"/>
                  </w:tcBorders>
                  <w:shd w:val="clear" w:color="auto" w:fill="auto"/>
                  <w:vAlign w:val="bottom"/>
                </w:tcPr>
                <w:p w:rsidR="00D750FB" w:rsidRPr="006B2192" w:rsidRDefault="00D750FB" w:rsidP="005D39DF">
                  <w:pPr>
                    <w:pStyle w:val="TableBodyText"/>
                    <w:ind w:left="142"/>
                    <w:jc w:val="left"/>
                  </w:pPr>
                  <w:r>
                    <w:t>% 3 year accredited</w:t>
                  </w:r>
                </w:p>
              </w:tc>
              <w:tc>
                <w:tcPr>
                  <w:tcW w:w="725" w:type="dxa"/>
                  <w:tcBorders>
                    <w:bottom w:val="single" w:sz="6" w:space="0" w:color="BFBFBF"/>
                  </w:tcBorders>
                  <w:shd w:val="clear" w:color="auto" w:fill="auto"/>
                  <w:vAlign w:val="center"/>
                </w:tcPr>
                <w:p w:rsidR="00D750FB" w:rsidRPr="00D750FB" w:rsidRDefault="00E75264" w:rsidP="00D750FB">
                  <w:pPr>
                    <w:pStyle w:val="TableBodyText"/>
                  </w:pPr>
                  <w:r>
                    <w:t xml:space="preserve"> </w:t>
                  </w:r>
                  <w:r w:rsidR="00D750FB" w:rsidRPr="00D750FB">
                    <w:t>97.6</w:t>
                  </w:r>
                </w:p>
              </w:tc>
              <w:tc>
                <w:tcPr>
                  <w:tcW w:w="712" w:type="dxa"/>
                  <w:tcBorders>
                    <w:bottom w:val="single" w:sz="6" w:space="0" w:color="BFBFBF"/>
                  </w:tcBorders>
                  <w:shd w:val="clear" w:color="auto" w:fill="auto"/>
                  <w:vAlign w:val="center"/>
                </w:tcPr>
                <w:p w:rsidR="00D750FB" w:rsidRPr="00D750FB" w:rsidRDefault="00E75264" w:rsidP="00D750FB">
                  <w:pPr>
                    <w:pStyle w:val="TableBodyText"/>
                  </w:pPr>
                  <w:r>
                    <w:t xml:space="preserve"> </w:t>
                  </w:r>
                  <w:r w:rsidR="00D750FB" w:rsidRPr="00D750FB">
                    <w:t>98.5</w:t>
                  </w:r>
                </w:p>
              </w:tc>
              <w:tc>
                <w:tcPr>
                  <w:tcW w:w="714" w:type="dxa"/>
                  <w:tcBorders>
                    <w:bottom w:val="single" w:sz="6" w:space="0" w:color="BFBFBF"/>
                  </w:tcBorders>
                  <w:shd w:val="clear" w:color="auto" w:fill="auto"/>
                  <w:vAlign w:val="center"/>
                </w:tcPr>
                <w:p w:rsidR="00D750FB" w:rsidRPr="00D750FB" w:rsidRDefault="00E75264" w:rsidP="00D750FB">
                  <w:pPr>
                    <w:pStyle w:val="TableBodyText"/>
                  </w:pPr>
                  <w:r>
                    <w:t xml:space="preserve"> </w:t>
                  </w:r>
                  <w:r w:rsidR="00D750FB" w:rsidRPr="00D750FB">
                    <w:t>95.2</w:t>
                  </w:r>
                </w:p>
              </w:tc>
              <w:tc>
                <w:tcPr>
                  <w:tcW w:w="715" w:type="dxa"/>
                  <w:tcBorders>
                    <w:bottom w:val="single" w:sz="6" w:space="0" w:color="BFBFBF"/>
                  </w:tcBorders>
                  <w:shd w:val="clear" w:color="auto" w:fill="auto"/>
                  <w:vAlign w:val="center"/>
                </w:tcPr>
                <w:p w:rsidR="00D750FB" w:rsidRPr="00D750FB" w:rsidRDefault="00E75264" w:rsidP="00D750FB">
                  <w:pPr>
                    <w:pStyle w:val="TableBodyText"/>
                  </w:pPr>
                  <w:r>
                    <w:t xml:space="preserve"> </w:t>
                  </w:r>
                  <w:r w:rsidR="00D750FB" w:rsidRPr="00D750FB">
                    <w:t>98.3</w:t>
                  </w:r>
                </w:p>
              </w:tc>
              <w:tc>
                <w:tcPr>
                  <w:tcW w:w="712" w:type="dxa"/>
                  <w:tcBorders>
                    <w:bottom w:val="single" w:sz="6" w:space="0" w:color="BFBFBF"/>
                  </w:tcBorders>
                  <w:shd w:val="clear" w:color="auto" w:fill="auto"/>
                  <w:vAlign w:val="center"/>
                </w:tcPr>
                <w:p w:rsidR="00D750FB" w:rsidRPr="00D750FB" w:rsidRDefault="00E75264" w:rsidP="00D750FB">
                  <w:pPr>
                    <w:pStyle w:val="TableBodyText"/>
                  </w:pPr>
                  <w:r>
                    <w:t xml:space="preserve"> </w:t>
                  </w:r>
                  <w:r w:rsidR="00D750FB" w:rsidRPr="00D750FB">
                    <w:t>98.0</w:t>
                  </w:r>
                </w:p>
              </w:tc>
              <w:tc>
                <w:tcPr>
                  <w:tcW w:w="716" w:type="dxa"/>
                  <w:tcBorders>
                    <w:bottom w:val="single" w:sz="6" w:space="0" w:color="BFBFBF"/>
                  </w:tcBorders>
                  <w:shd w:val="clear" w:color="auto" w:fill="auto"/>
                  <w:vAlign w:val="center"/>
                </w:tcPr>
                <w:p w:rsidR="00D750FB" w:rsidRPr="00D750FB" w:rsidRDefault="00E75264" w:rsidP="00D750FB">
                  <w:pPr>
                    <w:pStyle w:val="TableBodyText"/>
                  </w:pPr>
                  <w:r>
                    <w:t xml:space="preserve"> </w:t>
                  </w:r>
                  <w:r w:rsidR="00D750FB" w:rsidRPr="00D750FB">
                    <w:t>100.0</w:t>
                  </w:r>
                </w:p>
              </w:tc>
              <w:tc>
                <w:tcPr>
                  <w:tcW w:w="720" w:type="dxa"/>
                  <w:tcBorders>
                    <w:bottom w:val="single" w:sz="6" w:space="0" w:color="BFBFBF"/>
                  </w:tcBorders>
                  <w:shd w:val="clear" w:color="auto" w:fill="auto"/>
                  <w:vAlign w:val="center"/>
                </w:tcPr>
                <w:p w:rsidR="00D750FB" w:rsidRPr="00D750FB" w:rsidRDefault="00E75264" w:rsidP="00D750FB">
                  <w:pPr>
                    <w:pStyle w:val="TableBodyText"/>
                  </w:pPr>
                  <w:r>
                    <w:t xml:space="preserve"> </w:t>
                  </w:r>
                  <w:r w:rsidR="00D750FB" w:rsidRPr="00D750FB">
                    <w:t>100.0</w:t>
                  </w:r>
                </w:p>
              </w:tc>
              <w:tc>
                <w:tcPr>
                  <w:tcW w:w="711" w:type="dxa"/>
                  <w:tcBorders>
                    <w:bottom w:val="single" w:sz="6" w:space="0" w:color="BFBFBF"/>
                  </w:tcBorders>
                  <w:shd w:val="clear" w:color="auto" w:fill="auto"/>
                  <w:vAlign w:val="center"/>
                </w:tcPr>
                <w:p w:rsidR="00D750FB" w:rsidRPr="00D750FB" w:rsidRDefault="00E75264" w:rsidP="00D750FB">
                  <w:pPr>
                    <w:pStyle w:val="TableBodyText"/>
                  </w:pPr>
                  <w:r>
                    <w:t xml:space="preserve"> </w:t>
                  </w:r>
                  <w:r w:rsidR="00D750FB" w:rsidRPr="00D750FB">
                    <w:t>83.3</w:t>
                  </w:r>
                </w:p>
              </w:tc>
              <w:tc>
                <w:tcPr>
                  <w:tcW w:w="715" w:type="dxa"/>
                  <w:tcBorders>
                    <w:bottom w:val="single" w:sz="6" w:space="0" w:color="BFBFBF"/>
                  </w:tcBorders>
                  <w:shd w:val="clear" w:color="auto" w:fill="auto"/>
                  <w:vAlign w:val="center"/>
                </w:tcPr>
                <w:p w:rsidR="00D750FB" w:rsidRPr="00D750FB" w:rsidRDefault="00E75264" w:rsidP="00D750FB">
                  <w:pPr>
                    <w:pStyle w:val="TableBodyText"/>
                    <w:ind w:right="4"/>
                  </w:pPr>
                  <w:r>
                    <w:t xml:space="preserve"> </w:t>
                  </w:r>
                  <w:r w:rsidR="00D750FB" w:rsidRPr="00D750FB">
                    <w:t>97.6</w:t>
                  </w:r>
                </w:p>
              </w:tc>
            </w:tr>
          </w:tbl>
          <w:p w:rsidR="00F82615" w:rsidRDefault="00F82615" w:rsidP="005D39DF">
            <w:pPr>
              <w:pStyle w:val="Box"/>
            </w:pPr>
          </w:p>
        </w:tc>
      </w:tr>
      <w:tr w:rsidR="00F82615" w:rsidTr="005D39DF">
        <w:trPr>
          <w:cantSplit/>
        </w:trPr>
        <w:tc>
          <w:tcPr>
            <w:tcW w:w="8771" w:type="dxa"/>
            <w:tcBorders>
              <w:top w:val="nil"/>
              <w:left w:val="nil"/>
              <w:bottom w:val="nil"/>
              <w:right w:val="nil"/>
            </w:tcBorders>
            <w:shd w:val="clear" w:color="auto" w:fill="auto"/>
          </w:tcPr>
          <w:p w:rsidR="00F82615" w:rsidRDefault="00D750FB" w:rsidP="00E174BA">
            <w:pPr>
              <w:pStyle w:val="Note"/>
              <w:rPr>
                <w:i/>
              </w:rPr>
            </w:pPr>
            <w:r w:rsidRPr="00087FC4">
              <w:rPr>
                <w:rStyle w:val="NoteLabel"/>
              </w:rPr>
              <w:t xml:space="preserve">a </w:t>
            </w:r>
            <w:r w:rsidRPr="006F23A3">
              <w:t>See box</w:t>
            </w:r>
            <w:r w:rsidR="00E75264">
              <w:t> </w:t>
            </w:r>
            <w:r>
              <w:t>13</w:t>
            </w:r>
            <w:r w:rsidRPr="006F23A3">
              <w:t>.</w:t>
            </w:r>
            <w:r>
              <w:t>1</w:t>
            </w:r>
            <w:r w:rsidR="00E174BA">
              <w:t>0</w:t>
            </w:r>
            <w:r w:rsidRPr="006F23A3">
              <w:t xml:space="preserve"> and table</w:t>
            </w:r>
            <w:r>
              <w:t>s</w:t>
            </w:r>
            <w:r w:rsidR="00E75264">
              <w:t> </w:t>
            </w:r>
            <w:proofErr w:type="spellStart"/>
            <w:r>
              <w:t>13</w:t>
            </w:r>
            <w:r w:rsidRPr="006F23A3">
              <w:t>A.</w:t>
            </w:r>
            <w:r>
              <w:t>43</w:t>
            </w:r>
            <w:proofErr w:type="spellEnd"/>
            <w:r>
              <w:t xml:space="preserve"> and </w:t>
            </w:r>
            <w:proofErr w:type="spellStart"/>
            <w:r>
              <w:t>13A.46</w:t>
            </w:r>
            <w:proofErr w:type="spellEnd"/>
            <w:r w:rsidRPr="006F23A3">
              <w:t xml:space="preserve"> for detailed</w:t>
            </w:r>
            <w:r w:rsidRPr="0032221B">
              <w:t xml:space="preserve"> definitions, footnotes and caveats</w:t>
            </w:r>
            <w:r w:rsidRPr="006F23A3">
              <w:t>.</w:t>
            </w:r>
            <w:r w:rsidR="00F82615" w:rsidRPr="00F82615">
              <w:t xml:space="preserve"> </w:t>
            </w:r>
          </w:p>
        </w:tc>
      </w:tr>
      <w:tr w:rsidR="00F82615" w:rsidTr="005D39DF">
        <w:trPr>
          <w:cantSplit/>
        </w:trPr>
        <w:tc>
          <w:tcPr>
            <w:tcW w:w="8771" w:type="dxa"/>
            <w:tcBorders>
              <w:top w:val="nil"/>
              <w:left w:val="nil"/>
              <w:bottom w:val="nil"/>
              <w:right w:val="nil"/>
            </w:tcBorders>
            <w:shd w:val="clear" w:color="auto" w:fill="auto"/>
          </w:tcPr>
          <w:p w:rsidR="00F82615" w:rsidRDefault="00F82615" w:rsidP="00D750FB">
            <w:pPr>
              <w:pStyle w:val="Source"/>
            </w:pPr>
            <w:r w:rsidRPr="00F82615">
              <w:rPr>
                <w:i/>
              </w:rPr>
              <w:t>Source</w:t>
            </w:r>
            <w:r w:rsidR="0007332D" w:rsidRPr="0007332D">
              <w:t>:</w:t>
            </w:r>
            <w:r w:rsidR="00A7461C" w:rsidRPr="0007332D">
              <w:t xml:space="preserve"> </w:t>
            </w:r>
            <w:r w:rsidR="00A7461C" w:rsidRPr="00CC56A6">
              <w:rPr>
                <w:shd w:val="clear" w:color="auto" w:fill="FFFFFF" w:themeFill="background1"/>
              </w:rPr>
              <w:t>Australian Aged Care Quality Agency</w:t>
            </w:r>
            <w:r w:rsidR="00A7461C" w:rsidRPr="00CC56A6">
              <w:rPr>
                <w:i/>
                <w:shd w:val="clear" w:color="auto" w:fill="FFFFFF" w:themeFill="background1"/>
              </w:rPr>
              <w:t xml:space="preserve"> </w:t>
            </w:r>
            <w:r w:rsidRPr="00CC56A6">
              <w:rPr>
                <w:shd w:val="clear" w:color="auto" w:fill="FFFFFF" w:themeFill="background1"/>
              </w:rPr>
              <w:t>(</w:t>
            </w:r>
            <w:r w:rsidRPr="00F82615">
              <w:t>unpublished); tables</w:t>
            </w:r>
            <w:r w:rsidR="009551A0">
              <w:t> </w:t>
            </w:r>
            <w:proofErr w:type="spellStart"/>
            <w:r w:rsidRPr="00F82615">
              <w:t>13A.</w:t>
            </w:r>
            <w:r w:rsidR="00D750FB">
              <w:t>43</w:t>
            </w:r>
            <w:proofErr w:type="spellEnd"/>
            <w:r w:rsidRPr="00F82615">
              <w:t xml:space="preserve"> and </w:t>
            </w:r>
            <w:proofErr w:type="spellStart"/>
            <w:r w:rsidRPr="00F82615">
              <w:t>13A.</w:t>
            </w:r>
            <w:r w:rsidR="00D750FB">
              <w:t>46</w:t>
            </w:r>
            <w:proofErr w:type="spellEnd"/>
            <w:r w:rsidRPr="00F82615">
              <w:t>.</w:t>
            </w:r>
          </w:p>
        </w:tc>
      </w:tr>
      <w:tr w:rsidR="00F82615" w:rsidTr="005D39DF">
        <w:trPr>
          <w:cantSplit/>
        </w:trPr>
        <w:tc>
          <w:tcPr>
            <w:tcW w:w="8771" w:type="dxa"/>
            <w:tcBorders>
              <w:top w:val="nil"/>
              <w:left w:val="nil"/>
              <w:bottom w:val="single" w:sz="6" w:space="0" w:color="78A22F" w:themeColor="accent1"/>
              <w:right w:val="nil"/>
            </w:tcBorders>
            <w:shd w:val="clear" w:color="auto" w:fill="auto"/>
          </w:tcPr>
          <w:p w:rsidR="00F82615" w:rsidRDefault="00F82615" w:rsidP="005D39DF">
            <w:pPr>
              <w:pStyle w:val="Box"/>
              <w:spacing w:before="0" w:line="120" w:lineRule="exact"/>
            </w:pPr>
          </w:p>
        </w:tc>
      </w:tr>
      <w:tr w:rsidR="00F82615" w:rsidRPr="000863A5" w:rsidTr="005D39DF">
        <w:tc>
          <w:tcPr>
            <w:tcW w:w="8771" w:type="dxa"/>
            <w:tcBorders>
              <w:top w:val="single" w:sz="6" w:space="0" w:color="78A22F" w:themeColor="accent1"/>
              <w:left w:val="nil"/>
              <w:bottom w:val="nil"/>
              <w:right w:val="nil"/>
            </w:tcBorders>
          </w:tcPr>
          <w:p w:rsidR="00F82615" w:rsidRPr="00626D32" w:rsidRDefault="00F82615" w:rsidP="005D39DF">
            <w:pPr>
              <w:pStyle w:val="BoxSpaceBelow"/>
            </w:pPr>
          </w:p>
        </w:tc>
      </w:tr>
    </w:tbl>
    <w:p w:rsidR="009E0820" w:rsidRDefault="001674AF" w:rsidP="009E0820">
      <w:pPr>
        <w:pStyle w:val="Heading4"/>
      </w:pPr>
      <w:r>
        <w:t xml:space="preserve">Quality – </w:t>
      </w:r>
      <w:r w:rsidR="009E0820" w:rsidRPr="00A0387D">
        <w:t xml:space="preserve">Compliance with service standards for </w:t>
      </w:r>
      <w:r w:rsidR="009E0820" w:rsidRPr="00B73095">
        <w:t>home care and support</w:t>
      </w:r>
    </w:p>
    <w:p w:rsidR="0085349D" w:rsidRDefault="009E0820" w:rsidP="0085349D">
      <w:pPr>
        <w:pStyle w:val="BodyText"/>
      </w:pPr>
      <w:r w:rsidRPr="00A0387D">
        <w:t xml:space="preserve">‘Compliance with service standards for </w:t>
      </w:r>
      <w:r>
        <w:t>home care and support</w:t>
      </w:r>
      <w:r w:rsidRPr="00A0387D">
        <w:t xml:space="preserve">’ is an indicator of governments’ objective to ensure that </w:t>
      </w:r>
      <w:r w:rsidRPr="00B73095">
        <w:t>home care and support</w:t>
      </w:r>
      <w:r w:rsidRPr="00A0387D">
        <w:t xml:space="preserve"> programs provide </w:t>
      </w:r>
      <w:r w:rsidRPr="00B73095">
        <w:t>a minimum level of service</w:t>
      </w:r>
      <w:r w:rsidRPr="00A0387D">
        <w:t xml:space="preserve"> </w:t>
      </w:r>
      <w:r>
        <w:t xml:space="preserve">quality </w:t>
      </w:r>
      <w:r w:rsidRPr="00B73095">
        <w:t>and include systems for continuous improvement in the care provided to recipients</w:t>
      </w:r>
      <w:r w:rsidRPr="00A0387D">
        <w:t xml:space="preserve"> (box</w:t>
      </w:r>
      <w:r>
        <w:t> </w:t>
      </w:r>
      <w:r w:rsidRPr="00A0387D">
        <w:t>13.</w:t>
      </w:r>
      <w:r w:rsidR="003F45A9">
        <w:t>1</w:t>
      </w:r>
      <w:r w:rsidR="001D20C3">
        <w:t>1</w:t>
      </w:r>
      <w:r w:rsidRPr="00A0387D">
        <w:t>).</w:t>
      </w:r>
      <w:r>
        <w:t xml:space="preserve"> </w:t>
      </w:r>
    </w:p>
    <w:p w:rsidR="008C0E34" w:rsidRDefault="008C0E3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C0E34" w:rsidTr="006F100B">
        <w:tc>
          <w:tcPr>
            <w:tcW w:w="8771" w:type="dxa"/>
            <w:tcBorders>
              <w:top w:val="single" w:sz="6" w:space="0" w:color="78A22F"/>
              <w:left w:val="nil"/>
              <w:bottom w:val="nil"/>
              <w:right w:val="nil"/>
            </w:tcBorders>
            <w:shd w:val="clear" w:color="auto" w:fill="F2F2F2"/>
          </w:tcPr>
          <w:p w:rsidR="008C0E34" w:rsidRDefault="008C0E34" w:rsidP="008C0E34">
            <w:pPr>
              <w:pStyle w:val="BoxTitle"/>
            </w:pPr>
            <w:r>
              <w:rPr>
                <w:b w:val="0"/>
              </w:rPr>
              <w:t xml:space="preserve">Box </w:t>
            </w:r>
            <w:r w:rsidR="00270EDF">
              <w:rPr>
                <w:b w:val="0"/>
              </w:rPr>
              <w:t>13.</w:t>
            </w:r>
            <w:r w:rsidR="00F132AA">
              <w:rPr>
                <w:b w:val="0"/>
                <w:noProof/>
              </w:rPr>
              <w:t>11</w:t>
            </w:r>
            <w:r>
              <w:tab/>
            </w:r>
            <w:r w:rsidRPr="006D3E10">
              <w:t xml:space="preserve">Compliance with service standards for </w:t>
            </w:r>
            <w:r w:rsidRPr="00B73095">
              <w:t>home care and support</w:t>
            </w:r>
            <w:r>
              <w:t xml:space="preserve"> </w:t>
            </w:r>
          </w:p>
        </w:tc>
      </w:tr>
      <w:tr w:rsidR="008C0E34" w:rsidTr="006F100B">
        <w:trPr>
          <w:cantSplit/>
        </w:trPr>
        <w:tc>
          <w:tcPr>
            <w:tcW w:w="8771" w:type="dxa"/>
            <w:tcBorders>
              <w:top w:val="nil"/>
              <w:left w:val="nil"/>
              <w:bottom w:val="nil"/>
              <w:right w:val="nil"/>
            </w:tcBorders>
            <w:shd w:val="clear" w:color="auto" w:fill="F2F2F2"/>
          </w:tcPr>
          <w:p w:rsidR="008C0E34" w:rsidRDefault="008C0E34" w:rsidP="008C0E34">
            <w:pPr>
              <w:pStyle w:val="Box"/>
            </w:pPr>
            <w:r>
              <w:t xml:space="preserve">Compliance with service standards for </w:t>
            </w:r>
            <w:r w:rsidR="00AD3960" w:rsidRPr="00AD3960">
              <w:t>home care and support’</w:t>
            </w:r>
            <w:r>
              <w:t xml:space="preserve"> is defined as the proportion of reviews of </w:t>
            </w:r>
            <w:r w:rsidR="00AD3960">
              <w:t>home care and support</w:t>
            </w:r>
            <w:r>
              <w:t xml:space="preserve"> services that met all expected outcomes under each of the Home Care Common Standards:</w:t>
            </w:r>
            <w:r w:rsidR="00E75264">
              <w:t xml:space="preserve"> </w:t>
            </w:r>
          </w:p>
          <w:p w:rsidR="008C0E34" w:rsidRDefault="008C0E34" w:rsidP="008C0E34">
            <w:pPr>
              <w:pStyle w:val="BoxListBullet"/>
            </w:pPr>
            <w:r>
              <w:t xml:space="preserve">Standard 1 </w:t>
            </w:r>
            <w:r>
              <w:rPr>
                <w:rFonts w:ascii="Calibri" w:hAnsi="Calibri"/>
              </w:rPr>
              <w:t>—</w:t>
            </w:r>
            <w:r>
              <w:t xml:space="preserve"> Effective management </w:t>
            </w:r>
            <w:r>
              <w:rPr>
                <w:rFonts w:ascii="Calibri" w:hAnsi="Calibri"/>
              </w:rPr>
              <w:t>—</w:t>
            </w:r>
            <w:r>
              <w:t xml:space="preserve"> </w:t>
            </w:r>
            <w:r w:rsidRPr="004D48B4">
              <w:t>the service provider demonstrates effective management processes based on a continuous improvement approach to service management, planning and delivery</w:t>
            </w:r>
            <w:r>
              <w:t>.</w:t>
            </w:r>
          </w:p>
          <w:p w:rsidR="00F23DB8" w:rsidRDefault="00F23DB8" w:rsidP="00F23DB8">
            <w:pPr>
              <w:pStyle w:val="BoxListBullet"/>
            </w:pPr>
            <w:r>
              <w:t xml:space="preserve">Standard 2 </w:t>
            </w:r>
            <w:r>
              <w:rPr>
                <w:rFonts w:ascii="Calibri" w:hAnsi="Calibri"/>
              </w:rPr>
              <w:t>—</w:t>
            </w:r>
            <w:r>
              <w:t xml:space="preserve"> Appropriate access and service delivery </w:t>
            </w:r>
            <w:r>
              <w:rPr>
                <w:rFonts w:ascii="Calibri" w:hAnsi="Calibri"/>
              </w:rPr>
              <w:t>—</w:t>
            </w:r>
            <w:r w:rsidRPr="004D48B4">
              <w:t xml:space="preserve"> </w:t>
            </w:r>
            <w:r>
              <w:t>e</w:t>
            </w:r>
            <w:r w:rsidRPr="004D48B4">
              <w:t>ach service user (and prospective service user) has access to services and service users receive appropriate services that are planned, delivered and evaluated in partnership with themselves and/or their representatives</w:t>
            </w:r>
            <w:r>
              <w:t>.</w:t>
            </w:r>
          </w:p>
        </w:tc>
      </w:tr>
      <w:tr w:rsidR="008C0E34" w:rsidTr="006F100B">
        <w:trPr>
          <w:cantSplit/>
        </w:trPr>
        <w:tc>
          <w:tcPr>
            <w:tcW w:w="8771" w:type="dxa"/>
            <w:tcBorders>
              <w:top w:val="nil"/>
              <w:left w:val="nil"/>
              <w:bottom w:val="nil"/>
              <w:right w:val="nil"/>
            </w:tcBorders>
            <w:shd w:val="clear" w:color="auto" w:fill="F2F2F2"/>
          </w:tcPr>
          <w:p w:rsidR="008C0E34" w:rsidRPr="008C0E34" w:rsidRDefault="008C0E34" w:rsidP="003008BF">
            <w:pPr>
              <w:pStyle w:val="Continued"/>
            </w:pPr>
            <w:r w:rsidRPr="008C0E34">
              <w:t>(continued next page)</w:t>
            </w:r>
          </w:p>
        </w:tc>
      </w:tr>
      <w:tr w:rsidR="008C0E34" w:rsidTr="006F100B">
        <w:trPr>
          <w:cantSplit/>
        </w:trPr>
        <w:tc>
          <w:tcPr>
            <w:tcW w:w="8771" w:type="dxa"/>
            <w:tcBorders>
              <w:top w:val="nil"/>
              <w:left w:val="nil"/>
              <w:bottom w:val="single" w:sz="6" w:space="0" w:color="78A22F"/>
              <w:right w:val="nil"/>
            </w:tcBorders>
            <w:shd w:val="clear" w:color="auto" w:fill="F2F2F2"/>
          </w:tcPr>
          <w:p w:rsidR="008C0E34" w:rsidRDefault="008C0E34">
            <w:pPr>
              <w:pStyle w:val="Box"/>
              <w:spacing w:before="0" w:line="120" w:lineRule="exact"/>
            </w:pPr>
          </w:p>
        </w:tc>
      </w:tr>
      <w:tr w:rsidR="008C0E34" w:rsidRPr="000863A5" w:rsidTr="006F100B">
        <w:tc>
          <w:tcPr>
            <w:tcW w:w="8771" w:type="dxa"/>
            <w:tcBorders>
              <w:top w:val="single" w:sz="6" w:space="0" w:color="78A22F"/>
              <w:left w:val="nil"/>
              <w:bottom w:val="nil"/>
              <w:right w:val="nil"/>
            </w:tcBorders>
          </w:tcPr>
          <w:p w:rsidR="008C0E34" w:rsidRPr="00626D32" w:rsidRDefault="008C0E34" w:rsidP="006F100B">
            <w:pPr>
              <w:pStyle w:val="BoxSpaceBelow"/>
            </w:pPr>
          </w:p>
        </w:tc>
      </w:tr>
    </w:tbl>
    <w:p w:rsidR="003F45A9" w:rsidRDefault="003F45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45A9" w:rsidTr="00C64EFF">
        <w:tc>
          <w:tcPr>
            <w:tcW w:w="8771" w:type="dxa"/>
            <w:tcBorders>
              <w:top w:val="single" w:sz="6" w:space="0" w:color="78A22F"/>
              <w:left w:val="nil"/>
              <w:bottom w:val="nil"/>
              <w:right w:val="nil"/>
            </w:tcBorders>
            <w:shd w:val="clear" w:color="auto" w:fill="F2F2F2"/>
          </w:tcPr>
          <w:p w:rsidR="003F45A9" w:rsidRDefault="003F45A9" w:rsidP="00270EDF">
            <w:pPr>
              <w:pStyle w:val="BoxTitle"/>
            </w:pPr>
            <w:r>
              <w:rPr>
                <w:b w:val="0"/>
              </w:rPr>
              <w:t>Box</w:t>
            </w:r>
            <w:r w:rsidR="00270EDF">
              <w:rPr>
                <w:b w:val="0"/>
              </w:rPr>
              <w:t xml:space="preserve"> 13.11</w:t>
            </w:r>
            <w:r>
              <w:tab/>
            </w:r>
            <w:r w:rsidR="008C0E34" w:rsidRPr="008C0E34">
              <w:rPr>
                <w:b w:val="0"/>
                <w:sz w:val="18"/>
                <w:szCs w:val="20"/>
              </w:rPr>
              <w:t>(continued)</w:t>
            </w:r>
            <w:r w:rsidR="00F927F4">
              <w:t xml:space="preserve"> </w:t>
            </w:r>
          </w:p>
        </w:tc>
      </w:tr>
      <w:tr w:rsidR="003F45A9" w:rsidTr="00C64EFF">
        <w:trPr>
          <w:cantSplit/>
        </w:trPr>
        <w:tc>
          <w:tcPr>
            <w:tcW w:w="8771" w:type="dxa"/>
            <w:tcBorders>
              <w:top w:val="nil"/>
              <w:left w:val="nil"/>
              <w:bottom w:val="nil"/>
              <w:right w:val="nil"/>
            </w:tcBorders>
            <w:shd w:val="clear" w:color="auto" w:fill="F2F2F2"/>
          </w:tcPr>
          <w:p w:rsidR="00F927F4" w:rsidRDefault="00F927F4" w:rsidP="00F927F4">
            <w:pPr>
              <w:pStyle w:val="BoxListBullet"/>
            </w:pPr>
            <w:r>
              <w:t xml:space="preserve">Standard 3 </w:t>
            </w:r>
            <w:r>
              <w:rPr>
                <w:rFonts w:ascii="Calibri" w:hAnsi="Calibri"/>
              </w:rPr>
              <w:t>—</w:t>
            </w:r>
            <w:r>
              <w:t xml:space="preserve"> Service user rights and responsibilities </w:t>
            </w:r>
            <w:r>
              <w:rPr>
                <w:rFonts w:ascii="Calibri" w:hAnsi="Calibri"/>
              </w:rPr>
              <w:t>—</w:t>
            </w:r>
            <w:r w:rsidRPr="004D48B4">
              <w:t xml:space="preserve"> </w:t>
            </w:r>
            <w:r>
              <w:t>e</w:t>
            </w:r>
            <w:r w:rsidRPr="004D48B4">
              <w:t>ach service user (and/or their representative) is provided with information to assist them to make service choices and has the right (and responsibility) to be consulted and respected. Service users (and/or their representative) have access to complaints and advocacy information and processes and their privacy and confidentiality and right to independence is respected</w:t>
            </w:r>
            <w:r>
              <w:t>.</w:t>
            </w:r>
          </w:p>
          <w:p w:rsidR="00F927F4" w:rsidRDefault="00A530B5" w:rsidP="00F927F4">
            <w:pPr>
              <w:pStyle w:val="Box"/>
            </w:pPr>
            <w:r w:rsidRPr="00864C90">
              <w:t xml:space="preserve">Services </w:t>
            </w:r>
            <w:r w:rsidR="00576E67">
              <w:t>were</w:t>
            </w:r>
            <w:r w:rsidRPr="00864C90">
              <w:t xml:space="preserve"> required to appraise their performance against the Home Care Common Standards and complete a quality review at least once during </w:t>
            </w:r>
            <w:r w:rsidR="00576E67">
              <w:t>the</w:t>
            </w:r>
            <w:r w:rsidRPr="00864C90">
              <w:t xml:space="preserve"> three year cycle. </w:t>
            </w:r>
            <w:r w:rsidR="00F927F4" w:rsidRPr="00864C90">
              <w:t xml:space="preserve">The number of reviews that were completed </w:t>
            </w:r>
            <w:r w:rsidR="006E7D56" w:rsidRPr="00864C90">
              <w:t>each year is</w:t>
            </w:r>
            <w:r w:rsidR="00576E67">
              <w:t xml:space="preserve"> </w:t>
            </w:r>
            <w:r w:rsidR="00F927F4" w:rsidRPr="00864C90">
              <w:t>provided</w:t>
            </w:r>
            <w:r w:rsidR="00F927F4">
              <w:t xml:space="preserve"> for information. Data are reported for the </w:t>
            </w:r>
            <w:r w:rsidR="00F927F4" w:rsidRPr="00E515AD">
              <w:t>Home Care Packages Program and National Respite for Carers</w:t>
            </w:r>
            <w:r w:rsidR="00F927F4">
              <w:t xml:space="preserve"> </w:t>
            </w:r>
            <w:r w:rsidR="00F927F4" w:rsidRPr="00E515AD">
              <w:t>Program</w:t>
            </w:r>
            <w:r w:rsidR="00F927F4">
              <w:t xml:space="preserve"> (NRCP)</w:t>
            </w:r>
            <w:r w:rsidR="00F927F4" w:rsidRPr="00E515AD">
              <w:t xml:space="preserve"> combined</w:t>
            </w:r>
            <w:r w:rsidR="00F927F4">
              <w:t>,</w:t>
            </w:r>
            <w:r w:rsidR="00F927F4" w:rsidRPr="00E515AD">
              <w:t xml:space="preserve"> and sepa</w:t>
            </w:r>
            <w:r w:rsidR="00F927F4">
              <w:t>rately for the HACC program.</w:t>
            </w:r>
          </w:p>
          <w:p w:rsidR="00F927F4" w:rsidRPr="00AD3960" w:rsidRDefault="00F927F4" w:rsidP="00F927F4">
            <w:pPr>
              <w:pStyle w:val="Box"/>
            </w:pPr>
            <w:r>
              <w:t>A high or increasing proportion of reviews that met al</w:t>
            </w:r>
            <w:r w:rsidR="00EF2833">
              <w:t>l expected outcomes under each</w:t>
            </w:r>
            <w:r>
              <w:t xml:space="preserve"> of the Home Care Common Standa</w:t>
            </w:r>
            <w:r w:rsidR="00AD3960">
              <w:t xml:space="preserve">rds is desirable. </w:t>
            </w:r>
          </w:p>
          <w:p w:rsidR="00F927F4" w:rsidRDefault="00F927F4" w:rsidP="00F927F4">
            <w:pPr>
              <w:pStyle w:val="Box"/>
            </w:pPr>
            <w:r>
              <w:t>Data reported for this indicator are:</w:t>
            </w:r>
          </w:p>
          <w:p w:rsidR="00F927F4" w:rsidRPr="008C746C" w:rsidRDefault="00F927F4" w:rsidP="008C746C">
            <w:pPr>
              <w:pStyle w:val="BoxListBullet"/>
            </w:pPr>
            <w:r>
              <w:t xml:space="preserve">comparable (subject to caveats) across jurisdictions </w:t>
            </w:r>
            <w:r w:rsidR="00DA47DC" w:rsidRPr="00DA47DC">
              <w:rPr>
                <w:shd w:val="clear" w:color="auto" w:fill="F2F2F2" w:themeFill="background1" w:themeFillShade="F2"/>
              </w:rPr>
              <w:t>and</w:t>
            </w:r>
            <w:r w:rsidR="008C746C" w:rsidRPr="00DA47DC">
              <w:rPr>
                <w:shd w:val="clear" w:color="auto" w:fill="F2F2F2" w:themeFill="background1" w:themeFillShade="F2"/>
              </w:rPr>
              <w:t xml:space="preserve"> overtime</w:t>
            </w:r>
            <w:r w:rsidR="008C746C" w:rsidRPr="008C746C">
              <w:rPr>
                <w:shd w:val="clear" w:color="auto" w:fill="BFBFBF" w:themeFill="background1" w:themeFillShade="BF"/>
              </w:rPr>
              <w:t xml:space="preserve"> </w:t>
            </w:r>
          </w:p>
          <w:p w:rsidR="00F927F4" w:rsidRDefault="00F927F4" w:rsidP="00F927F4">
            <w:pPr>
              <w:pStyle w:val="BoxListBullet"/>
            </w:pPr>
            <w:r>
              <w:t xml:space="preserve">complete </w:t>
            </w:r>
            <w:r w:rsidR="00C7774D">
              <w:t xml:space="preserve">(subject to caveats) </w:t>
            </w:r>
            <w:r>
              <w:t>for the current reporting period. All required 2014</w:t>
            </w:r>
            <w:r>
              <w:rPr>
                <w:rFonts w:ascii="Times New Roman" w:hAnsi="Times New Roman"/>
              </w:rPr>
              <w:noBreakHyphen/>
            </w:r>
            <w:r>
              <w:t xml:space="preserve">15 data are available for all jurisdictions. </w:t>
            </w:r>
          </w:p>
          <w:p w:rsidR="003F45A9" w:rsidRDefault="00AA3C69" w:rsidP="00F927F4">
            <w:pPr>
              <w:pStyle w:val="Box"/>
            </w:pPr>
            <w:r w:rsidRPr="00AA3C69">
              <w:t xml:space="preserve">Data quality information for this indicator is at </w:t>
            </w:r>
            <w:proofErr w:type="spellStart"/>
            <w:r w:rsidRPr="00AA3C69">
              <w:t>www.pc.gov.au</w:t>
            </w:r>
            <w:proofErr w:type="spellEnd"/>
            <w:r w:rsidRPr="00AA3C69">
              <w:t>/</w:t>
            </w:r>
            <w:proofErr w:type="spellStart"/>
            <w:r w:rsidRPr="00AA3C69">
              <w:t>rogs</w:t>
            </w:r>
            <w:proofErr w:type="spellEnd"/>
            <w:r w:rsidRPr="00AA3C69">
              <w:t>/2016</w:t>
            </w:r>
            <w:r w:rsidR="00B169DC">
              <w:t>.</w:t>
            </w:r>
          </w:p>
        </w:tc>
      </w:tr>
      <w:tr w:rsidR="003F45A9" w:rsidTr="00C64EFF">
        <w:trPr>
          <w:cantSplit/>
        </w:trPr>
        <w:tc>
          <w:tcPr>
            <w:tcW w:w="8771" w:type="dxa"/>
            <w:tcBorders>
              <w:top w:val="nil"/>
              <w:left w:val="nil"/>
              <w:bottom w:val="single" w:sz="6" w:space="0" w:color="78A22F"/>
              <w:right w:val="nil"/>
            </w:tcBorders>
            <w:shd w:val="clear" w:color="auto" w:fill="F2F2F2"/>
          </w:tcPr>
          <w:p w:rsidR="003F45A9" w:rsidRDefault="003F45A9">
            <w:pPr>
              <w:pStyle w:val="Box"/>
              <w:spacing w:before="0" w:line="120" w:lineRule="exact"/>
            </w:pPr>
          </w:p>
        </w:tc>
      </w:tr>
      <w:tr w:rsidR="003F45A9" w:rsidRPr="000863A5" w:rsidTr="00C64EFF">
        <w:tc>
          <w:tcPr>
            <w:tcW w:w="8771" w:type="dxa"/>
            <w:tcBorders>
              <w:top w:val="single" w:sz="6" w:space="0" w:color="78A22F"/>
              <w:left w:val="nil"/>
              <w:bottom w:val="nil"/>
              <w:right w:val="nil"/>
            </w:tcBorders>
          </w:tcPr>
          <w:p w:rsidR="003F45A9" w:rsidRPr="00626D32" w:rsidRDefault="003F45A9" w:rsidP="00C64EFF">
            <w:pPr>
              <w:pStyle w:val="BoxSpaceBelow"/>
            </w:pPr>
          </w:p>
        </w:tc>
      </w:tr>
    </w:tbl>
    <w:p w:rsidR="002B4257" w:rsidRDefault="00A530B5" w:rsidP="008C0E34">
      <w:pPr>
        <w:pStyle w:val="BodyText"/>
      </w:pPr>
      <w:r w:rsidRPr="006D3E10">
        <w:t>Nationally</w:t>
      </w:r>
      <w:r>
        <w:t xml:space="preserve"> in 2014</w:t>
      </w:r>
      <w:r w:rsidR="00E75264">
        <w:noBreakHyphen/>
      </w:r>
      <w:r>
        <w:t>15</w:t>
      </w:r>
      <w:r w:rsidRPr="006D3E10">
        <w:t xml:space="preserve">, a total of </w:t>
      </w:r>
      <w:r>
        <w:t>330</w:t>
      </w:r>
      <w:r w:rsidRPr="006D3E10">
        <w:t xml:space="preserve"> reviews of organisations providing Home Care and NRCP services were completed (table</w:t>
      </w:r>
      <w:r>
        <w:t> </w:t>
      </w:r>
      <w:r w:rsidRPr="006D3E10">
        <w:t>13.</w:t>
      </w:r>
      <w:r>
        <w:t>5</w:t>
      </w:r>
      <w:r w:rsidRPr="006D3E10">
        <w:t>)</w:t>
      </w:r>
      <w:r>
        <w:t xml:space="preserve"> and </w:t>
      </w:r>
      <w:r w:rsidR="006435D0">
        <w:t>382</w:t>
      </w:r>
      <w:r>
        <w:t xml:space="preserve"> reviews of organisations providing HACC (table</w:t>
      </w:r>
      <w:r w:rsidR="00E75264">
        <w:t> </w:t>
      </w:r>
      <w:r>
        <w:t>13.6)</w:t>
      </w:r>
      <w:r w:rsidRPr="006D3E10">
        <w:t xml:space="preserve">. </w:t>
      </w:r>
      <w:r w:rsidR="002B4257">
        <w:t xml:space="preserve">The proportion of </w:t>
      </w:r>
      <w:r w:rsidR="009708F5" w:rsidRPr="00864C90">
        <w:rPr>
          <w:shd w:val="clear" w:color="auto" w:fill="FFFFFF" w:themeFill="background1"/>
        </w:rPr>
        <w:t xml:space="preserve">these </w:t>
      </w:r>
      <w:r w:rsidR="002B4257" w:rsidRPr="00864C90">
        <w:rPr>
          <w:shd w:val="clear" w:color="auto" w:fill="FFFFFF" w:themeFill="background1"/>
        </w:rPr>
        <w:t>reviews that achieved all relevant expected outcomes was higher for Home Care/NRCP</w:t>
      </w:r>
      <w:r w:rsidRPr="00864C90">
        <w:rPr>
          <w:shd w:val="clear" w:color="auto" w:fill="FFFFFF" w:themeFill="background1"/>
        </w:rPr>
        <w:t xml:space="preserve"> than HACC</w:t>
      </w:r>
      <w:r w:rsidR="002B4257">
        <w:t>, across all three standards. These results varied across jurisdictions.</w:t>
      </w:r>
    </w:p>
    <w:p w:rsidR="007D748F" w:rsidRDefault="007D748F" w:rsidP="00C64EF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D748F" w:rsidTr="00C64EFF">
        <w:tc>
          <w:tcPr>
            <w:tcW w:w="8771" w:type="dxa"/>
            <w:tcBorders>
              <w:top w:val="single" w:sz="6" w:space="0" w:color="78A22F"/>
              <w:left w:val="nil"/>
              <w:bottom w:val="nil"/>
              <w:right w:val="nil"/>
            </w:tcBorders>
            <w:shd w:val="clear" w:color="auto" w:fill="auto"/>
          </w:tcPr>
          <w:p w:rsidR="007D748F" w:rsidRPr="00784A05" w:rsidRDefault="007D748F" w:rsidP="00380D6E">
            <w:pPr>
              <w:pStyle w:val="TableTitle"/>
            </w:pPr>
            <w:r>
              <w:rPr>
                <w:b w:val="0"/>
              </w:rPr>
              <w:t>Table 13.</w:t>
            </w:r>
            <w:r w:rsidR="00F132AA">
              <w:rPr>
                <w:b w:val="0"/>
                <w:noProof/>
              </w:rPr>
              <w:t>5</w:t>
            </w:r>
            <w:r>
              <w:tab/>
            </w:r>
            <w:r w:rsidR="00D750FB" w:rsidRPr="006D3E10">
              <w:t>Compliance with service standards for Home Care and NRCP, 201</w:t>
            </w:r>
            <w:r w:rsidR="00D750FB">
              <w:t>4</w:t>
            </w:r>
            <w:r w:rsidR="00D750FB">
              <w:noBreakHyphen/>
            </w:r>
            <w:r w:rsidR="00D750FB" w:rsidRPr="006D3E10">
              <w:t>1</w:t>
            </w:r>
            <w:r w:rsidR="00D750FB">
              <w:t>5</w:t>
            </w:r>
            <w:r w:rsidR="00380D6E" w:rsidRPr="00380D6E">
              <w:rPr>
                <w:rStyle w:val="NoteLabel"/>
                <w:b/>
              </w:rPr>
              <w:t>a</w:t>
            </w:r>
          </w:p>
        </w:tc>
      </w:tr>
      <w:tr w:rsidR="007D748F" w:rsidTr="00C64EF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230"/>
              <w:gridCol w:w="821"/>
              <w:gridCol w:w="684"/>
              <w:gridCol w:w="657"/>
              <w:gridCol w:w="849"/>
              <w:gridCol w:w="849"/>
              <w:gridCol w:w="849"/>
              <w:gridCol w:w="849"/>
              <w:gridCol w:w="850"/>
              <w:gridCol w:w="849"/>
            </w:tblGrid>
            <w:tr w:rsidR="007D748F" w:rsidRPr="00C44648" w:rsidTr="00C64EFF">
              <w:tc>
                <w:tcPr>
                  <w:tcW w:w="725"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rPr>
                      <w:rFonts w:ascii="Arial" w:hAnsi="Arial"/>
                      <w:i/>
                      <w:sz w:val="20"/>
                      <w:szCs w:val="20"/>
                    </w:rPr>
                  </w:pPr>
                </w:p>
              </w:tc>
              <w:tc>
                <w:tcPr>
                  <w:tcW w:w="484"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NSW</w:t>
                  </w:r>
                </w:p>
              </w:tc>
              <w:tc>
                <w:tcPr>
                  <w:tcW w:w="403"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Vic</w:t>
                  </w:r>
                </w:p>
              </w:tc>
              <w:tc>
                <w:tcPr>
                  <w:tcW w:w="387"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Qld</w:t>
                  </w:r>
                </w:p>
              </w:tc>
              <w:tc>
                <w:tcPr>
                  <w:tcW w:w="500"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WA</w:t>
                  </w:r>
                </w:p>
              </w:tc>
              <w:tc>
                <w:tcPr>
                  <w:tcW w:w="500"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SA</w:t>
                  </w:r>
                </w:p>
              </w:tc>
              <w:tc>
                <w:tcPr>
                  <w:tcW w:w="500"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Tas</w:t>
                  </w:r>
                </w:p>
              </w:tc>
              <w:tc>
                <w:tcPr>
                  <w:tcW w:w="500"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ACT</w:t>
                  </w:r>
                </w:p>
              </w:tc>
              <w:tc>
                <w:tcPr>
                  <w:tcW w:w="501"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NT</w:t>
                  </w:r>
                </w:p>
              </w:tc>
              <w:tc>
                <w:tcPr>
                  <w:tcW w:w="500" w:type="pct"/>
                  <w:tcBorders>
                    <w:top w:val="single" w:sz="6" w:space="0" w:color="BFBFBF"/>
                    <w:bottom w:val="single" w:sz="6" w:space="0" w:color="BFBFBF"/>
                  </w:tcBorders>
                </w:tcPr>
                <w:p w:rsidR="007D748F" w:rsidRPr="00C44648" w:rsidRDefault="007D748F"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Aust</w:t>
                  </w:r>
                </w:p>
              </w:tc>
            </w:tr>
            <w:tr w:rsidR="007D748F" w:rsidRPr="00C44648" w:rsidTr="00C64EFF">
              <w:tc>
                <w:tcPr>
                  <w:tcW w:w="4500" w:type="pct"/>
                  <w:gridSpan w:val="9"/>
                  <w:tcBorders>
                    <w:top w:val="single" w:sz="6" w:space="0" w:color="BFBFBF"/>
                  </w:tcBorders>
                  <w:shd w:val="clear" w:color="auto" w:fill="FFFFFF" w:themeFill="background1"/>
                </w:tcPr>
                <w:p w:rsidR="007D748F" w:rsidRPr="00C44648" w:rsidRDefault="007D748F" w:rsidP="00EB0497">
                  <w:pPr>
                    <w:keepNext/>
                    <w:keepLines/>
                    <w:spacing w:before="40" w:after="40" w:line="220" w:lineRule="atLeast"/>
                    <w:ind w:left="6" w:right="113"/>
                    <w:rPr>
                      <w:rFonts w:ascii="Arial" w:hAnsi="Arial"/>
                      <w:i/>
                      <w:sz w:val="20"/>
                      <w:szCs w:val="20"/>
                    </w:rPr>
                  </w:pPr>
                  <w:r w:rsidRPr="00C44648">
                    <w:rPr>
                      <w:rFonts w:ascii="Arial" w:hAnsi="Arial"/>
                      <w:i/>
                      <w:sz w:val="20"/>
                      <w:szCs w:val="20"/>
                    </w:rPr>
                    <w:t xml:space="preserve">Number of reviews completed </w:t>
                  </w:r>
                  <w:r w:rsidRPr="00C44648">
                    <w:rPr>
                      <w:rFonts w:ascii="Arial" w:hAnsi="Arial"/>
                      <w:sz w:val="20"/>
                      <w:szCs w:val="20"/>
                    </w:rPr>
                    <w:t xml:space="preserve">(no.) </w:t>
                  </w:r>
                </w:p>
              </w:tc>
              <w:tc>
                <w:tcPr>
                  <w:tcW w:w="500" w:type="pct"/>
                  <w:tcBorders>
                    <w:top w:val="single" w:sz="6" w:space="0" w:color="BFBFBF"/>
                  </w:tcBorders>
                  <w:shd w:val="clear" w:color="auto" w:fill="FFFFFF" w:themeFill="background1"/>
                </w:tcPr>
                <w:p w:rsidR="007D748F" w:rsidRPr="00C44648" w:rsidRDefault="007D748F" w:rsidP="00C64EFF">
                  <w:pPr>
                    <w:keepNext/>
                    <w:keepLines/>
                    <w:spacing w:after="40" w:line="220" w:lineRule="atLeast"/>
                    <w:ind w:left="6" w:right="28"/>
                    <w:jc w:val="right"/>
                    <w:rPr>
                      <w:rFonts w:ascii="Arial" w:hAnsi="Arial"/>
                      <w:sz w:val="20"/>
                      <w:szCs w:val="20"/>
                    </w:rPr>
                  </w:pPr>
                </w:p>
              </w:tc>
            </w:tr>
            <w:tr w:rsidR="001D20C3" w:rsidRPr="00C44648" w:rsidTr="00C64EFF">
              <w:tc>
                <w:tcPr>
                  <w:tcW w:w="725" w:type="pct"/>
                </w:tcPr>
                <w:p w:rsidR="001D20C3" w:rsidRPr="00C44648" w:rsidRDefault="001D20C3" w:rsidP="00C64EFF">
                  <w:pPr>
                    <w:keepNext/>
                    <w:keepLines/>
                    <w:spacing w:after="40" w:line="220" w:lineRule="atLeast"/>
                    <w:ind w:left="6" w:right="113"/>
                    <w:rPr>
                      <w:rFonts w:ascii="Arial" w:hAnsi="Arial"/>
                      <w:sz w:val="20"/>
                      <w:szCs w:val="20"/>
                    </w:rPr>
                  </w:pPr>
                </w:p>
              </w:tc>
              <w:tc>
                <w:tcPr>
                  <w:tcW w:w="484"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79</w:t>
                  </w:r>
                </w:p>
              </w:tc>
              <w:tc>
                <w:tcPr>
                  <w:tcW w:w="403"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80</w:t>
                  </w:r>
                </w:p>
              </w:tc>
              <w:tc>
                <w:tcPr>
                  <w:tcW w:w="387"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89</w:t>
                  </w:r>
                </w:p>
              </w:tc>
              <w:tc>
                <w:tcPr>
                  <w:tcW w:w="500"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27</w:t>
                  </w:r>
                </w:p>
              </w:tc>
              <w:tc>
                <w:tcPr>
                  <w:tcW w:w="500"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14</w:t>
                  </w:r>
                </w:p>
              </w:tc>
              <w:tc>
                <w:tcPr>
                  <w:tcW w:w="500"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23</w:t>
                  </w:r>
                </w:p>
              </w:tc>
              <w:tc>
                <w:tcPr>
                  <w:tcW w:w="500"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6</w:t>
                  </w:r>
                </w:p>
              </w:tc>
              <w:tc>
                <w:tcPr>
                  <w:tcW w:w="501"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12</w:t>
                  </w:r>
                </w:p>
              </w:tc>
              <w:tc>
                <w:tcPr>
                  <w:tcW w:w="500"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330</w:t>
                  </w:r>
                </w:p>
              </w:tc>
            </w:tr>
            <w:tr w:rsidR="007D748F" w:rsidRPr="00C44648" w:rsidTr="00C64EFF">
              <w:tc>
                <w:tcPr>
                  <w:tcW w:w="5000" w:type="pct"/>
                  <w:gridSpan w:val="10"/>
                </w:tcPr>
                <w:p w:rsidR="007D748F" w:rsidRPr="00F57D94" w:rsidRDefault="007D748F" w:rsidP="00EB0497">
                  <w:pPr>
                    <w:keepNext/>
                    <w:keepLines/>
                    <w:spacing w:before="40" w:after="40" w:line="220" w:lineRule="atLeast"/>
                    <w:ind w:left="6" w:right="113"/>
                    <w:rPr>
                      <w:rFonts w:ascii="Arial" w:hAnsi="Arial"/>
                      <w:i/>
                      <w:sz w:val="20"/>
                      <w:szCs w:val="20"/>
                    </w:rPr>
                  </w:pPr>
                  <w:r w:rsidRPr="00F57D94">
                    <w:rPr>
                      <w:rFonts w:ascii="Arial" w:hAnsi="Arial"/>
                      <w:i/>
                      <w:sz w:val="20"/>
                      <w:szCs w:val="20"/>
                    </w:rPr>
                    <w:t xml:space="preserve">Proportion of reviews achieving all relevant expected outcomes for the standard </w:t>
                  </w:r>
                  <w:r w:rsidRPr="00F57D94">
                    <w:rPr>
                      <w:rFonts w:ascii="Arial" w:hAnsi="Arial"/>
                      <w:sz w:val="20"/>
                      <w:szCs w:val="20"/>
                    </w:rPr>
                    <w:t>(%)</w:t>
                  </w:r>
                </w:p>
              </w:tc>
            </w:tr>
            <w:tr w:rsidR="00A530B5" w:rsidRPr="00C44648" w:rsidTr="00864C90">
              <w:tc>
                <w:tcPr>
                  <w:tcW w:w="725" w:type="pct"/>
                </w:tcPr>
                <w:p w:rsidR="00A530B5" w:rsidRPr="00F57D94" w:rsidRDefault="00A530B5" w:rsidP="007D748F">
                  <w:pPr>
                    <w:keepNext/>
                    <w:keepLines/>
                    <w:spacing w:after="40" w:line="220" w:lineRule="atLeast"/>
                    <w:ind w:left="6" w:right="113"/>
                    <w:rPr>
                      <w:rFonts w:ascii="Arial" w:hAnsi="Arial"/>
                      <w:sz w:val="20"/>
                      <w:szCs w:val="20"/>
                    </w:rPr>
                  </w:pPr>
                  <w:r w:rsidRPr="00F57D94">
                    <w:rPr>
                      <w:rFonts w:ascii="Arial" w:hAnsi="Arial"/>
                      <w:sz w:val="20"/>
                      <w:szCs w:val="20"/>
                    </w:rPr>
                    <w:t>Standard 1</w:t>
                  </w:r>
                </w:p>
              </w:tc>
              <w:tc>
                <w:tcPr>
                  <w:tcW w:w="484"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82.1</w:t>
                  </w:r>
                </w:p>
              </w:tc>
              <w:tc>
                <w:tcPr>
                  <w:tcW w:w="403"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93.2</w:t>
                  </w:r>
                </w:p>
              </w:tc>
              <w:tc>
                <w:tcPr>
                  <w:tcW w:w="387"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82.7</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80.6</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86.7</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1"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76.9</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86.0</w:t>
                  </w:r>
                </w:p>
              </w:tc>
            </w:tr>
            <w:tr w:rsidR="00A530B5" w:rsidRPr="00C44648" w:rsidTr="00864C90">
              <w:tc>
                <w:tcPr>
                  <w:tcW w:w="725" w:type="pct"/>
                </w:tcPr>
                <w:p w:rsidR="00A530B5" w:rsidRPr="00F57D94" w:rsidRDefault="00A530B5" w:rsidP="00C64EFF">
                  <w:pPr>
                    <w:keepNext/>
                    <w:keepLines/>
                    <w:spacing w:after="40" w:line="220" w:lineRule="atLeast"/>
                    <w:ind w:left="6" w:right="113"/>
                    <w:rPr>
                      <w:rFonts w:ascii="Arial" w:hAnsi="Arial"/>
                      <w:sz w:val="20"/>
                      <w:szCs w:val="20"/>
                    </w:rPr>
                  </w:pPr>
                  <w:r w:rsidRPr="00F57D94">
                    <w:rPr>
                      <w:rFonts w:ascii="Arial" w:hAnsi="Arial"/>
                      <w:sz w:val="20"/>
                      <w:szCs w:val="20"/>
                    </w:rPr>
                    <w:t>Standard 2</w:t>
                  </w:r>
                </w:p>
              </w:tc>
              <w:tc>
                <w:tcPr>
                  <w:tcW w:w="484"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83.2</w:t>
                  </w:r>
                </w:p>
              </w:tc>
              <w:tc>
                <w:tcPr>
                  <w:tcW w:w="403"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98.9</w:t>
                  </w:r>
                </w:p>
              </w:tc>
              <w:tc>
                <w:tcPr>
                  <w:tcW w:w="387"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89.8</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83.9</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90.0</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1"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38.5</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88.6</w:t>
                  </w:r>
                </w:p>
              </w:tc>
            </w:tr>
            <w:tr w:rsidR="00A530B5" w:rsidRPr="00C44648" w:rsidTr="00864C90">
              <w:tc>
                <w:tcPr>
                  <w:tcW w:w="725" w:type="pct"/>
                  <w:tcBorders>
                    <w:bottom w:val="single" w:sz="6" w:space="0" w:color="BFBFBF"/>
                  </w:tcBorders>
                </w:tcPr>
                <w:p w:rsidR="00A530B5" w:rsidRPr="00F57D94" w:rsidRDefault="00A530B5" w:rsidP="00C64EFF">
                  <w:pPr>
                    <w:keepNext/>
                    <w:keepLines/>
                    <w:spacing w:after="40" w:line="220" w:lineRule="atLeast"/>
                    <w:ind w:left="6" w:right="113"/>
                    <w:rPr>
                      <w:rFonts w:ascii="Arial" w:hAnsi="Arial"/>
                      <w:sz w:val="20"/>
                      <w:szCs w:val="20"/>
                    </w:rPr>
                  </w:pPr>
                  <w:r w:rsidRPr="00F57D94">
                    <w:rPr>
                      <w:rFonts w:ascii="Arial" w:hAnsi="Arial"/>
                      <w:sz w:val="20"/>
                      <w:szCs w:val="20"/>
                    </w:rPr>
                    <w:t>Standard 3</w:t>
                  </w:r>
                </w:p>
              </w:tc>
              <w:tc>
                <w:tcPr>
                  <w:tcW w:w="484"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95.8</w:t>
                  </w:r>
                </w:p>
              </w:tc>
              <w:tc>
                <w:tcPr>
                  <w:tcW w:w="403" w:type="pct"/>
                  <w:tcBorders>
                    <w:bottom w:val="single" w:sz="6" w:space="0" w:color="BFBFBF"/>
                  </w:tcBorders>
                  <w:shd w:val="clear" w:color="auto" w:fill="FFFFFF" w:themeFill="background1"/>
                  <w:vAlign w:val="center"/>
                </w:tcPr>
                <w:p w:rsidR="00A530B5" w:rsidRPr="00A530B5" w:rsidRDefault="00A530B5" w:rsidP="00A530B5">
                  <w:pPr>
                    <w:keepNext/>
                    <w:keepLines/>
                    <w:spacing w:after="40" w:line="220" w:lineRule="atLeast"/>
                    <w:ind w:left="6" w:right="113"/>
                    <w:jc w:val="right"/>
                    <w:rPr>
                      <w:rFonts w:ascii="Arial" w:hAnsi="Arial"/>
                      <w:sz w:val="20"/>
                      <w:szCs w:val="20"/>
                    </w:rPr>
                  </w:pPr>
                  <w:r w:rsidRPr="00A530B5">
                    <w:rPr>
                      <w:rFonts w:ascii="Arial" w:hAnsi="Arial"/>
                      <w:sz w:val="20"/>
                      <w:szCs w:val="20"/>
                    </w:rPr>
                    <w:t xml:space="preserve"> 100.0</w:t>
                  </w:r>
                </w:p>
              </w:tc>
              <w:tc>
                <w:tcPr>
                  <w:tcW w:w="387"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99.0</w:t>
                  </w:r>
                </w:p>
              </w:tc>
              <w:tc>
                <w:tcPr>
                  <w:tcW w:w="500"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90.3</w:t>
                  </w:r>
                </w:p>
              </w:tc>
              <w:tc>
                <w:tcPr>
                  <w:tcW w:w="500"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0"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0"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1"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84.6</w:t>
                  </w:r>
                </w:p>
              </w:tc>
              <w:tc>
                <w:tcPr>
                  <w:tcW w:w="500"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97.4</w:t>
                  </w:r>
                </w:p>
              </w:tc>
            </w:tr>
          </w:tbl>
          <w:p w:rsidR="007D748F" w:rsidRDefault="007D748F" w:rsidP="00C64EFF">
            <w:pPr>
              <w:pStyle w:val="Box"/>
            </w:pPr>
          </w:p>
        </w:tc>
      </w:tr>
      <w:tr w:rsidR="00380D6E" w:rsidTr="00C64EFF">
        <w:trPr>
          <w:cantSplit/>
        </w:trPr>
        <w:tc>
          <w:tcPr>
            <w:tcW w:w="8771" w:type="dxa"/>
            <w:tcBorders>
              <w:top w:val="nil"/>
              <w:left w:val="nil"/>
              <w:bottom w:val="nil"/>
              <w:right w:val="nil"/>
            </w:tcBorders>
            <w:shd w:val="clear" w:color="auto" w:fill="auto"/>
          </w:tcPr>
          <w:p w:rsidR="00380D6E" w:rsidRDefault="00380D6E" w:rsidP="00E174BA">
            <w:pPr>
              <w:pStyle w:val="Note"/>
              <w:rPr>
                <w:i/>
              </w:rPr>
            </w:pPr>
            <w:r w:rsidRPr="00087FC4">
              <w:rPr>
                <w:rStyle w:val="NoteLabel"/>
              </w:rPr>
              <w:t xml:space="preserve">a </w:t>
            </w:r>
            <w:r w:rsidRPr="006F23A3">
              <w:t>See box</w:t>
            </w:r>
            <w:r w:rsidR="00E75264">
              <w:t> </w:t>
            </w:r>
            <w:r>
              <w:t>13</w:t>
            </w:r>
            <w:r w:rsidRPr="006F23A3">
              <w:t>.</w:t>
            </w:r>
            <w:r>
              <w:t>1</w:t>
            </w:r>
            <w:r w:rsidR="00E174BA">
              <w:t>1</w:t>
            </w:r>
            <w:r>
              <w:t xml:space="preserve"> </w:t>
            </w:r>
            <w:r w:rsidRPr="006F23A3">
              <w:t>and table</w:t>
            </w:r>
            <w:r w:rsidR="00E75264">
              <w:t> </w:t>
            </w:r>
            <w:proofErr w:type="spellStart"/>
            <w:r>
              <w:t>13</w:t>
            </w:r>
            <w:r w:rsidRPr="006F23A3">
              <w:t>A.</w:t>
            </w:r>
            <w:r>
              <w:t>48</w:t>
            </w:r>
            <w:proofErr w:type="spellEnd"/>
            <w:r w:rsidRPr="006F23A3">
              <w:t xml:space="preserve"> for detailed</w:t>
            </w:r>
            <w:r w:rsidRPr="0032221B">
              <w:t xml:space="preserve"> definitions, footnotes and caveats</w:t>
            </w:r>
            <w:r w:rsidRPr="006F23A3">
              <w:t>.</w:t>
            </w:r>
            <w:r w:rsidRPr="00F82615">
              <w:t xml:space="preserve"> </w:t>
            </w:r>
          </w:p>
        </w:tc>
      </w:tr>
      <w:tr w:rsidR="00380D6E" w:rsidTr="00C64EFF">
        <w:trPr>
          <w:cantSplit/>
        </w:trPr>
        <w:tc>
          <w:tcPr>
            <w:tcW w:w="8771" w:type="dxa"/>
            <w:tcBorders>
              <w:top w:val="nil"/>
              <w:left w:val="nil"/>
              <w:bottom w:val="nil"/>
              <w:right w:val="nil"/>
            </w:tcBorders>
            <w:shd w:val="clear" w:color="auto" w:fill="auto"/>
          </w:tcPr>
          <w:p w:rsidR="00380D6E" w:rsidRDefault="00380D6E" w:rsidP="00380D6E">
            <w:pPr>
              <w:pStyle w:val="Source"/>
            </w:pPr>
            <w:r w:rsidRPr="00F82615">
              <w:rPr>
                <w:i/>
              </w:rPr>
              <w:t>Source</w:t>
            </w:r>
            <w:r w:rsidRPr="0007332D">
              <w:t xml:space="preserve">: </w:t>
            </w:r>
            <w:r w:rsidRPr="00CC56A6">
              <w:rPr>
                <w:shd w:val="clear" w:color="auto" w:fill="FFFFFF" w:themeFill="background1"/>
              </w:rPr>
              <w:t>Australian Aged Care Quality Agency</w:t>
            </w:r>
            <w:r w:rsidRPr="00CC56A6">
              <w:rPr>
                <w:i/>
                <w:shd w:val="clear" w:color="auto" w:fill="FFFFFF" w:themeFill="background1"/>
              </w:rPr>
              <w:t xml:space="preserve"> </w:t>
            </w:r>
            <w:r w:rsidRPr="00CC56A6">
              <w:rPr>
                <w:shd w:val="clear" w:color="auto" w:fill="FFFFFF" w:themeFill="background1"/>
              </w:rPr>
              <w:t>(</w:t>
            </w:r>
            <w:r w:rsidRPr="00F82615">
              <w:t>unpublished); table</w:t>
            </w:r>
            <w:r>
              <w:t> </w:t>
            </w:r>
            <w:proofErr w:type="spellStart"/>
            <w:r w:rsidRPr="00F82615">
              <w:t>13A.</w:t>
            </w:r>
            <w:r>
              <w:t>48</w:t>
            </w:r>
            <w:proofErr w:type="spellEnd"/>
            <w:r w:rsidRPr="00F82615">
              <w:t>.</w:t>
            </w:r>
          </w:p>
        </w:tc>
      </w:tr>
      <w:tr w:rsidR="007D748F" w:rsidTr="00C64EFF">
        <w:trPr>
          <w:cantSplit/>
        </w:trPr>
        <w:tc>
          <w:tcPr>
            <w:tcW w:w="8771" w:type="dxa"/>
            <w:tcBorders>
              <w:top w:val="nil"/>
              <w:left w:val="nil"/>
              <w:bottom w:val="single" w:sz="6" w:space="0" w:color="78A22F"/>
              <w:right w:val="nil"/>
            </w:tcBorders>
            <w:shd w:val="clear" w:color="auto" w:fill="auto"/>
          </w:tcPr>
          <w:p w:rsidR="007D748F" w:rsidRDefault="007D748F" w:rsidP="00C64EFF">
            <w:pPr>
              <w:pStyle w:val="Box"/>
              <w:spacing w:before="0" w:line="120" w:lineRule="exact"/>
            </w:pPr>
          </w:p>
        </w:tc>
      </w:tr>
      <w:tr w:rsidR="007D748F" w:rsidRPr="000863A5" w:rsidTr="00C64EFF">
        <w:tc>
          <w:tcPr>
            <w:tcW w:w="8771" w:type="dxa"/>
            <w:tcBorders>
              <w:top w:val="single" w:sz="6" w:space="0" w:color="78A22F"/>
              <w:left w:val="nil"/>
              <w:bottom w:val="nil"/>
              <w:right w:val="nil"/>
            </w:tcBorders>
          </w:tcPr>
          <w:p w:rsidR="007D748F" w:rsidRPr="00626D32" w:rsidRDefault="007D748F" w:rsidP="00C64EFF">
            <w:pPr>
              <w:pStyle w:val="BoxSpaceBelow"/>
            </w:pPr>
          </w:p>
        </w:tc>
      </w:tr>
    </w:tbl>
    <w:p w:rsidR="00D750FB" w:rsidRDefault="00D750FB" w:rsidP="00D750F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750FB" w:rsidTr="00C64EFF">
        <w:tc>
          <w:tcPr>
            <w:tcW w:w="8771" w:type="dxa"/>
            <w:tcBorders>
              <w:top w:val="single" w:sz="6" w:space="0" w:color="78A22F"/>
              <w:left w:val="nil"/>
              <w:bottom w:val="nil"/>
              <w:right w:val="nil"/>
            </w:tcBorders>
            <w:shd w:val="clear" w:color="auto" w:fill="auto"/>
          </w:tcPr>
          <w:p w:rsidR="00D750FB" w:rsidRPr="00784A05" w:rsidRDefault="00D750FB" w:rsidP="00C64EFF">
            <w:pPr>
              <w:pStyle w:val="TableTitle"/>
            </w:pPr>
            <w:r>
              <w:rPr>
                <w:b w:val="0"/>
              </w:rPr>
              <w:t xml:space="preserve">Table </w:t>
            </w:r>
            <w:r w:rsidR="00C7774D">
              <w:rPr>
                <w:b w:val="0"/>
              </w:rPr>
              <w:t>13.</w:t>
            </w:r>
            <w:r w:rsidR="00F132AA">
              <w:rPr>
                <w:b w:val="0"/>
                <w:noProof/>
              </w:rPr>
              <w:t>6</w:t>
            </w:r>
            <w:r>
              <w:tab/>
            </w:r>
            <w:r w:rsidRPr="00F57D94">
              <w:t>Compliance with service standards for HACC, 201</w:t>
            </w:r>
            <w:r>
              <w:t>4</w:t>
            </w:r>
            <w:r>
              <w:noBreakHyphen/>
            </w:r>
            <w:r w:rsidRPr="00F57D94">
              <w:t>1</w:t>
            </w:r>
            <w:r>
              <w:t>5</w:t>
            </w:r>
            <w:r w:rsidR="00380D6E" w:rsidRPr="00380D6E">
              <w:rPr>
                <w:rStyle w:val="NoteLabel"/>
                <w:b/>
              </w:rPr>
              <w:t>a</w:t>
            </w:r>
          </w:p>
        </w:tc>
      </w:tr>
      <w:tr w:rsidR="00D750FB" w:rsidTr="00C64EF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230"/>
              <w:gridCol w:w="821"/>
              <w:gridCol w:w="684"/>
              <w:gridCol w:w="657"/>
              <w:gridCol w:w="849"/>
              <w:gridCol w:w="849"/>
              <w:gridCol w:w="849"/>
              <w:gridCol w:w="849"/>
              <w:gridCol w:w="850"/>
              <w:gridCol w:w="849"/>
            </w:tblGrid>
            <w:tr w:rsidR="00D750FB" w:rsidRPr="00C44648" w:rsidTr="00C64EFF">
              <w:tc>
                <w:tcPr>
                  <w:tcW w:w="725" w:type="pct"/>
                  <w:tcBorders>
                    <w:top w:val="single" w:sz="6" w:space="0" w:color="BFBFBF"/>
                    <w:bottom w:val="single" w:sz="6" w:space="0" w:color="BFBFBF"/>
                  </w:tcBorders>
                </w:tcPr>
                <w:p w:rsidR="00D750FB" w:rsidRPr="00C44648" w:rsidRDefault="00D750FB" w:rsidP="00C64EFF">
                  <w:pPr>
                    <w:keepNext/>
                    <w:keepLines/>
                    <w:spacing w:before="80" w:after="80" w:line="220" w:lineRule="atLeast"/>
                    <w:ind w:left="6" w:right="113"/>
                    <w:rPr>
                      <w:rFonts w:ascii="Arial" w:hAnsi="Arial"/>
                      <w:i/>
                      <w:sz w:val="20"/>
                      <w:szCs w:val="20"/>
                    </w:rPr>
                  </w:pPr>
                </w:p>
              </w:tc>
              <w:tc>
                <w:tcPr>
                  <w:tcW w:w="484" w:type="pct"/>
                  <w:tcBorders>
                    <w:top w:val="single" w:sz="6" w:space="0" w:color="BFBFBF"/>
                    <w:bottom w:val="single" w:sz="6" w:space="0" w:color="BFBFBF"/>
                  </w:tcBorders>
                </w:tcPr>
                <w:p w:rsidR="00D750FB" w:rsidRPr="00C44648" w:rsidRDefault="00D750FB"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NSW</w:t>
                  </w:r>
                </w:p>
              </w:tc>
              <w:tc>
                <w:tcPr>
                  <w:tcW w:w="403" w:type="pct"/>
                  <w:tcBorders>
                    <w:top w:val="single" w:sz="6" w:space="0" w:color="BFBFBF"/>
                    <w:bottom w:val="single" w:sz="6" w:space="0" w:color="BFBFBF"/>
                  </w:tcBorders>
                </w:tcPr>
                <w:p w:rsidR="00D750FB" w:rsidRPr="00C44648" w:rsidRDefault="00D750FB"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Vic</w:t>
                  </w:r>
                </w:p>
              </w:tc>
              <w:tc>
                <w:tcPr>
                  <w:tcW w:w="387" w:type="pct"/>
                  <w:tcBorders>
                    <w:top w:val="single" w:sz="6" w:space="0" w:color="BFBFBF"/>
                    <w:bottom w:val="single" w:sz="6" w:space="0" w:color="BFBFBF"/>
                  </w:tcBorders>
                </w:tcPr>
                <w:p w:rsidR="00D750FB" w:rsidRPr="00C44648" w:rsidRDefault="00D750FB"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Qld</w:t>
                  </w:r>
                </w:p>
              </w:tc>
              <w:tc>
                <w:tcPr>
                  <w:tcW w:w="500" w:type="pct"/>
                  <w:tcBorders>
                    <w:top w:val="single" w:sz="6" w:space="0" w:color="BFBFBF"/>
                    <w:bottom w:val="single" w:sz="6" w:space="0" w:color="BFBFBF"/>
                  </w:tcBorders>
                </w:tcPr>
                <w:p w:rsidR="00D750FB" w:rsidRPr="00C44648" w:rsidRDefault="00D750FB"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WA</w:t>
                  </w:r>
                </w:p>
              </w:tc>
              <w:tc>
                <w:tcPr>
                  <w:tcW w:w="500" w:type="pct"/>
                  <w:tcBorders>
                    <w:top w:val="single" w:sz="6" w:space="0" w:color="BFBFBF"/>
                    <w:bottom w:val="single" w:sz="6" w:space="0" w:color="BFBFBF"/>
                  </w:tcBorders>
                </w:tcPr>
                <w:p w:rsidR="00D750FB" w:rsidRPr="00C44648" w:rsidRDefault="00D750FB"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SA</w:t>
                  </w:r>
                </w:p>
              </w:tc>
              <w:tc>
                <w:tcPr>
                  <w:tcW w:w="500" w:type="pct"/>
                  <w:tcBorders>
                    <w:top w:val="single" w:sz="6" w:space="0" w:color="BFBFBF"/>
                    <w:bottom w:val="single" w:sz="6" w:space="0" w:color="BFBFBF"/>
                  </w:tcBorders>
                </w:tcPr>
                <w:p w:rsidR="00D750FB" w:rsidRPr="00C44648" w:rsidRDefault="00D750FB"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Tas</w:t>
                  </w:r>
                </w:p>
              </w:tc>
              <w:tc>
                <w:tcPr>
                  <w:tcW w:w="500" w:type="pct"/>
                  <w:tcBorders>
                    <w:top w:val="single" w:sz="6" w:space="0" w:color="BFBFBF"/>
                    <w:bottom w:val="single" w:sz="6" w:space="0" w:color="BFBFBF"/>
                  </w:tcBorders>
                </w:tcPr>
                <w:p w:rsidR="00D750FB" w:rsidRPr="00C44648" w:rsidRDefault="00D750FB"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ACT</w:t>
                  </w:r>
                </w:p>
              </w:tc>
              <w:tc>
                <w:tcPr>
                  <w:tcW w:w="501" w:type="pct"/>
                  <w:tcBorders>
                    <w:top w:val="single" w:sz="6" w:space="0" w:color="BFBFBF"/>
                    <w:bottom w:val="single" w:sz="6" w:space="0" w:color="BFBFBF"/>
                  </w:tcBorders>
                </w:tcPr>
                <w:p w:rsidR="00D750FB" w:rsidRPr="00C44648" w:rsidRDefault="00D750FB"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NT</w:t>
                  </w:r>
                </w:p>
              </w:tc>
              <w:tc>
                <w:tcPr>
                  <w:tcW w:w="500" w:type="pct"/>
                  <w:tcBorders>
                    <w:top w:val="single" w:sz="6" w:space="0" w:color="BFBFBF"/>
                    <w:bottom w:val="single" w:sz="6" w:space="0" w:color="BFBFBF"/>
                  </w:tcBorders>
                </w:tcPr>
                <w:p w:rsidR="00D750FB" w:rsidRPr="00C44648" w:rsidRDefault="00D750FB" w:rsidP="00C64EFF">
                  <w:pPr>
                    <w:keepNext/>
                    <w:keepLines/>
                    <w:spacing w:before="80" w:after="80" w:line="220" w:lineRule="atLeast"/>
                    <w:ind w:left="6" w:right="113"/>
                    <w:jc w:val="right"/>
                    <w:rPr>
                      <w:rFonts w:ascii="Arial" w:hAnsi="Arial"/>
                      <w:i/>
                      <w:sz w:val="20"/>
                      <w:szCs w:val="20"/>
                    </w:rPr>
                  </w:pPr>
                  <w:r w:rsidRPr="00C44648">
                    <w:rPr>
                      <w:rFonts w:ascii="Arial" w:hAnsi="Arial"/>
                      <w:i/>
                      <w:sz w:val="20"/>
                      <w:szCs w:val="20"/>
                    </w:rPr>
                    <w:t>Aust</w:t>
                  </w:r>
                </w:p>
              </w:tc>
            </w:tr>
            <w:tr w:rsidR="00D750FB" w:rsidRPr="00C44648" w:rsidTr="00C64EFF">
              <w:tc>
                <w:tcPr>
                  <w:tcW w:w="4500" w:type="pct"/>
                  <w:gridSpan w:val="9"/>
                  <w:tcBorders>
                    <w:top w:val="single" w:sz="6" w:space="0" w:color="BFBFBF"/>
                  </w:tcBorders>
                  <w:shd w:val="clear" w:color="auto" w:fill="FFFFFF" w:themeFill="background1"/>
                </w:tcPr>
                <w:p w:rsidR="00D750FB" w:rsidRPr="00C44648" w:rsidRDefault="00D750FB" w:rsidP="001E78FB">
                  <w:pPr>
                    <w:keepNext/>
                    <w:keepLines/>
                    <w:spacing w:before="40" w:after="40" w:line="220" w:lineRule="atLeast"/>
                    <w:ind w:left="6" w:right="113"/>
                    <w:rPr>
                      <w:rFonts w:ascii="Arial" w:hAnsi="Arial"/>
                      <w:i/>
                      <w:sz w:val="20"/>
                      <w:szCs w:val="20"/>
                    </w:rPr>
                  </w:pPr>
                  <w:r w:rsidRPr="00C44648">
                    <w:rPr>
                      <w:rFonts w:ascii="Arial" w:hAnsi="Arial"/>
                      <w:i/>
                      <w:sz w:val="20"/>
                      <w:szCs w:val="20"/>
                    </w:rPr>
                    <w:t xml:space="preserve">Number of reviews completed </w:t>
                  </w:r>
                  <w:r w:rsidRPr="00C44648">
                    <w:rPr>
                      <w:rFonts w:ascii="Arial" w:hAnsi="Arial"/>
                      <w:sz w:val="20"/>
                      <w:szCs w:val="20"/>
                    </w:rPr>
                    <w:t xml:space="preserve">(no.) </w:t>
                  </w:r>
                </w:p>
              </w:tc>
              <w:tc>
                <w:tcPr>
                  <w:tcW w:w="500" w:type="pct"/>
                  <w:tcBorders>
                    <w:top w:val="single" w:sz="6" w:space="0" w:color="BFBFBF"/>
                  </w:tcBorders>
                  <w:shd w:val="clear" w:color="auto" w:fill="FFFFFF" w:themeFill="background1"/>
                </w:tcPr>
                <w:p w:rsidR="00D750FB" w:rsidRPr="00C44648" w:rsidRDefault="00D750FB" w:rsidP="00C64EFF">
                  <w:pPr>
                    <w:keepNext/>
                    <w:keepLines/>
                    <w:spacing w:after="40" w:line="220" w:lineRule="atLeast"/>
                    <w:ind w:left="6" w:right="28"/>
                    <w:jc w:val="right"/>
                    <w:rPr>
                      <w:rFonts w:ascii="Arial" w:hAnsi="Arial"/>
                      <w:sz w:val="20"/>
                      <w:szCs w:val="20"/>
                    </w:rPr>
                  </w:pPr>
                </w:p>
              </w:tc>
            </w:tr>
            <w:tr w:rsidR="001D20C3" w:rsidRPr="00967236" w:rsidTr="00864C90">
              <w:tc>
                <w:tcPr>
                  <w:tcW w:w="725" w:type="pct"/>
                </w:tcPr>
                <w:p w:rsidR="001D20C3" w:rsidRPr="00C44648" w:rsidRDefault="001D20C3" w:rsidP="00C64EFF">
                  <w:pPr>
                    <w:keepNext/>
                    <w:keepLines/>
                    <w:spacing w:after="40" w:line="220" w:lineRule="atLeast"/>
                    <w:ind w:left="6" w:right="113"/>
                    <w:rPr>
                      <w:rFonts w:ascii="Arial" w:hAnsi="Arial"/>
                      <w:sz w:val="20"/>
                      <w:szCs w:val="20"/>
                    </w:rPr>
                  </w:pPr>
                </w:p>
              </w:tc>
              <w:tc>
                <w:tcPr>
                  <w:tcW w:w="484"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131</w:t>
                  </w:r>
                </w:p>
              </w:tc>
              <w:tc>
                <w:tcPr>
                  <w:tcW w:w="403"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52</w:t>
                  </w:r>
                </w:p>
              </w:tc>
              <w:tc>
                <w:tcPr>
                  <w:tcW w:w="387"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80</w:t>
                  </w:r>
                </w:p>
              </w:tc>
              <w:tc>
                <w:tcPr>
                  <w:tcW w:w="500"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43</w:t>
                  </w:r>
                </w:p>
              </w:tc>
              <w:tc>
                <w:tcPr>
                  <w:tcW w:w="500"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37</w:t>
                  </w:r>
                </w:p>
              </w:tc>
              <w:tc>
                <w:tcPr>
                  <w:tcW w:w="500"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12</w:t>
                  </w:r>
                </w:p>
              </w:tc>
              <w:tc>
                <w:tcPr>
                  <w:tcW w:w="500"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12</w:t>
                  </w:r>
                </w:p>
              </w:tc>
              <w:tc>
                <w:tcPr>
                  <w:tcW w:w="501" w:type="pct"/>
                  <w:shd w:val="clear" w:color="auto" w:fill="FFFFFF" w:themeFill="background1"/>
                  <w:vAlign w:val="center"/>
                </w:tcPr>
                <w:p w:rsidR="001D20C3" w:rsidRPr="001D20C3" w:rsidRDefault="00E75264" w:rsidP="001D20C3">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1D20C3" w:rsidRPr="001D20C3">
                    <w:rPr>
                      <w:rFonts w:ascii="Arial" w:hAnsi="Arial"/>
                      <w:sz w:val="20"/>
                      <w:szCs w:val="20"/>
                    </w:rPr>
                    <w:t>15</w:t>
                  </w:r>
                </w:p>
              </w:tc>
              <w:tc>
                <w:tcPr>
                  <w:tcW w:w="500" w:type="pct"/>
                  <w:shd w:val="clear" w:color="auto" w:fill="FFFFFF" w:themeFill="background1"/>
                  <w:vAlign w:val="center"/>
                </w:tcPr>
                <w:p w:rsidR="001D20C3" w:rsidRPr="00A530B5" w:rsidRDefault="00E75264" w:rsidP="001D20C3">
                  <w:pPr>
                    <w:keepNext/>
                    <w:keepLines/>
                    <w:spacing w:after="40" w:line="220" w:lineRule="atLeast"/>
                    <w:ind w:left="6" w:right="113"/>
                    <w:jc w:val="right"/>
                    <w:rPr>
                      <w:rFonts w:ascii="Arial" w:hAnsi="Arial" w:cs="Arial"/>
                      <w:sz w:val="20"/>
                      <w:szCs w:val="20"/>
                    </w:rPr>
                  </w:pPr>
                  <w:r>
                    <w:rPr>
                      <w:rFonts w:ascii="Arial" w:hAnsi="Arial" w:cs="Arial"/>
                      <w:sz w:val="20"/>
                      <w:szCs w:val="20"/>
                    </w:rPr>
                    <w:t xml:space="preserve"> </w:t>
                  </w:r>
                  <w:r w:rsidR="00A530B5" w:rsidRPr="00A530B5">
                    <w:rPr>
                      <w:rFonts w:ascii="Arial" w:hAnsi="Arial"/>
                      <w:sz w:val="20"/>
                      <w:szCs w:val="20"/>
                    </w:rPr>
                    <w:t>382</w:t>
                  </w:r>
                </w:p>
              </w:tc>
            </w:tr>
            <w:tr w:rsidR="00D750FB" w:rsidRPr="00F57D94" w:rsidTr="00C64EFF">
              <w:tc>
                <w:tcPr>
                  <w:tcW w:w="5000" w:type="pct"/>
                  <w:gridSpan w:val="10"/>
                </w:tcPr>
                <w:p w:rsidR="00D750FB" w:rsidRPr="00F57D94" w:rsidRDefault="00D750FB" w:rsidP="001E78FB">
                  <w:pPr>
                    <w:keepNext/>
                    <w:keepLines/>
                    <w:spacing w:before="40" w:after="40" w:line="220" w:lineRule="atLeast"/>
                    <w:ind w:left="6" w:right="113"/>
                    <w:rPr>
                      <w:rFonts w:ascii="Arial" w:hAnsi="Arial"/>
                      <w:i/>
                      <w:sz w:val="20"/>
                      <w:szCs w:val="20"/>
                    </w:rPr>
                  </w:pPr>
                  <w:r w:rsidRPr="00F57D94">
                    <w:rPr>
                      <w:rFonts w:ascii="Arial" w:hAnsi="Arial"/>
                      <w:i/>
                      <w:sz w:val="20"/>
                      <w:szCs w:val="20"/>
                    </w:rPr>
                    <w:t xml:space="preserve">Proportion of reviews achieving all relevant expected outcomes for the standard </w:t>
                  </w:r>
                  <w:r w:rsidRPr="00F57D94">
                    <w:rPr>
                      <w:rFonts w:ascii="Arial" w:hAnsi="Arial"/>
                      <w:sz w:val="20"/>
                      <w:szCs w:val="20"/>
                    </w:rPr>
                    <w:t>(%)</w:t>
                  </w:r>
                </w:p>
              </w:tc>
            </w:tr>
            <w:tr w:rsidR="00A530B5" w:rsidRPr="005D27F2" w:rsidTr="00864C90">
              <w:tc>
                <w:tcPr>
                  <w:tcW w:w="725" w:type="pct"/>
                </w:tcPr>
                <w:p w:rsidR="00A530B5" w:rsidRPr="00F57D94" w:rsidRDefault="00A530B5" w:rsidP="00380D6E">
                  <w:pPr>
                    <w:keepNext/>
                    <w:keepLines/>
                    <w:spacing w:after="40" w:line="220" w:lineRule="atLeast"/>
                    <w:ind w:left="6" w:right="113"/>
                    <w:rPr>
                      <w:rFonts w:ascii="Arial" w:hAnsi="Arial"/>
                      <w:sz w:val="20"/>
                      <w:szCs w:val="20"/>
                    </w:rPr>
                  </w:pPr>
                  <w:r w:rsidRPr="00F57D94">
                    <w:rPr>
                      <w:rFonts w:ascii="Arial" w:hAnsi="Arial"/>
                      <w:sz w:val="20"/>
                      <w:szCs w:val="20"/>
                    </w:rPr>
                    <w:t>Standard 1</w:t>
                  </w:r>
                </w:p>
              </w:tc>
              <w:tc>
                <w:tcPr>
                  <w:tcW w:w="484"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81.2</w:t>
                  </w:r>
                </w:p>
              </w:tc>
              <w:tc>
                <w:tcPr>
                  <w:tcW w:w="403"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88.0</w:t>
                  </w:r>
                </w:p>
              </w:tc>
              <w:tc>
                <w:tcPr>
                  <w:tcW w:w="387"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84.0</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56.0</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91.9</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1"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82.4</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82.1</w:t>
                  </w:r>
                </w:p>
              </w:tc>
            </w:tr>
            <w:tr w:rsidR="00A530B5" w:rsidRPr="005D27F2" w:rsidTr="00864C90">
              <w:tc>
                <w:tcPr>
                  <w:tcW w:w="725" w:type="pct"/>
                </w:tcPr>
                <w:p w:rsidR="00A530B5" w:rsidRPr="00F57D94" w:rsidRDefault="00A530B5" w:rsidP="00C64EFF">
                  <w:pPr>
                    <w:keepNext/>
                    <w:keepLines/>
                    <w:spacing w:after="40" w:line="220" w:lineRule="atLeast"/>
                    <w:ind w:left="6" w:right="113"/>
                    <w:rPr>
                      <w:rFonts w:ascii="Arial" w:hAnsi="Arial"/>
                      <w:sz w:val="20"/>
                      <w:szCs w:val="20"/>
                    </w:rPr>
                  </w:pPr>
                  <w:r w:rsidRPr="00F57D94">
                    <w:rPr>
                      <w:rFonts w:ascii="Arial" w:hAnsi="Arial"/>
                      <w:sz w:val="20"/>
                      <w:szCs w:val="20"/>
                    </w:rPr>
                    <w:t>Standard 2</w:t>
                  </w:r>
                </w:p>
              </w:tc>
              <w:tc>
                <w:tcPr>
                  <w:tcW w:w="484"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83.5</w:t>
                  </w:r>
                </w:p>
              </w:tc>
              <w:tc>
                <w:tcPr>
                  <w:tcW w:w="403"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83.0</w:t>
                  </w:r>
                </w:p>
              </w:tc>
              <w:tc>
                <w:tcPr>
                  <w:tcW w:w="387"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91.4</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70.0</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86.5</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92.3</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91.7</w:t>
                  </w:r>
                </w:p>
              </w:tc>
              <w:tc>
                <w:tcPr>
                  <w:tcW w:w="501"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52.9</w:t>
                  </w:r>
                </w:p>
              </w:tc>
              <w:tc>
                <w:tcPr>
                  <w:tcW w:w="500" w:type="pct"/>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83.2</w:t>
                  </w:r>
                </w:p>
              </w:tc>
            </w:tr>
            <w:tr w:rsidR="00A530B5" w:rsidRPr="005D27F2" w:rsidTr="00864C90">
              <w:tc>
                <w:tcPr>
                  <w:tcW w:w="725" w:type="pct"/>
                  <w:tcBorders>
                    <w:bottom w:val="single" w:sz="6" w:space="0" w:color="BFBFBF"/>
                  </w:tcBorders>
                </w:tcPr>
                <w:p w:rsidR="00A530B5" w:rsidRPr="00F57D94" w:rsidRDefault="00A530B5" w:rsidP="00C64EFF">
                  <w:pPr>
                    <w:keepNext/>
                    <w:keepLines/>
                    <w:spacing w:after="40" w:line="220" w:lineRule="atLeast"/>
                    <w:ind w:left="6" w:right="113"/>
                    <w:rPr>
                      <w:rFonts w:ascii="Arial" w:hAnsi="Arial"/>
                      <w:sz w:val="20"/>
                      <w:szCs w:val="20"/>
                    </w:rPr>
                  </w:pPr>
                  <w:r w:rsidRPr="00F57D94">
                    <w:rPr>
                      <w:rFonts w:ascii="Arial" w:hAnsi="Arial"/>
                      <w:sz w:val="20"/>
                      <w:szCs w:val="20"/>
                    </w:rPr>
                    <w:t>Standard 3</w:t>
                  </w:r>
                </w:p>
              </w:tc>
              <w:tc>
                <w:tcPr>
                  <w:tcW w:w="484"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96.2</w:t>
                  </w:r>
                </w:p>
              </w:tc>
              <w:tc>
                <w:tcPr>
                  <w:tcW w:w="403"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94.0</w:t>
                  </w:r>
                </w:p>
              </w:tc>
              <w:tc>
                <w:tcPr>
                  <w:tcW w:w="387"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96.3</w:t>
                  </w:r>
                </w:p>
              </w:tc>
              <w:tc>
                <w:tcPr>
                  <w:tcW w:w="500"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67.0</w:t>
                  </w:r>
                </w:p>
              </w:tc>
              <w:tc>
                <w:tcPr>
                  <w:tcW w:w="500"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0"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0"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1"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100.0</w:t>
                  </w:r>
                </w:p>
              </w:tc>
              <w:tc>
                <w:tcPr>
                  <w:tcW w:w="500" w:type="pct"/>
                  <w:tcBorders>
                    <w:bottom w:val="single" w:sz="6" w:space="0" w:color="BFBFBF"/>
                  </w:tcBorders>
                  <w:shd w:val="clear" w:color="auto" w:fill="FFFFFF" w:themeFill="background1"/>
                  <w:vAlign w:val="center"/>
                </w:tcPr>
                <w:p w:rsidR="00A530B5" w:rsidRPr="00A530B5" w:rsidRDefault="00E75264" w:rsidP="00A530B5">
                  <w:pPr>
                    <w:keepNext/>
                    <w:keepLines/>
                    <w:spacing w:after="40" w:line="220" w:lineRule="atLeast"/>
                    <w:ind w:left="6" w:right="113"/>
                    <w:jc w:val="right"/>
                    <w:rPr>
                      <w:rFonts w:ascii="Arial" w:hAnsi="Arial"/>
                      <w:sz w:val="20"/>
                      <w:szCs w:val="20"/>
                    </w:rPr>
                  </w:pPr>
                  <w:r>
                    <w:rPr>
                      <w:rFonts w:ascii="Arial" w:hAnsi="Arial"/>
                      <w:sz w:val="20"/>
                      <w:szCs w:val="20"/>
                    </w:rPr>
                    <w:t xml:space="preserve"> </w:t>
                  </w:r>
                  <w:r w:rsidR="00A530B5" w:rsidRPr="00A530B5">
                    <w:rPr>
                      <w:rFonts w:ascii="Arial" w:hAnsi="Arial"/>
                      <w:sz w:val="20"/>
                      <w:szCs w:val="20"/>
                    </w:rPr>
                    <w:t>93.4</w:t>
                  </w:r>
                </w:p>
              </w:tc>
            </w:tr>
          </w:tbl>
          <w:p w:rsidR="00D750FB" w:rsidRDefault="00D750FB" w:rsidP="00C64EFF">
            <w:pPr>
              <w:pStyle w:val="Box"/>
            </w:pPr>
          </w:p>
        </w:tc>
      </w:tr>
      <w:tr w:rsidR="00D750FB" w:rsidTr="00C64EFF">
        <w:trPr>
          <w:cantSplit/>
        </w:trPr>
        <w:tc>
          <w:tcPr>
            <w:tcW w:w="8771" w:type="dxa"/>
            <w:tcBorders>
              <w:top w:val="nil"/>
              <w:left w:val="nil"/>
              <w:bottom w:val="nil"/>
              <w:right w:val="nil"/>
            </w:tcBorders>
            <w:shd w:val="clear" w:color="auto" w:fill="auto"/>
          </w:tcPr>
          <w:p w:rsidR="00D750FB" w:rsidRDefault="00D750FB" w:rsidP="00E174BA">
            <w:pPr>
              <w:pStyle w:val="Note"/>
              <w:rPr>
                <w:i/>
              </w:rPr>
            </w:pPr>
            <w:r w:rsidRPr="008E77FE">
              <w:rPr>
                <w:rStyle w:val="NoteLabel"/>
              </w:rPr>
              <w:t>a</w:t>
            </w:r>
            <w:r>
              <w:t xml:space="preserve"> </w:t>
            </w:r>
            <w:r w:rsidR="00380D6E" w:rsidRPr="006F23A3">
              <w:t>See box</w:t>
            </w:r>
            <w:r w:rsidR="00E75264">
              <w:t> </w:t>
            </w:r>
            <w:r w:rsidR="00380D6E">
              <w:t>13</w:t>
            </w:r>
            <w:r w:rsidR="00380D6E" w:rsidRPr="006F23A3">
              <w:t>.</w:t>
            </w:r>
            <w:r w:rsidR="00380D6E">
              <w:t>1</w:t>
            </w:r>
            <w:r w:rsidR="00E174BA">
              <w:t>1</w:t>
            </w:r>
            <w:r w:rsidR="00380D6E">
              <w:t xml:space="preserve"> </w:t>
            </w:r>
            <w:r w:rsidR="00380D6E" w:rsidRPr="006F23A3">
              <w:t>and table</w:t>
            </w:r>
            <w:r w:rsidR="00E75264">
              <w:t> </w:t>
            </w:r>
            <w:proofErr w:type="spellStart"/>
            <w:r w:rsidR="00380D6E">
              <w:t>13</w:t>
            </w:r>
            <w:r w:rsidR="00380D6E" w:rsidRPr="006F23A3">
              <w:t>A.</w:t>
            </w:r>
            <w:r w:rsidR="00380D6E">
              <w:t>49</w:t>
            </w:r>
            <w:proofErr w:type="spellEnd"/>
            <w:r w:rsidR="00380D6E" w:rsidRPr="006F23A3">
              <w:t xml:space="preserve"> for detailed</w:t>
            </w:r>
            <w:r w:rsidR="00380D6E" w:rsidRPr="0032221B">
              <w:t xml:space="preserve"> definitions, footnotes and caveats</w:t>
            </w:r>
            <w:r w:rsidR="00380D6E" w:rsidRPr="006F23A3">
              <w:t>.</w:t>
            </w:r>
          </w:p>
        </w:tc>
      </w:tr>
      <w:tr w:rsidR="00D750FB" w:rsidTr="00C64EFF">
        <w:trPr>
          <w:cantSplit/>
        </w:trPr>
        <w:tc>
          <w:tcPr>
            <w:tcW w:w="8771" w:type="dxa"/>
            <w:tcBorders>
              <w:top w:val="nil"/>
              <w:left w:val="nil"/>
              <w:bottom w:val="nil"/>
              <w:right w:val="nil"/>
            </w:tcBorders>
            <w:shd w:val="clear" w:color="auto" w:fill="auto"/>
          </w:tcPr>
          <w:p w:rsidR="00D750FB" w:rsidRDefault="00380D6E" w:rsidP="00380D6E">
            <w:pPr>
              <w:pStyle w:val="Source"/>
            </w:pPr>
            <w:r w:rsidRPr="00F82615">
              <w:rPr>
                <w:i/>
              </w:rPr>
              <w:t>Source</w:t>
            </w:r>
            <w:r w:rsidRPr="0007332D">
              <w:t xml:space="preserve">: </w:t>
            </w:r>
            <w:r w:rsidRPr="00CC56A6">
              <w:rPr>
                <w:shd w:val="clear" w:color="auto" w:fill="FFFFFF" w:themeFill="background1"/>
              </w:rPr>
              <w:t>Australian Aged Care Quality Agency</w:t>
            </w:r>
            <w:r w:rsidRPr="00CC56A6">
              <w:rPr>
                <w:i/>
                <w:shd w:val="clear" w:color="auto" w:fill="FFFFFF" w:themeFill="background1"/>
              </w:rPr>
              <w:t xml:space="preserve"> </w:t>
            </w:r>
            <w:r w:rsidRPr="00CC56A6">
              <w:rPr>
                <w:shd w:val="clear" w:color="auto" w:fill="FFFFFF" w:themeFill="background1"/>
              </w:rPr>
              <w:t>(</w:t>
            </w:r>
            <w:r w:rsidRPr="00F82615">
              <w:t>unpublished); table</w:t>
            </w:r>
            <w:r>
              <w:t> </w:t>
            </w:r>
            <w:proofErr w:type="spellStart"/>
            <w:r w:rsidRPr="00F82615">
              <w:t>13A.</w:t>
            </w:r>
            <w:r>
              <w:t>49</w:t>
            </w:r>
            <w:proofErr w:type="spellEnd"/>
            <w:r w:rsidRPr="00F82615">
              <w:t>.</w:t>
            </w:r>
          </w:p>
        </w:tc>
      </w:tr>
      <w:tr w:rsidR="00D750FB" w:rsidTr="00C64EFF">
        <w:trPr>
          <w:cantSplit/>
        </w:trPr>
        <w:tc>
          <w:tcPr>
            <w:tcW w:w="8771" w:type="dxa"/>
            <w:tcBorders>
              <w:top w:val="nil"/>
              <w:left w:val="nil"/>
              <w:bottom w:val="single" w:sz="6" w:space="0" w:color="78A22F"/>
              <w:right w:val="nil"/>
            </w:tcBorders>
            <w:shd w:val="clear" w:color="auto" w:fill="auto"/>
          </w:tcPr>
          <w:p w:rsidR="00D750FB" w:rsidRDefault="00D750FB" w:rsidP="00C64EFF">
            <w:pPr>
              <w:pStyle w:val="Box"/>
              <w:spacing w:before="0" w:line="120" w:lineRule="exact"/>
            </w:pPr>
          </w:p>
        </w:tc>
      </w:tr>
      <w:tr w:rsidR="00D750FB" w:rsidRPr="000863A5" w:rsidTr="00C64EFF">
        <w:tc>
          <w:tcPr>
            <w:tcW w:w="8771" w:type="dxa"/>
            <w:tcBorders>
              <w:top w:val="single" w:sz="6" w:space="0" w:color="78A22F"/>
              <w:left w:val="nil"/>
              <w:bottom w:val="nil"/>
              <w:right w:val="nil"/>
            </w:tcBorders>
          </w:tcPr>
          <w:p w:rsidR="00D750FB" w:rsidRPr="00626D32" w:rsidRDefault="00D750FB" w:rsidP="00C64EFF">
            <w:pPr>
              <w:pStyle w:val="BoxSpaceBelow"/>
            </w:pPr>
          </w:p>
        </w:tc>
      </w:tr>
    </w:tbl>
    <w:p w:rsidR="00A0387D" w:rsidRDefault="001674AF" w:rsidP="009E0820">
      <w:pPr>
        <w:pStyle w:val="Heading4"/>
      </w:pPr>
      <w:r>
        <w:t xml:space="preserve">Quality – </w:t>
      </w:r>
      <w:r w:rsidR="00A0387D">
        <w:t>Complaints resolution</w:t>
      </w:r>
    </w:p>
    <w:p w:rsidR="00F82615" w:rsidRDefault="00380D6E" w:rsidP="00A0387D">
      <w:pPr>
        <w:pStyle w:val="BodyText"/>
      </w:pPr>
      <w:r>
        <w:t>‘Complaints resolution’ is a proxy</w:t>
      </w:r>
      <w:r w:rsidR="00A0387D">
        <w:t xml:space="preserve"> indicator of governments’ objective to ensure aged care services provide a high quality of care (box</w:t>
      </w:r>
      <w:r w:rsidR="009551A0">
        <w:t> </w:t>
      </w:r>
      <w:r w:rsidR="00A0387D">
        <w:t>13.</w:t>
      </w:r>
      <w:r>
        <w:t>1</w:t>
      </w:r>
      <w:r w:rsidR="00270EDF">
        <w:t>2</w:t>
      </w:r>
      <w:r w:rsidR="00A0387D">
        <w:t>).</w:t>
      </w:r>
    </w:p>
    <w:p w:rsidR="008C0E34" w:rsidRDefault="008C0E3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C0E34" w:rsidTr="006F100B">
        <w:tc>
          <w:tcPr>
            <w:tcW w:w="8771" w:type="dxa"/>
            <w:tcBorders>
              <w:top w:val="single" w:sz="6" w:space="0" w:color="78A22F"/>
              <w:left w:val="nil"/>
              <w:bottom w:val="nil"/>
              <w:right w:val="nil"/>
            </w:tcBorders>
            <w:shd w:val="clear" w:color="auto" w:fill="F2F2F2"/>
          </w:tcPr>
          <w:p w:rsidR="008C0E34" w:rsidRDefault="008C0E34" w:rsidP="008C0E34">
            <w:pPr>
              <w:pStyle w:val="BoxTitle"/>
            </w:pPr>
            <w:r>
              <w:rPr>
                <w:b w:val="0"/>
              </w:rPr>
              <w:t xml:space="preserve">Box </w:t>
            </w:r>
            <w:r w:rsidR="00270EDF">
              <w:rPr>
                <w:b w:val="0"/>
              </w:rPr>
              <w:t>13.</w:t>
            </w:r>
            <w:r w:rsidR="00F132AA">
              <w:rPr>
                <w:b w:val="0"/>
                <w:noProof/>
              </w:rPr>
              <w:t>12</w:t>
            </w:r>
            <w:r>
              <w:tab/>
            </w:r>
            <w:r w:rsidRPr="00A0387D">
              <w:t>Complaints resolution</w:t>
            </w:r>
            <w:r>
              <w:t xml:space="preserve"> </w:t>
            </w:r>
          </w:p>
        </w:tc>
      </w:tr>
      <w:tr w:rsidR="008C0E34" w:rsidTr="006F100B">
        <w:trPr>
          <w:cantSplit/>
        </w:trPr>
        <w:tc>
          <w:tcPr>
            <w:tcW w:w="8771" w:type="dxa"/>
            <w:tcBorders>
              <w:top w:val="nil"/>
              <w:left w:val="nil"/>
              <w:bottom w:val="nil"/>
              <w:right w:val="nil"/>
            </w:tcBorders>
            <w:shd w:val="clear" w:color="auto" w:fill="F2F2F2"/>
          </w:tcPr>
          <w:p w:rsidR="008C0E34" w:rsidRDefault="008C0E34" w:rsidP="008C0E34">
            <w:pPr>
              <w:pStyle w:val="Box"/>
            </w:pPr>
            <w:r>
              <w:t>‘Complaints resolution’ has two measures:</w:t>
            </w:r>
          </w:p>
          <w:p w:rsidR="008C0E34" w:rsidRDefault="008C0E34" w:rsidP="008C0E34">
            <w:pPr>
              <w:pStyle w:val="BoxListBullet"/>
            </w:pPr>
            <w:r>
              <w:t xml:space="preserve">the number of complaints received by the Aged Care Complaints Scheme (the Scheme) that are within the scope of the Scheme to handle (that is, relate to the responsibilities of an approved provider of residential or </w:t>
            </w:r>
            <w:r w:rsidR="004F0B02">
              <w:t>Home Care</w:t>
            </w:r>
            <w:r>
              <w:t xml:space="preserve"> under the </w:t>
            </w:r>
            <w:r w:rsidRPr="005C3550">
              <w:rPr>
                <w:i/>
              </w:rPr>
              <w:t>Aged Care Act 1997</w:t>
            </w:r>
            <w:r>
              <w:t xml:space="preserve"> or </w:t>
            </w:r>
            <w:r w:rsidR="008F34FC">
              <w:t xml:space="preserve">under </w:t>
            </w:r>
            <w:r>
              <w:t>HACC funding agreements) per 1000 permanent care recipients</w:t>
            </w:r>
          </w:p>
          <w:p w:rsidR="008C0E34" w:rsidRDefault="008C0E34" w:rsidP="006F100B">
            <w:pPr>
              <w:pStyle w:val="BoxListBullet"/>
            </w:pPr>
            <w:r>
              <w:t xml:space="preserve">the proportion of complaints that were resolved without the need for a direction. </w:t>
            </w:r>
          </w:p>
          <w:p w:rsidR="002B4257" w:rsidRDefault="002B4257" w:rsidP="002B4257">
            <w:pPr>
              <w:pStyle w:val="Box"/>
            </w:pPr>
            <w:r>
              <w:t xml:space="preserve">This indicator is a proxy of the quality of care and of the responsiveness of providers where issues about the quality of care or services are raised through complaints. A low or decreasing rate of complaints received and high proportion of complaints that were resolved without the need for a direction are desirable. </w:t>
            </w:r>
          </w:p>
          <w:p w:rsidR="002B4257" w:rsidRDefault="002B4257" w:rsidP="00C6461C">
            <w:pPr>
              <w:pStyle w:val="Box"/>
            </w:pPr>
            <w:r>
              <w:t>The Scheme encourages people to raise their concerns with the aged care provider in the first instance where possible. This can achieve a faster and more sustainable result through building relationships between all parties. If concerns are unable to be resolved directly with a service provider, then people can contact the Scheme. The Scheme assesses the risk associated with a complaint and the most appropriate method for resolving the complaint. This may mean encouraging resolution at a local provider level, conciliating an outcome between the complainant and the provider, or the Scheme investigating the complaint. Where the Scheme decides that an approved provider is not meeting its responsibilities, it has the power to issue the provider with directions. Prior to issuing a direction, the Scheme will typically give the provider other opportunities to remedy the issues, including responding to a notice of intention to issue directions. Where issues are addressed, directions may not be issued.</w:t>
            </w:r>
          </w:p>
        </w:tc>
      </w:tr>
      <w:tr w:rsidR="008C0E34" w:rsidTr="006F100B">
        <w:trPr>
          <w:cantSplit/>
        </w:trPr>
        <w:tc>
          <w:tcPr>
            <w:tcW w:w="8771" w:type="dxa"/>
            <w:tcBorders>
              <w:top w:val="nil"/>
              <w:left w:val="nil"/>
              <w:bottom w:val="nil"/>
              <w:right w:val="nil"/>
            </w:tcBorders>
            <w:shd w:val="clear" w:color="auto" w:fill="F2F2F2"/>
          </w:tcPr>
          <w:p w:rsidR="008C0E34" w:rsidRPr="008C0E34" w:rsidRDefault="008C0E34" w:rsidP="003008BF">
            <w:pPr>
              <w:pStyle w:val="Continued"/>
            </w:pPr>
            <w:r w:rsidRPr="008C0E34">
              <w:t>(continued next page)</w:t>
            </w:r>
          </w:p>
        </w:tc>
      </w:tr>
      <w:tr w:rsidR="008C0E34" w:rsidTr="006F100B">
        <w:trPr>
          <w:cantSplit/>
        </w:trPr>
        <w:tc>
          <w:tcPr>
            <w:tcW w:w="8771" w:type="dxa"/>
            <w:tcBorders>
              <w:top w:val="nil"/>
              <w:left w:val="nil"/>
              <w:bottom w:val="single" w:sz="6" w:space="0" w:color="78A22F"/>
              <w:right w:val="nil"/>
            </w:tcBorders>
            <w:shd w:val="clear" w:color="auto" w:fill="F2F2F2"/>
          </w:tcPr>
          <w:p w:rsidR="008C0E34" w:rsidRDefault="008C0E34">
            <w:pPr>
              <w:pStyle w:val="Box"/>
              <w:spacing w:before="0" w:line="120" w:lineRule="exact"/>
            </w:pPr>
          </w:p>
        </w:tc>
      </w:tr>
      <w:tr w:rsidR="008C0E34" w:rsidRPr="000863A5" w:rsidTr="006F100B">
        <w:tc>
          <w:tcPr>
            <w:tcW w:w="8771" w:type="dxa"/>
            <w:tcBorders>
              <w:top w:val="single" w:sz="6" w:space="0" w:color="78A22F"/>
              <w:left w:val="nil"/>
              <w:bottom w:val="nil"/>
              <w:right w:val="nil"/>
            </w:tcBorders>
          </w:tcPr>
          <w:p w:rsidR="008C0E34" w:rsidRPr="00626D32" w:rsidRDefault="008C0E34" w:rsidP="006F100B">
            <w:pPr>
              <w:pStyle w:val="BoxSpaceBelow"/>
            </w:pPr>
          </w:p>
        </w:tc>
      </w:tr>
    </w:tbl>
    <w:p w:rsidR="008C0E34" w:rsidRDefault="008C0E34" w:rsidP="00A0387D">
      <w:pPr>
        <w:pStyle w:val="BodyText"/>
      </w:pPr>
    </w:p>
    <w:p w:rsidR="00B73095" w:rsidRDefault="00B730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73095" w:rsidTr="00C74E99">
        <w:tc>
          <w:tcPr>
            <w:tcW w:w="8771" w:type="dxa"/>
            <w:tcBorders>
              <w:top w:val="single" w:sz="6" w:space="0" w:color="78A22F"/>
              <w:left w:val="nil"/>
              <w:bottom w:val="nil"/>
              <w:right w:val="nil"/>
            </w:tcBorders>
            <w:shd w:val="clear" w:color="auto" w:fill="F2F2F2"/>
          </w:tcPr>
          <w:p w:rsidR="00B73095" w:rsidRDefault="00B73095" w:rsidP="00270EDF">
            <w:pPr>
              <w:pStyle w:val="BoxTitle"/>
            </w:pPr>
            <w:r>
              <w:rPr>
                <w:b w:val="0"/>
              </w:rPr>
              <w:t xml:space="preserve">Box </w:t>
            </w:r>
            <w:r w:rsidR="008C0E34">
              <w:rPr>
                <w:b w:val="0"/>
              </w:rPr>
              <w:t>13.1</w:t>
            </w:r>
            <w:r w:rsidR="00270EDF">
              <w:rPr>
                <w:b w:val="0"/>
              </w:rPr>
              <w:t>2</w:t>
            </w:r>
            <w:r>
              <w:tab/>
            </w:r>
            <w:r w:rsidR="008C0E34" w:rsidRPr="008C0E34">
              <w:rPr>
                <w:b w:val="0"/>
                <w:sz w:val="18"/>
                <w:szCs w:val="20"/>
              </w:rPr>
              <w:t>(continued)</w:t>
            </w:r>
          </w:p>
        </w:tc>
      </w:tr>
      <w:tr w:rsidR="00B73095" w:rsidTr="00C74E99">
        <w:trPr>
          <w:cantSplit/>
        </w:trPr>
        <w:tc>
          <w:tcPr>
            <w:tcW w:w="8771" w:type="dxa"/>
            <w:tcBorders>
              <w:top w:val="nil"/>
              <w:left w:val="nil"/>
              <w:bottom w:val="nil"/>
              <w:right w:val="nil"/>
            </w:tcBorders>
            <w:shd w:val="clear" w:color="auto" w:fill="F2F2F2"/>
          </w:tcPr>
          <w:p w:rsidR="007B335A" w:rsidRDefault="007B335A" w:rsidP="007B335A">
            <w:pPr>
              <w:pStyle w:val="Box"/>
            </w:pPr>
            <w:r>
              <w:t>Data reported for this indicator are:</w:t>
            </w:r>
          </w:p>
          <w:p w:rsidR="007B335A" w:rsidRDefault="007B335A" w:rsidP="007B335A">
            <w:pPr>
              <w:pStyle w:val="BoxListBullet"/>
            </w:pPr>
            <w:r>
              <w:t>comparable (subject to caveats) across jurisdictions but a break in series means that data from 2012</w:t>
            </w:r>
            <w:r>
              <w:rPr>
                <w:rFonts w:ascii="Times New Roman" w:hAnsi="Times New Roman"/>
              </w:rPr>
              <w:noBreakHyphen/>
            </w:r>
            <w:r>
              <w:t>13 are not comparable to data for 2011</w:t>
            </w:r>
            <w:r>
              <w:rPr>
                <w:rFonts w:ascii="Times New Roman" w:hAnsi="Times New Roman"/>
              </w:rPr>
              <w:noBreakHyphen/>
            </w:r>
            <w:r>
              <w:t xml:space="preserve">12 </w:t>
            </w:r>
          </w:p>
          <w:p w:rsidR="007B335A" w:rsidRDefault="007B335A" w:rsidP="007B335A">
            <w:pPr>
              <w:pStyle w:val="BoxListBullet"/>
            </w:pPr>
            <w:r>
              <w:t xml:space="preserve">complete </w:t>
            </w:r>
            <w:r w:rsidR="008C0E34">
              <w:t xml:space="preserve">(subject to caveats) </w:t>
            </w:r>
            <w:r>
              <w:t>for the current reporting period. All required 2014</w:t>
            </w:r>
            <w:r>
              <w:rPr>
                <w:rFonts w:ascii="Times New Roman" w:hAnsi="Times New Roman"/>
              </w:rPr>
              <w:noBreakHyphen/>
            </w:r>
            <w:r>
              <w:t>15 data are available for all jurisdictions.</w:t>
            </w:r>
          </w:p>
          <w:p w:rsidR="00B73095" w:rsidRDefault="007B335A" w:rsidP="007B335A">
            <w:pPr>
              <w:pStyle w:val="Box"/>
            </w:pPr>
            <w:r>
              <w:t>Data quality information for this indicator is under development.</w:t>
            </w:r>
          </w:p>
        </w:tc>
      </w:tr>
      <w:tr w:rsidR="00B73095" w:rsidTr="00C74E99">
        <w:trPr>
          <w:cantSplit/>
        </w:trPr>
        <w:tc>
          <w:tcPr>
            <w:tcW w:w="8771" w:type="dxa"/>
            <w:tcBorders>
              <w:top w:val="nil"/>
              <w:left w:val="nil"/>
              <w:bottom w:val="single" w:sz="6" w:space="0" w:color="78A22F"/>
              <w:right w:val="nil"/>
            </w:tcBorders>
            <w:shd w:val="clear" w:color="auto" w:fill="F2F2F2"/>
          </w:tcPr>
          <w:p w:rsidR="00B73095" w:rsidRDefault="00B73095">
            <w:pPr>
              <w:pStyle w:val="Box"/>
              <w:spacing w:before="0" w:line="120" w:lineRule="exact"/>
            </w:pPr>
          </w:p>
        </w:tc>
      </w:tr>
      <w:tr w:rsidR="00B73095" w:rsidRPr="000863A5" w:rsidTr="00C74E99">
        <w:tc>
          <w:tcPr>
            <w:tcW w:w="8771" w:type="dxa"/>
            <w:tcBorders>
              <w:top w:val="single" w:sz="6" w:space="0" w:color="78A22F"/>
              <w:left w:val="nil"/>
              <w:bottom w:val="nil"/>
              <w:right w:val="nil"/>
            </w:tcBorders>
          </w:tcPr>
          <w:p w:rsidR="00B73095" w:rsidRPr="00626D32" w:rsidRDefault="00B73095" w:rsidP="00C74E99">
            <w:pPr>
              <w:pStyle w:val="BoxSpaceBelow"/>
            </w:pPr>
          </w:p>
        </w:tc>
      </w:tr>
    </w:tbl>
    <w:p w:rsidR="00A0387D" w:rsidRPr="007810C9" w:rsidRDefault="00A0387D" w:rsidP="00CC56A6">
      <w:pPr>
        <w:pStyle w:val="BodyText"/>
        <w:shd w:val="clear" w:color="auto" w:fill="FFFFFF" w:themeFill="background1"/>
        <w:rPr>
          <w:shd w:val="clear" w:color="auto" w:fill="FFFFFF" w:themeFill="background1"/>
        </w:rPr>
      </w:pPr>
      <w:r w:rsidRPr="00A0387D">
        <w:t>During 201</w:t>
      </w:r>
      <w:r w:rsidR="0086534B">
        <w:t>4</w:t>
      </w:r>
      <w:r>
        <w:noBreakHyphen/>
      </w:r>
      <w:r w:rsidRPr="00A0387D">
        <w:t>1</w:t>
      </w:r>
      <w:r w:rsidR="0086534B">
        <w:t>5</w:t>
      </w:r>
      <w:r w:rsidRPr="00A0387D">
        <w:t xml:space="preserve">, the Scheme received </w:t>
      </w:r>
      <w:r w:rsidR="001D20C3">
        <w:t>3725</w:t>
      </w:r>
      <w:r w:rsidRPr="00A0387D">
        <w:t xml:space="preserve"> complaints that were within the scope of the Scheme to handle</w:t>
      </w:r>
      <w:r w:rsidR="008C0E34">
        <w:t xml:space="preserve"> (table</w:t>
      </w:r>
      <w:r w:rsidR="00E75264">
        <w:t> </w:t>
      </w:r>
      <w:proofErr w:type="spellStart"/>
      <w:r w:rsidR="008C0E34">
        <w:t>13A.47</w:t>
      </w:r>
      <w:proofErr w:type="spellEnd"/>
      <w:r w:rsidR="008C0E34">
        <w:t>)</w:t>
      </w:r>
      <w:r w:rsidR="002B4257">
        <w:t>, which equated to 21.6 comp</w:t>
      </w:r>
      <w:r w:rsidRPr="00A0387D">
        <w:t>laints per 1000 care recipients (figure</w:t>
      </w:r>
      <w:r w:rsidR="009551A0">
        <w:t> </w:t>
      </w:r>
      <w:r w:rsidRPr="00A0387D">
        <w:t>13.</w:t>
      </w:r>
      <w:r w:rsidR="00E25C20">
        <w:t>19</w:t>
      </w:r>
      <w:r w:rsidRPr="00A0387D">
        <w:t>).</w:t>
      </w:r>
      <w:r w:rsidR="003B3235">
        <w:t xml:space="preserve"> </w:t>
      </w:r>
      <w:r w:rsidR="002B715A" w:rsidRPr="00CC56A6">
        <w:rPr>
          <w:shd w:val="clear" w:color="auto" w:fill="FFFFFF" w:themeFill="background1"/>
        </w:rPr>
        <w:t>In 201</w:t>
      </w:r>
      <w:r w:rsidR="002B715A">
        <w:rPr>
          <w:shd w:val="clear" w:color="auto" w:fill="FFFFFF" w:themeFill="background1"/>
        </w:rPr>
        <w:t>4</w:t>
      </w:r>
      <w:r w:rsidR="002B715A" w:rsidRPr="00CC56A6">
        <w:rPr>
          <w:shd w:val="clear" w:color="auto" w:fill="FFFFFF" w:themeFill="background1"/>
        </w:rPr>
        <w:noBreakHyphen/>
        <w:t>1</w:t>
      </w:r>
      <w:r w:rsidR="002B715A">
        <w:rPr>
          <w:shd w:val="clear" w:color="auto" w:fill="FFFFFF" w:themeFill="background1"/>
        </w:rPr>
        <w:t>5</w:t>
      </w:r>
      <w:r w:rsidR="002B715A" w:rsidRPr="00CC56A6">
        <w:rPr>
          <w:shd w:val="clear" w:color="auto" w:fill="FFFFFF" w:themeFill="background1"/>
        </w:rPr>
        <w:t xml:space="preserve">, </w:t>
      </w:r>
      <w:r w:rsidR="007810C9" w:rsidRPr="00864C90">
        <w:rPr>
          <w:shd w:val="clear" w:color="auto" w:fill="FFFFFF" w:themeFill="background1"/>
        </w:rPr>
        <w:t>80.9</w:t>
      </w:r>
      <w:r w:rsidR="002B715A" w:rsidRPr="00864C90">
        <w:rPr>
          <w:shd w:val="clear" w:color="auto" w:fill="FFFFFF" w:themeFill="background1"/>
        </w:rPr>
        <w:t xml:space="preserve"> per cent</w:t>
      </w:r>
      <w:r w:rsidR="002B715A" w:rsidRPr="00CC56A6">
        <w:rPr>
          <w:shd w:val="clear" w:color="auto" w:fill="FFFFFF" w:themeFill="background1"/>
        </w:rPr>
        <w:t xml:space="preserve"> of complaints were resolved through early resolution and </w:t>
      </w:r>
      <w:r w:rsidR="007810C9" w:rsidRPr="00864C90">
        <w:rPr>
          <w:shd w:val="clear" w:color="auto" w:fill="FFFFFF" w:themeFill="background1"/>
        </w:rPr>
        <w:t>19.1</w:t>
      </w:r>
      <w:r w:rsidR="002B715A" w:rsidRPr="00864C90">
        <w:rPr>
          <w:shd w:val="clear" w:color="auto" w:fill="FFFFFF" w:themeFill="background1"/>
        </w:rPr>
        <w:t> per cent</w:t>
      </w:r>
      <w:r w:rsidR="002B715A" w:rsidRPr="00CC56A6">
        <w:rPr>
          <w:shd w:val="clear" w:color="auto" w:fill="FFFFFF" w:themeFill="background1"/>
        </w:rPr>
        <w:t xml:space="preserve"> progressed to resolution</w:t>
      </w:r>
      <w:r w:rsidR="002B715A" w:rsidRPr="007810C9">
        <w:rPr>
          <w:shd w:val="clear" w:color="auto" w:fill="FFFFFF" w:themeFill="background1"/>
        </w:rPr>
        <w:t xml:space="preserve"> (DSS</w:t>
      </w:r>
      <w:r w:rsidR="007B1622" w:rsidRPr="007810C9">
        <w:rPr>
          <w:shd w:val="clear" w:color="auto" w:fill="FFFFFF" w:themeFill="background1"/>
        </w:rPr>
        <w:t> </w:t>
      </w:r>
      <w:r w:rsidR="002B715A" w:rsidRPr="007810C9">
        <w:rPr>
          <w:shd w:val="clear" w:color="auto" w:fill="FFFFFF" w:themeFill="background1"/>
        </w:rPr>
        <w:t>unpublished). Of those complaints that progressed to resolution, 99.3 per cent were resolved without the need for a direction to the approved provider (table </w:t>
      </w:r>
      <w:proofErr w:type="spellStart"/>
      <w:r w:rsidR="002B715A" w:rsidRPr="007810C9">
        <w:rPr>
          <w:shd w:val="clear" w:color="auto" w:fill="FFFFFF" w:themeFill="background1"/>
        </w:rPr>
        <w:t>13A.47</w:t>
      </w:r>
      <w:proofErr w:type="spellEnd"/>
      <w:r w:rsidR="002B715A" w:rsidRPr="007810C9">
        <w:rPr>
          <w:shd w:val="clear" w:color="auto" w:fill="FFFFFF" w:themeFill="background1"/>
        </w:rPr>
        <w:t>).</w:t>
      </w:r>
    </w:p>
    <w:p w:rsidR="00E25C20" w:rsidRDefault="00E25C20" w:rsidP="00C64E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25C20" w:rsidTr="00C64EFF">
        <w:tc>
          <w:tcPr>
            <w:tcW w:w="8771" w:type="dxa"/>
            <w:tcBorders>
              <w:top w:val="single" w:sz="6" w:space="0" w:color="78A22F"/>
              <w:left w:val="nil"/>
              <w:bottom w:val="nil"/>
              <w:right w:val="nil"/>
            </w:tcBorders>
            <w:shd w:val="clear" w:color="auto" w:fill="auto"/>
          </w:tcPr>
          <w:p w:rsidR="00E25C20" w:rsidRPr="00176D3F" w:rsidRDefault="00E25C20" w:rsidP="008F34FC">
            <w:pPr>
              <w:pStyle w:val="FigureTitle"/>
            </w:pPr>
            <w:r w:rsidRPr="00784A05">
              <w:rPr>
                <w:b w:val="0"/>
              </w:rPr>
              <w:t xml:space="preserve">Figure </w:t>
            </w:r>
            <w:r w:rsidR="00E8096D">
              <w:rPr>
                <w:b w:val="0"/>
              </w:rPr>
              <w:t>13.</w:t>
            </w:r>
            <w:r w:rsidR="00F132AA">
              <w:rPr>
                <w:b w:val="0"/>
                <w:noProof/>
              </w:rPr>
              <w:t>19</w:t>
            </w:r>
            <w:r>
              <w:tab/>
            </w:r>
            <w:r w:rsidRPr="00A0387D">
              <w:t xml:space="preserve">Complaints received by the Aged Care Complaints Scheme </w:t>
            </w:r>
            <w:r w:rsidR="008F34FC">
              <w:t>that</w:t>
            </w:r>
            <w:r w:rsidRPr="00A0387D">
              <w:t xml:space="preserve"> are within its scope to handle</w:t>
            </w:r>
            <w:r w:rsidR="00C7774D" w:rsidRPr="00C7774D">
              <w:rPr>
                <w:rStyle w:val="NoteLabel"/>
                <w:b/>
              </w:rPr>
              <w:t>a</w:t>
            </w:r>
          </w:p>
        </w:tc>
      </w:tr>
      <w:tr w:rsidR="00E25C20" w:rsidTr="00C64E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25C20" w:rsidTr="00C64EFF">
              <w:trPr>
                <w:jc w:val="center"/>
              </w:trPr>
              <w:tc>
                <w:tcPr>
                  <w:tcW w:w="5000" w:type="pct"/>
                  <w:tcBorders>
                    <w:top w:val="nil"/>
                    <w:bottom w:val="nil"/>
                  </w:tcBorders>
                </w:tcPr>
                <w:p w:rsidR="00E25C20" w:rsidRDefault="00E30882" w:rsidP="00C64EFF">
                  <w:pPr>
                    <w:pStyle w:val="Figure"/>
                    <w:spacing w:before="60" w:after="60"/>
                  </w:pPr>
                  <w:r>
                    <w:rPr>
                      <w:noProof/>
                    </w:rPr>
                    <w:drawing>
                      <wp:inline distT="0" distB="0" distL="0" distR="0">
                        <wp:extent cx="5229225" cy="2647950"/>
                        <wp:effectExtent l="0" t="0" r="9525" b="0"/>
                        <wp:docPr id="21" name="Picture 21" descr="Figure 13.19 Complaints received by the Aged Care Complaints Scheme that are within its scope to hand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29225" cy="2647950"/>
                                </a:xfrm>
                                <a:prstGeom prst="rect">
                                  <a:avLst/>
                                </a:prstGeom>
                                <a:noFill/>
                                <a:ln>
                                  <a:noFill/>
                                </a:ln>
                              </pic:spPr>
                            </pic:pic>
                          </a:graphicData>
                        </a:graphic>
                      </wp:inline>
                    </w:drawing>
                  </w:r>
                </w:p>
              </w:tc>
            </w:tr>
          </w:tbl>
          <w:p w:rsidR="00E25C20" w:rsidRDefault="00E25C20" w:rsidP="00C64EFF">
            <w:pPr>
              <w:pStyle w:val="Figure"/>
            </w:pPr>
          </w:p>
        </w:tc>
      </w:tr>
      <w:tr w:rsidR="00E25C20" w:rsidRPr="00176D3F" w:rsidTr="00C64EFF">
        <w:tc>
          <w:tcPr>
            <w:tcW w:w="8771" w:type="dxa"/>
            <w:tcBorders>
              <w:top w:val="nil"/>
              <w:left w:val="nil"/>
              <w:bottom w:val="nil"/>
              <w:right w:val="nil"/>
            </w:tcBorders>
            <w:shd w:val="clear" w:color="auto" w:fill="auto"/>
          </w:tcPr>
          <w:p w:rsidR="00E25C20" w:rsidRPr="00176D3F" w:rsidRDefault="00E25C20" w:rsidP="00E174BA">
            <w:pPr>
              <w:pStyle w:val="Note"/>
            </w:pPr>
            <w:r w:rsidRPr="008E77FE">
              <w:rPr>
                <w:rStyle w:val="NoteLabel"/>
              </w:rPr>
              <w:t>a</w:t>
            </w:r>
            <w:r>
              <w:t xml:space="preserve"> </w:t>
            </w:r>
            <w:r w:rsidRPr="006F23A3">
              <w:t>See box</w:t>
            </w:r>
            <w:r w:rsidR="00E75264">
              <w:t> </w:t>
            </w:r>
            <w:r>
              <w:t>13</w:t>
            </w:r>
            <w:r w:rsidRPr="006F23A3">
              <w:t>.</w:t>
            </w:r>
            <w:r>
              <w:t>1</w:t>
            </w:r>
            <w:r w:rsidR="00E174BA">
              <w:t>2</w:t>
            </w:r>
            <w:r>
              <w:t xml:space="preserve"> </w:t>
            </w:r>
            <w:r w:rsidRPr="006F23A3">
              <w:t>and table</w:t>
            </w:r>
            <w:r w:rsidR="00E75264">
              <w:t> </w:t>
            </w:r>
            <w:proofErr w:type="spellStart"/>
            <w:r>
              <w:t>13</w:t>
            </w:r>
            <w:r w:rsidRPr="006F23A3">
              <w:t>A.</w:t>
            </w:r>
            <w:r>
              <w:t>4</w:t>
            </w:r>
            <w:r w:rsidR="00E8096D">
              <w:t>7</w:t>
            </w:r>
            <w:proofErr w:type="spellEnd"/>
            <w:r w:rsidRPr="006F23A3">
              <w:t xml:space="preserve"> for detailed</w:t>
            </w:r>
            <w:r w:rsidRPr="0032221B">
              <w:t xml:space="preserve"> definitions, footnotes and caveats</w:t>
            </w:r>
            <w:r w:rsidRPr="006F23A3">
              <w:t>.</w:t>
            </w:r>
            <w:r>
              <w:t xml:space="preserve"> </w:t>
            </w:r>
          </w:p>
        </w:tc>
      </w:tr>
      <w:tr w:rsidR="00E25C20" w:rsidRPr="00176D3F" w:rsidTr="00C64EFF">
        <w:tc>
          <w:tcPr>
            <w:tcW w:w="8771" w:type="dxa"/>
            <w:tcBorders>
              <w:top w:val="nil"/>
              <w:left w:val="nil"/>
              <w:bottom w:val="nil"/>
              <w:right w:val="nil"/>
            </w:tcBorders>
            <w:shd w:val="clear" w:color="auto" w:fill="auto"/>
          </w:tcPr>
          <w:p w:rsidR="00E25C20" w:rsidRPr="00176D3F" w:rsidRDefault="00E25C20" w:rsidP="00E8096D">
            <w:pPr>
              <w:pStyle w:val="Source"/>
            </w:pPr>
            <w:r w:rsidRPr="00A0387D">
              <w:rPr>
                <w:i/>
              </w:rPr>
              <w:t>Source</w:t>
            </w:r>
            <w:r w:rsidRPr="009551A0">
              <w:t>:</w:t>
            </w:r>
            <w:r w:rsidRPr="00A0387D">
              <w:rPr>
                <w:i/>
              </w:rPr>
              <w:t xml:space="preserve"> </w:t>
            </w:r>
            <w:r w:rsidRPr="00A0387D">
              <w:t>D</w:t>
            </w:r>
            <w:r w:rsidR="00C7774D">
              <w:t xml:space="preserve">epartment </w:t>
            </w:r>
            <w:r w:rsidRPr="00A0387D">
              <w:t>o</w:t>
            </w:r>
            <w:r w:rsidR="00C7774D">
              <w:t xml:space="preserve">f </w:t>
            </w:r>
            <w:r w:rsidRPr="00A0387D">
              <w:t>H</w:t>
            </w:r>
            <w:r w:rsidR="00C7774D">
              <w:t xml:space="preserve">ealth and </w:t>
            </w:r>
            <w:r w:rsidRPr="00A0387D">
              <w:t>A</w:t>
            </w:r>
            <w:r w:rsidR="00C7774D">
              <w:t>geing</w:t>
            </w:r>
            <w:r w:rsidRPr="00A0387D">
              <w:t>/</w:t>
            </w:r>
            <w:proofErr w:type="spellStart"/>
            <w:r w:rsidRPr="00A0387D">
              <w:t>DSS</w:t>
            </w:r>
            <w:proofErr w:type="spellEnd"/>
            <w:r w:rsidRPr="00A0387D">
              <w:t xml:space="preserve"> (unpublished); table</w:t>
            </w:r>
            <w:r>
              <w:t> </w:t>
            </w:r>
            <w:proofErr w:type="spellStart"/>
            <w:r w:rsidRPr="00A0387D">
              <w:t>13A.</w:t>
            </w:r>
            <w:r w:rsidR="00E8096D">
              <w:t>47</w:t>
            </w:r>
            <w:proofErr w:type="spellEnd"/>
            <w:r>
              <w:t>.</w:t>
            </w:r>
            <w:r w:rsidRPr="00176D3F">
              <w:t xml:space="preserve"> </w:t>
            </w:r>
          </w:p>
        </w:tc>
      </w:tr>
      <w:tr w:rsidR="00E25C20" w:rsidTr="00C64EFF">
        <w:tc>
          <w:tcPr>
            <w:tcW w:w="8771" w:type="dxa"/>
            <w:tcBorders>
              <w:top w:val="nil"/>
              <w:left w:val="nil"/>
              <w:bottom w:val="single" w:sz="6" w:space="0" w:color="78A22F"/>
              <w:right w:val="nil"/>
            </w:tcBorders>
            <w:shd w:val="clear" w:color="auto" w:fill="auto"/>
          </w:tcPr>
          <w:p w:rsidR="00E25C20" w:rsidRDefault="00E25C20" w:rsidP="00C64EFF">
            <w:pPr>
              <w:pStyle w:val="Figurespace"/>
            </w:pPr>
          </w:p>
        </w:tc>
      </w:tr>
      <w:tr w:rsidR="00E25C20" w:rsidRPr="000863A5" w:rsidTr="00C64EFF">
        <w:tc>
          <w:tcPr>
            <w:tcW w:w="8771" w:type="dxa"/>
            <w:tcBorders>
              <w:top w:val="single" w:sz="6" w:space="0" w:color="78A22F"/>
              <w:left w:val="nil"/>
              <w:bottom w:val="nil"/>
              <w:right w:val="nil"/>
            </w:tcBorders>
          </w:tcPr>
          <w:p w:rsidR="00E25C20" w:rsidRPr="00626D32" w:rsidRDefault="00E25C20" w:rsidP="00C64EFF">
            <w:pPr>
              <w:pStyle w:val="BoxSpaceBelow"/>
            </w:pPr>
          </w:p>
        </w:tc>
      </w:tr>
    </w:tbl>
    <w:p w:rsidR="00C50358" w:rsidRDefault="001674AF" w:rsidP="009E0820">
      <w:pPr>
        <w:pStyle w:val="Heading4"/>
      </w:pPr>
      <w:r>
        <w:t xml:space="preserve">Quality – </w:t>
      </w:r>
      <w:r w:rsidR="00C50358">
        <w:t>Client appraisal of service standards</w:t>
      </w:r>
    </w:p>
    <w:p w:rsidR="00F57D94" w:rsidRDefault="00C50358" w:rsidP="00C50358">
      <w:pPr>
        <w:pStyle w:val="BodyText"/>
      </w:pPr>
      <w:r>
        <w:t>‘Client appraisal of service standards’ is an indicator of governments’ objective to ensure high levels of client satisfaction with aged care services (box</w:t>
      </w:r>
      <w:r w:rsidR="009551A0">
        <w:t> </w:t>
      </w:r>
      <w:r>
        <w:t>13.</w:t>
      </w:r>
      <w:r w:rsidR="00354FE6">
        <w:t>1</w:t>
      </w:r>
      <w:r w:rsidR="00270EDF">
        <w:t>3</w:t>
      </w:r>
      <w:r>
        <w:t>).</w:t>
      </w:r>
    </w:p>
    <w:p w:rsidR="003E35AF" w:rsidRDefault="003E35A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35AF" w:rsidTr="00C64EFF">
        <w:tc>
          <w:tcPr>
            <w:tcW w:w="8771" w:type="dxa"/>
            <w:tcBorders>
              <w:top w:val="single" w:sz="6" w:space="0" w:color="78A22F"/>
              <w:left w:val="nil"/>
              <w:bottom w:val="nil"/>
              <w:right w:val="nil"/>
            </w:tcBorders>
            <w:shd w:val="clear" w:color="auto" w:fill="F2F2F2"/>
          </w:tcPr>
          <w:p w:rsidR="003E35AF" w:rsidRDefault="003E35AF" w:rsidP="003E35AF">
            <w:pPr>
              <w:pStyle w:val="BoxTitle"/>
            </w:pPr>
            <w:r>
              <w:rPr>
                <w:b w:val="0"/>
              </w:rPr>
              <w:t xml:space="preserve">Box </w:t>
            </w:r>
            <w:r w:rsidR="00270EDF">
              <w:rPr>
                <w:b w:val="0"/>
              </w:rPr>
              <w:t>13.</w:t>
            </w:r>
            <w:r w:rsidR="00F132AA">
              <w:rPr>
                <w:b w:val="0"/>
                <w:noProof/>
              </w:rPr>
              <w:t>13</w:t>
            </w:r>
            <w:r>
              <w:tab/>
            </w:r>
            <w:r w:rsidRPr="00C50358">
              <w:t>Client appraisal of service standards</w:t>
            </w:r>
          </w:p>
        </w:tc>
      </w:tr>
      <w:tr w:rsidR="003E35AF" w:rsidTr="00C64EFF">
        <w:trPr>
          <w:cantSplit/>
        </w:trPr>
        <w:tc>
          <w:tcPr>
            <w:tcW w:w="8771" w:type="dxa"/>
            <w:tcBorders>
              <w:top w:val="nil"/>
              <w:left w:val="nil"/>
              <w:bottom w:val="nil"/>
              <w:right w:val="nil"/>
            </w:tcBorders>
            <w:shd w:val="clear" w:color="auto" w:fill="F2F2F2"/>
          </w:tcPr>
          <w:p w:rsidR="003E35AF" w:rsidRDefault="003E35AF" w:rsidP="003E35AF">
            <w:pPr>
              <w:pStyle w:val="Box"/>
            </w:pPr>
            <w:r>
              <w:t>‘Client appraisal of service standards’ is yet to be defined.</w:t>
            </w:r>
          </w:p>
          <w:p w:rsidR="003E35AF" w:rsidRDefault="003E35AF" w:rsidP="003E35AF">
            <w:pPr>
              <w:pStyle w:val="Box"/>
            </w:pPr>
            <w:r>
              <w:t>Data for this indicator were not available for the 2016 Report.</w:t>
            </w:r>
          </w:p>
        </w:tc>
      </w:tr>
      <w:tr w:rsidR="003E35AF" w:rsidTr="00C64EFF">
        <w:trPr>
          <w:cantSplit/>
        </w:trPr>
        <w:tc>
          <w:tcPr>
            <w:tcW w:w="8771" w:type="dxa"/>
            <w:tcBorders>
              <w:top w:val="nil"/>
              <w:left w:val="nil"/>
              <w:bottom w:val="single" w:sz="6" w:space="0" w:color="78A22F"/>
              <w:right w:val="nil"/>
            </w:tcBorders>
            <w:shd w:val="clear" w:color="auto" w:fill="F2F2F2"/>
          </w:tcPr>
          <w:p w:rsidR="003E35AF" w:rsidRDefault="003E35AF">
            <w:pPr>
              <w:pStyle w:val="Box"/>
              <w:spacing w:before="0" w:line="120" w:lineRule="exact"/>
            </w:pPr>
          </w:p>
        </w:tc>
      </w:tr>
      <w:tr w:rsidR="003E35AF" w:rsidRPr="000863A5" w:rsidTr="00C64EFF">
        <w:tc>
          <w:tcPr>
            <w:tcW w:w="8771" w:type="dxa"/>
            <w:tcBorders>
              <w:top w:val="single" w:sz="6" w:space="0" w:color="78A22F"/>
              <w:left w:val="nil"/>
              <w:bottom w:val="nil"/>
              <w:right w:val="nil"/>
            </w:tcBorders>
          </w:tcPr>
          <w:p w:rsidR="003E35AF" w:rsidRPr="00626D32" w:rsidRDefault="003E35AF" w:rsidP="00C64EFF">
            <w:pPr>
              <w:pStyle w:val="BoxSpaceBelow"/>
            </w:pPr>
          </w:p>
        </w:tc>
      </w:tr>
    </w:tbl>
    <w:p w:rsidR="00C50358" w:rsidRDefault="00C50358" w:rsidP="009E0820">
      <w:pPr>
        <w:pStyle w:val="Heading3"/>
      </w:pPr>
      <w:r>
        <w:t xml:space="preserve">Efficiency </w:t>
      </w:r>
    </w:p>
    <w:p w:rsidR="00C50358" w:rsidRDefault="00C50358" w:rsidP="009E0820">
      <w:pPr>
        <w:pStyle w:val="Heading4"/>
      </w:pPr>
      <w:r>
        <w:t>Cost per output unit</w:t>
      </w:r>
    </w:p>
    <w:p w:rsidR="002B4257" w:rsidRPr="00C6461C" w:rsidRDefault="003E35AF" w:rsidP="00C6461C">
      <w:pPr>
        <w:pStyle w:val="BodyText"/>
      </w:pPr>
      <w:r>
        <w:t xml:space="preserve">‘Cost per output unit’ is a proxy </w:t>
      </w:r>
      <w:r w:rsidR="00C50358">
        <w:t>indicator of governments’ objective to deliver efficient aged care services (box</w:t>
      </w:r>
      <w:r w:rsidR="009551A0">
        <w:t> </w:t>
      </w:r>
      <w:r w:rsidR="00C50358">
        <w:t>13.</w:t>
      </w:r>
      <w:r w:rsidR="005A7770">
        <w:t>14</w:t>
      </w:r>
      <w:r w:rsidR="00C50358">
        <w:t>).</w:t>
      </w:r>
      <w:r w:rsidR="00467702" w:rsidDel="00467702">
        <w:t xml:space="preserve"> </w:t>
      </w:r>
    </w:p>
    <w:p w:rsidR="00354FE6" w:rsidRDefault="00354FE6" w:rsidP="00C6461C">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164D3" w:rsidTr="00B72C20">
        <w:tc>
          <w:tcPr>
            <w:tcW w:w="8771" w:type="dxa"/>
            <w:tcBorders>
              <w:top w:val="single" w:sz="6" w:space="0" w:color="78A22F"/>
              <w:left w:val="nil"/>
              <w:bottom w:val="nil"/>
              <w:right w:val="nil"/>
            </w:tcBorders>
            <w:shd w:val="clear" w:color="auto" w:fill="F2F2F2" w:themeFill="background1" w:themeFillShade="F2"/>
          </w:tcPr>
          <w:p w:rsidR="009164D3" w:rsidRDefault="009164D3" w:rsidP="0086534B">
            <w:pPr>
              <w:pStyle w:val="BoxTitle"/>
            </w:pPr>
            <w:r>
              <w:rPr>
                <w:b w:val="0"/>
              </w:rPr>
              <w:t xml:space="preserve">Box </w:t>
            </w:r>
            <w:bookmarkStart w:id="21" w:name="OLE_LINK7"/>
            <w:r w:rsidR="00270EDF">
              <w:rPr>
                <w:b w:val="0"/>
              </w:rPr>
              <w:t>13.</w:t>
            </w:r>
            <w:r w:rsidR="00F132AA">
              <w:rPr>
                <w:b w:val="0"/>
                <w:noProof/>
              </w:rPr>
              <w:t>14</w:t>
            </w:r>
            <w:bookmarkEnd w:id="21"/>
            <w:r>
              <w:tab/>
            </w:r>
            <w:r w:rsidR="007E2FDA" w:rsidRPr="00C50358">
              <w:t>Cost per output unit</w:t>
            </w:r>
            <w:r w:rsidR="007E2FDA">
              <w:t xml:space="preserve"> </w:t>
            </w:r>
          </w:p>
        </w:tc>
      </w:tr>
      <w:tr w:rsidR="009164D3" w:rsidTr="00B72C20">
        <w:trPr>
          <w:cantSplit/>
        </w:trPr>
        <w:tc>
          <w:tcPr>
            <w:tcW w:w="8771" w:type="dxa"/>
            <w:tcBorders>
              <w:top w:val="nil"/>
              <w:left w:val="nil"/>
              <w:bottom w:val="nil"/>
              <w:right w:val="nil"/>
            </w:tcBorders>
            <w:shd w:val="clear" w:color="auto" w:fill="F2F2F2" w:themeFill="background1" w:themeFillShade="F2"/>
          </w:tcPr>
          <w:p w:rsidR="009164D3" w:rsidRDefault="009164D3" w:rsidP="009164D3">
            <w:pPr>
              <w:pStyle w:val="Box"/>
            </w:pPr>
            <w:r>
              <w:t xml:space="preserve">‘Cost per output unit’ is defined by two measures: </w:t>
            </w:r>
          </w:p>
          <w:p w:rsidR="009164D3" w:rsidRDefault="009164D3" w:rsidP="00391E20">
            <w:pPr>
              <w:pStyle w:val="BoxListBullet"/>
            </w:pPr>
            <w:r>
              <w:t xml:space="preserve">Australian Government expenditure per ACAT assessment — Australian Government expenditure on the </w:t>
            </w:r>
            <w:r w:rsidR="00391E20" w:rsidRPr="00391E20">
              <w:t xml:space="preserve">Aged Care Assessment Program </w:t>
            </w:r>
            <w:r>
              <w:t xml:space="preserve">divided by the number of </w:t>
            </w:r>
            <w:r w:rsidR="00AD6CA2" w:rsidRPr="003E35AF">
              <w:t>complete</w:t>
            </w:r>
            <w:r w:rsidR="003E35AF" w:rsidRPr="003E35AF">
              <w:t>d</w:t>
            </w:r>
            <w:r w:rsidR="00AD6CA2" w:rsidRPr="003E35AF">
              <w:t xml:space="preserve"> </w:t>
            </w:r>
            <w:r w:rsidRPr="003E35AF">
              <w:t>assessments</w:t>
            </w:r>
            <w:r>
              <w:t xml:space="preserve"> </w:t>
            </w:r>
          </w:p>
          <w:p w:rsidR="009164D3" w:rsidRDefault="009164D3" w:rsidP="007140C8">
            <w:pPr>
              <w:pStyle w:val="BoxListBullet"/>
            </w:pPr>
            <w:r>
              <w:t xml:space="preserve">expenditure per hour of service for HACC — </w:t>
            </w:r>
            <w:r w:rsidR="007140C8" w:rsidRPr="005C6181">
              <w:t>Australian, Victorian and WA</w:t>
            </w:r>
            <w:r w:rsidRPr="005C6181">
              <w:t xml:space="preserve"> gover</w:t>
            </w:r>
            <w:r w:rsidR="00F878DB">
              <w:t>nments expenditure on services</w:t>
            </w:r>
            <w:r>
              <w:t>, divided by the number of hours of service provided (by service type domestic assistance, personal care, nursing and allied health service).</w:t>
            </w:r>
          </w:p>
          <w:p w:rsidR="009164D3" w:rsidRDefault="009164D3" w:rsidP="009164D3">
            <w:pPr>
              <w:pStyle w:val="Box"/>
            </w:pPr>
            <w:r>
              <w:t xml:space="preserve">This is a proxy indicator of efficiency and needs to be interpreted </w:t>
            </w:r>
            <w:r w:rsidRPr="005C6181">
              <w:t>with c</w:t>
            </w:r>
            <w:r w:rsidR="007758B7" w:rsidRPr="005C6181">
              <w:t>aution</w:t>
            </w:r>
            <w:r>
              <w:t xml:space="preserve">. While high or increasing </w:t>
            </w:r>
            <w:r w:rsidR="00354FE6">
              <w:t>cost per output unit</w:t>
            </w:r>
            <w:r>
              <w:t xml:space="preserve"> may reflect deteriorating efficiency, it may also reflect changes in aspects of the service (such as greater time spent with clients) or </w:t>
            </w:r>
            <w:r w:rsidR="00354FE6">
              <w:t>differences</w:t>
            </w:r>
            <w:r>
              <w:t xml:space="preserve"> in the characteristics of clients (such as their geographic location). Similarly, </w:t>
            </w:r>
            <w:r w:rsidR="00354FE6">
              <w:t xml:space="preserve">while </w:t>
            </w:r>
            <w:r>
              <w:t xml:space="preserve">low or declining </w:t>
            </w:r>
            <w:r w:rsidR="00354FE6">
              <w:t xml:space="preserve">cost per output unit </w:t>
            </w:r>
            <w:r>
              <w:t xml:space="preserve">may reflect improving efficiency </w:t>
            </w:r>
            <w:r w:rsidR="00354FE6">
              <w:t>it may also reflect declining quality (such as less time spent with clients)</w:t>
            </w:r>
            <w:r>
              <w:t xml:space="preserve">. </w:t>
            </w:r>
          </w:p>
          <w:p w:rsidR="004C20AB" w:rsidRDefault="007C06E6" w:rsidP="00B0495A">
            <w:pPr>
              <w:pStyle w:val="Box"/>
            </w:pPr>
            <w:r w:rsidRPr="003E35AF">
              <w:t xml:space="preserve">Not all expenditure is included </w:t>
            </w:r>
            <w:r w:rsidR="002B4257">
              <w:t>in these</w:t>
            </w:r>
            <w:r w:rsidR="008D35A5">
              <w:t xml:space="preserve"> </w:t>
            </w:r>
            <w:r w:rsidRPr="003E35AF">
              <w:t>measures. Expenditure by non</w:t>
            </w:r>
            <w:r w:rsidRPr="003E35AF">
              <w:noBreakHyphen/>
              <w:t xml:space="preserve">government sources on services (for example, client fees for HACC) </w:t>
            </w:r>
            <w:r w:rsidR="00354FE6">
              <w:t xml:space="preserve">and </w:t>
            </w:r>
            <w:r w:rsidR="002B4257">
              <w:t>State and Territory governments’ contributions to the c</w:t>
            </w:r>
            <w:r w:rsidR="00354FE6" w:rsidRPr="003E35AF">
              <w:t>ost of ACAT assessments</w:t>
            </w:r>
            <w:r w:rsidR="002B4257">
              <w:t xml:space="preserve"> </w:t>
            </w:r>
            <w:r w:rsidR="00224633">
              <w:t>are</w:t>
            </w:r>
            <w:r w:rsidR="009164D3" w:rsidRPr="003E35AF">
              <w:t xml:space="preserve"> </w:t>
            </w:r>
            <w:r w:rsidR="0001680C" w:rsidRPr="003E35AF">
              <w:t>not included</w:t>
            </w:r>
            <w:r w:rsidR="009164D3" w:rsidRPr="003E35AF">
              <w:t xml:space="preserve">. </w:t>
            </w:r>
          </w:p>
          <w:p w:rsidR="0098043A" w:rsidRDefault="0098043A" w:rsidP="0098043A">
            <w:pPr>
              <w:pStyle w:val="Box"/>
            </w:pPr>
            <w:r>
              <w:t>Data reported for the ‘Australian Government expenditure per ACAT assessment’ measure are:</w:t>
            </w:r>
          </w:p>
          <w:p w:rsidR="0098043A" w:rsidRDefault="0098043A" w:rsidP="0098043A">
            <w:pPr>
              <w:pStyle w:val="BoxListBullet"/>
            </w:pPr>
            <w:r>
              <w:t>comparable (subject to caveats) across jurisdictions and over</w:t>
            </w:r>
            <w:r w:rsidR="00354FE6">
              <w:t xml:space="preserve"> </w:t>
            </w:r>
            <w:r>
              <w:t xml:space="preserve">time </w:t>
            </w:r>
          </w:p>
          <w:p w:rsidR="0098043A" w:rsidRDefault="0098043A" w:rsidP="00B707CE">
            <w:pPr>
              <w:pStyle w:val="BoxListBullet"/>
            </w:pPr>
            <w:r>
              <w:t xml:space="preserve">complete </w:t>
            </w:r>
            <w:r w:rsidR="008C0E34">
              <w:t xml:space="preserve">(subject to caveats) </w:t>
            </w:r>
            <w:r>
              <w:t>for the current reporting period. All required 201</w:t>
            </w:r>
            <w:r w:rsidR="00B707CE">
              <w:t>3</w:t>
            </w:r>
            <w:r>
              <w:rPr>
                <w:rFonts w:ascii="Times New Roman" w:hAnsi="Times New Roman"/>
              </w:rPr>
              <w:noBreakHyphen/>
            </w:r>
            <w:r>
              <w:t>1</w:t>
            </w:r>
            <w:r w:rsidR="00B707CE">
              <w:t>4</w:t>
            </w:r>
            <w:r>
              <w:t xml:space="preserve"> data are available for all jurisdictions. </w:t>
            </w:r>
          </w:p>
          <w:p w:rsidR="00DD141C" w:rsidRDefault="00DD141C" w:rsidP="00DD141C">
            <w:pPr>
              <w:pStyle w:val="Box"/>
            </w:pPr>
            <w:r>
              <w:t>Data reported for the ‘expenditure per hour of service for HACC’ measure are:</w:t>
            </w:r>
          </w:p>
          <w:p w:rsidR="00DD141C" w:rsidRDefault="00DD141C" w:rsidP="00DD141C">
            <w:pPr>
              <w:pStyle w:val="BoxListBullet"/>
            </w:pPr>
            <w:r>
              <w:t>comparable (subject to caveats)</w:t>
            </w:r>
            <w:r w:rsidR="004A3AB9">
              <w:t xml:space="preserve"> within jurisdictions over time</w:t>
            </w:r>
            <w:r>
              <w:t xml:space="preserve"> but are not comparable across jurisdictions </w:t>
            </w:r>
          </w:p>
          <w:p w:rsidR="00DD141C" w:rsidRDefault="00DD141C" w:rsidP="00DD141C">
            <w:pPr>
              <w:pStyle w:val="BoxListBullet"/>
            </w:pPr>
            <w:r>
              <w:t>complete</w:t>
            </w:r>
            <w:r w:rsidR="008C0E34">
              <w:t xml:space="preserve"> (subject to caveats)</w:t>
            </w:r>
            <w:r>
              <w:t xml:space="preserve"> for the current reporting period. All required 201</w:t>
            </w:r>
            <w:r w:rsidR="00C7774D">
              <w:t>3</w:t>
            </w:r>
            <w:r>
              <w:rPr>
                <w:rFonts w:ascii="Times New Roman" w:hAnsi="Times New Roman"/>
              </w:rPr>
              <w:noBreakHyphen/>
            </w:r>
            <w:r>
              <w:t>1</w:t>
            </w:r>
            <w:r w:rsidR="00C7774D">
              <w:t>4</w:t>
            </w:r>
            <w:r>
              <w:t xml:space="preserve"> data were available for </w:t>
            </w:r>
            <w:r w:rsidR="00380D6E">
              <w:t xml:space="preserve">all </w:t>
            </w:r>
            <w:r w:rsidR="008C0E34">
              <w:t>jurisdictions</w:t>
            </w:r>
            <w:r>
              <w:t xml:space="preserve">. </w:t>
            </w:r>
          </w:p>
          <w:p w:rsidR="00DD141C" w:rsidRDefault="00AA3C69" w:rsidP="00AA3C69">
            <w:pPr>
              <w:pStyle w:val="BoxListBullet"/>
              <w:numPr>
                <w:ilvl w:val="0"/>
                <w:numId w:val="0"/>
              </w:numPr>
              <w:ind w:left="284" w:hanging="284"/>
            </w:pPr>
            <w:r w:rsidRPr="00AA3C69">
              <w:t xml:space="preserve">Data quality information for this indicator is at </w:t>
            </w:r>
            <w:proofErr w:type="spellStart"/>
            <w:r w:rsidRPr="00AA3C69">
              <w:t>www.pc.gov.au</w:t>
            </w:r>
            <w:proofErr w:type="spellEnd"/>
            <w:r w:rsidRPr="00AA3C69">
              <w:t>/</w:t>
            </w:r>
            <w:proofErr w:type="spellStart"/>
            <w:r w:rsidRPr="00AA3C69">
              <w:t>rogs</w:t>
            </w:r>
            <w:proofErr w:type="spellEnd"/>
            <w:r w:rsidRPr="00AA3C69">
              <w:t>/2016.</w:t>
            </w:r>
          </w:p>
        </w:tc>
      </w:tr>
      <w:tr w:rsidR="009164D3" w:rsidTr="00B72C20">
        <w:trPr>
          <w:cantSplit/>
        </w:trPr>
        <w:tc>
          <w:tcPr>
            <w:tcW w:w="8771" w:type="dxa"/>
            <w:tcBorders>
              <w:top w:val="nil"/>
              <w:left w:val="nil"/>
              <w:bottom w:val="single" w:sz="6" w:space="0" w:color="78A22F"/>
              <w:right w:val="nil"/>
            </w:tcBorders>
            <w:shd w:val="clear" w:color="auto" w:fill="F2F2F2" w:themeFill="background1" w:themeFillShade="F2"/>
          </w:tcPr>
          <w:p w:rsidR="009164D3" w:rsidRDefault="009164D3">
            <w:pPr>
              <w:pStyle w:val="Box"/>
              <w:spacing w:before="0" w:line="120" w:lineRule="exact"/>
            </w:pPr>
          </w:p>
        </w:tc>
      </w:tr>
      <w:tr w:rsidR="009164D3" w:rsidRPr="000863A5" w:rsidTr="00B72C20">
        <w:tc>
          <w:tcPr>
            <w:tcW w:w="8771" w:type="dxa"/>
            <w:tcBorders>
              <w:top w:val="single" w:sz="6" w:space="0" w:color="78A22F"/>
              <w:left w:val="nil"/>
              <w:bottom w:val="nil"/>
              <w:right w:val="nil"/>
            </w:tcBorders>
          </w:tcPr>
          <w:p w:rsidR="009164D3" w:rsidRPr="00626D32" w:rsidRDefault="009164D3" w:rsidP="00B72C20">
            <w:pPr>
              <w:pStyle w:val="BoxSpaceBelow"/>
            </w:pPr>
          </w:p>
        </w:tc>
      </w:tr>
    </w:tbl>
    <w:p w:rsidR="00C50358" w:rsidRDefault="00C50358" w:rsidP="00C50358">
      <w:pPr>
        <w:pStyle w:val="BodyText"/>
      </w:pPr>
      <w:r w:rsidRPr="00C50358">
        <w:lastRenderedPageBreak/>
        <w:t>Australian Government expenditure per aged care assessment during 201</w:t>
      </w:r>
      <w:r w:rsidR="00B707CE">
        <w:t>3</w:t>
      </w:r>
      <w:r w:rsidR="00AF6528">
        <w:rPr>
          <w:rFonts w:ascii="Arial" w:hAnsi="Arial" w:cs="Arial"/>
        </w:rPr>
        <w:noBreakHyphen/>
      </w:r>
      <w:r w:rsidRPr="00C50358">
        <w:t>1</w:t>
      </w:r>
      <w:r w:rsidR="00B707CE">
        <w:t>4</w:t>
      </w:r>
      <w:r w:rsidRPr="00C50358">
        <w:t xml:space="preserve"> averaged </w:t>
      </w:r>
      <w:r w:rsidRPr="00CB0089">
        <w:rPr>
          <w:shd w:val="clear" w:color="auto" w:fill="FFFFFF" w:themeFill="background1"/>
        </w:rPr>
        <w:t>$</w:t>
      </w:r>
      <w:r w:rsidR="00DC69FE" w:rsidRPr="00CB0089">
        <w:rPr>
          <w:shd w:val="clear" w:color="auto" w:fill="FFFFFF" w:themeFill="background1"/>
        </w:rPr>
        <w:t>537.</w:t>
      </w:r>
      <w:r w:rsidR="00774E7C" w:rsidRPr="00CB0089">
        <w:rPr>
          <w:shd w:val="clear" w:color="auto" w:fill="FFFFFF" w:themeFill="background1"/>
        </w:rPr>
        <w:t>4</w:t>
      </w:r>
      <w:r w:rsidR="00DC69FE" w:rsidRPr="00CB0089">
        <w:rPr>
          <w:shd w:val="clear" w:color="auto" w:fill="FFFFFF" w:themeFill="background1"/>
        </w:rPr>
        <w:t>0</w:t>
      </w:r>
      <w:r w:rsidR="00DC69FE" w:rsidRPr="00DC69FE">
        <w:rPr>
          <w:b/>
        </w:rPr>
        <w:t xml:space="preserve"> </w:t>
      </w:r>
      <w:r w:rsidRPr="00C50358">
        <w:t>nationally (figure</w:t>
      </w:r>
      <w:r w:rsidR="009551A0">
        <w:t> </w:t>
      </w:r>
      <w:r w:rsidRPr="00C50358">
        <w:t>13.</w:t>
      </w:r>
      <w:r w:rsidR="00354FE6">
        <w:t>20</w:t>
      </w:r>
      <w:r w:rsidRPr="00C50358">
        <w:t>).</w:t>
      </w:r>
      <w:r w:rsidR="00E770C7">
        <w:t xml:space="preserve"> </w:t>
      </w:r>
      <w:r w:rsidR="00B95B54">
        <w:t>Australian, Victorian and WA governments’ expenditure per hour of HACC service during 201</w:t>
      </w:r>
      <w:r w:rsidR="00C7774D">
        <w:t>3</w:t>
      </w:r>
      <w:r w:rsidR="00B95B54">
        <w:noBreakHyphen/>
        <w:t>1</w:t>
      </w:r>
      <w:r w:rsidR="00C7774D">
        <w:t>4</w:t>
      </w:r>
      <w:r w:rsidR="00B95B54">
        <w:t xml:space="preserve"> was higher for nursing and allied health than for domestic assistance and personal care across the states and territories for which data are available (table</w:t>
      </w:r>
      <w:r w:rsidR="00E75264">
        <w:t> </w:t>
      </w:r>
      <w:proofErr w:type="spellStart"/>
      <w:r w:rsidR="00B95B54">
        <w:t>13A.51</w:t>
      </w:r>
      <w:proofErr w:type="spellEnd"/>
      <w:r w:rsidR="00B95B54">
        <w:t>).</w:t>
      </w:r>
    </w:p>
    <w:p w:rsidR="00B92C49" w:rsidRDefault="00B92C49" w:rsidP="00C64E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92C49" w:rsidTr="00C64EFF">
        <w:tc>
          <w:tcPr>
            <w:tcW w:w="8771" w:type="dxa"/>
            <w:tcBorders>
              <w:top w:val="single" w:sz="6" w:space="0" w:color="78A22F"/>
              <w:left w:val="nil"/>
              <w:bottom w:val="nil"/>
              <w:right w:val="nil"/>
            </w:tcBorders>
            <w:shd w:val="clear" w:color="auto" w:fill="auto"/>
          </w:tcPr>
          <w:p w:rsidR="00B92C49" w:rsidRPr="00176D3F" w:rsidRDefault="00B92C49" w:rsidP="00B92C49">
            <w:pPr>
              <w:pStyle w:val="FigureTitle"/>
            </w:pPr>
            <w:r w:rsidRPr="00784A05">
              <w:rPr>
                <w:b w:val="0"/>
              </w:rPr>
              <w:t xml:space="preserve">Figure </w:t>
            </w:r>
            <w:r w:rsidR="008C0E34">
              <w:rPr>
                <w:b w:val="0"/>
              </w:rPr>
              <w:t>13.</w:t>
            </w:r>
            <w:r w:rsidR="00F132AA">
              <w:rPr>
                <w:b w:val="0"/>
                <w:noProof/>
              </w:rPr>
              <w:t>20</w:t>
            </w:r>
            <w:r>
              <w:tab/>
            </w:r>
            <w:r w:rsidRPr="00C50358">
              <w:t>Australian Government expenditure on aged care assessments, per assessment (201</w:t>
            </w:r>
            <w:r>
              <w:t>3</w:t>
            </w:r>
            <w:r>
              <w:rPr>
                <w:rFonts w:cs="Arial"/>
              </w:rPr>
              <w:noBreakHyphen/>
            </w:r>
            <w:r w:rsidRPr="00C50358">
              <w:t>1</w:t>
            </w:r>
            <w:r>
              <w:t>4</w:t>
            </w:r>
            <w:r w:rsidRPr="00C50358">
              <w:t xml:space="preserve"> dollars)</w:t>
            </w:r>
            <w:r w:rsidRPr="00C50358">
              <w:rPr>
                <w:rStyle w:val="NoteLabel"/>
                <w:b/>
              </w:rPr>
              <w:t>a</w:t>
            </w:r>
          </w:p>
        </w:tc>
      </w:tr>
      <w:tr w:rsidR="00B92C49" w:rsidTr="00C64E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92C49" w:rsidTr="00C64EFF">
              <w:trPr>
                <w:jc w:val="center"/>
              </w:trPr>
              <w:tc>
                <w:tcPr>
                  <w:tcW w:w="5000" w:type="pct"/>
                  <w:tcBorders>
                    <w:top w:val="nil"/>
                    <w:bottom w:val="nil"/>
                  </w:tcBorders>
                </w:tcPr>
                <w:p w:rsidR="00B92C49" w:rsidRDefault="00E30882" w:rsidP="00C64EFF">
                  <w:pPr>
                    <w:pStyle w:val="Figure"/>
                    <w:spacing w:before="60" w:after="60"/>
                  </w:pPr>
                  <w:r>
                    <w:rPr>
                      <w:noProof/>
                    </w:rPr>
                    <w:drawing>
                      <wp:inline distT="0" distB="0" distL="0" distR="0">
                        <wp:extent cx="5353050" cy="2638425"/>
                        <wp:effectExtent l="0" t="0" r="0" b="9525"/>
                        <wp:docPr id="22" name="Picture 22" descr="Figure 13.20 Australian Government expenditure on aged care assessments, per assessment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53050" cy="2638425"/>
                                </a:xfrm>
                                <a:prstGeom prst="rect">
                                  <a:avLst/>
                                </a:prstGeom>
                                <a:noFill/>
                                <a:ln>
                                  <a:noFill/>
                                </a:ln>
                              </pic:spPr>
                            </pic:pic>
                          </a:graphicData>
                        </a:graphic>
                      </wp:inline>
                    </w:drawing>
                  </w:r>
                </w:p>
              </w:tc>
            </w:tr>
          </w:tbl>
          <w:p w:rsidR="00B92C49" w:rsidRDefault="00B92C49" w:rsidP="00C64EFF">
            <w:pPr>
              <w:pStyle w:val="Figure"/>
            </w:pPr>
          </w:p>
        </w:tc>
      </w:tr>
      <w:tr w:rsidR="00B92C49" w:rsidRPr="00176D3F" w:rsidTr="00C64EFF">
        <w:tc>
          <w:tcPr>
            <w:tcW w:w="8771" w:type="dxa"/>
            <w:tcBorders>
              <w:top w:val="nil"/>
              <w:left w:val="nil"/>
              <w:bottom w:val="nil"/>
              <w:right w:val="nil"/>
            </w:tcBorders>
            <w:shd w:val="clear" w:color="auto" w:fill="auto"/>
          </w:tcPr>
          <w:p w:rsidR="00B92C49" w:rsidRPr="005C6181" w:rsidRDefault="00B92C49" w:rsidP="00B92C49">
            <w:pPr>
              <w:pStyle w:val="Note"/>
            </w:pPr>
            <w:r w:rsidRPr="008E77FE">
              <w:rPr>
                <w:rStyle w:val="NoteLabel"/>
              </w:rPr>
              <w:t>a</w:t>
            </w:r>
            <w:r>
              <w:t xml:space="preserve"> </w:t>
            </w:r>
            <w:r w:rsidRPr="006F23A3">
              <w:t>See box</w:t>
            </w:r>
            <w:r w:rsidR="00E75264">
              <w:t> </w:t>
            </w:r>
            <w:r>
              <w:t>13</w:t>
            </w:r>
            <w:r w:rsidRPr="006F23A3">
              <w:t>.</w:t>
            </w:r>
            <w:r>
              <w:t xml:space="preserve">14 </w:t>
            </w:r>
            <w:r w:rsidRPr="006F23A3">
              <w:t>and table</w:t>
            </w:r>
            <w:r w:rsidR="00E75264">
              <w:t> </w:t>
            </w:r>
            <w:proofErr w:type="spellStart"/>
            <w:r>
              <w:t>13</w:t>
            </w:r>
            <w:r w:rsidRPr="006F23A3">
              <w:t>A.</w:t>
            </w:r>
            <w:r>
              <w:t>50</w:t>
            </w:r>
            <w:proofErr w:type="spellEnd"/>
            <w:r w:rsidRPr="006F23A3">
              <w:t xml:space="preserve"> for detailed</w:t>
            </w:r>
            <w:r w:rsidRPr="0032221B">
              <w:t xml:space="preserve"> definitions, footnotes and caveats</w:t>
            </w:r>
            <w:r w:rsidRPr="006F23A3">
              <w:t>.</w:t>
            </w:r>
            <w:r>
              <w:t xml:space="preserve"> </w:t>
            </w:r>
            <w:r w:rsidRPr="005C6181">
              <w:t xml:space="preserve"> </w:t>
            </w:r>
          </w:p>
        </w:tc>
      </w:tr>
      <w:tr w:rsidR="00B92C49" w:rsidRPr="00176D3F" w:rsidTr="00C64EFF">
        <w:tc>
          <w:tcPr>
            <w:tcW w:w="8771" w:type="dxa"/>
            <w:tcBorders>
              <w:top w:val="nil"/>
              <w:left w:val="nil"/>
              <w:bottom w:val="nil"/>
              <w:right w:val="nil"/>
            </w:tcBorders>
            <w:shd w:val="clear" w:color="auto" w:fill="auto"/>
          </w:tcPr>
          <w:p w:rsidR="00B92C49" w:rsidRPr="00176D3F" w:rsidRDefault="00B92C49" w:rsidP="00C64EFF">
            <w:pPr>
              <w:pStyle w:val="Source"/>
            </w:pPr>
            <w:r w:rsidRPr="00AF6528">
              <w:rPr>
                <w:i/>
              </w:rPr>
              <w:t>Source</w:t>
            </w:r>
            <w:r w:rsidRPr="009551A0">
              <w:t>:</w:t>
            </w:r>
            <w:r w:rsidRPr="00AF6528">
              <w:rPr>
                <w:i/>
              </w:rPr>
              <w:t xml:space="preserve"> </w:t>
            </w:r>
            <w:r w:rsidR="00C7774D" w:rsidRPr="00A0387D">
              <w:t>D</w:t>
            </w:r>
            <w:r w:rsidR="00C7774D">
              <w:t xml:space="preserve">epartment </w:t>
            </w:r>
            <w:r w:rsidR="00C7774D" w:rsidRPr="00A0387D">
              <w:t>o</w:t>
            </w:r>
            <w:r w:rsidR="00C7774D">
              <w:t xml:space="preserve">f </w:t>
            </w:r>
            <w:r w:rsidR="00C7774D" w:rsidRPr="00A0387D">
              <w:t>H</w:t>
            </w:r>
            <w:r w:rsidR="00C7774D">
              <w:t xml:space="preserve">ealth and </w:t>
            </w:r>
            <w:r w:rsidR="00C7774D" w:rsidRPr="00A0387D">
              <w:t>A</w:t>
            </w:r>
            <w:r w:rsidR="00C7774D">
              <w:t>geing</w:t>
            </w:r>
            <w:r w:rsidRPr="00AF6528">
              <w:t>/</w:t>
            </w:r>
            <w:proofErr w:type="spellStart"/>
            <w:r w:rsidRPr="00AF6528">
              <w:t>DSS</w:t>
            </w:r>
            <w:proofErr w:type="spellEnd"/>
            <w:r w:rsidRPr="00AF6528">
              <w:t xml:space="preserve"> (unpublished); table</w:t>
            </w:r>
            <w:r>
              <w:t> </w:t>
            </w:r>
            <w:proofErr w:type="spellStart"/>
            <w:r w:rsidRPr="00AF6528">
              <w:t>13A.</w:t>
            </w:r>
            <w:r>
              <w:t>50</w:t>
            </w:r>
            <w:proofErr w:type="spellEnd"/>
            <w:r w:rsidRPr="00AF6528">
              <w:t>.</w:t>
            </w:r>
          </w:p>
        </w:tc>
      </w:tr>
      <w:tr w:rsidR="00B92C49" w:rsidTr="00C64EFF">
        <w:tc>
          <w:tcPr>
            <w:tcW w:w="8771" w:type="dxa"/>
            <w:tcBorders>
              <w:top w:val="nil"/>
              <w:left w:val="nil"/>
              <w:bottom w:val="single" w:sz="6" w:space="0" w:color="78A22F"/>
              <w:right w:val="nil"/>
            </w:tcBorders>
            <w:shd w:val="clear" w:color="auto" w:fill="auto"/>
          </w:tcPr>
          <w:p w:rsidR="00B92C49" w:rsidRDefault="00B92C49" w:rsidP="00C64EFF">
            <w:pPr>
              <w:pStyle w:val="Figurespace"/>
            </w:pPr>
          </w:p>
        </w:tc>
      </w:tr>
      <w:tr w:rsidR="00B92C49" w:rsidRPr="000863A5" w:rsidTr="00C64EFF">
        <w:tc>
          <w:tcPr>
            <w:tcW w:w="8771" w:type="dxa"/>
            <w:tcBorders>
              <w:top w:val="single" w:sz="6" w:space="0" w:color="78A22F"/>
              <w:left w:val="nil"/>
              <w:bottom w:val="nil"/>
              <w:right w:val="nil"/>
            </w:tcBorders>
          </w:tcPr>
          <w:p w:rsidR="00B92C49" w:rsidRPr="00626D32" w:rsidRDefault="00B92C49" w:rsidP="00C64EFF">
            <w:pPr>
              <w:pStyle w:val="BoxSpaceBelow"/>
            </w:pPr>
          </w:p>
        </w:tc>
      </w:tr>
    </w:tbl>
    <w:p w:rsidR="00F50354" w:rsidRDefault="00F50354" w:rsidP="009E0820">
      <w:pPr>
        <w:pStyle w:val="Heading4"/>
      </w:pPr>
      <w:r>
        <w:t>Expenditure per head of aged care target population</w:t>
      </w:r>
    </w:p>
    <w:p w:rsidR="00224633" w:rsidRPr="00271185" w:rsidRDefault="00F50354" w:rsidP="00C6461C">
      <w:pPr>
        <w:pStyle w:val="BodyText"/>
      </w:pPr>
      <w:r>
        <w:t>‘Expenditure per head of aged care target population’ is a</w:t>
      </w:r>
      <w:r w:rsidR="00B707CE">
        <w:t xml:space="preserve"> proxy</w:t>
      </w:r>
      <w:r>
        <w:t xml:space="preserve"> indicator of governments’ objective to deliver efficient aged care services (box</w:t>
      </w:r>
      <w:r w:rsidR="009551A0">
        <w:t> </w:t>
      </w:r>
      <w:r>
        <w:t>13.</w:t>
      </w:r>
      <w:r w:rsidR="00B95B54">
        <w:t>15</w:t>
      </w:r>
      <w:r>
        <w:t>).</w:t>
      </w:r>
    </w:p>
    <w:p w:rsidR="00B95B54" w:rsidRDefault="00B95B54" w:rsidP="00C6461C">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95B54" w:rsidTr="00C64EFF">
        <w:tc>
          <w:tcPr>
            <w:tcW w:w="8771" w:type="dxa"/>
            <w:tcBorders>
              <w:top w:val="single" w:sz="6" w:space="0" w:color="78A22F"/>
              <w:left w:val="nil"/>
              <w:bottom w:val="nil"/>
              <w:right w:val="nil"/>
            </w:tcBorders>
            <w:shd w:val="clear" w:color="auto" w:fill="F2F2F2"/>
          </w:tcPr>
          <w:p w:rsidR="00B95B54" w:rsidRDefault="00B95B54" w:rsidP="00B95B54">
            <w:pPr>
              <w:pStyle w:val="BoxTitle"/>
            </w:pPr>
            <w:r>
              <w:rPr>
                <w:b w:val="0"/>
              </w:rPr>
              <w:t xml:space="preserve">Box </w:t>
            </w:r>
            <w:r w:rsidR="00270EDF">
              <w:rPr>
                <w:b w:val="0"/>
              </w:rPr>
              <w:t>13.</w:t>
            </w:r>
            <w:r w:rsidR="00F132AA">
              <w:rPr>
                <w:b w:val="0"/>
                <w:noProof/>
              </w:rPr>
              <w:t>15</w:t>
            </w:r>
            <w:r>
              <w:tab/>
            </w:r>
            <w:r w:rsidRPr="00493254">
              <w:t>Expenditure per head of aged care target population</w:t>
            </w:r>
          </w:p>
        </w:tc>
      </w:tr>
      <w:tr w:rsidR="00B95B54" w:rsidTr="00C64EFF">
        <w:trPr>
          <w:cantSplit/>
        </w:trPr>
        <w:tc>
          <w:tcPr>
            <w:tcW w:w="8771" w:type="dxa"/>
            <w:tcBorders>
              <w:top w:val="nil"/>
              <w:left w:val="nil"/>
              <w:bottom w:val="nil"/>
              <w:right w:val="nil"/>
            </w:tcBorders>
            <w:shd w:val="clear" w:color="auto" w:fill="F2F2F2"/>
          </w:tcPr>
          <w:p w:rsidR="00ED4A98" w:rsidRDefault="00B95B54" w:rsidP="009B3493">
            <w:pPr>
              <w:pStyle w:val="Box"/>
            </w:pPr>
            <w:r w:rsidRPr="00F50354">
              <w:t xml:space="preserve">‘Expenditure per head of aged care target population’ is defined as government expenditure divided by the number of people aged 65 years or over and </w:t>
            </w:r>
            <w:r>
              <w:t>Aboriginal and Torres Strait Islander</w:t>
            </w:r>
            <w:r w:rsidRPr="00F50354">
              <w:t xml:space="preserve"> Australians aged 50–64 years. Expenditure per person in the aged care target population is reported for Home Care</w:t>
            </w:r>
            <w:r w:rsidR="0055064E">
              <w:t>,</w:t>
            </w:r>
            <w:r w:rsidRPr="00F50354">
              <w:t xml:space="preserve"> </w:t>
            </w:r>
            <w:r w:rsidR="0055064E" w:rsidRPr="00CA1F6E">
              <w:t>HACC</w:t>
            </w:r>
            <w:r w:rsidR="00ED4A98">
              <w:t>,</w:t>
            </w:r>
            <w:r w:rsidR="0055064E" w:rsidRPr="00F50354">
              <w:t xml:space="preserve"> </w:t>
            </w:r>
            <w:r w:rsidR="00ED4A98" w:rsidRPr="00F50354">
              <w:t xml:space="preserve">residential care </w:t>
            </w:r>
            <w:r w:rsidRPr="00F50354">
              <w:t xml:space="preserve">and </w:t>
            </w:r>
            <w:r w:rsidR="0055064E">
              <w:t>flexible services (</w:t>
            </w:r>
            <w:r w:rsidR="0055064E" w:rsidRPr="0055064E">
              <w:t xml:space="preserve">comprising </w:t>
            </w:r>
            <w:r w:rsidR="009B3493">
              <w:t>MPS</w:t>
            </w:r>
            <w:r w:rsidR="0055064E" w:rsidRPr="0055064E">
              <w:t>, Transition Care and Aboriginal and Torres Strait Islander specific services</w:t>
            </w:r>
            <w:r w:rsidR="0055064E">
              <w:t>)</w:t>
            </w:r>
            <w:r w:rsidRPr="00CA1F6E">
              <w:t>.</w:t>
            </w:r>
          </w:p>
        </w:tc>
      </w:tr>
      <w:tr w:rsidR="00B95B54" w:rsidTr="00C64EFF">
        <w:trPr>
          <w:cantSplit/>
        </w:trPr>
        <w:tc>
          <w:tcPr>
            <w:tcW w:w="8771" w:type="dxa"/>
            <w:tcBorders>
              <w:top w:val="nil"/>
              <w:left w:val="nil"/>
              <w:bottom w:val="nil"/>
              <w:right w:val="nil"/>
            </w:tcBorders>
            <w:shd w:val="clear" w:color="auto" w:fill="F2F2F2"/>
          </w:tcPr>
          <w:p w:rsidR="00B95B54" w:rsidRPr="00B95B54" w:rsidRDefault="00B95B54" w:rsidP="003008BF">
            <w:pPr>
              <w:pStyle w:val="Continued"/>
            </w:pPr>
            <w:r w:rsidRPr="00B95B54">
              <w:t>(continued next page)</w:t>
            </w:r>
          </w:p>
        </w:tc>
      </w:tr>
      <w:tr w:rsidR="00B95B54" w:rsidTr="00C64EFF">
        <w:trPr>
          <w:cantSplit/>
        </w:trPr>
        <w:tc>
          <w:tcPr>
            <w:tcW w:w="8771" w:type="dxa"/>
            <w:tcBorders>
              <w:top w:val="nil"/>
              <w:left w:val="nil"/>
              <w:bottom w:val="single" w:sz="6" w:space="0" w:color="78A22F"/>
              <w:right w:val="nil"/>
            </w:tcBorders>
            <w:shd w:val="clear" w:color="auto" w:fill="F2F2F2"/>
          </w:tcPr>
          <w:p w:rsidR="00B95B54" w:rsidRDefault="00B95B54">
            <w:pPr>
              <w:pStyle w:val="Box"/>
              <w:spacing w:before="0" w:line="120" w:lineRule="exact"/>
            </w:pPr>
          </w:p>
        </w:tc>
      </w:tr>
      <w:tr w:rsidR="00B95B54" w:rsidRPr="000863A5" w:rsidTr="00C64EFF">
        <w:tc>
          <w:tcPr>
            <w:tcW w:w="8771" w:type="dxa"/>
            <w:tcBorders>
              <w:top w:val="single" w:sz="6" w:space="0" w:color="78A22F"/>
              <w:left w:val="nil"/>
              <w:bottom w:val="nil"/>
              <w:right w:val="nil"/>
            </w:tcBorders>
          </w:tcPr>
          <w:p w:rsidR="00B95B54" w:rsidRPr="00626D32" w:rsidRDefault="00B95B54" w:rsidP="00C64EFF">
            <w:pPr>
              <w:pStyle w:val="BoxSpaceBelow"/>
            </w:pPr>
          </w:p>
        </w:tc>
      </w:tr>
    </w:tbl>
    <w:p w:rsidR="00493254" w:rsidRDefault="0049325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93254" w:rsidTr="00611293">
        <w:tc>
          <w:tcPr>
            <w:tcW w:w="8771" w:type="dxa"/>
            <w:tcBorders>
              <w:top w:val="single" w:sz="6" w:space="0" w:color="78A22F"/>
              <w:left w:val="nil"/>
              <w:bottom w:val="nil"/>
              <w:right w:val="nil"/>
            </w:tcBorders>
            <w:shd w:val="clear" w:color="auto" w:fill="F2F2F2"/>
          </w:tcPr>
          <w:p w:rsidR="00493254" w:rsidRDefault="00493254" w:rsidP="00B95B54">
            <w:pPr>
              <w:pStyle w:val="BoxTitle"/>
            </w:pPr>
            <w:r>
              <w:rPr>
                <w:b w:val="0"/>
              </w:rPr>
              <w:t xml:space="preserve">Box </w:t>
            </w:r>
            <w:r w:rsidR="00B95B54">
              <w:rPr>
                <w:b w:val="0"/>
              </w:rPr>
              <w:t>13.15</w:t>
            </w:r>
            <w:r>
              <w:tab/>
            </w:r>
            <w:r w:rsidR="00B95B54" w:rsidRPr="00ED4A98">
              <w:rPr>
                <w:b w:val="0"/>
                <w:sz w:val="18"/>
                <w:szCs w:val="18"/>
              </w:rPr>
              <w:t>(continued)</w:t>
            </w:r>
          </w:p>
        </w:tc>
      </w:tr>
      <w:tr w:rsidR="00493254" w:rsidTr="00611293">
        <w:trPr>
          <w:cantSplit/>
        </w:trPr>
        <w:tc>
          <w:tcPr>
            <w:tcW w:w="8771" w:type="dxa"/>
            <w:tcBorders>
              <w:top w:val="nil"/>
              <w:left w:val="nil"/>
              <w:bottom w:val="nil"/>
              <w:right w:val="nil"/>
            </w:tcBorders>
            <w:shd w:val="clear" w:color="auto" w:fill="F2F2F2"/>
          </w:tcPr>
          <w:p w:rsidR="00C6461C" w:rsidRDefault="00224633" w:rsidP="00224633">
            <w:pPr>
              <w:pStyle w:val="Box"/>
            </w:pPr>
            <w:r w:rsidRPr="00F50354">
              <w:t xml:space="preserve">This is a proxy indicator of efficiency and needs to be interpreted with </w:t>
            </w:r>
            <w:r w:rsidRPr="00CA1F6E">
              <w:t xml:space="preserve">caution </w:t>
            </w:r>
            <w:r w:rsidRPr="00F50354">
              <w:t xml:space="preserve">as it measures </w:t>
            </w:r>
            <w:r>
              <w:t>expenditure</w:t>
            </w:r>
            <w:r w:rsidRPr="00F50354">
              <w:t xml:space="preserve"> per head of the aged care target population, not cost per unit of service. While high or increasing expenditure per person can reflect deteriorating efficiency, it can also reflect changes in aspects of the service (such as better quality of services) or in the characteristics of clients receiving the service (such as their level of care need). Similarly, low or decl</w:t>
            </w:r>
            <w:r>
              <w:t>ining expenditure per person</w:t>
            </w:r>
            <w:r w:rsidRPr="00F50354">
              <w:t xml:space="preserve"> can reflect improving efficiency or a decrease in service standards.</w:t>
            </w:r>
          </w:p>
          <w:p w:rsidR="00224633" w:rsidRDefault="00224633" w:rsidP="00224633">
            <w:pPr>
              <w:pStyle w:val="Box"/>
            </w:pPr>
            <w:r>
              <w:t>Data reported for this indicator are:</w:t>
            </w:r>
          </w:p>
          <w:p w:rsidR="00224633" w:rsidRDefault="00224633" w:rsidP="00224633">
            <w:pPr>
              <w:pStyle w:val="BoxListBullet"/>
            </w:pPr>
            <w:r>
              <w:t xml:space="preserve">comparable (subject to caveats) </w:t>
            </w:r>
            <w:r w:rsidRPr="00CA1F6E">
              <w:t xml:space="preserve">across jurisdictions </w:t>
            </w:r>
            <w:r>
              <w:t>but a break in series means that data from 2012</w:t>
            </w:r>
            <w:r w:rsidRPr="00CA1F6E">
              <w:noBreakHyphen/>
            </w:r>
            <w:r>
              <w:t xml:space="preserve">13 are not comparable to data for earlier years </w:t>
            </w:r>
          </w:p>
          <w:p w:rsidR="00B95B54" w:rsidRDefault="00B95B54" w:rsidP="00224633">
            <w:pPr>
              <w:pStyle w:val="BoxListBullet"/>
            </w:pPr>
            <w:r>
              <w:t xml:space="preserve">complete </w:t>
            </w:r>
            <w:r w:rsidR="00ED4A98">
              <w:t xml:space="preserve">(subject to caveats) </w:t>
            </w:r>
            <w:r>
              <w:t>for the current reporting period. All required 2014</w:t>
            </w:r>
            <w:r>
              <w:rPr>
                <w:rFonts w:ascii="Times New Roman" w:hAnsi="Times New Roman"/>
              </w:rPr>
              <w:noBreakHyphen/>
            </w:r>
            <w:r>
              <w:t xml:space="preserve">15 data are available for all jurisdictions. </w:t>
            </w:r>
          </w:p>
          <w:p w:rsidR="00B707CE" w:rsidRDefault="00AA3C69" w:rsidP="00AA3C69">
            <w:pPr>
              <w:pStyle w:val="Box"/>
            </w:pPr>
            <w:r w:rsidRPr="00AA3C69">
              <w:t xml:space="preserve">Data quality information for this indicator is at </w:t>
            </w:r>
            <w:proofErr w:type="spellStart"/>
            <w:r w:rsidRPr="00AA3C69">
              <w:t>www.pc.gov.au</w:t>
            </w:r>
            <w:proofErr w:type="spellEnd"/>
            <w:r w:rsidRPr="00AA3C69">
              <w:t>/</w:t>
            </w:r>
            <w:proofErr w:type="spellStart"/>
            <w:r w:rsidRPr="00AA3C69">
              <w:t>rogs</w:t>
            </w:r>
            <w:proofErr w:type="spellEnd"/>
            <w:r w:rsidRPr="00AA3C69">
              <w:t>/2016.</w:t>
            </w:r>
          </w:p>
        </w:tc>
      </w:tr>
      <w:tr w:rsidR="00493254" w:rsidTr="00611293">
        <w:trPr>
          <w:cantSplit/>
        </w:trPr>
        <w:tc>
          <w:tcPr>
            <w:tcW w:w="8771" w:type="dxa"/>
            <w:tcBorders>
              <w:top w:val="nil"/>
              <w:left w:val="nil"/>
              <w:bottom w:val="single" w:sz="6" w:space="0" w:color="78A22F"/>
              <w:right w:val="nil"/>
            </w:tcBorders>
            <w:shd w:val="clear" w:color="auto" w:fill="F2F2F2"/>
          </w:tcPr>
          <w:p w:rsidR="00493254" w:rsidRDefault="00493254">
            <w:pPr>
              <w:pStyle w:val="Box"/>
              <w:spacing w:before="0" w:line="120" w:lineRule="exact"/>
            </w:pPr>
          </w:p>
        </w:tc>
      </w:tr>
      <w:tr w:rsidR="00493254" w:rsidRPr="000863A5" w:rsidTr="00611293">
        <w:tc>
          <w:tcPr>
            <w:tcW w:w="8771" w:type="dxa"/>
            <w:tcBorders>
              <w:top w:val="single" w:sz="6" w:space="0" w:color="78A22F"/>
              <w:left w:val="nil"/>
              <w:bottom w:val="nil"/>
              <w:right w:val="nil"/>
            </w:tcBorders>
          </w:tcPr>
          <w:p w:rsidR="00493254" w:rsidRPr="00626D32" w:rsidRDefault="00493254" w:rsidP="00611293">
            <w:pPr>
              <w:pStyle w:val="BoxSpaceBelow"/>
            </w:pPr>
          </w:p>
        </w:tc>
      </w:tr>
    </w:tbl>
    <w:p w:rsidR="00ED4A98" w:rsidRDefault="00B235FE" w:rsidP="00C6461C">
      <w:pPr>
        <w:pStyle w:val="BodyText"/>
      </w:pPr>
      <w:r w:rsidRPr="00CC56A6">
        <w:t>G</w:t>
      </w:r>
      <w:r w:rsidR="00F50354" w:rsidRPr="00CC56A6">
        <w:t>overnment</w:t>
      </w:r>
      <w:r w:rsidRPr="00CC56A6">
        <w:t>s’</w:t>
      </w:r>
      <w:r w:rsidR="00F50354" w:rsidRPr="00CC56A6">
        <w:t xml:space="preserve"> expenditure</w:t>
      </w:r>
      <w:r w:rsidR="00F50354">
        <w:t xml:space="preserve"> on </w:t>
      </w:r>
      <w:r w:rsidR="00B92C49">
        <w:t>HACC</w:t>
      </w:r>
      <w:r w:rsidR="00B95B54">
        <w:t>,</w:t>
      </w:r>
      <w:r w:rsidR="00F50354">
        <w:t xml:space="preserve"> </w:t>
      </w:r>
      <w:r w:rsidR="00563D04">
        <w:t xml:space="preserve">Home Care, </w:t>
      </w:r>
      <w:r w:rsidR="00B95B54">
        <w:t xml:space="preserve">residential </w:t>
      </w:r>
      <w:r w:rsidR="00F50354">
        <w:t xml:space="preserve">and </w:t>
      </w:r>
      <w:r w:rsidR="00B95B54">
        <w:t xml:space="preserve">flexible care </w:t>
      </w:r>
      <w:r w:rsidR="00F50354">
        <w:t>per person aged 65</w:t>
      </w:r>
      <w:r w:rsidR="007832E1">
        <w:t> </w:t>
      </w:r>
      <w:r w:rsidR="00F50354">
        <w:t xml:space="preserve">years or over and </w:t>
      </w:r>
      <w:r w:rsidR="00127E2E">
        <w:t>Aboriginal and Torres Strait Islander</w:t>
      </w:r>
      <w:r w:rsidR="00F50354">
        <w:t xml:space="preserve"> Australians </w:t>
      </w:r>
      <w:r w:rsidR="00605294">
        <w:br/>
      </w:r>
      <w:r w:rsidR="00F50354">
        <w:t>aged</w:t>
      </w:r>
      <w:r w:rsidR="00605294">
        <w:t> </w:t>
      </w:r>
      <w:r w:rsidR="00F50354">
        <w:t>50–64</w:t>
      </w:r>
      <w:r w:rsidR="00605294">
        <w:t> </w:t>
      </w:r>
      <w:r w:rsidR="00F50354">
        <w:t>years was $</w:t>
      </w:r>
      <w:r w:rsidR="004C5DD3" w:rsidRPr="004C5DD3">
        <w:t>4023.22</w:t>
      </w:r>
      <w:r w:rsidR="00B25A03">
        <w:t xml:space="preserve"> </w:t>
      </w:r>
      <w:r w:rsidR="00F50354">
        <w:t>nationally in 201</w:t>
      </w:r>
      <w:r w:rsidR="00560C59">
        <w:t>4</w:t>
      </w:r>
      <w:r w:rsidR="00FE7641">
        <w:noBreakHyphen/>
      </w:r>
      <w:r w:rsidR="00F50354">
        <w:t>1</w:t>
      </w:r>
      <w:r w:rsidR="00560C59">
        <w:t>5</w:t>
      </w:r>
      <w:r w:rsidR="00F50354">
        <w:t xml:space="preserve"> (figure</w:t>
      </w:r>
      <w:r w:rsidR="009551A0">
        <w:t> </w:t>
      </w:r>
      <w:r w:rsidR="00F50354">
        <w:t>13.</w:t>
      </w:r>
      <w:r w:rsidR="00B92C49">
        <w:t>21</w:t>
      </w:r>
      <w:r w:rsidR="00F50354">
        <w:t>)</w:t>
      </w:r>
      <w:r w:rsidR="00563D04">
        <w:t xml:space="preserve">, comprising </w:t>
      </w:r>
      <w:r w:rsidR="00275CC5">
        <w:t>$5</w:t>
      </w:r>
      <w:r w:rsidR="00006A4D">
        <w:t>71</w:t>
      </w:r>
      <w:r w:rsidR="00275CC5">
        <w:t>.</w:t>
      </w:r>
      <w:r w:rsidR="00006A4D">
        <w:t>09</w:t>
      </w:r>
      <w:r w:rsidR="00275CC5">
        <w:t xml:space="preserve"> on HACC</w:t>
      </w:r>
      <w:r w:rsidR="00563D04">
        <w:t xml:space="preserve">, </w:t>
      </w:r>
      <w:r w:rsidR="00B92C49">
        <w:t>$</w:t>
      </w:r>
      <w:r w:rsidR="00563D04">
        <w:t>351.00</w:t>
      </w:r>
      <w:r w:rsidR="00B92C49">
        <w:t xml:space="preserve"> on Home Care</w:t>
      </w:r>
      <w:r w:rsidR="00563D04">
        <w:t xml:space="preserve">, </w:t>
      </w:r>
      <w:r w:rsidR="0055064E">
        <w:t xml:space="preserve">$2951.11 on residential care </w:t>
      </w:r>
      <w:r w:rsidR="00563D04">
        <w:t xml:space="preserve">and </w:t>
      </w:r>
      <w:r w:rsidR="00B95B54" w:rsidRPr="00864C90">
        <w:rPr>
          <w:shd w:val="clear" w:color="auto" w:fill="FFFFFF" w:themeFill="background1"/>
        </w:rPr>
        <w:t>$</w:t>
      </w:r>
      <w:r w:rsidR="00563D04" w:rsidRPr="00864C90">
        <w:rPr>
          <w:shd w:val="clear" w:color="auto" w:fill="FFFFFF" w:themeFill="background1"/>
        </w:rPr>
        <w:t>1</w:t>
      </w:r>
      <w:r w:rsidR="001D0EFF" w:rsidRPr="00864C90">
        <w:rPr>
          <w:shd w:val="clear" w:color="auto" w:fill="FFFFFF" w:themeFill="background1"/>
        </w:rPr>
        <w:t>50</w:t>
      </w:r>
      <w:r w:rsidR="00563D04" w:rsidRPr="00864C90">
        <w:rPr>
          <w:shd w:val="clear" w:color="auto" w:fill="FFFFFF" w:themeFill="background1"/>
        </w:rPr>
        <w:t>.</w:t>
      </w:r>
      <w:r w:rsidR="001D0EFF" w:rsidRPr="00864C90">
        <w:rPr>
          <w:shd w:val="clear" w:color="auto" w:fill="FFFFFF" w:themeFill="background1"/>
        </w:rPr>
        <w:t>02</w:t>
      </w:r>
      <w:r w:rsidR="00B95B54" w:rsidRPr="00864C90">
        <w:rPr>
          <w:shd w:val="clear" w:color="auto" w:fill="FFFFFF" w:themeFill="background1"/>
        </w:rPr>
        <w:t xml:space="preserve"> </w:t>
      </w:r>
      <w:r w:rsidR="00B95B54">
        <w:t>on flexible care</w:t>
      </w:r>
      <w:r w:rsidR="00C64EFF">
        <w:t>.</w:t>
      </w:r>
      <w:r w:rsidR="00B92C49">
        <w:t xml:space="preserve"> </w:t>
      </w:r>
      <w:r w:rsidR="00ED4A98" w:rsidRPr="00C64EFF">
        <w:t>Expenditure per person in the HACC target population for older people is reported in table</w:t>
      </w:r>
      <w:r w:rsidR="00ED4A98">
        <w:t> </w:t>
      </w:r>
      <w:proofErr w:type="spellStart"/>
      <w:r w:rsidR="00ED4A98" w:rsidRPr="00C64EFF">
        <w:t>13A.</w:t>
      </w:r>
      <w:r w:rsidR="00ED4A98">
        <w:t>53</w:t>
      </w:r>
      <w:proofErr w:type="spellEnd"/>
      <w:r w:rsidR="00ED4A98" w:rsidRPr="00C64EFF">
        <w:t>.</w:t>
      </w:r>
    </w:p>
    <w:p w:rsidR="00B92C49" w:rsidRDefault="00B92C49" w:rsidP="00C64E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92C49" w:rsidTr="00C64EFF">
        <w:tc>
          <w:tcPr>
            <w:tcW w:w="8771" w:type="dxa"/>
            <w:tcBorders>
              <w:top w:val="single" w:sz="6" w:space="0" w:color="78A22F"/>
              <w:left w:val="nil"/>
              <w:bottom w:val="nil"/>
              <w:right w:val="nil"/>
            </w:tcBorders>
            <w:shd w:val="clear" w:color="auto" w:fill="auto"/>
          </w:tcPr>
          <w:p w:rsidR="00B92C49" w:rsidRPr="00176D3F" w:rsidRDefault="00B92C49" w:rsidP="00C64EFF">
            <w:pPr>
              <w:pStyle w:val="FigureTitle"/>
            </w:pPr>
            <w:r w:rsidRPr="00784A05">
              <w:rPr>
                <w:b w:val="0"/>
              </w:rPr>
              <w:t xml:space="preserve">Figure </w:t>
            </w:r>
            <w:r w:rsidR="00C64EFF">
              <w:rPr>
                <w:b w:val="0"/>
              </w:rPr>
              <w:t>13.</w:t>
            </w:r>
            <w:r w:rsidR="00F132AA">
              <w:rPr>
                <w:b w:val="0"/>
                <w:noProof/>
              </w:rPr>
              <w:t>21</w:t>
            </w:r>
            <w:r>
              <w:tab/>
            </w:r>
            <w:r w:rsidRPr="00CC56A6">
              <w:rPr>
                <w:shd w:val="clear" w:color="auto" w:fill="FFFFFF" w:themeFill="background1"/>
              </w:rPr>
              <w:t>Governments’ expenditure</w:t>
            </w:r>
            <w:r w:rsidRPr="00F50354">
              <w:t xml:space="preserve"> on </w:t>
            </w:r>
            <w:r w:rsidR="00C64EFF">
              <w:t xml:space="preserve">key </w:t>
            </w:r>
            <w:r>
              <w:t>aged care</w:t>
            </w:r>
            <w:r w:rsidRPr="00F50354">
              <w:t xml:space="preserve"> programs, per person in the aged care target population, 201</w:t>
            </w:r>
            <w:r>
              <w:t>4</w:t>
            </w:r>
            <w:r>
              <w:noBreakHyphen/>
            </w:r>
            <w:r w:rsidRPr="00F50354">
              <w:t>1</w:t>
            </w:r>
            <w:r>
              <w:t>5</w:t>
            </w:r>
            <w:r w:rsidRPr="00ED3970">
              <w:rPr>
                <w:rStyle w:val="NoteLabel"/>
                <w:b/>
              </w:rPr>
              <w:t>a</w:t>
            </w:r>
            <w:r>
              <w:t xml:space="preserve"> </w:t>
            </w:r>
          </w:p>
        </w:tc>
      </w:tr>
      <w:tr w:rsidR="00B92C49" w:rsidTr="00C64EFF">
        <w:tc>
          <w:tcPr>
            <w:tcW w:w="8771" w:type="dxa"/>
            <w:tcBorders>
              <w:top w:val="nil"/>
              <w:left w:val="nil"/>
              <w:bottom w:val="nil"/>
              <w:right w:val="nil"/>
            </w:tcBorders>
            <w:shd w:val="clear" w:color="auto" w:fill="auto"/>
            <w:tcMar>
              <w:top w:w="28" w:type="dxa"/>
              <w:bottom w:w="28" w:type="dxa"/>
            </w:tcMar>
          </w:tcPr>
          <w:tbl>
            <w:tblPr>
              <w:tblW w:w="8504" w:type="dxa"/>
              <w:jc w:val="center"/>
              <w:tblLayout w:type="fixed"/>
              <w:tblCellMar>
                <w:top w:w="28" w:type="dxa"/>
                <w:left w:w="0" w:type="dxa"/>
                <w:right w:w="0" w:type="dxa"/>
              </w:tblCellMar>
              <w:tblLook w:val="0000" w:firstRow="0" w:lastRow="0" w:firstColumn="0" w:lastColumn="0" w:noHBand="0" w:noVBand="0"/>
            </w:tblPr>
            <w:tblGrid>
              <w:gridCol w:w="8504"/>
            </w:tblGrid>
            <w:tr w:rsidR="00B92C49" w:rsidTr="00864C90">
              <w:trPr>
                <w:jc w:val="center"/>
              </w:trPr>
              <w:tc>
                <w:tcPr>
                  <w:tcW w:w="5000" w:type="pct"/>
                </w:tcPr>
                <w:p w:rsidR="00B92C49" w:rsidRDefault="00E30882" w:rsidP="00C64EFF">
                  <w:pPr>
                    <w:pStyle w:val="Figure"/>
                    <w:spacing w:before="60" w:after="60"/>
                  </w:pPr>
                  <w:r>
                    <w:rPr>
                      <w:noProof/>
                    </w:rPr>
                    <w:drawing>
                      <wp:inline distT="0" distB="0" distL="0" distR="0">
                        <wp:extent cx="5334000" cy="2638425"/>
                        <wp:effectExtent l="0" t="0" r="0" b="9525"/>
                        <wp:docPr id="23" name="Picture 23" descr="Figure 13.21 Governments’ expenditure on key aged care programs, per person in the aged care target population,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0" cy="2638425"/>
                                </a:xfrm>
                                <a:prstGeom prst="rect">
                                  <a:avLst/>
                                </a:prstGeom>
                                <a:noFill/>
                                <a:ln>
                                  <a:noFill/>
                                </a:ln>
                              </pic:spPr>
                            </pic:pic>
                          </a:graphicData>
                        </a:graphic>
                      </wp:inline>
                    </w:drawing>
                  </w:r>
                </w:p>
              </w:tc>
            </w:tr>
          </w:tbl>
          <w:p w:rsidR="00B92C49" w:rsidRDefault="00B92C49" w:rsidP="00C64EFF">
            <w:pPr>
              <w:pStyle w:val="Figure"/>
            </w:pPr>
          </w:p>
        </w:tc>
      </w:tr>
      <w:tr w:rsidR="00B92C49" w:rsidRPr="00176D3F" w:rsidTr="00C64EFF">
        <w:tc>
          <w:tcPr>
            <w:tcW w:w="8771" w:type="dxa"/>
            <w:tcBorders>
              <w:top w:val="nil"/>
              <w:left w:val="nil"/>
              <w:bottom w:val="nil"/>
              <w:right w:val="nil"/>
            </w:tcBorders>
            <w:shd w:val="clear" w:color="auto" w:fill="auto"/>
          </w:tcPr>
          <w:p w:rsidR="00B92C49" w:rsidRPr="00176D3F" w:rsidRDefault="00B92C49" w:rsidP="00605294">
            <w:pPr>
              <w:pStyle w:val="Note"/>
            </w:pPr>
            <w:r w:rsidRPr="008E77FE">
              <w:rPr>
                <w:rStyle w:val="NoteLabel"/>
              </w:rPr>
              <w:t>a</w:t>
            </w:r>
            <w:r>
              <w:t xml:space="preserve"> </w:t>
            </w:r>
            <w:r w:rsidRPr="006F23A3">
              <w:t>See box</w:t>
            </w:r>
            <w:r w:rsidR="00E75264">
              <w:t> </w:t>
            </w:r>
            <w:r>
              <w:t>13</w:t>
            </w:r>
            <w:r w:rsidRPr="006F23A3">
              <w:t>.</w:t>
            </w:r>
            <w:r w:rsidR="00C64EFF">
              <w:t>15</w:t>
            </w:r>
            <w:r>
              <w:t xml:space="preserve"> </w:t>
            </w:r>
            <w:r w:rsidRPr="006F23A3">
              <w:t>and table</w:t>
            </w:r>
            <w:r w:rsidR="00ED4A98">
              <w:t>s</w:t>
            </w:r>
            <w:r w:rsidR="00E75264">
              <w:t> </w:t>
            </w:r>
            <w:proofErr w:type="spellStart"/>
            <w:r w:rsidR="00563D04" w:rsidRPr="00563D04">
              <w:t>13A.</w:t>
            </w:r>
            <w:r w:rsidR="00605294">
              <w:t>8</w:t>
            </w:r>
            <w:proofErr w:type="spellEnd"/>
            <w:r w:rsidR="00563D04" w:rsidRPr="00563D04">
              <w:t xml:space="preserve">, </w:t>
            </w:r>
            <w:proofErr w:type="spellStart"/>
            <w:r>
              <w:t>13</w:t>
            </w:r>
            <w:r w:rsidRPr="006F23A3">
              <w:t>A.</w:t>
            </w:r>
            <w:r w:rsidR="0055064E">
              <w:t>52</w:t>
            </w:r>
            <w:proofErr w:type="spellEnd"/>
            <w:r w:rsidR="00ED4A98">
              <w:t xml:space="preserve">, </w:t>
            </w:r>
            <w:proofErr w:type="spellStart"/>
            <w:r w:rsidR="00ED4A98">
              <w:t>13A.54</w:t>
            </w:r>
            <w:proofErr w:type="spellEnd"/>
            <w:r w:rsidR="0095755F" w:rsidRPr="0095755F">
              <w:t>–</w:t>
            </w:r>
            <w:r w:rsidR="00ED4A98">
              <w:t>55</w:t>
            </w:r>
            <w:r w:rsidRPr="006F23A3">
              <w:t xml:space="preserve"> for detailed</w:t>
            </w:r>
            <w:r w:rsidRPr="0032221B">
              <w:t xml:space="preserve"> definitions, footnotes and caveats</w:t>
            </w:r>
            <w:r w:rsidRPr="006F23A3">
              <w:t>.</w:t>
            </w:r>
            <w:r>
              <w:t xml:space="preserve"> </w:t>
            </w:r>
            <w:r w:rsidRPr="005C6181">
              <w:t xml:space="preserve"> </w:t>
            </w:r>
          </w:p>
        </w:tc>
      </w:tr>
      <w:tr w:rsidR="00B92C49" w:rsidRPr="00176D3F" w:rsidTr="00C64EFF">
        <w:tc>
          <w:tcPr>
            <w:tcW w:w="8771" w:type="dxa"/>
            <w:tcBorders>
              <w:top w:val="nil"/>
              <w:left w:val="nil"/>
              <w:bottom w:val="nil"/>
              <w:right w:val="nil"/>
            </w:tcBorders>
            <w:shd w:val="clear" w:color="auto" w:fill="auto"/>
          </w:tcPr>
          <w:p w:rsidR="00B92C49" w:rsidRPr="00176D3F" w:rsidRDefault="00C64EFF" w:rsidP="00605294">
            <w:pPr>
              <w:pStyle w:val="Source"/>
            </w:pPr>
            <w:r w:rsidRPr="00F50354">
              <w:rPr>
                <w:i/>
              </w:rPr>
              <w:t>Source</w:t>
            </w:r>
            <w:r w:rsidRPr="009551A0">
              <w:t>:</w:t>
            </w:r>
            <w:r w:rsidRPr="00F50354">
              <w:rPr>
                <w:i/>
              </w:rPr>
              <w:t xml:space="preserve"> </w:t>
            </w:r>
            <w:r w:rsidRPr="00F50354">
              <w:t xml:space="preserve">DSS (unpublished); </w:t>
            </w:r>
            <w:r w:rsidR="00ED4A98" w:rsidRPr="006F23A3">
              <w:t>table</w:t>
            </w:r>
            <w:r w:rsidR="00ED4A98">
              <w:t>s</w:t>
            </w:r>
            <w:r w:rsidR="00E75264">
              <w:t> </w:t>
            </w:r>
            <w:proofErr w:type="spellStart"/>
            <w:r w:rsidR="00ED4A98">
              <w:t>13A.</w:t>
            </w:r>
            <w:r w:rsidR="00605294">
              <w:t>8</w:t>
            </w:r>
            <w:proofErr w:type="spellEnd"/>
            <w:r w:rsidR="00ED4A98">
              <w:t xml:space="preserve">, </w:t>
            </w:r>
            <w:proofErr w:type="spellStart"/>
            <w:r w:rsidR="00ED4A98">
              <w:t>13</w:t>
            </w:r>
            <w:r w:rsidR="00ED4A98" w:rsidRPr="006F23A3">
              <w:t>A.</w:t>
            </w:r>
            <w:r w:rsidR="0095755F">
              <w:t>52</w:t>
            </w:r>
            <w:proofErr w:type="spellEnd"/>
            <w:r w:rsidR="0095755F">
              <w:t xml:space="preserve"> and </w:t>
            </w:r>
            <w:proofErr w:type="spellStart"/>
            <w:r w:rsidR="0095755F">
              <w:t>13A.54</w:t>
            </w:r>
            <w:proofErr w:type="spellEnd"/>
            <w:r w:rsidR="0095755F" w:rsidRPr="00733169">
              <w:t>–</w:t>
            </w:r>
            <w:r w:rsidR="00ED4A98">
              <w:t>55</w:t>
            </w:r>
            <w:r w:rsidRPr="00F50354">
              <w:t>.</w:t>
            </w:r>
            <w:r w:rsidR="00B92C49" w:rsidRPr="00176D3F">
              <w:t xml:space="preserve"> </w:t>
            </w:r>
          </w:p>
        </w:tc>
      </w:tr>
      <w:tr w:rsidR="00B92C49" w:rsidTr="00C64EFF">
        <w:tc>
          <w:tcPr>
            <w:tcW w:w="8771" w:type="dxa"/>
            <w:tcBorders>
              <w:top w:val="nil"/>
              <w:left w:val="nil"/>
              <w:bottom w:val="single" w:sz="6" w:space="0" w:color="78A22F"/>
              <w:right w:val="nil"/>
            </w:tcBorders>
            <w:shd w:val="clear" w:color="auto" w:fill="auto"/>
          </w:tcPr>
          <w:p w:rsidR="00B92C49" w:rsidRDefault="00B92C49" w:rsidP="00C64EFF">
            <w:pPr>
              <w:pStyle w:val="Figurespace"/>
            </w:pPr>
          </w:p>
        </w:tc>
      </w:tr>
      <w:tr w:rsidR="00B92C49" w:rsidRPr="000863A5" w:rsidTr="00C64EFF">
        <w:tc>
          <w:tcPr>
            <w:tcW w:w="8771" w:type="dxa"/>
            <w:tcBorders>
              <w:top w:val="single" w:sz="6" w:space="0" w:color="78A22F"/>
              <w:left w:val="nil"/>
              <w:bottom w:val="nil"/>
              <w:right w:val="nil"/>
            </w:tcBorders>
          </w:tcPr>
          <w:p w:rsidR="00B92C49" w:rsidRPr="00626D32" w:rsidRDefault="00B92C49" w:rsidP="00C64EFF">
            <w:pPr>
              <w:pStyle w:val="BoxSpaceBelow"/>
            </w:pPr>
          </w:p>
        </w:tc>
      </w:tr>
    </w:tbl>
    <w:p w:rsidR="00116AD7" w:rsidRDefault="00116AD7" w:rsidP="00116AD7">
      <w:pPr>
        <w:pStyle w:val="Heading3"/>
      </w:pPr>
      <w:r>
        <w:lastRenderedPageBreak/>
        <w:t>Outcomes</w:t>
      </w:r>
    </w:p>
    <w:p w:rsidR="00116AD7" w:rsidRDefault="00C7774D" w:rsidP="00116AD7">
      <w:pPr>
        <w:pStyle w:val="BodyText"/>
      </w:pPr>
      <w:r w:rsidRPr="00C7774D">
        <w:t>Outcomes are the impact of services on the status of an individual or group (see chapter</w:t>
      </w:r>
      <w:r w:rsidR="00E75264">
        <w:t> </w:t>
      </w:r>
      <w:r w:rsidRPr="00C7774D">
        <w:t>1, section</w:t>
      </w:r>
      <w:r w:rsidR="00E75264">
        <w:t> </w:t>
      </w:r>
      <w:r w:rsidRPr="00C7774D">
        <w:t>1.5).</w:t>
      </w:r>
      <w:r w:rsidR="00116AD7">
        <w:t xml:space="preserve"> </w:t>
      </w:r>
    </w:p>
    <w:p w:rsidR="00116AD7" w:rsidRDefault="00116AD7" w:rsidP="00116AD7">
      <w:pPr>
        <w:pStyle w:val="Heading4"/>
      </w:pPr>
      <w:r>
        <w:t>Social participation in the community</w:t>
      </w:r>
    </w:p>
    <w:p w:rsidR="00116AD7" w:rsidRDefault="00116AD7" w:rsidP="00116AD7">
      <w:pPr>
        <w:pStyle w:val="BodyText"/>
      </w:pPr>
      <w:r>
        <w:t xml:space="preserve">‘Social participation in the community’ </w:t>
      </w:r>
      <w:r w:rsidR="005A2220">
        <w:t>is</w:t>
      </w:r>
      <w:r>
        <w:t xml:space="preserve"> an indicator of governments’ objective to encourage the wellbeing and independence of older people (box</w:t>
      </w:r>
      <w:r w:rsidR="009551A0">
        <w:t> </w:t>
      </w:r>
      <w:r>
        <w:t>13.</w:t>
      </w:r>
      <w:r w:rsidR="00C64EFF">
        <w:t>16</w:t>
      </w:r>
      <w:r>
        <w:t>).</w:t>
      </w:r>
    </w:p>
    <w:p w:rsidR="00C64EFF" w:rsidRDefault="00C64E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64EFF" w:rsidTr="00C64EFF">
        <w:tc>
          <w:tcPr>
            <w:tcW w:w="8771" w:type="dxa"/>
            <w:tcBorders>
              <w:top w:val="single" w:sz="6" w:space="0" w:color="78A22F"/>
              <w:left w:val="nil"/>
              <w:bottom w:val="nil"/>
              <w:right w:val="nil"/>
            </w:tcBorders>
            <w:shd w:val="clear" w:color="auto" w:fill="F2F2F2"/>
          </w:tcPr>
          <w:p w:rsidR="00C64EFF" w:rsidRDefault="00C64EFF" w:rsidP="00C64EFF">
            <w:pPr>
              <w:pStyle w:val="BoxTitle"/>
            </w:pPr>
            <w:r>
              <w:rPr>
                <w:b w:val="0"/>
              </w:rPr>
              <w:t xml:space="preserve">Box </w:t>
            </w:r>
            <w:r w:rsidR="00270EDF">
              <w:rPr>
                <w:b w:val="0"/>
              </w:rPr>
              <w:t>13.</w:t>
            </w:r>
            <w:r w:rsidR="00F132AA">
              <w:rPr>
                <w:b w:val="0"/>
                <w:noProof/>
              </w:rPr>
              <w:t>16</w:t>
            </w:r>
            <w:r>
              <w:tab/>
            </w:r>
            <w:r w:rsidRPr="00116AD7">
              <w:t>Social participation in the community</w:t>
            </w:r>
            <w:r>
              <w:t xml:space="preserve"> </w:t>
            </w:r>
          </w:p>
        </w:tc>
      </w:tr>
      <w:tr w:rsidR="00C64EFF" w:rsidTr="00C64EFF">
        <w:trPr>
          <w:cantSplit/>
        </w:trPr>
        <w:tc>
          <w:tcPr>
            <w:tcW w:w="8771" w:type="dxa"/>
            <w:tcBorders>
              <w:top w:val="nil"/>
              <w:left w:val="nil"/>
              <w:bottom w:val="nil"/>
              <w:right w:val="nil"/>
            </w:tcBorders>
            <w:shd w:val="clear" w:color="auto" w:fill="F2F2F2"/>
          </w:tcPr>
          <w:p w:rsidR="00C64EFF" w:rsidRDefault="00C64EFF" w:rsidP="00C64EFF">
            <w:pPr>
              <w:pStyle w:val="Box"/>
            </w:pPr>
            <w:r>
              <w:t>‘Social participation in the community’ has three measures, the estimated proportions of older people (aged 65 years or over) who:</w:t>
            </w:r>
          </w:p>
          <w:p w:rsidR="00C64EFF" w:rsidRDefault="00C64EFF" w:rsidP="00C64EFF">
            <w:pPr>
              <w:pStyle w:val="BoxListBullet"/>
            </w:pPr>
            <w:r>
              <w:t xml:space="preserve">participated in </w:t>
            </w:r>
            <w:r w:rsidRPr="00FF790A">
              <w:t xml:space="preserve">social </w:t>
            </w:r>
            <w:r w:rsidRPr="00554A4E">
              <w:t xml:space="preserve">or </w:t>
            </w:r>
            <w:r w:rsidRPr="00FF790A">
              <w:t xml:space="preserve">community activities </w:t>
            </w:r>
            <w:r>
              <w:t>away from home in the last three months</w:t>
            </w:r>
          </w:p>
          <w:p w:rsidR="00C64EFF" w:rsidRDefault="00C64EFF" w:rsidP="00C64EFF">
            <w:pPr>
              <w:pStyle w:val="BoxListBullet"/>
            </w:pPr>
            <w:r>
              <w:t xml:space="preserve">had </w:t>
            </w:r>
            <w:r w:rsidRPr="00554A4E">
              <w:t>face</w:t>
            </w:r>
            <w:r>
              <w:noBreakHyphen/>
            </w:r>
            <w:r w:rsidRPr="00554A4E">
              <w:t>to</w:t>
            </w:r>
            <w:r>
              <w:noBreakHyphen/>
            </w:r>
            <w:r w:rsidRPr="00554A4E">
              <w:t>face contact with family or friends not living in the same household</w:t>
            </w:r>
            <w:r>
              <w:t xml:space="preserve"> in the last week, month or three months </w:t>
            </w:r>
          </w:p>
          <w:p w:rsidR="00C64EFF" w:rsidRDefault="00C64EFF" w:rsidP="00C64EFF">
            <w:pPr>
              <w:pStyle w:val="BoxListBullet"/>
            </w:pPr>
            <w:r>
              <w:t xml:space="preserve">did not leave home or did not leave home as often as they would like. </w:t>
            </w:r>
          </w:p>
          <w:p w:rsidR="00C64EFF" w:rsidRDefault="00C64EFF" w:rsidP="00C64EFF">
            <w:pPr>
              <w:pStyle w:val="Box"/>
            </w:pPr>
            <w:r>
              <w:t xml:space="preserve">These measures are reported by disability status (profound or severe, other disability, all disability, without disability) and for all older people. Disability status is used as a ‘proxy’ to identify those older people who might need more assistance to support their social participation in the community. </w:t>
            </w:r>
          </w:p>
          <w:p w:rsidR="00C64EFF" w:rsidRDefault="00C64EFF" w:rsidP="00C64EFF">
            <w:pPr>
              <w:pStyle w:val="Box"/>
            </w:pPr>
            <w:r>
              <w:t>High or increasing proportions of social participation in the community are desirable, as it indicates higher levels of wellbeing and independence.</w:t>
            </w:r>
          </w:p>
          <w:p w:rsidR="00350721" w:rsidRDefault="00350721" w:rsidP="00C64EFF">
            <w:pPr>
              <w:pStyle w:val="Box"/>
            </w:pPr>
            <w:r w:rsidRPr="00350721">
              <w:t>Data for this/these measure/s include 95 per cent confidence intervals (in the form of error bars in figures).</w:t>
            </w:r>
          </w:p>
          <w:p w:rsidR="00C64EFF" w:rsidRDefault="00C64EFF" w:rsidP="00C64EFF">
            <w:pPr>
              <w:pStyle w:val="Box"/>
            </w:pPr>
            <w:r>
              <w:t>Data reported for this measure are:</w:t>
            </w:r>
          </w:p>
          <w:p w:rsidR="00C64EFF" w:rsidRDefault="00C64EFF" w:rsidP="00D02FA9">
            <w:pPr>
              <w:pStyle w:val="BoxListBullet"/>
            </w:pPr>
            <w:r>
              <w:t xml:space="preserve">comparable (subject to caveats) across jurisdictions </w:t>
            </w:r>
            <w:r w:rsidR="00D02FA9" w:rsidRPr="00D02FA9">
              <w:t>(no time series data are reported)</w:t>
            </w:r>
          </w:p>
          <w:p w:rsidR="00C64EFF" w:rsidRDefault="00C64EFF" w:rsidP="00C64EFF">
            <w:pPr>
              <w:pStyle w:val="BoxListBullet"/>
            </w:pPr>
            <w:r>
              <w:t xml:space="preserve">complete (subject to caveats) for the current reporting period. All required 2012 data are available for all jurisdictions. </w:t>
            </w:r>
          </w:p>
          <w:p w:rsidR="00407392" w:rsidRDefault="00407392" w:rsidP="00AA3C69">
            <w:pPr>
              <w:pStyle w:val="Box"/>
            </w:pPr>
            <w:r w:rsidRPr="00407392">
              <w:t xml:space="preserve">The </w:t>
            </w:r>
            <w:proofErr w:type="spellStart"/>
            <w:r w:rsidRPr="00407392">
              <w:t>SDAC</w:t>
            </w:r>
            <w:proofErr w:type="spellEnd"/>
            <w:r w:rsidRPr="00407392">
              <w:t xml:space="preserve"> does not include people living in discrete </w:t>
            </w:r>
            <w:r w:rsidR="009B3A27" w:rsidRPr="009B3A27">
              <w:t>Aboriginal and Torres Strait Islander</w:t>
            </w:r>
            <w:r w:rsidRPr="00407392">
              <w:t xml:space="preserve"> communities and very remote areas, which affects the comparability of the NT results.</w:t>
            </w:r>
          </w:p>
          <w:p w:rsidR="00C64EFF" w:rsidRDefault="00AA3C69" w:rsidP="00AA3C69">
            <w:pPr>
              <w:pStyle w:val="Box"/>
            </w:pPr>
            <w:r w:rsidRPr="00AA3C69">
              <w:t xml:space="preserve">Data quality information for this indicator is at </w:t>
            </w:r>
            <w:proofErr w:type="spellStart"/>
            <w:r w:rsidRPr="00AA3C69">
              <w:t>www.pc.gov.au</w:t>
            </w:r>
            <w:proofErr w:type="spellEnd"/>
            <w:r w:rsidRPr="00AA3C69">
              <w:t>/</w:t>
            </w:r>
            <w:proofErr w:type="spellStart"/>
            <w:r w:rsidRPr="00AA3C69">
              <w:t>rogs</w:t>
            </w:r>
            <w:proofErr w:type="spellEnd"/>
            <w:r w:rsidRPr="00AA3C69">
              <w:t>/2016.</w:t>
            </w:r>
          </w:p>
        </w:tc>
      </w:tr>
      <w:tr w:rsidR="00C64EFF" w:rsidTr="00C64EFF">
        <w:trPr>
          <w:cantSplit/>
        </w:trPr>
        <w:tc>
          <w:tcPr>
            <w:tcW w:w="8771" w:type="dxa"/>
            <w:tcBorders>
              <w:top w:val="nil"/>
              <w:left w:val="nil"/>
              <w:bottom w:val="single" w:sz="6" w:space="0" w:color="78A22F"/>
              <w:right w:val="nil"/>
            </w:tcBorders>
            <w:shd w:val="clear" w:color="auto" w:fill="F2F2F2"/>
          </w:tcPr>
          <w:p w:rsidR="00C64EFF" w:rsidRDefault="00C64EFF">
            <w:pPr>
              <w:pStyle w:val="Box"/>
              <w:spacing w:before="0" w:line="120" w:lineRule="exact"/>
            </w:pPr>
          </w:p>
        </w:tc>
      </w:tr>
      <w:tr w:rsidR="00C64EFF" w:rsidRPr="000863A5" w:rsidTr="00C64EFF">
        <w:tc>
          <w:tcPr>
            <w:tcW w:w="8771" w:type="dxa"/>
            <w:tcBorders>
              <w:top w:val="single" w:sz="6" w:space="0" w:color="78A22F"/>
              <w:left w:val="nil"/>
              <w:bottom w:val="nil"/>
              <w:right w:val="nil"/>
            </w:tcBorders>
          </w:tcPr>
          <w:p w:rsidR="00C64EFF" w:rsidRPr="00626D32" w:rsidRDefault="00C64EFF" w:rsidP="00C64EFF">
            <w:pPr>
              <w:pStyle w:val="BoxSpaceBelow"/>
            </w:pPr>
          </w:p>
        </w:tc>
      </w:tr>
    </w:tbl>
    <w:p w:rsidR="00F76144" w:rsidRDefault="009D6DDE" w:rsidP="00F76144">
      <w:pPr>
        <w:pStyle w:val="BodyText"/>
      </w:pPr>
      <w:r w:rsidRPr="009D6DDE">
        <w:t xml:space="preserve">Nationally in 2012, the estimated proportion of people aged 65 years or over who </w:t>
      </w:r>
      <w:r>
        <w:t xml:space="preserve">participated in </w:t>
      </w:r>
      <w:r w:rsidR="00FF790A" w:rsidRPr="00FF790A">
        <w:t xml:space="preserve">any social </w:t>
      </w:r>
      <w:r w:rsidR="00FF790A" w:rsidRPr="00554A4E">
        <w:t xml:space="preserve">or </w:t>
      </w:r>
      <w:r w:rsidR="00FF790A" w:rsidRPr="00FF790A">
        <w:t xml:space="preserve">community activities </w:t>
      </w:r>
      <w:r w:rsidR="005A2220" w:rsidRPr="005A2220">
        <w:t xml:space="preserve">away from home in the last </w:t>
      </w:r>
      <w:r w:rsidR="00A7165F">
        <w:t>three</w:t>
      </w:r>
      <w:r w:rsidR="00B15073" w:rsidRPr="005A2220">
        <w:t xml:space="preserve"> </w:t>
      </w:r>
      <w:r w:rsidR="005A2220" w:rsidRPr="005A2220">
        <w:t>months</w:t>
      </w:r>
      <w:r w:rsidR="00CE065F">
        <w:t xml:space="preserve"> was </w:t>
      </w:r>
      <w:r w:rsidR="00BF4B14" w:rsidRPr="00BF4B14">
        <w:t>93.2</w:t>
      </w:r>
      <w:r w:rsidR="005A2220">
        <w:t xml:space="preserve"> per cent</w:t>
      </w:r>
      <w:r w:rsidR="00BF4B14">
        <w:t xml:space="preserve"> (table</w:t>
      </w:r>
      <w:r w:rsidR="009551A0">
        <w:t> </w:t>
      </w:r>
      <w:proofErr w:type="spellStart"/>
      <w:r w:rsidR="00BF4B14">
        <w:t>13A.</w:t>
      </w:r>
      <w:r w:rsidR="00ED4A98">
        <w:t>56</w:t>
      </w:r>
      <w:proofErr w:type="spellEnd"/>
      <w:r w:rsidR="00BF4B14">
        <w:t>)</w:t>
      </w:r>
      <w:r w:rsidRPr="009D6DDE">
        <w:t>.</w:t>
      </w:r>
      <w:r w:rsidR="005A2220">
        <w:t xml:space="preserve"> </w:t>
      </w:r>
      <w:r w:rsidR="00144AB5">
        <w:t xml:space="preserve">Participation </w:t>
      </w:r>
      <w:r w:rsidR="009B0570">
        <w:t xml:space="preserve">in these activities </w:t>
      </w:r>
      <w:r w:rsidR="0014593B">
        <w:t xml:space="preserve">was </w:t>
      </w:r>
      <w:r w:rsidR="00152AD6">
        <w:t>lower (</w:t>
      </w:r>
      <w:r w:rsidR="00BF4B14" w:rsidRPr="00BF4B14">
        <w:t>82.7</w:t>
      </w:r>
      <w:r w:rsidR="00F76144">
        <w:t> </w:t>
      </w:r>
      <w:r w:rsidR="0014593B" w:rsidRPr="0014593B">
        <w:t>per</w:t>
      </w:r>
      <w:r w:rsidR="00F76144">
        <w:t> </w:t>
      </w:r>
      <w:r w:rsidR="0014593B" w:rsidRPr="0014593B">
        <w:t>cent</w:t>
      </w:r>
      <w:r w:rsidR="00152AD6">
        <w:t>)</w:t>
      </w:r>
      <w:r w:rsidR="0014593B" w:rsidRPr="0014593B">
        <w:t xml:space="preserve"> </w:t>
      </w:r>
      <w:r w:rsidR="0014593B">
        <w:t>for people</w:t>
      </w:r>
      <w:r w:rsidR="005A2220">
        <w:t xml:space="preserve"> with profound or severe disability</w:t>
      </w:r>
      <w:r w:rsidR="00905FD4">
        <w:t xml:space="preserve"> (figure</w:t>
      </w:r>
      <w:r w:rsidR="00F76144">
        <w:t> </w:t>
      </w:r>
      <w:r w:rsidR="00905FD4">
        <w:t>13.</w:t>
      </w:r>
      <w:r w:rsidR="00C64EFF">
        <w:t>22</w:t>
      </w:r>
      <w:r w:rsidR="00905FD4">
        <w:t>)</w:t>
      </w:r>
      <w:r w:rsidR="0014593B">
        <w:t>.</w:t>
      </w:r>
      <w:r w:rsidR="005A2220">
        <w:t xml:space="preserve"> </w:t>
      </w:r>
    </w:p>
    <w:p w:rsidR="00ED4A98" w:rsidRDefault="00ED4A98" w:rsidP="00ED4A98">
      <w:pPr>
        <w:pStyle w:val="BodyText"/>
        <w:shd w:val="clear" w:color="auto" w:fill="FFFFFF" w:themeFill="background1"/>
      </w:pPr>
      <w:r>
        <w:t xml:space="preserve">Nationally in 2012, older people without disability were more likely than those with profound or severe disability to have </w:t>
      </w:r>
      <w:r w:rsidRPr="00554A4E">
        <w:t>face</w:t>
      </w:r>
      <w:r>
        <w:noBreakHyphen/>
      </w:r>
      <w:r w:rsidRPr="00554A4E">
        <w:t>to</w:t>
      </w:r>
      <w:r>
        <w:noBreakHyphen/>
      </w:r>
      <w:r w:rsidRPr="00554A4E">
        <w:t>face contact with family or friends not living in the same household</w:t>
      </w:r>
      <w:r>
        <w:t xml:space="preserve"> in the last week</w:t>
      </w:r>
      <w:r w:rsidRPr="00F76144">
        <w:t xml:space="preserve"> </w:t>
      </w:r>
      <w:r>
        <w:t>(</w:t>
      </w:r>
      <w:r w:rsidRPr="00F76144">
        <w:t>78.9</w:t>
      </w:r>
      <w:r>
        <w:t xml:space="preserve"> per cent compared to </w:t>
      </w:r>
      <w:r w:rsidRPr="00F76144">
        <w:t>74.8</w:t>
      </w:r>
      <w:r w:rsidRPr="00013637">
        <w:t xml:space="preserve"> per cent</w:t>
      </w:r>
      <w:r>
        <w:t xml:space="preserve">) </w:t>
      </w:r>
      <w:r>
        <w:lastRenderedPageBreak/>
        <w:t>(table </w:t>
      </w:r>
      <w:proofErr w:type="spellStart"/>
      <w:r>
        <w:t>13A.</w:t>
      </w:r>
      <w:r w:rsidR="00772B70">
        <w:t>57</w:t>
      </w:r>
      <w:proofErr w:type="spellEnd"/>
      <w:r>
        <w:t>). Data on face</w:t>
      </w:r>
      <w:r>
        <w:noBreakHyphen/>
        <w:t>to</w:t>
      </w:r>
      <w:r>
        <w:noBreakHyphen/>
        <w:t xml:space="preserve">face contact </w:t>
      </w:r>
      <w:r w:rsidRPr="005D50CF">
        <w:t>with family or friends not living in the same household</w:t>
      </w:r>
      <w:r>
        <w:t>,</w:t>
      </w:r>
      <w:r w:rsidRPr="005D50CF">
        <w:t xml:space="preserve"> </w:t>
      </w:r>
      <w:r>
        <w:t>in the last month and last three months are in table </w:t>
      </w:r>
      <w:proofErr w:type="spellStart"/>
      <w:r>
        <w:t>13A.</w:t>
      </w:r>
      <w:r w:rsidR="00772B70">
        <w:t>57</w:t>
      </w:r>
      <w:proofErr w:type="spellEnd"/>
      <w:r>
        <w:t>.</w:t>
      </w:r>
    </w:p>
    <w:p w:rsidR="005A2220" w:rsidRDefault="005A2220" w:rsidP="00734B3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2220" w:rsidTr="00734B35">
        <w:tc>
          <w:tcPr>
            <w:tcW w:w="8771" w:type="dxa"/>
            <w:tcBorders>
              <w:top w:val="single" w:sz="6" w:space="0" w:color="78A22F"/>
              <w:left w:val="nil"/>
              <w:bottom w:val="nil"/>
              <w:right w:val="nil"/>
            </w:tcBorders>
            <w:shd w:val="clear" w:color="auto" w:fill="auto"/>
          </w:tcPr>
          <w:p w:rsidR="005A2220" w:rsidRPr="00176D3F" w:rsidRDefault="005A2220" w:rsidP="00270EDF">
            <w:pPr>
              <w:pStyle w:val="FigureTitle"/>
            </w:pPr>
            <w:r w:rsidRPr="00784A05">
              <w:rPr>
                <w:b w:val="0"/>
              </w:rPr>
              <w:t xml:space="preserve">Figure </w:t>
            </w:r>
            <w:r w:rsidR="00C64EFF">
              <w:rPr>
                <w:b w:val="0"/>
              </w:rPr>
              <w:t>13.</w:t>
            </w:r>
            <w:r w:rsidR="00F132AA">
              <w:rPr>
                <w:b w:val="0"/>
                <w:noProof/>
              </w:rPr>
              <w:t>22</w:t>
            </w:r>
            <w:r>
              <w:tab/>
            </w:r>
            <w:r w:rsidR="0014593B">
              <w:t>Pa</w:t>
            </w:r>
            <w:r w:rsidR="0014593B" w:rsidRPr="0014593B">
              <w:t>rticipat</w:t>
            </w:r>
            <w:r w:rsidR="0014593B">
              <w:t>ion of people aged 65 years or over</w:t>
            </w:r>
            <w:r w:rsidR="0014593B" w:rsidRPr="0014593B">
              <w:t xml:space="preserve"> in any </w:t>
            </w:r>
            <w:r w:rsidR="00FF790A" w:rsidRPr="00FF790A">
              <w:t xml:space="preserve">social </w:t>
            </w:r>
            <w:r w:rsidR="00FF790A" w:rsidRPr="00554A4E">
              <w:t xml:space="preserve">or </w:t>
            </w:r>
            <w:r w:rsidR="00FF790A" w:rsidRPr="00FF790A">
              <w:t>community activities</w:t>
            </w:r>
            <w:r w:rsidR="00FF790A">
              <w:t xml:space="preserve"> </w:t>
            </w:r>
            <w:r w:rsidR="0014593B" w:rsidRPr="0014593B">
              <w:t xml:space="preserve">away from home in the last </w:t>
            </w:r>
            <w:r w:rsidR="00554A4E">
              <w:t>three</w:t>
            </w:r>
            <w:r w:rsidR="00B15073">
              <w:t> </w:t>
            </w:r>
            <w:r w:rsidR="0014593B" w:rsidRPr="0014593B">
              <w:t>months</w:t>
            </w:r>
            <w:r w:rsidR="0014593B">
              <w:t>, by disability status</w:t>
            </w:r>
            <w:r w:rsidR="00B30739">
              <w:t>, 2012</w:t>
            </w:r>
            <w:r w:rsidR="00755121" w:rsidRPr="00755121">
              <w:rPr>
                <w:rStyle w:val="NoteLabel"/>
                <w:b/>
              </w:rPr>
              <w:t>a</w:t>
            </w:r>
          </w:p>
        </w:tc>
      </w:tr>
      <w:tr w:rsidR="005A2220" w:rsidTr="005C068F">
        <w:tc>
          <w:tcPr>
            <w:tcW w:w="8771" w:type="dxa"/>
            <w:tcBorders>
              <w:top w:val="nil"/>
              <w:left w:val="nil"/>
              <w:bottom w:val="nil"/>
              <w:right w:val="nil"/>
            </w:tcBorders>
            <w:shd w:val="clear" w:color="auto" w:fill="auto"/>
            <w:tcMar>
              <w:top w:w="28" w:type="dxa"/>
              <w:bottom w:w="28" w:type="dxa"/>
            </w:tcMar>
          </w:tcPr>
          <w:tbl>
            <w:tblPr>
              <w:tblW w:w="4998"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4"/>
            </w:tblGrid>
            <w:tr w:rsidR="005A2220" w:rsidTr="000E4D54">
              <w:tc>
                <w:tcPr>
                  <w:tcW w:w="5000" w:type="pct"/>
                  <w:tcBorders>
                    <w:top w:val="nil"/>
                    <w:bottom w:val="nil"/>
                  </w:tcBorders>
                </w:tcPr>
                <w:p w:rsidR="005A2220" w:rsidRDefault="00E30882" w:rsidP="00734B35">
                  <w:pPr>
                    <w:pStyle w:val="Figure"/>
                    <w:spacing w:before="60" w:after="60"/>
                  </w:pPr>
                  <w:r>
                    <w:rPr>
                      <w:noProof/>
                    </w:rPr>
                    <w:drawing>
                      <wp:inline distT="0" distB="0" distL="0" distR="0">
                        <wp:extent cx="5334000" cy="2686050"/>
                        <wp:effectExtent l="0" t="0" r="0" b="0"/>
                        <wp:docPr id="24" name="Picture 24" descr="Figure 13.22 Participation of people aged 65 years or over in any social or community activities away from home in the last three months, by disability status,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34000" cy="2686050"/>
                                </a:xfrm>
                                <a:prstGeom prst="rect">
                                  <a:avLst/>
                                </a:prstGeom>
                                <a:noFill/>
                                <a:ln>
                                  <a:noFill/>
                                </a:ln>
                              </pic:spPr>
                            </pic:pic>
                          </a:graphicData>
                        </a:graphic>
                      </wp:inline>
                    </w:drawing>
                  </w:r>
                </w:p>
              </w:tc>
            </w:tr>
          </w:tbl>
          <w:p w:rsidR="005A2220" w:rsidRDefault="005A2220" w:rsidP="00734B35">
            <w:pPr>
              <w:pStyle w:val="Figure"/>
            </w:pPr>
          </w:p>
        </w:tc>
      </w:tr>
      <w:tr w:rsidR="005A2220" w:rsidRPr="00176D3F" w:rsidTr="00CA1F6E">
        <w:tc>
          <w:tcPr>
            <w:tcW w:w="8771" w:type="dxa"/>
            <w:tcBorders>
              <w:top w:val="nil"/>
              <w:left w:val="nil"/>
              <w:bottom w:val="nil"/>
              <w:right w:val="nil"/>
            </w:tcBorders>
            <w:shd w:val="clear" w:color="auto" w:fill="FFFFFF" w:themeFill="background1"/>
          </w:tcPr>
          <w:p w:rsidR="005A2220" w:rsidRPr="007A0D83" w:rsidRDefault="005A2220" w:rsidP="00ED4A98">
            <w:pPr>
              <w:pStyle w:val="Note"/>
            </w:pPr>
            <w:r w:rsidRPr="007A0D83">
              <w:rPr>
                <w:rStyle w:val="NoteLabel"/>
              </w:rPr>
              <w:t>a</w:t>
            </w:r>
            <w:r w:rsidR="00F76144" w:rsidRPr="007A0D83">
              <w:t xml:space="preserve"> </w:t>
            </w:r>
            <w:r w:rsidR="007B42C9" w:rsidRPr="007B42C9">
              <w:t>See box</w:t>
            </w:r>
            <w:r w:rsidR="00E75264">
              <w:t> </w:t>
            </w:r>
            <w:r w:rsidR="007B42C9" w:rsidRPr="007B42C9">
              <w:t>13.1</w:t>
            </w:r>
            <w:r w:rsidR="007B42C9">
              <w:t>6</w:t>
            </w:r>
            <w:r w:rsidR="007B42C9" w:rsidRPr="007B42C9">
              <w:t xml:space="preserve"> and table</w:t>
            </w:r>
            <w:r w:rsidR="00E75264">
              <w:t> </w:t>
            </w:r>
            <w:proofErr w:type="spellStart"/>
            <w:r w:rsidR="007B42C9" w:rsidRPr="007B42C9">
              <w:t>13A.5</w:t>
            </w:r>
            <w:r w:rsidR="00ED4A98">
              <w:t>6</w:t>
            </w:r>
            <w:proofErr w:type="spellEnd"/>
            <w:r w:rsidR="007B42C9" w:rsidRPr="007B42C9">
              <w:t xml:space="preserve"> for detailed definitions, footnotes and caveats.  </w:t>
            </w:r>
          </w:p>
        </w:tc>
      </w:tr>
      <w:tr w:rsidR="005A2220" w:rsidRPr="00176D3F" w:rsidTr="00734B35">
        <w:tc>
          <w:tcPr>
            <w:tcW w:w="8771" w:type="dxa"/>
            <w:tcBorders>
              <w:top w:val="nil"/>
              <w:left w:val="nil"/>
              <w:bottom w:val="nil"/>
              <w:right w:val="nil"/>
            </w:tcBorders>
            <w:shd w:val="clear" w:color="auto" w:fill="auto"/>
          </w:tcPr>
          <w:p w:rsidR="005A2220" w:rsidRPr="00176D3F" w:rsidRDefault="005A2220" w:rsidP="00025AE5">
            <w:pPr>
              <w:pStyle w:val="Source"/>
            </w:pPr>
            <w:r>
              <w:rPr>
                <w:i/>
              </w:rPr>
              <w:t>Source</w:t>
            </w:r>
            <w:r w:rsidRPr="00013637">
              <w:t xml:space="preserve">: </w:t>
            </w:r>
            <w:r w:rsidR="00734B35" w:rsidRPr="00734B35">
              <w:t xml:space="preserve">ABS </w:t>
            </w:r>
            <w:r w:rsidR="00734B35">
              <w:t>(</w:t>
            </w:r>
            <w:r w:rsidR="00734B35" w:rsidRPr="00734B35">
              <w:t>unpublished</w:t>
            </w:r>
            <w:r w:rsidR="00734B35">
              <w:t>)</w:t>
            </w:r>
            <w:r w:rsidR="00734B35" w:rsidRPr="00734B35">
              <w:t xml:space="preserve"> </w:t>
            </w:r>
            <w:proofErr w:type="spellStart"/>
            <w:r w:rsidR="00025AE5" w:rsidRPr="00407392">
              <w:rPr>
                <w:i/>
              </w:rPr>
              <w:t>SDAC</w:t>
            </w:r>
            <w:proofErr w:type="spellEnd"/>
            <w:r w:rsidR="00734B35" w:rsidRPr="00407392">
              <w:rPr>
                <w:i/>
              </w:rPr>
              <w:t xml:space="preserve"> 2012</w:t>
            </w:r>
            <w:r w:rsidR="00EC24D9">
              <w:rPr>
                <w:i/>
              </w:rPr>
              <w:t xml:space="preserve">, </w:t>
            </w:r>
            <w:r w:rsidR="00EC24D9" w:rsidRPr="00EC24D9">
              <w:t>Cat. no.</w:t>
            </w:r>
            <w:r w:rsidR="00EC24D9">
              <w:rPr>
                <w:i/>
              </w:rPr>
              <w:t xml:space="preserve"> </w:t>
            </w:r>
            <w:r w:rsidR="00EC24D9" w:rsidRPr="00EC24D9">
              <w:t>4430.0</w:t>
            </w:r>
            <w:r w:rsidR="00407392">
              <w:t xml:space="preserve"> </w:t>
            </w:r>
            <w:r w:rsidR="00407392" w:rsidRPr="00407392">
              <w:t>(derived using Table Builder product)</w:t>
            </w:r>
            <w:r w:rsidR="00D15FF6" w:rsidRPr="00EC24D9">
              <w:t>;</w:t>
            </w:r>
            <w:r w:rsidR="00D15FF6">
              <w:rPr>
                <w:i/>
              </w:rPr>
              <w:t xml:space="preserve"> </w:t>
            </w:r>
            <w:r w:rsidR="00D15FF6" w:rsidRPr="00D15FF6">
              <w:t>table</w:t>
            </w:r>
            <w:r w:rsidR="009551A0">
              <w:t> </w:t>
            </w:r>
            <w:proofErr w:type="spellStart"/>
            <w:r w:rsidR="00D15FF6" w:rsidRPr="00D15FF6">
              <w:t>13A.</w:t>
            </w:r>
            <w:r w:rsidR="007B42C9">
              <w:t>5</w:t>
            </w:r>
            <w:r w:rsidR="00ED4A98">
              <w:t>6</w:t>
            </w:r>
            <w:proofErr w:type="spellEnd"/>
            <w:r w:rsidR="00734B35" w:rsidRPr="00734B35">
              <w:t>.</w:t>
            </w:r>
          </w:p>
        </w:tc>
      </w:tr>
      <w:tr w:rsidR="005A2220" w:rsidTr="00734B35">
        <w:tc>
          <w:tcPr>
            <w:tcW w:w="8771" w:type="dxa"/>
            <w:tcBorders>
              <w:top w:val="nil"/>
              <w:left w:val="nil"/>
              <w:bottom w:val="single" w:sz="6" w:space="0" w:color="78A22F"/>
              <w:right w:val="nil"/>
            </w:tcBorders>
            <w:shd w:val="clear" w:color="auto" w:fill="auto"/>
          </w:tcPr>
          <w:p w:rsidR="005A2220" w:rsidRDefault="005A2220" w:rsidP="00734B35">
            <w:pPr>
              <w:pStyle w:val="Figurespace"/>
            </w:pPr>
          </w:p>
        </w:tc>
      </w:tr>
      <w:tr w:rsidR="005A2220" w:rsidRPr="000863A5" w:rsidTr="00734B35">
        <w:tc>
          <w:tcPr>
            <w:tcW w:w="8771" w:type="dxa"/>
            <w:tcBorders>
              <w:top w:val="single" w:sz="6" w:space="0" w:color="78A22F"/>
              <w:left w:val="nil"/>
              <w:bottom w:val="nil"/>
              <w:right w:val="nil"/>
            </w:tcBorders>
          </w:tcPr>
          <w:p w:rsidR="005A2220" w:rsidRPr="00626D32" w:rsidRDefault="005A2220" w:rsidP="00734B35">
            <w:pPr>
              <w:pStyle w:val="BoxSpaceBelow"/>
            </w:pPr>
          </w:p>
        </w:tc>
      </w:tr>
    </w:tbl>
    <w:p w:rsidR="00152AD6" w:rsidRDefault="00270EDF" w:rsidP="00270EDF">
      <w:pPr>
        <w:pStyle w:val="BodyText"/>
        <w:shd w:val="clear" w:color="auto" w:fill="FFFFFF" w:themeFill="background1"/>
      </w:pPr>
      <w:r w:rsidRPr="00B30739">
        <w:t>Nationally in 2012, the estimated proportion of people aged 65 years or over who</w:t>
      </w:r>
      <w:r w:rsidRPr="008A7BDF">
        <w:t xml:space="preserve"> did not leave home </w:t>
      </w:r>
      <w:r w:rsidR="00152AD6">
        <w:t>(</w:t>
      </w:r>
      <w:r w:rsidRPr="008A7BDF">
        <w:t xml:space="preserve">or as frequently as </w:t>
      </w:r>
      <w:r>
        <w:t xml:space="preserve">they </w:t>
      </w:r>
      <w:r w:rsidRPr="008A7BDF">
        <w:t>would like</w:t>
      </w:r>
      <w:r w:rsidR="00152AD6">
        <w:t>)</w:t>
      </w:r>
      <w:r w:rsidRPr="00B30739">
        <w:t xml:space="preserve"> was </w:t>
      </w:r>
      <w:r>
        <w:t>16.2</w:t>
      </w:r>
      <w:r w:rsidRPr="00B30739">
        <w:t xml:space="preserve"> per cent</w:t>
      </w:r>
      <w:r>
        <w:t xml:space="preserve"> (figure 13.23)</w:t>
      </w:r>
      <w:r w:rsidR="005F760E">
        <w:t xml:space="preserve"> – this proportion</w:t>
      </w:r>
      <w:r w:rsidR="00152AD6">
        <w:t xml:space="preserve"> was </w:t>
      </w:r>
      <w:r w:rsidRPr="00AC63EB">
        <w:t>higher</w:t>
      </w:r>
      <w:r w:rsidR="00152AD6">
        <w:t xml:space="preserve"> for those with</w:t>
      </w:r>
      <w:r>
        <w:t xml:space="preserve"> profound or severe disability (</w:t>
      </w:r>
      <w:r w:rsidRPr="00AC63EB">
        <w:t>46.8</w:t>
      </w:r>
      <w:r>
        <w:t xml:space="preserve"> per cent) than for other older people</w:t>
      </w:r>
      <w:r w:rsidR="00152AD6">
        <w:t>,</w:t>
      </w:r>
      <w:r>
        <w:t xml:space="preserve"> </w:t>
      </w:r>
      <w:r w:rsidRPr="00AC63EB">
        <w:t>especially those without disability</w:t>
      </w:r>
      <w:r>
        <w:t xml:space="preserve"> (</w:t>
      </w:r>
      <w:r w:rsidRPr="00AC63EB">
        <w:t>6.4</w:t>
      </w:r>
      <w:r w:rsidR="005F760E">
        <w:t> </w:t>
      </w:r>
      <w:r w:rsidRPr="00036C3C">
        <w:t>per</w:t>
      </w:r>
      <w:r w:rsidR="005F760E">
        <w:t> </w:t>
      </w:r>
      <w:r w:rsidRPr="00036C3C">
        <w:t>cent</w:t>
      </w:r>
      <w:r>
        <w:t xml:space="preserve">). </w:t>
      </w:r>
    </w:p>
    <w:p w:rsidR="00270EDF" w:rsidRDefault="00270EDF" w:rsidP="00270EDF">
      <w:pPr>
        <w:pStyle w:val="BodyText"/>
        <w:shd w:val="clear" w:color="auto" w:fill="FFFFFF" w:themeFill="background1"/>
      </w:pPr>
      <w:r>
        <w:t xml:space="preserve">Nationally, two </w:t>
      </w:r>
      <w:r w:rsidR="00C95F80">
        <w:t xml:space="preserve">of the </w:t>
      </w:r>
      <w:r>
        <w:t xml:space="preserve">main reasons older people did not leave home </w:t>
      </w:r>
      <w:r w:rsidRPr="00036C3C">
        <w:t xml:space="preserve">as frequently </w:t>
      </w:r>
      <w:r>
        <w:t xml:space="preserve">as </w:t>
      </w:r>
      <w:r w:rsidRPr="00AC63EB">
        <w:t>they would like w</w:t>
      </w:r>
      <w:r>
        <w:t>as</w:t>
      </w:r>
      <w:r w:rsidRPr="00AC63EB">
        <w:t xml:space="preserve"> their own disability/condition </w:t>
      </w:r>
      <w:r>
        <w:t xml:space="preserve">or they </w:t>
      </w:r>
      <w:r w:rsidRPr="00AC63EB">
        <w:t>could not be bothered/nowhere to go</w:t>
      </w:r>
      <w:r w:rsidRPr="00C64EFF">
        <w:t xml:space="preserve"> </w:t>
      </w:r>
      <w:r>
        <w:t>(table </w:t>
      </w:r>
      <w:proofErr w:type="spellStart"/>
      <w:r>
        <w:t>13A.58</w:t>
      </w:r>
      <w:proofErr w:type="spellEnd"/>
      <w:r>
        <w:t>)</w:t>
      </w:r>
      <w:r w:rsidRPr="00B30739">
        <w:t>.</w:t>
      </w:r>
    </w:p>
    <w:p w:rsidR="00ED4A98" w:rsidRDefault="00ED4A98" w:rsidP="00ED4A9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1F74" w:rsidTr="000F6E9B">
        <w:tc>
          <w:tcPr>
            <w:tcW w:w="8771" w:type="dxa"/>
            <w:tcBorders>
              <w:top w:val="single" w:sz="6" w:space="0" w:color="78A22F"/>
              <w:left w:val="nil"/>
              <w:bottom w:val="nil"/>
              <w:right w:val="nil"/>
            </w:tcBorders>
            <w:shd w:val="clear" w:color="auto" w:fill="auto"/>
          </w:tcPr>
          <w:p w:rsidR="00CA1F74" w:rsidRPr="00176D3F" w:rsidRDefault="00CA1F74" w:rsidP="00270EDF">
            <w:pPr>
              <w:pStyle w:val="FigureTitle"/>
            </w:pPr>
            <w:r w:rsidRPr="00784A05">
              <w:rPr>
                <w:b w:val="0"/>
              </w:rPr>
              <w:t xml:space="preserve">Figure </w:t>
            </w:r>
            <w:r w:rsidR="00C64EFF">
              <w:rPr>
                <w:b w:val="0"/>
              </w:rPr>
              <w:t>13.</w:t>
            </w:r>
            <w:r w:rsidR="00F132AA">
              <w:rPr>
                <w:b w:val="0"/>
                <w:noProof/>
              </w:rPr>
              <w:t>23</w:t>
            </w:r>
            <w:r>
              <w:tab/>
            </w:r>
            <w:r w:rsidRPr="00CA1F74">
              <w:t>People aged 65 years or over who did not leave home or did not leave home as often as they would like, by disability status, 2012</w:t>
            </w:r>
            <w:r w:rsidR="00755121" w:rsidRPr="00755121">
              <w:rPr>
                <w:rStyle w:val="NoteLabel"/>
                <w:b/>
              </w:rPr>
              <w:t>a</w:t>
            </w:r>
          </w:p>
        </w:tc>
      </w:tr>
      <w:tr w:rsidR="00CA1F74" w:rsidTr="000F6E9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A1F74" w:rsidTr="000F6E9B">
              <w:trPr>
                <w:jc w:val="center"/>
              </w:trPr>
              <w:tc>
                <w:tcPr>
                  <w:tcW w:w="5000" w:type="pct"/>
                  <w:tcBorders>
                    <w:top w:val="nil"/>
                    <w:bottom w:val="nil"/>
                  </w:tcBorders>
                </w:tcPr>
                <w:p w:rsidR="00CA1F74" w:rsidRDefault="00E30882" w:rsidP="000F6E9B">
                  <w:pPr>
                    <w:pStyle w:val="Figure"/>
                    <w:spacing w:before="60" w:after="60"/>
                  </w:pPr>
                  <w:r>
                    <w:rPr>
                      <w:noProof/>
                    </w:rPr>
                    <w:drawing>
                      <wp:inline distT="0" distB="0" distL="0" distR="0">
                        <wp:extent cx="5238750" cy="2686050"/>
                        <wp:effectExtent l="0" t="0" r="0" b="0"/>
                        <wp:docPr id="25" name="Picture 25" descr="Figure 13.23 People aged 65 years or over who did not leave home or did not leave home as often as they would like, by disability status,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38750" cy="2686050"/>
                                </a:xfrm>
                                <a:prstGeom prst="rect">
                                  <a:avLst/>
                                </a:prstGeom>
                                <a:noFill/>
                                <a:ln>
                                  <a:noFill/>
                                </a:ln>
                              </pic:spPr>
                            </pic:pic>
                          </a:graphicData>
                        </a:graphic>
                      </wp:inline>
                    </w:drawing>
                  </w:r>
                </w:p>
              </w:tc>
            </w:tr>
          </w:tbl>
          <w:p w:rsidR="00CA1F74" w:rsidRDefault="00CA1F74" w:rsidP="000F6E9B">
            <w:pPr>
              <w:pStyle w:val="Figure"/>
            </w:pPr>
          </w:p>
        </w:tc>
      </w:tr>
      <w:tr w:rsidR="00CA1F74" w:rsidRPr="00176D3F" w:rsidTr="000F6E9B">
        <w:tc>
          <w:tcPr>
            <w:tcW w:w="8771" w:type="dxa"/>
            <w:tcBorders>
              <w:top w:val="nil"/>
              <w:left w:val="nil"/>
              <w:bottom w:val="nil"/>
              <w:right w:val="nil"/>
            </w:tcBorders>
            <w:shd w:val="clear" w:color="auto" w:fill="auto"/>
          </w:tcPr>
          <w:p w:rsidR="00CA1F74" w:rsidRPr="00176D3F" w:rsidRDefault="00CA1F74" w:rsidP="00270EDF">
            <w:pPr>
              <w:pStyle w:val="Note"/>
            </w:pPr>
            <w:r>
              <w:rPr>
                <w:rStyle w:val="NoteLabel"/>
              </w:rPr>
              <w:t>a</w:t>
            </w:r>
            <w:r>
              <w:t xml:space="preserve"> </w:t>
            </w:r>
            <w:r w:rsidR="007B42C9" w:rsidRPr="007B42C9">
              <w:t>See box</w:t>
            </w:r>
            <w:r w:rsidR="00E75264">
              <w:t> </w:t>
            </w:r>
            <w:r w:rsidR="007B42C9" w:rsidRPr="007B42C9">
              <w:t>13.16 and table</w:t>
            </w:r>
            <w:r w:rsidR="00E75264">
              <w:t> </w:t>
            </w:r>
            <w:proofErr w:type="spellStart"/>
            <w:r w:rsidR="007B42C9" w:rsidRPr="007B42C9">
              <w:t>13A.5</w:t>
            </w:r>
            <w:r w:rsidR="00270EDF">
              <w:t>8</w:t>
            </w:r>
            <w:proofErr w:type="spellEnd"/>
            <w:r w:rsidR="007B42C9" w:rsidRPr="007B42C9">
              <w:t xml:space="preserve"> for detailed definitions, footnotes and caveats.  </w:t>
            </w:r>
          </w:p>
        </w:tc>
      </w:tr>
      <w:tr w:rsidR="00CA1F74" w:rsidRPr="00176D3F" w:rsidTr="000F6E9B">
        <w:tc>
          <w:tcPr>
            <w:tcW w:w="8771" w:type="dxa"/>
            <w:tcBorders>
              <w:top w:val="nil"/>
              <w:left w:val="nil"/>
              <w:bottom w:val="nil"/>
              <w:right w:val="nil"/>
            </w:tcBorders>
            <w:shd w:val="clear" w:color="auto" w:fill="auto"/>
          </w:tcPr>
          <w:p w:rsidR="00CA1F74" w:rsidRPr="00176D3F" w:rsidRDefault="00CA1F74" w:rsidP="00025AE5">
            <w:pPr>
              <w:pStyle w:val="Source"/>
            </w:pPr>
            <w:r>
              <w:rPr>
                <w:i/>
              </w:rPr>
              <w:t>Source</w:t>
            </w:r>
            <w:r w:rsidRPr="00CA1F74">
              <w:t>:</w:t>
            </w:r>
            <w:r w:rsidR="004033CD">
              <w:t xml:space="preserve"> </w:t>
            </w:r>
            <w:r w:rsidR="00EC24D9" w:rsidRPr="00734B35">
              <w:t xml:space="preserve">ABS </w:t>
            </w:r>
            <w:r w:rsidR="00EC24D9">
              <w:t>(</w:t>
            </w:r>
            <w:r w:rsidR="00EC24D9" w:rsidRPr="00734B35">
              <w:t>unpublished</w:t>
            </w:r>
            <w:r w:rsidR="00EC24D9">
              <w:t>)</w:t>
            </w:r>
            <w:r w:rsidR="00EC24D9" w:rsidRPr="00734B35">
              <w:t xml:space="preserve"> </w:t>
            </w:r>
            <w:proofErr w:type="spellStart"/>
            <w:r w:rsidR="00025AE5">
              <w:rPr>
                <w:i/>
              </w:rPr>
              <w:t>SDAC</w:t>
            </w:r>
            <w:proofErr w:type="spellEnd"/>
            <w:r w:rsidR="00EC24D9" w:rsidRPr="00734B35">
              <w:rPr>
                <w:i/>
              </w:rPr>
              <w:t xml:space="preserve"> 2012</w:t>
            </w:r>
            <w:r w:rsidR="00EC24D9">
              <w:rPr>
                <w:i/>
              </w:rPr>
              <w:t xml:space="preserve">, </w:t>
            </w:r>
            <w:r w:rsidR="00EC24D9" w:rsidRPr="00EC24D9">
              <w:t>Cat. no.</w:t>
            </w:r>
            <w:r w:rsidR="00EC24D9">
              <w:rPr>
                <w:i/>
              </w:rPr>
              <w:t xml:space="preserve"> </w:t>
            </w:r>
            <w:r w:rsidR="00EC24D9" w:rsidRPr="00EC24D9">
              <w:t>4430.0</w:t>
            </w:r>
            <w:r w:rsidR="00407392">
              <w:t xml:space="preserve"> </w:t>
            </w:r>
            <w:r w:rsidR="00407392" w:rsidRPr="00C730E9">
              <w:t>(derived using Table Builder product)</w:t>
            </w:r>
            <w:r w:rsidR="004033CD" w:rsidRPr="004033CD">
              <w:t>; table</w:t>
            </w:r>
            <w:r w:rsidR="009551A0">
              <w:t> </w:t>
            </w:r>
            <w:proofErr w:type="spellStart"/>
            <w:r w:rsidR="004033CD" w:rsidRPr="004033CD">
              <w:t>13A.</w:t>
            </w:r>
            <w:r w:rsidR="00270EDF">
              <w:t>58</w:t>
            </w:r>
            <w:proofErr w:type="spellEnd"/>
            <w:r w:rsidR="004033CD" w:rsidRPr="004033CD">
              <w:t>.</w:t>
            </w:r>
          </w:p>
        </w:tc>
      </w:tr>
      <w:tr w:rsidR="00CA1F74" w:rsidTr="000F6E9B">
        <w:tc>
          <w:tcPr>
            <w:tcW w:w="8771" w:type="dxa"/>
            <w:tcBorders>
              <w:top w:val="nil"/>
              <w:left w:val="nil"/>
              <w:bottom w:val="single" w:sz="6" w:space="0" w:color="78A22F"/>
              <w:right w:val="nil"/>
            </w:tcBorders>
            <w:shd w:val="clear" w:color="auto" w:fill="auto"/>
          </w:tcPr>
          <w:p w:rsidR="00CA1F74" w:rsidRDefault="00CA1F74" w:rsidP="000F6E9B">
            <w:pPr>
              <w:pStyle w:val="Figurespace"/>
            </w:pPr>
          </w:p>
        </w:tc>
      </w:tr>
      <w:tr w:rsidR="00CA1F74" w:rsidRPr="000863A5" w:rsidTr="000F6E9B">
        <w:tc>
          <w:tcPr>
            <w:tcW w:w="8771" w:type="dxa"/>
            <w:tcBorders>
              <w:top w:val="single" w:sz="6" w:space="0" w:color="78A22F"/>
              <w:left w:val="nil"/>
              <w:bottom w:val="nil"/>
              <w:right w:val="nil"/>
            </w:tcBorders>
          </w:tcPr>
          <w:p w:rsidR="00CA1F74" w:rsidRPr="00626D32" w:rsidRDefault="00CA1F74" w:rsidP="000F6E9B">
            <w:pPr>
              <w:pStyle w:val="BoxSpaceBelow"/>
            </w:pPr>
          </w:p>
        </w:tc>
      </w:tr>
    </w:tbl>
    <w:p w:rsidR="00116AD7" w:rsidRDefault="00116AD7" w:rsidP="00116AD7">
      <w:pPr>
        <w:pStyle w:val="Heading4"/>
      </w:pPr>
      <w:r>
        <w:t>Maintenance of individual physical function</w:t>
      </w:r>
    </w:p>
    <w:p w:rsidR="00116AD7" w:rsidRDefault="00116AD7" w:rsidP="00116AD7">
      <w:pPr>
        <w:pStyle w:val="BodyText"/>
      </w:pPr>
      <w:r>
        <w:t xml:space="preserve">‘Maintenance of individual physical function’ is an indicator of governments’ objective for aged care services to promote the health, wellbeing and independence of older people and is measured using data for the </w:t>
      </w:r>
      <w:r w:rsidR="005E70A1" w:rsidRPr="005E70A1">
        <w:t>Transition Care Program (TCP)</w:t>
      </w:r>
      <w:r>
        <w:t xml:space="preserve"> only (box</w:t>
      </w:r>
      <w:r w:rsidR="009551A0">
        <w:t> </w:t>
      </w:r>
      <w:r>
        <w:t>13.</w:t>
      </w:r>
      <w:r w:rsidR="00C64EFF">
        <w:t>1</w:t>
      </w:r>
      <w:r w:rsidR="00270EDF">
        <w:t>7</w:t>
      </w:r>
      <w:r>
        <w:t>).</w:t>
      </w:r>
    </w:p>
    <w:p w:rsidR="00270EDF" w:rsidRDefault="00270E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0EDF" w:rsidTr="006F100B">
        <w:tc>
          <w:tcPr>
            <w:tcW w:w="8771" w:type="dxa"/>
            <w:tcBorders>
              <w:top w:val="single" w:sz="6" w:space="0" w:color="78A22F"/>
              <w:left w:val="nil"/>
              <w:bottom w:val="nil"/>
              <w:right w:val="nil"/>
            </w:tcBorders>
            <w:shd w:val="clear" w:color="auto" w:fill="F2F2F2"/>
          </w:tcPr>
          <w:p w:rsidR="00270EDF" w:rsidRDefault="00270EDF" w:rsidP="00270EDF">
            <w:pPr>
              <w:pStyle w:val="BoxTitle"/>
            </w:pPr>
            <w:r>
              <w:rPr>
                <w:b w:val="0"/>
              </w:rPr>
              <w:t>Box 13.</w:t>
            </w:r>
            <w:r w:rsidR="00F132AA">
              <w:rPr>
                <w:b w:val="0"/>
                <w:noProof/>
              </w:rPr>
              <w:t>17</w:t>
            </w:r>
            <w:r>
              <w:tab/>
            </w:r>
            <w:r w:rsidRPr="00116AD7">
              <w:t>Maintenance of individual physical function</w:t>
            </w:r>
          </w:p>
        </w:tc>
      </w:tr>
      <w:tr w:rsidR="00270EDF" w:rsidTr="006F100B">
        <w:trPr>
          <w:cantSplit/>
        </w:trPr>
        <w:tc>
          <w:tcPr>
            <w:tcW w:w="8771" w:type="dxa"/>
            <w:tcBorders>
              <w:top w:val="nil"/>
              <w:left w:val="nil"/>
              <w:bottom w:val="nil"/>
              <w:right w:val="nil"/>
            </w:tcBorders>
            <w:shd w:val="clear" w:color="auto" w:fill="F2F2F2"/>
          </w:tcPr>
          <w:p w:rsidR="00270EDF" w:rsidRDefault="00270EDF" w:rsidP="00270EDF">
            <w:pPr>
              <w:pStyle w:val="Box"/>
            </w:pPr>
            <w:r>
              <w:t xml:space="preserve">Maintenance of individual physical function’ is defined as the improvement in the </w:t>
            </w:r>
            <w:r w:rsidRPr="0056376C">
              <w:t>TCP</w:t>
            </w:r>
            <w:r>
              <w:t xml:space="preserve"> client’s level of physical function, reflected in the difference between the average Modified </w:t>
            </w:r>
            <w:proofErr w:type="spellStart"/>
            <w:r>
              <w:t>Barthel</w:t>
            </w:r>
            <w:proofErr w:type="spellEnd"/>
            <w:r>
              <w:t xml:space="preserve"> Index (</w:t>
            </w:r>
            <w:proofErr w:type="spellStart"/>
            <w:r>
              <w:t>MBI</w:t>
            </w:r>
            <w:proofErr w:type="spellEnd"/>
            <w:r>
              <w:t xml:space="preserve">) score on entry to the TCP to the average </w:t>
            </w:r>
            <w:proofErr w:type="spellStart"/>
            <w:r>
              <w:t>MBI</w:t>
            </w:r>
            <w:proofErr w:type="spellEnd"/>
            <w:r>
              <w:t xml:space="preserve"> score on exit from the TCP. </w:t>
            </w:r>
            <w:r w:rsidRPr="005A7770">
              <w:t xml:space="preserve">The </w:t>
            </w:r>
            <w:proofErr w:type="spellStart"/>
            <w:r w:rsidRPr="005A7770">
              <w:t>MBI</w:t>
            </w:r>
            <w:proofErr w:type="spellEnd"/>
            <w:r w:rsidRPr="005A7770">
              <w:t xml:space="preserve"> is a measure of functioning in the activities of daily living, ranging from 0 (fully dependent) to 100 (fully independent). Data are reported for recipients who completed a </w:t>
            </w:r>
            <w:r w:rsidR="00905D77">
              <w:t>T</w:t>
            </w:r>
            <w:r w:rsidRPr="005A7770">
              <w:t xml:space="preserve">ransition </w:t>
            </w:r>
            <w:r w:rsidR="00905D77">
              <w:t>C</w:t>
            </w:r>
            <w:r w:rsidRPr="005A7770">
              <w:t>are episode</w:t>
            </w:r>
            <w:r>
              <w:t xml:space="preserve"> only</w:t>
            </w:r>
            <w:r w:rsidRPr="005A7770">
              <w:t xml:space="preserve">. </w:t>
            </w:r>
          </w:p>
          <w:p w:rsidR="00270EDF" w:rsidRDefault="00270EDF" w:rsidP="006F100B">
            <w:pPr>
              <w:pStyle w:val="Box"/>
            </w:pPr>
            <w:r>
              <w:t xml:space="preserve">This indicator needs to be interpreted with </w:t>
            </w:r>
            <w:r w:rsidRPr="00CA1F6E">
              <w:t>caution</w:t>
            </w:r>
            <w:r>
              <w:t xml:space="preserve">. The TCP operates with some differences across jurisdictions including differences in health and aged care service systems, local operating procedures and client groups. Variation in the average </w:t>
            </w:r>
            <w:proofErr w:type="spellStart"/>
            <w:r>
              <w:t>MBI</w:t>
            </w:r>
            <w:proofErr w:type="spellEnd"/>
            <w:r>
              <w:t xml:space="preserve"> scores on entry and exit from the program may reflect a range of target client groups for the program across jurisdictions. An increase in the score from entry to exit is desirable. </w:t>
            </w:r>
          </w:p>
        </w:tc>
      </w:tr>
      <w:tr w:rsidR="00270EDF" w:rsidTr="006F100B">
        <w:trPr>
          <w:cantSplit/>
        </w:trPr>
        <w:tc>
          <w:tcPr>
            <w:tcW w:w="8771" w:type="dxa"/>
            <w:tcBorders>
              <w:top w:val="nil"/>
              <w:left w:val="nil"/>
              <w:bottom w:val="nil"/>
              <w:right w:val="nil"/>
            </w:tcBorders>
            <w:shd w:val="clear" w:color="auto" w:fill="F2F2F2"/>
          </w:tcPr>
          <w:p w:rsidR="00270EDF" w:rsidRPr="003008BF" w:rsidRDefault="00270EDF" w:rsidP="003008BF">
            <w:pPr>
              <w:pStyle w:val="Continued"/>
            </w:pPr>
            <w:r w:rsidRPr="003008BF">
              <w:t>(continued next page)</w:t>
            </w:r>
          </w:p>
        </w:tc>
      </w:tr>
      <w:tr w:rsidR="00270EDF" w:rsidTr="006F100B">
        <w:trPr>
          <w:cantSplit/>
        </w:trPr>
        <w:tc>
          <w:tcPr>
            <w:tcW w:w="8771" w:type="dxa"/>
            <w:tcBorders>
              <w:top w:val="nil"/>
              <w:left w:val="nil"/>
              <w:bottom w:val="single" w:sz="6" w:space="0" w:color="78A22F"/>
              <w:right w:val="nil"/>
            </w:tcBorders>
            <w:shd w:val="clear" w:color="auto" w:fill="F2F2F2"/>
          </w:tcPr>
          <w:p w:rsidR="00270EDF" w:rsidRDefault="00270EDF">
            <w:pPr>
              <w:pStyle w:val="Box"/>
              <w:spacing w:before="0" w:line="120" w:lineRule="exact"/>
            </w:pPr>
          </w:p>
        </w:tc>
      </w:tr>
      <w:tr w:rsidR="00270EDF" w:rsidRPr="000863A5" w:rsidTr="006F100B">
        <w:tc>
          <w:tcPr>
            <w:tcW w:w="8771" w:type="dxa"/>
            <w:tcBorders>
              <w:top w:val="single" w:sz="6" w:space="0" w:color="78A22F"/>
              <w:left w:val="nil"/>
              <w:bottom w:val="nil"/>
              <w:right w:val="nil"/>
            </w:tcBorders>
          </w:tcPr>
          <w:p w:rsidR="00270EDF" w:rsidRPr="00626D32" w:rsidRDefault="00270EDF" w:rsidP="006F100B">
            <w:pPr>
              <w:pStyle w:val="BoxSpaceBelow"/>
            </w:pPr>
          </w:p>
        </w:tc>
      </w:tr>
    </w:tbl>
    <w:p w:rsidR="00F61FBA" w:rsidRDefault="00F61FB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61FBA" w:rsidTr="00611293">
        <w:tc>
          <w:tcPr>
            <w:tcW w:w="8771" w:type="dxa"/>
            <w:tcBorders>
              <w:top w:val="single" w:sz="6" w:space="0" w:color="78A22F"/>
              <w:left w:val="nil"/>
              <w:bottom w:val="nil"/>
              <w:right w:val="nil"/>
            </w:tcBorders>
            <w:shd w:val="clear" w:color="auto" w:fill="F2F2F2"/>
          </w:tcPr>
          <w:p w:rsidR="00F61FBA" w:rsidRDefault="00F61FBA" w:rsidP="00270EDF">
            <w:pPr>
              <w:pStyle w:val="BoxTitle"/>
            </w:pPr>
            <w:r>
              <w:rPr>
                <w:b w:val="0"/>
              </w:rPr>
              <w:t xml:space="preserve">Box </w:t>
            </w:r>
            <w:r w:rsidR="00270EDF">
              <w:rPr>
                <w:b w:val="0"/>
              </w:rPr>
              <w:t>13.17</w:t>
            </w:r>
            <w:r>
              <w:tab/>
            </w:r>
            <w:r w:rsidR="00270EDF" w:rsidRPr="00270EDF">
              <w:rPr>
                <w:b w:val="0"/>
                <w:sz w:val="18"/>
                <w:szCs w:val="18"/>
              </w:rPr>
              <w:t>(continued)</w:t>
            </w:r>
          </w:p>
        </w:tc>
      </w:tr>
      <w:tr w:rsidR="00F61FBA" w:rsidTr="00611293">
        <w:trPr>
          <w:cantSplit/>
        </w:trPr>
        <w:tc>
          <w:tcPr>
            <w:tcW w:w="8771" w:type="dxa"/>
            <w:tcBorders>
              <w:top w:val="nil"/>
              <w:left w:val="nil"/>
              <w:bottom w:val="nil"/>
              <w:right w:val="nil"/>
            </w:tcBorders>
            <w:shd w:val="clear" w:color="auto" w:fill="F2F2F2"/>
          </w:tcPr>
          <w:p w:rsidR="004864F5" w:rsidRDefault="004864F5" w:rsidP="004864F5">
            <w:pPr>
              <w:pStyle w:val="Box"/>
            </w:pPr>
            <w:r>
              <w:t>The TCP is a small program at the interface of the health and aged care systems. A person may only enter the TCP directly upon discharge from hospital. The average duration of care is around 8</w:t>
            </w:r>
            <w:r w:rsidR="00C95F80">
              <w:t>.5</w:t>
            </w:r>
            <w:r>
              <w:t xml:space="preserve"> weeks (6</w:t>
            </w:r>
            <w:r w:rsidR="00C95F80">
              <w:t>0</w:t>
            </w:r>
            <w:r>
              <w:t xml:space="preserve"> days for completed episodes), with a maximum duration of 12 weeks that may in some circumstances be extended by a further 6 weeks. </w:t>
            </w:r>
          </w:p>
          <w:p w:rsidR="004864F5" w:rsidRDefault="004864F5" w:rsidP="004864F5">
            <w:pPr>
              <w:pStyle w:val="Box"/>
            </w:pPr>
            <w:r>
              <w:t>Data reported for this indicator are:</w:t>
            </w:r>
          </w:p>
          <w:p w:rsidR="004864F5" w:rsidRDefault="004864F5" w:rsidP="004864F5">
            <w:pPr>
              <w:pStyle w:val="BoxListBullet"/>
            </w:pPr>
            <w:r>
              <w:t xml:space="preserve">comparable (subject to caveats) across jurisdictions and overtime </w:t>
            </w:r>
          </w:p>
          <w:p w:rsidR="004864F5" w:rsidRDefault="004864F5" w:rsidP="004864F5">
            <w:pPr>
              <w:pStyle w:val="BoxListBullet"/>
            </w:pPr>
            <w:r>
              <w:t>complete for the current reporting period (subject to caveats). All required 201</w:t>
            </w:r>
            <w:r w:rsidR="00C7774D">
              <w:t>4</w:t>
            </w:r>
            <w:r>
              <w:noBreakHyphen/>
              <w:t>1</w:t>
            </w:r>
            <w:r w:rsidR="00C7774D">
              <w:t>5</w:t>
            </w:r>
            <w:r>
              <w:t xml:space="preserve"> data are available for all jurisdictions.</w:t>
            </w:r>
          </w:p>
          <w:p w:rsidR="004864F5" w:rsidRDefault="004864F5" w:rsidP="00C7774D">
            <w:pPr>
              <w:pStyle w:val="Box"/>
            </w:pPr>
            <w:r>
              <w:t>Data quality information for this indicator</w:t>
            </w:r>
            <w:r w:rsidR="000C36D9">
              <w:t xml:space="preserve"> is at </w:t>
            </w:r>
            <w:proofErr w:type="spellStart"/>
            <w:r w:rsidR="000C36D9">
              <w:t>www.pc.gov.au</w:t>
            </w:r>
            <w:proofErr w:type="spellEnd"/>
            <w:r>
              <w:t>/</w:t>
            </w:r>
            <w:proofErr w:type="spellStart"/>
            <w:r>
              <w:t>rogs</w:t>
            </w:r>
            <w:proofErr w:type="spellEnd"/>
            <w:r>
              <w:t>/201</w:t>
            </w:r>
            <w:r w:rsidR="00C7774D">
              <w:t>6</w:t>
            </w:r>
            <w:r>
              <w:t>.</w:t>
            </w:r>
          </w:p>
        </w:tc>
      </w:tr>
      <w:tr w:rsidR="00F61FBA" w:rsidTr="00611293">
        <w:trPr>
          <w:cantSplit/>
        </w:trPr>
        <w:tc>
          <w:tcPr>
            <w:tcW w:w="8771" w:type="dxa"/>
            <w:tcBorders>
              <w:top w:val="nil"/>
              <w:left w:val="nil"/>
              <w:bottom w:val="single" w:sz="6" w:space="0" w:color="78A22F"/>
              <w:right w:val="nil"/>
            </w:tcBorders>
            <w:shd w:val="clear" w:color="auto" w:fill="F2F2F2"/>
          </w:tcPr>
          <w:p w:rsidR="00F61FBA" w:rsidRDefault="00F61FBA">
            <w:pPr>
              <w:pStyle w:val="Box"/>
              <w:spacing w:before="0" w:line="120" w:lineRule="exact"/>
            </w:pPr>
          </w:p>
        </w:tc>
      </w:tr>
      <w:tr w:rsidR="00F61FBA" w:rsidRPr="000863A5" w:rsidTr="00611293">
        <w:tc>
          <w:tcPr>
            <w:tcW w:w="8771" w:type="dxa"/>
            <w:tcBorders>
              <w:top w:val="single" w:sz="6" w:space="0" w:color="78A22F"/>
              <w:left w:val="nil"/>
              <w:bottom w:val="nil"/>
              <w:right w:val="nil"/>
            </w:tcBorders>
          </w:tcPr>
          <w:p w:rsidR="00F61FBA" w:rsidRPr="00626D32" w:rsidRDefault="00F61FBA" w:rsidP="00611293">
            <w:pPr>
              <w:pStyle w:val="BoxSpaceBelow"/>
            </w:pPr>
          </w:p>
        </w:tc>
      </w:tr>
    </w:tbl>
    <w:p w:rsidR="00116AD7" w:rsidRDefault="00116AD7" w:rsidP="00116AD7">
      <w:pPr>
        <w:pStyle w:val="BodyText"/>
      </w:pPr>
      <w:r w:rsidRPr="00116AD7">
        <w:t xml:space="preserve">The average </w:t>
      </w:r>
      <w:proofErr w:type="spellStart"/>
      <w:r w:rsidRPr="00116AD7">
        <w:t>MBI</w:t>
      </w:r>
      <w:proofErr w:type="spellEnd"/>
      <w:r w:rsidRPr="00116AD7">
        <w:t xml:space="preserve"> score on entry to the TCP in 201</w:t>
      </w:r>
      <w:r w:rsidR="00560C59">
        <w:t>4</w:t>
      </w:r>
      <w:r>
        <w:noBreakHyphen/>
      </w:r>
      <w:r w:rsidRPr="00116AD7">
        <w:t>1</w:t>
      </w:r>
      <w:r w:rsidR="00560C59">
        <w:t>5</w:t>
      </w:r>
      <w:r w:rsidRPr="00116AD7">
        <w:t xml:space="preserve"> was </w:t>
      </w:r>
      <w:r w:rsidR="004F0B02">
        <w:t>71</w:t>
      </w:r>
      <w:r w:rsidR="004A2E50">
        <w:t> </w:t>
      </w:r>
      <w:r w:rsidRPr="00116AD7">
        <w:t>nationally</w:t>
      </w:r>
      <w:r w:rsidR="00C64EFF">
        <w:t>, and the</w:t>
      </w:r>
      <w:r w:rsidRPr="00116AD7">
        <w:t xml:space="preserve"> average </w:t>
      </w:r>
      <w:proofErr w:type="spellStart"/>
      <w:r w:rsidRPr="00116AD7">
        <w:t>MBI</w:t>
      </w:r>
      <w:proofErr w:type="spellEnd"/>
      <w:r w:rsidRPr="00116AD7">
        <w:t xml:space="preserve"> score on exit from the TCP was </w:t>
      </w:r>
      <w:r w:rsidR="004F0B02">
        <w:t>82</w:t>
      </w:r>
      <w:r w:rsidRPr="00116AD7">
        <w:t xml:space="preserve"> nationally (figure</w:t>
      </w:r>
      <w:r w:rsidR="004A2E50">
        <w:t> </w:t>
      </w:r>
      <w:r w:rsidRPr="00116AD7">
        <w:t>13.</w:t>
      </w:r>
      <w:r w:rsidR="00C64EFF">
        <w:t>24</w:t>
      </w:r>
      <w:r w:rsidR="005712D3">
        <w:t>), a</w:t>
      </w:r>
      <w:r w:rsidRPr="00116AD7">
        <w:t xml:space="preserve">n average increase in the </w:t>
      </w:r>
      <w:r w:rsidR="00C64EFF" w:rsidRPr="00116AD7">
        <w:t xml:space="preserve">average </w:t>
      </w:r>
      <w:proofErr w:type="spellStart"/>
      <w:r w:rsidR="00C64EFF" w:rsidRPr="00116AD7">
        <w:t>MBI</w:t>
      </w:r>
      <w:proofErr w:type="spellEnd"/>
      <w:r w:rsidR="00C64EFF" w:rsidRPr="00116AD7">
        <w:t xml:space="preserve"> score</w:t>
      </w:r>
      <w:r w:rsidRPr="00116AD7">
        <w:t xml:space="preserve"> of </w:t>
      </w:r>
      <w:r w:rsidR="004F0B02">
        <w:t>11</w:t>
      </w:r>
      <w:r w:rsidRPr="00116AD7">
        <w:t xml:space="preserve"> nationally.</w:t>
      </w:r>
    </w:p>
    <w:p w:rsidR="005A7770" w:rsidRDefault="005A7770" w:rsidP="00C64E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7770" w:rsidTr="00C64EFF">
        <w:tc>
          <w:tcPr>
            <w:tcW w:w="8771" w:type="dxa"/>
            <w:tcBorders>
              <w:top w:val="single" w:sz="6" w:space="0" w:color="78A22F"/>
              <w:left w:val="nil"/>
              <w:bottom w:val="nil"/>
              <w:right w:val="nil"/>
            </w:tcBorders>
            <w:shd w:val="clear" w:color="auto" w:fill="auto"/>
          </w:tcPr>
          <w:p w:rsidR="005A7770" w:rsidRPr="00176D3F" w:rsidRDefault="005A7770" w:rsidP="00FC1B7A">
            <w:pPr>
              <w:pStyle w:val="FigureTitle"/>
            </w:pPr>
            <w:r w:rsidRPr="00784A05">
              <w:rPr>
                <w:b w:val="0"/>
              </w:rPr>
              <w:t xml:space="preserve">Figure </w:t>
            </w:r>
            <w:r w:rsidR="00C64EFF">
              <w:rPr>
                <w:b w:val="0"/>
              </w:rPr>
              <w:t>13.</w:t>
            </w:r>
            <w:r w:rsidR="00F132AA">
              <w:rPr>
                <w:b w:val="0"/>
                <w:noProof/>
              </w:rPr>
              <w:t>24</w:t>
            </w:r>
            <w:r>
              <w:tab/>
            </w:r>
            <w:r w:rsidR="00FC1B7A">
              <w:t>TCP</w:t>
            </w:r>
            <w:r w:rsidRPr="00B02AB7">
              <w:t xml:space="preserve"> — average </w:t>
            </w:r>
            <w:proofErr w:type="spellStart"/>
            <w:r w:rsidRPr="00B02AB7">
              <w:t>MBI</w:t>
            </w:r>
            <w:proofErr w:type="spellEnd"/>
            <w:r w:rsidRPr="00B02AB7">
              <w:t xml:space="preserve"> score on entry and exit, 201</w:t>
            </w:r>
            <w:r>
              <w:t>4</w:t>
            </w:r>
            <w:r>
              <w:rPr>
                <w:rFonts w:cs="Arial"/>
              </w:rPr>
              <w:noBreakHyphen/>
            </w:r>
            <w:r>
              <w:t>15</w:t>
            </w:r>
            <w:r w:rsidR="00C95F80" w:rsidRPr="00C95F80">
              <w:rPr>
                <w:rStyle w:val="NoteLabel"/>
                <w:b/>
              </w:rPr>
              <w:t>a</w:t>
            </w:r>
            <w:r>
              <w:t xml:space="preserve"> </w:t>
            </w:r>
          </w:p>
        </w:tc>
      </w:tr>
      <w:tr w:rsidR="005A7770" w:rsidTr="00C64E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A7770" w:rsidTr="00C64EFF">
              <w:trPr>
                <w:jc w:val="center"/>
              </w:trPr>
              <w:tc>
                <w:tcPr>
                  <w:tcW w:w="5000" w:type="pct"/>
                  <w:tcBorders>
                    <w:top w:val="nil"/>
                    <w:bottom w:val="nil"/>
                  </w:tcBorders>
                </w:tcPr>
                <w:p w:rsidR="005A7770" w:rsidRDefault="00E30882" w:rsidP="00C64EFF">
                  <w:pPr>
                    <w:pStyle w:val="Figure"/>
                    <w:spacing w:before="60" w:after="60"/>
                  </w:pPr>
                  <w:r>
                    <w:rPr>
                      <w:noProof/>
                    </w:rPr>
                    <w:drawing>
                      <wp:inline distT="0" distB="0" distL="0" distR="0">
                        <wp:extent cx="5391150" cy="2686050"/>
                        <wp:effectExtent l="0" t="0" r="0" b="0"/>
                        <wp:docPr id="26" name="Picture 26" descr="Figure 13.24 TCP — average MBI score on entry and exit,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5A7770" w:rsidRDefault="005A7770" w:rsidP="00C64EFF">
            <w:pPr>
              <w:pStyle w:val="Figure"/>
            </w:pPr>
          </w:p>
        </w:tc>
      </w:tr>
      <w:tr w:rsidR="00D067DC" w:rsidRPr="00176D3F" w:rsidTr="00C64EFF">
        <w:tc>
          <w:tcPr>
            <w:tcW w:w="8771" w:type="dxa"/>
            <w:tcBorders>
              <w:top w:val="nil"/>
              <w:left w:val="nil"/>
              <w:bottom w:val="nil"/>
              <w:right w:val="nil"/>
            </w:tcBorders>
            <w:shd w:val="clear" w:color="auto" w:fill="auto"/>
          </w:tcPr>
          <w:p w:rsidR="00D067DC" w:rsidRPr="00176D3F" w:rsidRDefault="00D067DC" w:rsidP="00D067DC">
            <w:pPr>
              <w:pStyle w:val="Note"/>
            </w:pPr>
            <w:r>
              <w:rPr>
                <w:rStyle w:val="NoteLabel"/>
              </w:rPr>
              <w:t>a</w:t>
            </w:r>
            <w:r>
              <w:t xml:space="preserve"> </w:t>
            </w:r>
            <w:r w:rsidRPr="007B42C9">
              <w:t>See box</w:t>
            </w:r>
            <w:r w:rsidR="00E75264">
              <w:t> </w:t>
            </w:r>
            <w:r w:rsidRPr="007B42C9">
              <w:t>13.1</w:t>
            </w:r>
            <w:r>
              <w:t>7</w:t>
            </w:r>
            <w:r w:rsidRPr="007B42C9">
              <w:t xml:space="preserve"> and table</w:t>
            </w:r>
            <w:r w:rsidR="00E75264">
              <w:t> </w:t>
            </w:r>
            <w:proofErr w:type="spellStart"/>
            <w:r w:rsidRPr="007B42C9">
              <w:t>13A.5</w:t>
            </w:r>
            <w:r>
              <w:t>9</w:t>
            </w:r>
            <w:proofErr w:type="spellEnd"/>
            <w:r w:rsidRPr="007B42C9">
              <w:t xml:space="preserve"> for detailed definitions, footnotes and caveats.  </w:t>
            </w:r>
          </w:p>
        </w:tc>
      </w:tr>
      <w:tr w:rsidR="00D067DC" w:rsidRPr="00176D3F" w:rsidTr="00C64EFF">
        <w:tc>
          <w:tcPr>
            <w:tcW w:w="8771" w:type="dxa"/>
            <w:tcBorders>
              <w:top w:val="nil"/>
              <w:left w:val="nil"/>
              <w:bottom w:val="nil"/>
              <w:right w:val="nil"/>
            </w:tcBorders>
            <w:shd w:val="clear" w:color="auto" w:fill="auto"/>
          </w:tcPr>
          <w:p w:rsidR="00D067DC" w:rsidRPr="00176D3F" w:rsidRDefault="00D067DC" w:rsidP="00D067DC">
            <w:pPr>
              <w:pStyle w:val="Source"/>
            </w:pPr>
            <w:r>
              <w:rPr>
                <w:i/>
              </w:rPr>
              <w:t>S</w:t>
            </w:r>
            <w:r w:rsidRPr="00784A05">
              <w:rPr>
                <w:i/>
              </w:rPr>
              <w:t>ource</w:t>
            </w:r>
            <w:r w:rsidRPr="00176D3F">
              <w:t xml:space="preserve">: </w:t>
            </w:r>
            <w:proofErr w:type="spellStart"/>
            <w:r w:rsidR="00C7774D">
              <w:t>DSS</w:t>
            </w:r>
            <w:proofErr w:type="spellEnd"/>
            <w:r w:rsidR="00C7774D">
              <w:t xml:space="preserve"> (unpublished); table</w:t>
            </w:r>
            <w:r w:rsidR="00E75264">
              <w:t> </w:t>
            </w:r>
            <w:proofErr w:type="spellStart"/>
            <w:r w:rsidR="00C7774D">
              <w:t>13A.59</w:t>
            </w:r>
            <w:proofErr w:type="spellEnd"/>
            <w:r w:rsidR="00C7774D">
              <w:t>.</w:t>
            </w:r>
          </w:p>
        </w:tc>
      </w:tr>
      <w:tr w:rsidR="00D067DC" w:rsidTr="00C64EFF">
        <w:tc>
          <w:tcPr>
            <w:tcW w:w="8771" w:type="dxa"/>
            <w:tcBorders>
              <w:top w:val="nil"/>
              <w:left w:val="nil"/>
              <w:bottom w:val="single" w:sz="6" w:space="0" w:color="78A22F"/>
              <w:right w:val="nil"/>
            </w:tcBorders>
            <w:shd w:val="clear" w:color="auto" w:fill="auto"/>
          </w:tcPr>
          <w:p w:rsidR="00D067DC" w:rsidRDefault="00D067DC" w:rsidP="00C64EFF">
            <w:pPr>
              <w:pStyle w:val="Figurespace"/>
            </w:pPr>
          </w:p>
        </w:tc>
      </w:tr>
      <w:tr w:rsidR="00D067DC" w:rsidRPr="000863A5" w:rsidTr="00C64EFF">
        <w:tc>
          <w:tcPr>
            <w:tcW w:w="8771" w:type="dxa"/>
            <w:tcBorders>
              <w:top w:val="single" w:sz="6" w:space="0" w:color="78A22F"/>
              <w:left w:val="nil"/>
              <w:bottom w:val="nil"/>
              <w:right w:val="nil"/>
            </w:tcBorders>
          </w:tcPr>
          <w:p w:rsidR="00D067DC" w:rsidRPr="00626D32" w:rsidRDefault="00D067DC" w:rsidP="00C64EFF">
            <w:pPr>
              <w:pStyle w:val="BoxSpaceBelow"/>
            </w:pPr>
          </w:p>
        </w:tc>
      </w:tr>
    </w:tbl>
    <w:p w:rsidR="00116AD7" w:rsidRDefault="00116AD7" w:rsidP="00116AD7">
      <w:pPr>
        <w:pStyle w:val="Heading4"/>
      </w:pPr>
      <w:r>
        <w:t>Hospital leave days from residential aged care for preventable causes</w:t>
      </w:r>
    </w:p>
    <w:p w:rsidR="00116AD7" w:rsidRDefault="00116AD7" w:rsidP="00116AD7">
      <w:pPr>
        <w:pStyle w:val="BodyText"/>
      </w:pPr>
      <w:r>
        <w:t>‘Hospital leave days from residential aged care for preventable causes’ has been identified for development as an indicator of governments’ objective to provide high quality and safe residential aged care services (box</w:t>
      </w:r>
      <w:r w:rsidR="009551A0">
        <w:t> </w:t>
      </w:r>
      <w:r>
        <w:t>13.</w:t>
      </w:r>
      <w:r w:rsidR="005712D3">
        <w:t>1</w:t>
      </w:r>
      <w:r w:rsidR="005A7770">
        <w:t>8</w:t>
      </w:r>
      <w:r>
        <w:t>).</w:t>
      </w:r>
    </w:p>
    <w:p w:rsidR="00116AD7" w:rsidRDefault="00116AD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6AD7" w:rsidTr="005D39DF">
        <w:tc>
          <w:tcPr>
            <w:tcW w:w="8771" w:type="dxa"/>
            <w:tcBorders>
              <w:top w:val="single" w:sz="6" w:space="0" w:color="78A22F"/>
              <w:left w:val="nil"/>
              <w:bottom w:val="nil"/>
              <w:right w:val="nil"/>
            </w:tcBorders>
            <w:shd w:val="clear" w:color="auto" w:fill="F2F2F2" w:themeFill="background1" w:themeFillShade="F2"/>
          </w:tcPr>
          <w:p w:rsidR="00116AD7" w:rsidRDefault="00116AD7" w:rsidP="00843217">
            <w:pPr>
              <w:pStyle w:val="BoxTitle"/>
            </w:pPr>
            <w:r>
              <w:rPr>
                <w:b w:val="0"/>
              </w:rPr>
              <w:t xml:space="preserve">Box </w:t>
            </w:r>
            <w:r w:rsidR="00D067DC">
              <w:rPr>
                <w:b w:val="0"/>
              </w:rPr>
              <w:t>13.</w:t>
            </w:r>
            <w:r w:rsidR="00F132AA">
              <w:rPr>
                <w:b w:val="0"/>
                <w:noProof/>
              </w:rPr>
              <w:t>18</w:t>
            </w:r>
            <w:r>
              <w:tab/>
            </w:r>
            <w:r w:rsidRPr="00116AD7">
              <w:t>Hospital leave days from residential aged care for preventable causes</w:t>
            </w:r>
          </w:p>
        </w:tc>
      </w:tr>
      <w:tr w:rsidR="00116AD7" w:rsidTr="005D39DF">
        <w:trPr>
          <w:cantSplit/>
        </w:trPr>
        <w:tc>
          <w:tcPr>
            <w:tcW w:w="8771" w:type="dxa"/>
            <w:tcBorders>
              <w:top w:val="nil"/>
              <w:left w:val="nil"/>
              <w:bottom w:val="nil"/>
              <w:right w:val="nil"/>
            </w:tcBorders>
            <w:shd w:val="clear" w:color="auto" w:fill="F2F2F2" w:themeFill="background1" w:themeFillShade="F2"/>
          </w:tcPr>
          <w:p w:rsidR="00116AD7" w:rsidRDefault="00116AD7" w:rsidP="00116AD7">
            <w:pPr>
              <w:pStyle w:val="Box"/>
            </w:pPr>
            <w:r>
              <w:t>‘Hospital leave days from residential aged care for preventable causes’ is yet to be defined.</w:t>
            </w:r>
          </w:p>
          <w:p w:rsidR="00116AD7" w:rsidRDefault="00116AD7" w:rsidP="00116AD7">
            <w:pPr>
              <w:pStyle w:val="Box"/>
            </w:pPr>
            <w:r>
              <w:t>Low or decreasing proportions of residential aged care days on hospital leave due to selected preventable causes are desirable.</w:t>
            </w:r>
          </w:p>
          <w:p w:rsidR="00116AD7" w:rsidRDefault="00116AD7" w:rsidP="00116AD7">
            <w:pPr>
              <w:pStyle w:val="Box"/>
            </w:pPr>
            <w:r>
              <w:t>When developed for future reports, this indicator will show the proportion of residential aged care days that are taken as hospital leave for selected preventable causes.</w:t>
            </w:r>
          </w:p>
        </w:tc>
      </w:tr>
      <w:tr w:rsidR="00116AD7" w:rsidTr="005D39DF">
        <w:trPr>
          <w:cantSplit/>
        </w:trPr>
        <w:tc>
          <w:tcPr>
            <w:tcW w:w="8771" w:type="dxa"/>
            <w:tcBorders>
              <w:top w:val="nil"/>
              <w:left w:val="nil"/>
              <w:bottom w:val="single" w:sz="6" w:space="0" w:color="78A22F"/>
              <w:right w:val="nil"/>
            </w:tcBorders>
            <w:shd w:val="clear" w:color="auto" w:fill="F2F2F2" w:themeFill="background1" w:themeFillShade="F2"/>
          </w:tcPr>
          <w:p w:rsidR="00116AD7" w:rsidRDefault="00116AD7">
            <w:pPr>
              <w:pStyle w:val="Box"/>
              <w:spacing w:before="0" w:line="120" w:lineRule="exact"/>
            </w:pPr>
          </w:p>
        </w:tc>
      </w:tr>
      <w:tr w:rsidR="00116AD7" w:rsidRPr="000863A5" w:rsidTr="005D39DF">
        <w:tc>
          <w:tcPr>
            <w:tcW w:w="8771" w:type="dxa"/>
            <w:tcBorders>
              <w:top w:val="single" w:sz="6" w:space="0" w:color="78A22F"/>
              <w:left w:val="nil"/>
              <w:bottom w:val="nil"/>
              <w:right w:val="nil"/>
            </w:tcBorders>
          </w:tcPr>
          <w:p w:rsidR="00116AD7" w:rsidRPr="00626D32" w:rsidRDefault="00116AD7" w:rsidP="005D39DF">
            <w:pPr>
              <w:pStyle w:val="BoxSpaceBelow"/>
            </w:pPr>
          </w:p>
        </w:tc>
      </w:tr>
    </w:tbl>
    <w:p w:rsidR="00116AD7" w:rsidRDefault="00116AD7" w:rsidP="00116AD7">
      <w:pPr>
        <w:pStyle w:val="Heading4"/>
      </w:pPr>
      <w:r>
        <w:t>Enabling people with care needs to live in the community</w:t>
      </w:r>
    </w:p>
    <w:p w:rsidR="00116AD7" w:rsidRDefault="00116AD7" w:rsidP="00116AD7">
      <w:pPr>
        <w:pStyle w:val="BodyText"/>
      </w:pPr>
      <w:r>
        <w:t>‘Enabling people with care needs to live in the community’ has been identified for development as an indicator of governments’ objective to delay entry to residential care when a person’s care needs can be met in the community (box</w:t>
      </w:r>
      <w:r w:rsidR="009551A0">
        <w:t> </w:t>
      </w:r>
      <w:r>
        <w:t>13.</w:t>
      </w:r>
      <w:r w:rsidR="005A7770">
        <w:t>19</w:t>
      </w:r>
      <w:r>
        <w:t>).</w:t>
      </w:r>
    </w:p>
    <w:p w:rsidR="00116AD7" w:rsidRDefault="00116AD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6AD7" w:rsidTr="005D39DF">
        <w:tc>
          <w:tcPr>
            <w:tcW w:w="8771" w:type="dxa"/>
            <w:tcBorders>
              <w:top w:val="single" w:sz="6" w:space="0" w:color="78A22F"/>
              <w:left w:val="nil"/>
              <w:bottom w:val="nil"/>
              <w:right w:val="nil"/>
            </w:tcBorders>
            <w:shd w:val="clear" w:color="auto" w:fill="F2F2F2" w:themeFill="background1" w:themeFillShade="F2"/>
          </w:tcPr>
          <w:p w:rsidR="00116AD7" w:rsidRDefault="00116AD7" w:rsidP="00843217">
            <w:pPr>
              <w:pStyle w:val="BoxTitle"/>
            </w:pPr>
            <w:r>
              <w:rPr>
                <w:b w:val="0"/>
              </w:rPr>
              <w:t xml:space="preserve">Box </w:t>
            </w:r>
            <w:r w:rsidR="005712D3">
              <w:rPr>
                <w:b w:val="0"/>
              </w:rPr>
              <w:t>13.</w:t>
            </w:r>
            <w:r w:rsidR="00F132AA">
              <w:rPr>
                <w:b w:val="0"/>
                <w:noProof/>
              </w:rPr>
              <w:t>19</w:t>
            </w:r>
            <w:r>
              <w:tab/>
            </w:r>
            <w:r w:rsidRPr="00116AD7">
              <w:t>Enabling people with care needs to live in the community</w:t>
            </w:r>
          </w:p>
        </w:tc>
      </w:tr>
      <w:tr w:rsidR="00116AD7" w:rsidTr="005D39DF">
        <w:trPr>
          <w:cantSplit/>
        </w:trPr>
        <w:tc>
          <w:tcPr>
            <w:tcW w:w="8771" w:type="dxa"/>
            <w:tcBorders>
              <w:top w:val="nil"/>
              <w:left w:val="nil"/>
              <w:bottom w:val="nil"/>
              <w:right w:val="nil"/>
            </w:tcBorders>
            <w:shd w:val="clear" w:color="auto" w:fill="F2F2F2" w:themeFill="background1" w:themeFillShade="F2"/>
          </w:tcPr>
          <w:p w:rsidR="00116AD7" w:rsidRPr="00116AD7" w:rsidRDefault="00116AD7" w:rsidP="00116AD7">
            <w:pPr>
              <w:pStyle w:val="Box"/>
            </w:pPr>
            <w:r w:rsidRPr="00116AD7">
              <w:t>‘Enabling people with care needs to live in the community’ is yet to be defined.</w:t>
            </w:r>
          </w:p>
          <w:p w:rsidR="00116AD7" w:rsidRPr="00116AD7" w:rsidRDefault="00116AD7" w:rsidP="00116AD7">
            <w:pPr>
              <w:pStyle w:val="Box"/>
            </w:pPr>
            <w:r w:rsidRPr="00116AD7">
              <w:t xml:space="preserve">High or increasing rates of people with care needs remaining and participating in the community are desirable. </w:t>
            </w:r>
          </w:p>
          <w:p w:rsidR="00116AD7" w:rsidRDefault="00116AD7" w:rsidP="00116AD7">
            <w:pPr>
              <w:pStyle w:val="Box"/>
            </w:pPr>
            <w:r w:rsidRPr="00116AD7">
              <w:t>When developed for future reports, this indicator will show the extent to which older people’s entry to residential care is delayed.</w:t>
            </w:r>
          </w:p>
        </w:tc>
      </w:tr>
      <w:tr w:rsidR="00116AD7" w:rsidTr="005D39DF">
        <w:trPr>
          <w:cantSplit/>
        </w:trPr>
        <w:tc>
          <w:tcPr>
            <w:tcW w:w="8771" w:type="dxa"/>
            <w:tcBorders>
              <w:top w:val="nil"/>
              <w:left w:val="nil"/>
              <w:bottom w:val="single" w:sz="6" w:space="0" w:color="78A22F"/>
              <w:right w:val="nil"/>
            </w:tcBorders>
            <w:shd w:val="clear" w:color="auto" w:fill="F2F2F2" w:themeFill="background1" w:themeFillShade="F2"/>
          </w:tcPr>
          <w:p w:rsidR="00116AD7" w:rsidRDefault="00116AD7">
            <w:pPr>
              <w:pStyle w:val="Box"/>
              <w:spacing w:before="0" w:line="120" w:lineRule="exact"/>
            </w:pPr>
          </w:p>
        </w:tc>
      </w:tr>
      <w:tr w:rsidR="00116AD7" w:rsidRPr="000863A5" w:rsidTr="005D39DF">
        <w:tc>
          <w:tcPr>
            <w:tcW w:w="8771" w:type="dxa"/>
            <w:tcBorders>
              <w:top w:val="single" w:sz="6" w:space="0" w:color="78A22F"/>
              <w:left w:val="nil"/>
              <w:bottom w:val="nil"/>
              <w:right w:val="nil"/>
            </w:tcBorders>
          </w:tcPr>
          <w:p w:rsidR="00116AD7" w:rsidRPr="00626D32" w:rsidRDefault="00116AD7" w:rsidP="005D39DF">
            <w:pPr>
              <w:pStyle w:val="BoxSpaceBelow"/>
            </w:pPr>
          </w:p>
        </w:tc>
      </w:tr>
    </w:tbl>
    <w:p w:rsidR="00116AD7" w:rsidRDefault="00116AD7" w:rsidP="00116AD7">
      <w:pPr>
        <w:pStyle w:val="Heading2"/>
      </w:pPr>
      <w:bookmarkStart w:id="22" w:name="_Toc432170527"/>
      <w:r>
        <w:t>13.</w:t>
      </w:r>
      <w:r w:rsidR="00CA1F6E">
        <w:rPr>
          <w:noProof/>
        </w:rPr>
        <w:t>4</w:t>
      </w:r>
      <w:r>
        <w:tab/>
        <w:t>Future directions in performance reporting</w:t>
      </w:r>
      <w:bookmarkEnd w:id="22"/>
    </w:p>
    <w:p w:rsidR="00B964C7" w:rsidRPr="005712D3" w:rsidRDefault="00D067DC" w:rsidP="005712D3">
      <w:pPr>
        <w:pStyle w:val="BodyText"/>
        <w:shd w:val="clear" w:color="auto" w:fill="FFFFFF" w:themeFill="background1"/>
      </w:pPr>
      <w:r>
        <w:t>On 28 June 2013</w:t>
      </w:r>
      <w:r w:rsidR="00B964C7" w:rsidRPr="005712D3">
        <w:t xml:space="preserve">, </w:t>
      </w:r>
      <w:r w:rsidRPr="005712D3">
        <w:t xml:space="preserve">the Australian Government passed into law </w:t>
      </w:r>
      <w:r w:rsidR="00B964C7" w:rsidRPr="005712D3">
        <w:t xml:space="preserve">a package of Bills amending the </w:t>
      </w:r>
      <w:r w:rsidR="00B964C7" w:rsidRPr="005712D3">
        <w:rPr>
          <w:i/>
        </w:rPr>
        <w:t>Aged Care Act 1997</w:t>
      </w:r>
      <w:r w:rsidR="00B964C7" w:rsidRPr="005712D3">
        <w:t xml:space="preserve"> </w:t>
      </w:r>
      <w:r w:rsidRPr="005712D3">
        <w:t xml:space="preserve">to implement </w:t>
      </w:r>
      <w:r>
        <w:t xml:space="preserve">the national </w:t>
      </w:r>
      <w:r w:rsidRPr="005712D3">
        <w:t>aged care</w:t>
      </w:r>
      <w:r w:rsidR="00C7774D">
        <w:t xml:space="preserve"> reforms</w:t>
      </w:r>
      <w:r w:rsidR="00B964C7" w:rsidRPr="005712D3">
        <w:t xml:space="preserve">. These aged care reforms are being implemented in three phases over 10 years. The key reforms implemented </w:t>
      </w:r>
      <w:r>
        <w:t>during</w:t>
      </w:r>
      <w:r w:rsidR="00B74384" w:rsidRPr="005712D3">
        <w:t xml:space="preserve"> 2015</w:t>
      </w:r>
      <w:r w:rsidR="00B964C7" w:rsidRPr="005712D3">
        <w:t xml:space="preserve"> that </w:t>
      </w:r>
      <w:r w:rsidR="00B74384" w:rsidRPr="005712D3">
        <w:t>may</w:t>
      </w:r>
      <w:r w:rsidR="00B964C7" w:rsidRPr="005712D3">
        <w:t xml:space="preserve"> have a significant </w:t>
      </w:r>
      <w:r w:rsidR="00B0495A" w:rsidRPr="005712D3">
        <w:t>influence</w:t>
      </w:r>
      <w:r w:rsidR="00B964C7" w:rsidRPr="005712D3">
        <w:t xml:space="preserve"> on reporting in future versions of this Report are</w:t>
      </w:r>
      <w:r w:rsidR="00B74384" w:rsidRPr="005712D3">
        <w:t xml:space="preserve"> that</w:t>
      </w:r>
      <w:r w:rsidR="00B964C7" w:rsidRPr="005712D3">
        <w:t>:</w:t>
      </w:r>
    </w:p>
    <w:p w:rsidR="00B74384" w:rsidRPr="005712D3" w:rsidRDefault="00B74384" w:rsidP="005712D3">
      <w:pPr>
        <w:pStyle w:val="ListBullet"/>
        <w:shd w:val="clear" w:color="auto" w:fill="FFFFFF" w:themeFill="background1"/>
      </w:pPr>
      <w:r w:rsidRPr="005712D3">
        <w:t>all Home Care is now delivered on a Consumer Directed Care basis</w:t>
      </w:r>
    </w:p>
    <w:p w:rsidR="00B74384" w:rsidRPr="005712D3" w:rsidRDefault="00B74384" w:rsidP="005712D3">
      <w:pPr>
        <w:pStyle w:val="ListBullet"/>
        <w:shd w:val="clear" w:color="auto" w:fill="FFFFFF" w:themeFill="background1"/>
      </w:pPr>
      <w:r w:rsidRPr="005712D3">
        <w:t xml:space="preserve">the functionality of the My Aged Care website and contact centre </w:t>
      </w:r>
      <w:r w:rsidR="00B0495A" w:rsidRPr="005712D3">
        <w:t>has significantly increased</w:t>
      </w:r>
    </w:p>
    <w:p w:rsidR="00B74384" w:rsidRPr="005712D3" w:rsidRDefault="0077749E" w:rsidP="005712D3">
      <w:pPr>
        <w:pStyle w:val="ListBullet"/>
        <w:shd w:val="clear" w:color="auto" w:fill="FFFFFF" w:themeFill="background1"/>
      </w:pPr>
      <w:r w:rsidRPr="005712D3">
        <w:t>the pilot of national voluntary quality indicators for aged care</w:t>
      </w:r>
      <w:r w:rsidR="00B73095" w:rsidRPr="005712D3">
        <w:t xml:space="preserve"> commenced</w:t>
      </w:r>
    </w:p>
    <w:p w:rsidR="0077749E" w:rsidRPr="005712D3" w:rsidRDefault="00B74384" w:rsidP="00D067DC">
      <w:pPr>
        <w:pStyle w:val="ListBullet"/>
      </w:pPr>
      <w:r w:rsidRPr="005712D3">
        <w:t xml:space="preserve">the Commonwealth Home Support Program </w:t>
      </w:r>
      <w:r w:rsidR="00D067DC">
        <w:t>and RAS</w:t>
      </w:r>
      <w:r w:rsidR="00D067DC" w:rsidRPr="005712D3">
        <w:t xml:space="preserve"> </w:t>
      </w:r>
      <w:r w:rsidRPr="005712D3">
        <w:t>h</w:t>
      </w:r>
      <w:r w:rsidR="00897DA9">
        <w:t>ave</w:t>
      </w:r>
      <w:r w:rsidRPr="005712D3">
        <w:t xml:space="preserve"> been introduced </w:t>
      </w:r>
    </w:p>
    <w:p w:rsidR="00B74384" w:rsidRPr="005712D3" w:rsidRDefault="0077749E" w:rsidP="005712D3">
      <w:pPr>
        <w:pStyle w:val="ListBullet"/>
        <w:shd w:val="clear" w:color="auto" w:fill="FFFFFF" w:themeFill="background1"/>
      </w:pPr>
      <w:r w:rsidRPr="005712D3">
        <w:t>the Regulatory Performance Framework has been implemented</w:t>
      </w:r>
      <w:r w:rsidR="005712D3">
        <w:t>.</w:t>
      </w:r>
    </w:p>
    <w:p w:rsidR="00116AD7" w:rsidRPr="005712D3" w:rsidRDefault="00B964C7" w:rsidP="009B3493">
      <w:pPr>
        <w:pStyle w:val="BodyText"/>
        <w:widowControl w:val="0"/>
      </w:pPr>
      <w:r w:rsidRPr="005712D3">
        <w:t>In addition, f</w:t>
      </w:r>
      <w:r w:rsidR="00116AD7" w:rsidRPr="005712D3">
        <w:t xml:space="preserve">or several aspects of aged care services, indicators are not fully developed and </w:t>
      </w:r>
      <w:r w:rsidR="00116AD7" w:rsidRPr="005712D3">
        <w:lastRenderedPageBreak/>
        <w:t>there is little performance reporting available. Priorities for the future include:</w:t>
      </w:r>
    </w:p>
    <w:p w:rsidR="00116AD7" w:rsidRPr="005712D3" w:rsidRDefault="00116AD7" w:rsidP="009B3493">
      <w:pPr>
        <w:pStyle w:val="ListBullet"/>
        <w:widowControl w:val="0"/>
      </w:pPr>
      <w:r w:rsidRPr="005712D3">
        <w:t xml:space="preserve">continued improvement of </w:t>
      </w:r>
      <w:r w:rsidR="00422BFF" w:rsidRPr="005712D3">
        <w:t xml:space="preserve">equity and </w:t>
      </w:r>
      <w:r w:rsidRPr="005712D3">
        <w:t>efficiency indicators</w:t>
      </w:r>
    </w:p>
    <w:p w:rsidR="00116AD7" w:rsidRPr="005712D3" w:rsidRDefault="00116AD7" w:rsidP="009B3493">
      <w:pPr>
        <w:pStyle w:val="ListBullet"/>
        <w:widowControl w:val="0"/>
      </w:pPr>
      <w:r w:rsidRPr="005712D3">
        <w:t>improved reporting of elapsed times for aged care</w:t>
      </w:r>
      <w:r w:rsidR="00560C59" w:rsidRPr="005712D3">
        <w:t xml:space="preserve"> </w:t>
      </w:r>
    </w:p>
    <w:p w:rsidR="00116AD7" w:rsidRPr="005712D3" w:rsidRDefault="00116AD7" w:rsidP="00116AD7">
      <w:pPr>
        <w:pStyle w:val="ListBullet"/>
      </w:pPr>
      <w:r w:rsidRPr="005712D3">
        <w:t>improved reporting of hospital patient days used by aged care type patients</w:t>
      </w:r>
    </w:p>
    <w:p w:rsidR="00116AD7" w:rsidRPr="005712D3" w:rsidRDefault="00116AD7" w:rsidP="00116AD7">
      <w:pPr>
        <w:pStyle w:val="ListBullet"/>
      </w:pPr>
      <w:r w:rsidRPr="005712D3">
        <w:t>inclusion of data on hospital leave days for preventable causes as they become available</w:t>
      </w:r>
    </w:p>
    <w:p w:rsidR="00116AD7" w:rsidRPr="005712D3" w:rsidRDefault="00116AD7" w:rsidP="00116AD7">
      <w:pPr>
        <w:pStyle w:val="ListBullet"/>
      </w:pPr>
      <w:r w:rsidRPr="005712D3">
        <w:t>development of performance indicators relevant to the aged care reforms</w:t>
      </w:r>
      <w:r w:rsidR="00620BE0">
        <w:t>.</w:t>
      </w:r>
      <w:r w:rsidRPr="005712D3">
        <w:t xml:space="preserve"> </w:t>
      </w:r>
    </w:p>
    <w:p w:rsidR="00D016B2" w:rsidRDefault="00D016B2" w:rsidP="004F0B02">
      <w:pPr>
        <w:pStyle w:val="Heading2"/>
        <w:keepNext w:val="0"/>
        <w:keepLines/>
        <w:widowControl w:val="0"/>
      </w:pPr>
      <w:bookmarkStart w:id="23" w:name="_Toc432170528"/>
      <w:r>
        <w:t>13.</w:t>
      </w:r>
      <w:r>
        <w:rPr>
          <w:noProof/>
        </w:rPr>
        <w:t>5</w:t>
      </w:r>
      <w:r w:rsidRPr="009853A3">
        <w:tab/>
        <w:t>Definitions of key terms</w:t>
      </w:r>
      <w:bookmarkEnd w:id="23"/>
    </w:p>
    <w:p w:rsidR="009853A3" w:rsidRPr="009853A3" w:rsidRDefault="009853A3" w:rsidP="00C6461C">
      <w:pPr>
        <w:pStyle w:val="Figurespace"/>
      </w:pPr>
    </w:p>
    <w:tbl>
      <w:tblPr>
        <w:tblW w:w="0" w:type="auto"/>
        <w:tblInd w:w="108" w:type="dxa"/>
        <w:tblLook w:val="01E0" w:firstRow="1" w:lastRow="1" w:firstColumn="1" w:lastColumn="1" w:noHBand="0" w:noVBand="0"/>
      </w:tblPr>
      <w:tblGrid>
        <w:gridCol w:w="2410"/>
        <w:gridCol w:w="6379"/>
      </w:tblGrid>
      <w:tr w:rsidR="009853A3" w:rsidRPr="009853A3" w:rsidTr="00C76A52">
        <w:tc>
          <w:tcPr>
            <w:tcW w:w="2410" w:type="dxa"/>
          </w:tcPr>
          <w:p w:rsidR="009853A3" w:rsidRPr="009853A3" w:rsidRDefault="009853A3" w:rsidP="004F0B02">
            <w:pPr>
              <w:pStyle w:val="TableBodyText"/>
              <w:keepNext w:val="0"/>
              <w:widowControl w:val="0"/>
              <w:jc w:val="left"/>
              <w:rPr>
                <w:b/>
              </w:rPr>
            </w:pPr>
            <w:r w:rsidRPr="009853A3">
              <w:rPr>
                <w:b/>
              </w:rPr>
              <w:t xml:space="preserve">Accreditation </w:t>
            </w:r>
          </w:p>
        </w:tc>
        <w:tc>
          <w:tcPr>
            <w:tcW w:w="6379" w:type="dxa"/>
          </w:tcPr>
          <w:p w:rsidR="009853A3" w:rsidRPr="009853A3" w:rsidRDefault="009853A3" w:rsidP="004F0B02">
            <w:pPr>
              <w:pStyle w:val="TableBodyText"/>
              <w:keepNext w:val="0"/>
              <w:widowControl w:val="0"/>
              <w:jc w:val="left"/>
            </w:pPr>
            <w:r w:rsidRPr="009853A3">
              <w:t>Accreditation is a key component of the Australian Government’s quality framework for federally funded residential aged care and is a quality assurance system for residential aged care services — based on the principle of continuous improvement.</w:t>
            </w:r>
          </w:p>
          <w:p w:rsidR="009853A3" w:rsidRPr="009853A3" w:rsidRDefault="009853A3" w:rsidP="004F0B02">
            <w:pPr>
              <w:pStyle w:val="TableBodyText"/>
              <w:keepNext w:val="0"/>
              <w:widowControl w:val="0"/>
              <w:jc w:val="left"/>
            </w:pPr>
            <w:r w:rsidRPr="009853A3">
              <w:t>Accreditation requires assessment against the 44 expected outcomes used for accreditation assessment — grouped into four standards: management systems, staffing and organisational development; health and personal care; residential lifestyle; and physical environment and safety systems.</w:t>
            </w:r>
          </w:p>
        </w:tc>
      </w:tr>
      <w:tr w:rsidR="009853A3" w:rsidRPr="009853A3" w:rsidTr="00C76A52">
        <w:tc>
          <w:tcPr>
            <w:tcW w:w="2410" w:type="dxa"/>
          </w:tcPr>
          <w:p w:rsidR="009853A3" w:rsidRPr="009853A3" w:rsidRDefault="009853A3" w:rsidP="004F0B02">
            <w:pPr>
              <w:pStyle w:val="TableBodyText"/>
              <w:keepNext w:val="0"/>
              <w:widowControl w:val="0"/>
              <w:jc w:val="left"/>
              <w:rPr>
                <w:b/>
              </w:rPr>
            </w:pPr>
            <w:r w:rsidRPr="009853A3">
              <w:rPr>
                <w:b/>
              </w:rPr>
              <w:t>Aged care</w:t>
            </w:r>
          </w:p>
        </w:tc>
        <w:tc>
          <w:tcPr>
            <w:tcW w:w="6379" w:type="dxa"/>
          </w:tcPr>
          <w:p w:rsidR="009853A3" w:rsidRPr="009853A3" w:rsidRDefault="009853A3" w:rsidP="004F0B02">
            <w:pPr>
              <w:pStyle w:val="TableBodyText"/>
              <w:keepNext w:val="0"/>
              <w:widowControl w:val="0"/>
              <w:jc w:val="left"/>
            </w:pPr>
            <w:r w:rsidRPr="009853A3">
              <w:t xml:space="preserve">Formal services funded and/or provided by governments that respond to the functional and social needs of older people, and the needs of their carers. </w:t>
            </w:r>
            <w:r w:rsidR="00AC6969" w:rsidRPr="00714775">
              <w:t>Home</w:t>
            </w:r>
            <w:r w:rsidRPr="00714775">
              <w:t xml:space="preserve"> care </w:t>
            </w:r>
            <w:r w:rsidR="00AC6969" w:rsidRPr="00714775">
              <w:t xml:space="preserve">and support </w:t>
            </w:r>
            <w:r w:rsidRPr="00714775">
              <w:t>services</w:t>
            </w:r>
            <w:r w:rsidRPr="009853A3">
              <w:t xml:space="preserve"> aim to optimise independence and to assist older people to stay in their own homes, while residential care services provide accommodation and care for those who can no longer be assisted to stay at home. Assessment of care needs is an important component of aged care.</w:t>
            </w:r>
          </w:p>
          <w:p w:rsidR="009853A3" w:rsidRPr="009853A3" w:rsidRDefault="009853A3" w:rsidP="004F0B02">
            <w:pPr>
              <w:pStyle w:val="TableBodyText"/>
              <w:keepNext w:val="0"/>
              <w:widowControl w:val="0"/>
              <w:jc w:val="left"/>
            </w:pPr>
            <w:r w:rsidRPr="009853A3">
              <w:t xml:space="preserve">The majority of aged care services assist in activities of daily living such as personal care (for example, bathing and dressing), housekeeping and meal provision. Other services aim to promote social participation and connectedness. These services are delivered by trained aged care workers and volunteers. However, aged care services may also be delivered by health professionals such as nurses and occupational therapists. </w:t>
            </w:r>
          </w:p>
          <w:p w:rsidR="009853A3" w:rsidRPr="009853A3" w:rsidRDefault="009853A3" w:rsidP="00AC6969">
            <w:pPr>
              <w:pStyle w:val="TableBodyText"/>
              <w:keepNext w:val="0"/>
              <w:widowControl w:val="0"/>
              <w:jc w:val="left"/>
            </w:pPr>
            <w:r w:rsidRPr="009853A3">
              <w:t xml:space="preserve">Aged care services generally aim to promote wellbeing and foster function rather than to treat illness. Although some aged care services such as transition care have a specific restorative role, they are distinguished from the health services described in Part E of this Report. Aged care services may be funded through programs specifically or mainly directed to older people, or through programs that address the needs of people of different ages. </w:t>
            </w:r>
          </w:p>
        </w:tc>
      </w:tr>
      <w:tr w:rsidR="009853A3" w:rsidRPr="009853A3" w:rsidTr="00C76A52">
        <w:tc>
          <w:tcPr>
            <w:tcW w:w="2410" w:type="dxa"/>
          </w:tcPr>
          <w:p w:rsidR="009853A3" w:rsidRPr="009853A3" w:rsidRDefault="009853A3" w:rsidP="004F0B02">
            <w:pPr>
              <w:pStyle w:val="TableBodyText"/>
              <w:keepNext w:val="0"/>
              <w:widowControl w:val="0"/>
              <w:jc w:val="left"/>
              <w:rPr>
                <w:b/>
              </w:rPr>
            </w:pPr>
            <w:r w:rsidRPr="009853A3">
              <w:rPr>
                <w:b/>
              </w:rPr>
              <w:t>Aged care target population</w:t>
            </w:r>
          </w:p>
        </w:tc>
        <w:tc>
          <w:tcPr>
            <w:tcW w:w="6379" w:type="dxa"/>
          </w:tcPr>
          <w:p w:rsidR="009853A3" w:rsidRPr="009853A3" w:rsidRDefault="009853A3" w:rsidP="00D1777F">
            <w:pPr>
              <w:pStyle w:val="TableBodyText"/>
              <w:keepNext w:val="0"/>
              <w:widowControl w:val="0"/>
              <w:jc w:val="left"/>
            </w:pPr>
            <w:r w:rsidRPr="009853A3">
              <w:rPr>
                <w:shd w:val="clear" w:color="auto" w:fill="FFFFFF"/>
              </w:rPr>
              <w:t>The Aged Care target population is defined as all people (</w:t>
            </w:r>
            <w:r w:rsidR="00127E2E">
              <w:rPr>
                <w:shd w:val="clear" w:color="auto" w:fill="FFFFFF"/>
              </w:rPr>
              <w:t>Aboriginal and Torres Strait Islander</w:t>
            </w:r>
            <w:r w:rsidRPr="009853A3">
              <w:rPr>
                <w:shd w:val="clear" w:color="auto" w:fill="FFFFFF"/>
              </w:rPr>
              <w:t xml:space="preserve"> and non</w:t>
            </w:r>
            <w:r w:rsidRPr="009853A3">
              <w:rPr>
                <w:shd w:val="clear" w:color="auto" w:fill="FFFFFF"/>
              </w:rPr>
              <w:noBreakHyphen/>
              <w:t xml:space="preserve">Indigenous) aged 65 years or over and </w:t>
            </w:r>
            <w:r w:rsidR="00127E2E">
              <w:rPr>
                <w:shd w:val="clear" w:color="auto" w:fill="FFFFFF"/>
              </w:rPr>
              <w:t>Aboriginal and Torres Strait Islander</w:t>
            </w:r>
            <w:r w:rsidRPr="009853A3">
              <w:rPr>
                <w:shd w:val="clear" w:color="auto" w:fill="FFFFFF"/>
              </w:rPr>
              <w:t xml:space="preserve"> Australians aged 50</w:t>
            </w:r>
            <w:r w:rsidRPr="009853A3">
              <w:rPr>
                <w:rFonts w:cs="Arial"/>
                <w:shd w:val="clear" w:color="auto" w:fill="FFFFFF"/>
              </w:rPr>
              <w:t>–</w:t>
            </w:r>
            <w:r w:rsidRPr="009853A3">
              <w:rPr>
                <w:shd w:val="clear" w:color="auto" w:fill="FFFFFF"/>
              </w:rPr>
              <w:t>64 years.</w:t>
            </w:r>
            <w:r w:rsidRPr="009853A3">
              <w:t xml:space="preserve"> This is the population specified in the </w:t>
            </w:r>
            <w:r w:rsidRPr="009853A3">
              <w:rPr>
                <w:i/>
              </w:rPr>
              <w:t>National Health Reform Agreement</w:t>
            </w:r>
            <w:r w:rsidRPr="009853A3">
              <w:t xml:space="preserve"> who are within the scope of, and funded for services under, the national aged care system (except in Victoria and WA).</w:t>
            </w:r>
          </w:p>
        </w:tc>
      </w:tr>
      <w:tr w:rsidR="009853A3" w:rsidRPr="009853A3" w:rsidTr="00C76A52">
        <w:tc>
          <w:tcPr>
            <w:tcW w:w="2410" w:type="dxa"/>
          </w:tcPr>
          <w:p w:rsidR="009853A3" w:rsidRPr="009853A3" w:rsidRDefault="009853A3" w:rsidP="004F0B02">
            <w:pPr>
              <w:pStyle w:val="TableBodyText"/>
              <w:keepNext w:val="0"/>
              <w:widowControl w:val="0"/>
              <w:jc w:val="left"/>
              <w:rPr>
                <w:b/>
              </w:rPr>
            </w:pPr>
            <w:r w:rsidRPr="009853A3">
              <w:rPr>
                <w:b/>
              </w:rPr>
              <w:t>Aged care planning population</w:t>
            </w:r>
          </w:p>
        </w:tc>
        <w:tc>
          <w:tcPr>
            <w:tcW w:w="6379" w:type="dxa"/>
          </w:tcPr>
          <w:p w:rsidR="009853A3" w:rsidRPr="009853A3" w:rsidRDefault="009853A3" w:rsidP="004F0B02">
            <w:pPr>
              <w:pStyle w:val="TableBodyText"/>
              <w:keepNext w:val="0"/>
              <w:widowControl w:val="0"/>
              <w:jc w:val="left"/>
            </w:pPr>
            <w:r w:rsidRPr="009853A3">
              <w:t>The Aged care planning population is defined as people aged 70 years or over. This is the population used by the Australian Government for its needs</w:t>
            </w:r>
            <w:r w:rsidRPr="009853A3">
              <w:noBreakHyphen/>
              <w:t>based planning framework to ensu</w:t>
            </w:r>
            <w:r w:rsidR="000D7D62">
              <w:t xml:space="preserve">re sufficient supply of both </w:t>
            </w:r>
            <w:r w:rsidRPr="009853A3">
              <w:t xml:space="preserve">residential and </w:t>
            </w:r>
            <w:r w:rsidR="000D7D62">
              <w:t xml:space="preserve">home </w:t>
            </w:r>
            <w:r w:rsidRPr="009853A3">
              <w:t>care places by matching the growth in the number of aged care places with growth in the aged population. It also seeks to ensure balance in the provision of services between metropolitan, regional, rural and remote areas, as well as between people needing differing levels of care.</w:t>
            </w:r>
          </w:p>
          <w:p w:rsidR="009853A3" w:rsidRPr="009853A3" w:rsidRDefault="009853A3" w:rsidP="004F0B02">
            <w:pPr>
              <w:pStyle w:val="TableBodyText"/>
              <w:keepNext w:val="0"/>
              <w:widowControl w:val="0"/>
              <w:jc w:val="left"/>
            </w:pPr>
            <w:r w:rsidRPr="009853A3">
              <w:t xml:space="preserve">Under the framework, the Australian Government seeks to achieve and maintain a specified national provision level of subsidised operational aged care places for every 1000 people aged 70 years or over. This provision </w:t>
            </w:r>
            <w:r w:rsidRPr="009853A3">
              <w:lastRenderedPageBreak/>
              <w:t>level is known as the aged care provision ratio (DoHA 2012).</w:t>
            </w:r>
          </w:p>
        </w:tc>
      </w:tr>
      <w:tr w:rsidR="009853A3" w:rsidRPr="009853A3" w:rsidTr="00C76A52">
        <w:trPr>
          <w:trHeight w:val="2200"/>
        </w:trPr>
        <w:tc>
          <w:tcPr>
            <w:tcW w:w="2410" w:type="dxa"/>
          </w:tcPr>
          <w:p w:rsidR="009853A3" w:rsidRPr="009853A3" w:rsidRDefault="009853A3" w:rsidP="004F0B02">
            <w:pPr>
              <w:pStyle w:val="TableBodyText"/>
              <w:keepNext w:val="0"/>
              <w:widowControl w:val="0"/>
              <w:jc w:val="left"/>
              <w:rPr>
                <w:b/>
              </w:rPr>
            </w:pPr>
            <w:r w:rsidRPr="009853A3">
              <w:rPr>
                <w:b/>
              </w:rPr>
              <w:lastRenderedPageBreak/>
              <w:t>Ageing in place in residential care</w:t>
            </w:r>
          </w:p>
        </w:tc>
        <w:tc>
          <w:tcPr>
            <w:tcW w:w="6379" w:type="dxa"/>
          </w:tcPr>
          <w:p w:rsidR="009853A3" w:rsidRPr="009853A3" w:rsidRDefault="009853A3" w:rsidP="004F0B02">
            <w:pPr>
              <w:pStyle w:val="TableBodyText"/>
              <w:keepNext w:val="0"/>
              <w:widowControl w:val="0"/>
              <w:jc w:val="left"/>
            </w:pPr>
            <w:r w:rsidRPr="009853A3">
              <w:t>An approach that aims to provide residents with appropriate care and increased choice by allowing them to remain in the same facility regardless of changes in their level of care needs. It also allows couples with different levels of care needs to be cared for in the same facility. The main facet of ‘ageing in place’ is that funding is tied to the assessed care needs of the client rather than to the services provided by the facility.</w:t>
            </w:r>
          </w:p>
          <w:p w:rsidR="009853A3" w:rsidRPr="009853A3" w:rsidRDefault="009853A3" w:rsidP="004F0B02">
            <w:pPr>
              <w:pStyle w:val="TableBodyText"/>
              <w:keepNext w:val="0"/>
              <w:widowControl w:val="0"/>
              <w:jc w:val="left"/>
            </w:pPr>
            <w:r w:rsidRPr="009853A3">
              <w:t>One of the objectives of Australian Government aged care legislation is ‘to promote ageing in place through the linking of care and support services to the places where older people prefer to live’ (</w:t>
            </w:r>
            <w:r w:rsidRPr="009853A3">
              <w:rPr>
                <w:i/>
              </w:rPr>
              <w:t xml:space="preserve">Aged Care Act 1997 </w:t>
            </w:r>
            <w:r w:rsidRPr="009853A3">
              <w:t>(</w:t>
            </w:r>
            <w:proofErr w:type="spellStart"/>
            <w:r w:rsidRPr="009853A3">
              <w:t>Cwlth</w:t>
            </w:r>
            <w:proofErr w:type="spellEnd"/>
            <w:r w:rsidRPr="009853A3">
              <w:t xml:space="preserve">), </w:t>
            </w:r>
            <w:proofErr w:type="spellStart"/>
            <w:r w:rsidRPr="009853A3">
              <w:t>s.2</w:t>
            </w:r>
            <w:proofErr w:type="spellEnd"/>
            <w:r w:rsidRPr="009853A3">
              <w:noBreakHyphen/>
              <w:t>1 [</w:t>
            </w:r>
            <w:proofErr w:type="spellStart"/>
            <w:r w:rsidRPr="009853A3">
              <w:t>1j</w:t>
            </w:r>
            <w:proofErr w:type="spellEnd"/>
            <w:r w:rsidRPr="009853A3">
              <w:t>]).</w:t>
            </w:r>
          </w:p>
        </w:tc>
      </w:tr>
      <w:tr w:rsidR="009853A3" w:rsidRPr="009853A3" w:rsidTr="00BA3272">
        <w:trPr>
          <w:trHeight w:val="557"/>
        </w:trPr>
        <w:tc>
          <w:tcPr>
            <w:tcW w:w="2410" w:type="dxa"/>
          </w:tcPr>
          <w:p w:rsidR="009853A3" w:rsidRPr="009853A3" w:rsidRDefault="009853A3" w:rsidP="004F0B02">
            <w:pPr>
              <w:pStyle w:val="TableBodyText"/>
              <w:keepNext w:val="0"/>
              <w:widowControl w:val="0"/>
              <w:jc w:val="left"/>
              <w:rPr>
                <w:b/>
              </w:rPr>
            </w:pPr>
            <w:r w:rsidRPr="009853A3">
              <w:rPr>
                <w:b/>
              </w:rPr>
              <w:t>Capital expenditure on residential services</w:t>
            </w:r>
          </w:p>
        </w:tc>
        <w:tc>
          <w:tcPr>
            <w:tcW w:w="6379" w:type="dxa"/>
          </w:tcPr>
          <w:p w:rsidR="009853A3" w:rsidRPr="009853A3" w:rsidRDefault="009853A3" w:rsidP="00D1777F">
            <w:pPr>
              <w:pStyle w:val="TableBodyText"/>
              <w:keepNext w:val="0"/>
              <w:widowControl w:val="0"/>
              <w:jc w:val="left"/>
            </w:pPr>
            <w:r w:rsidRPr="009853A3">
              <w:t xml:space="preserve">Expenditure on building and other capital items, specifically for the provision of Australian </w:t>
            </w:r>
            <w:r w:rsidR="00D1777F">
              <w:t>G</w:t>
            </w:r>
            <w:r w:rsidRPr="009853A3">
              <w:t>overnment funded residential aged care.</w:t>
            </w:r>
          </w:p>
        </w:tc>
      </w:tr>
      <w:tr w:rsidR="009853A3" w:rsidRPr="009853A3" w:rsidTr="00C76A52">
        <w:tc>
          <w:tcPr>
            <w:tcW w:w="2410" w:type="dxa"/>
          </w:tcPr>
          <w:p w:rsidR="009853A3" w:rsidRPr="009853A3" w:rsidRDefault="009853A3" w:rsidP="004F0B02">
            <w:pPr>
              <w:pStyle w:val="TableBodyText"/>
              <w:keepNext w:val="0"/>
              <w:widowControl w:val="0"/>
              <w:jc w:val="left"/>
              <w:rPr>
                <w:b/>
              </w:rPr>
            </w:pPr>
            <w:r w:rsidRPr="009853A3">
              <w:rPr>
                <w:b/>
              </w:rPr>
              <w:t>Care leaver</w:t>
            </w:r>
          </w:p>
        </w:tc>
        <w:tc>
          <w:tcPr>
            <w:tcW w:w="6379" w:type="dxa"/>
          </w:tcPr>
          <w:p w:rsidR="009853A3" w:rsidRPr="009853A3" w:rsidRDefault="009853A3" w:rsidP="004F0B02">
            <w:pPr>
              <w:pStyle w:val="TableBodyText"/>
              <w:keepNext w:val="0"/>
              <w:widowControl w:val="0"/>
              <w:jc w:val="left"/>
            </w:pPr>
            <w:r w:rsidRPr="009853A3">
              <w:t>A care leaver is a person who was in institutional care (such as an orphanage or mental health facility) or other form of out</w:t>
            </w:r>
            <w:r w:rsidRPr="009853A3">
              <w:noBreakHyphen/>
              <w:t>of</w:t>
            </w:r>
            <w:r w:rsidRPr="009853A3">
              <w:noBreakHyphen/>
              <w:t>home care, including foster care, as a child or youth (or both) at some time during their lifetime (DoHA 2012).</w:t>
            </w:r>
          </w:p>
        </w:tc>
      </w:tr>
      <w:tr w:rsidR="009853A3" w:rsidRPr="009853A3" w:rsidTr="00C76A52">
        <w:tc>
          <w:tcPr>
            <w:tcW w:w="2410" w:type="dxa"/>
          </w:tcPr>
          <w:p w:rsidR="009853A3" w:rsidRPr="009853A3" w:rsidRDefault="009853A3" w:rsidP="004F0B02">
            <w:pPr>
              <w:pStyle w:val="TableBodyText"/>
              <w:keepNext w:val="0"/>
              <w:widowControl w:val="0"/>
              <w:jc w:val="left"/>
              <w:rPr>
                <w:b/>
              </w:rPr>
            </w:pPr>
            <w:r w:rsidRPr="009853A3">
              <w:rPr>
                <w:b/>
              </w:rPr>
              <w:t>Centre day care</w:t>
            </w:r>
          </w:p>
        </w:tc>
        <w:tc>
          <w:tcPr>
            <w:tcW w:w="6379" w:type="dxa"/>
          </w:tcPr>
          <w:p w:rsidR="009853A3" w:rsidRPr="009853A3" w:rsidRDefault="009853A3" w:rsidP="004F0B02">
            <w:pPr>
              <w:pStyle w:val="TableBodyText"/>
              <w:keepNext w:val="0"/>
              <w:widowControl w:val="0"/>
              <w:jc w:val="left"/>
            </w:pPr>
            <w:r w:rsidRPr="009853A3">
              <w:t>Respite care provided from a facility such as a day care or health centre. Respite care is usually combined with social support services to maintain the functional capabilities of the person receiving care.</w:t>
            </w:r>
          </w:p>
        </w:tc>
      </w:tr>
      <w:tr w:rsidR="00A16164" w:rsidRPr="009853A3" w:rsidTr="0056376C">
        <w:tc>
          <w:tcPr>
            <w:tcW w:w="2410" w:type="dxa"/>
            <w:shd w:val="clear" w:color="auto" w:fill="FFFFFF" w:themeFill="background1"/>
          </w:tcPr>
          <w:p w:rsidR="00A16164" w:rsidRPr="00CD50C4" w:rsidRDefault="00A16164" w:rsidP="004F0B02">
            <w:pPr>
              <w:pStyle w:val="TableBodyText"/>
              <w:keepNext w:val="0"/>
              <w:widowControl w:val="0"/>
              <w:jc w:val="left"/>
              <w:rPr>
                <w:b/>
              </w:rPr>
            </w:pPr>
            <w:r w:rsidRPr="00CD50C4">
              <w:rPr>
                <w:b/>
              </w:rPr>
              <w:t>Comparability</w:t>
            </w:r>
          </w:p>
        </w:tc>
        <w:tc>
          <w:tcPr>
            <w:tcW w:w="6379" w:type="dxa"/>
            <w:shd w:val="clear" w:color="auto" w:fill="FFFFFF" w:themeFill="background1"/>
          </w:tcPr>
          <w:p w:rsidR="00A16164" w:rsidRPr="00CD50C4" w:rsidRDefault="001D718C" w:rsidP="004F0B02">
            <w:pPr>
              <w:pStyle w:val="TableBodyText"/>
              <w:keepNext w:val="0"/>
              <w:widowControl w:val="0"/>
              <w:jc w:val="left"/>
            </w:pPr>
            <w:r w:rsidRPr="001D718C">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t>Complaint</w:t>
            </w:r>
          </w:p>
        </w:tc>
        <w:tc>
          <w:tcPr>
            <w:tcW w:w="6379" w:type="dxa"/>
          </w:tcPr>
          <w:p w:rsidR="00A16164" w:rsidRPr="009853A3" w:rsidRDefault="00A16164" w:rsidP="00025AE5">
            <w:pPr>
              <w:pStyle w:val="TableBodyText"/>
              <w:keepNext w:val="0"/>
              <w:widowControl w:val="0"/>
              <w:jc w:val="left"/>
            </w:pPr>
            <w:r w:rsidRPr="009853A3">
              <w:t xml:space="preserve">A complaint by the affected care recipient or his or her representative, or anyone else, to the Secretary of </w:t>
            </w:r>
            <w:r w:rsidR="00025AE5">
              <w:t>DSS</w:t>
            </w:r>
            <w:r w:rsidRPr="009853A3">
              <w:t xml:space="preserve"> about matters relevant to an approved provider’s responsibilities under the </w:t>
            </w:r>
            <w:r w:rsidRPr="009853A3">
              <w:rPr>
                <w:i/>
              </w:rPr>
              <w:t>Aged Care Act 1997</w:t>
            </w:r>
            <w:r w:rsidRPr="009853A3">
              <w:t xml:space="preserve"> or the Aged Care Principles or a service provider’s responsibilities under the Commonwealth HACC funding agreement.</w:t>
            </w:r>
          </w:p>
        </w:tc>
      </w:tr>
      <w:tr w:rsidR="00A16164" w:rsidRPr="009853A3" w:rsidTr="0056376C">
        <w:tc>
          <w:tcPr>
            <w:tcW w:w="2410" w:type="dxa"/>
            <w:shd w:val="clear" w:color="auto" w:fill="FFFFFF" w:themeFill="background1"/>
          </w:tcPr>
          <w:p w:rsidR="00A16164" w:rsidRPr="00CD50C4" w:rsidRDefault="00A16164" w:rsidP="004F0B02">
            <w:pPr>
              <w:pStyle w:val="TableBodyText"/>
              <w:keepNext w:val="0"/>
              <w:widowControl w:val="0"/>
              <w:jc w:val="left"/>
              <w:rPr>
                <w:b/>
              </w:rPr>
            </w:pPr>
            <w:r w:rsidRPr="00CD50C4">
              <w:rPr>
                <w:b/>
              </w:rPr>
              <w:t>Completeness</w:t>
            </w:r>
          </w:p>
        </w:tc>
        <w:tc>
          <w:tcPr>
            <w:tcW w:w="6379" w:type="dxa"/>
            <w:shd w:val="clear" w:color="auto" w:fill="FFFFFF" w:themeFill="background1"/>
          </w:tcPr>
          <w:p w:rsidR="00A16164" w:rsidRPr="00CD50C4" w:rsidRDefault="001D718C" w:rsidP="004F0B02">
            <w:pPr>
              <w:pStyle w:val="TableBodyText"/>
              <w:keepNext w:val="0"/>
              <w:widowControl w:val="0"/>
              <w:jc w:val="left"/>
            </w:pPr>
            <w:r w:rsidRPr="001D718C">
              <w:t>Data are considered complete if all required data are available for all jurisdictions that provide the service.</w:t>
            </w:r>
          </w:p>
        </w:tc>
      </w:tr>
      <w:tr w:rsidR="00BA3272" w:rsidRPr="009853A3" w:rsidTr="00714775">
        <w:tc>
          <w:tcPr>
            <w:tcW w:w="2410" w:type="dxa"/>
            <w:shd w:val="clear" w:color="auto" w:fill="FFFFFF" w:themeFill="background1"/>
          </w:tcPr>
          <w:p w:rsidR="00BA3272" w:rsidRPr="00CD50C4" w:rsidRDefault="00BA3272" w:rsidP="00CB11D3">
            <w:pPr>
              <w:pStyle w:val="TableBodyText"/>
              <w:keepNext w:val="0"/>
              <w:widowControl w:val="0"/>
              <w:jc w:val="left"/>
              <w:rPr>
                <w:b/>
              </w:rPr>
            </w:pPr>
            <w:r>
              <w:rPr>
                <w:b/>
              </w:rPr>
              <w:t>C</w:t>
            </w:r>
            <w:r w:rsidRPr="00BA3272">
              <w:rPr>
                <w:b/>
              </w:rPr>
              <w:t>oncessional, assisted supported</w:t>
            </w:r>
            <w:r>
              <w:rPr>
                <w:b/>
              </w:rPr>
              <w:t xml:space="preserve"> </w:t>
            </w:r>
            <w:r w:rsidR="00CB11D3" w:rsidRPr="00BA3272">
              <w:rPr>
                <w:b/>
              </w:rPr>
              <w:t xml:space="preserve">or </w:t>
            </w:r>
            <w:r w:rsidR="00CB11D3">
              <w:rPr>
                <w:b/>
              </w:rPr>
              <w:t xml:space="preserve">low means </w:t>
            </w:r>
            <w:r>
              <w:rPr>
                <w:b/>
              </w:rPr>
              <w:t>residents</w:t>
            </w:r>
          </w:p>
        </w:tc>
        <w:tc>
          <w:tcPr>
            <w:tcW w:w="6379" w:type="dxa"/>
            <w:shd w:val="clear" w:color="auto" w:fill="FFFFFF" w:themeFill="background1"/>
          </w:tcPr>
          <w:p w:rsidR="00BA3272" w:rsidRPr="001D718C" w:rsidRDefault="00B677F5" w:rsidP="00E13A82">
            <w:pPr>
              <w:pStyle w:val="TableBodyText"/>
              <w:keepNext w:val="0"/>
              <w:widowControl w:val="0"/>
              <w:jc w:val="left"/>
            </w:pPr>
            <w:r w:rsidRPr="00B677F5">
              <w:t>Concessional residents are those who entered permanent residential care before 20</w:t>
            </w:r>
            <w:r w:rsidR="00E75264">
              <w:t> </w:t>
            </w:r>
            <w:r w:rsidRPr="00B677F5">
              <w:t>March 2008, receive an income support payment and have not owned a home for the last two or more years (or whose home is occupied by a protected person, for example, the care recipient’s partner), and have assets of less than 2.5 times the annual single basic age pension (or for a transfer from 20</w:t>
            </w:r>
            <w:r w:rsidR="00E75264">
              <w:t> </w:t>
            </w:r>
            <w:r w:rsidRPr="00B677F5">
              <w:t>September 2009 less than 2.25). Assisted residents are those meeting the above criteria, but with assets between 2.5 and 4.0 times the annual single basic age pension (or for a transfer from 20</w:t>
            </w:r>
            <w:r w:rsidR="00E75264">
              <w:t> </w:t>
            </w:r>
            <w:r w:rsidRPr="00B677F5">
              <w:t>September 2009 between 2.25 and 3.61). Supported residents are those who have entered permanent residential care on or after 20</w:t>
            </w:r>
            <w:r w:rsidR="00E75264">
              <w:t> </w:t>
            </w:r>
            <w:r w:rsidRPr="00B677F5">
              <w:t>March 2008 (or who re</w:t>
            </w:r>
            <w:r w:rsidR="00E13A82">
              <w:noBreakHyphen/>
            </w:r>
            <w:r w:rsidRPr="00B677F5">
              <w:t>enter care on or after 20</w:t>
            </w:r>
            <w:r w:rsidR="00E75264">
              <w:t> </w:t>
            </w:r>
            <w:r w:rsidRPr="00B677F5">
              <w:t>March 2008 after a break in care of more than 28</w:t>
            </w:r>
            <w:r w:rsidR="00E13A82">
              <w:t> </w:t>
            </w:r>
            <w:r w:rsidRPr="00B677F5">
              <w:t>days) and have assets of up to a set value at the date that they en</w:t>
            </w:r>
            <w:r w:rsidR="00E13A82">
              <w:t>ter care (from 20</w:t>
            </w:r>
            <w:r w:rsidR="00E75264">
              <w:t> </w:t>
            </w:r>
            <w:r w:rsidR="00E13A82">
              <w:t xml:space="preserve">March 2014 to </w:t>
            </w:r>
            <w:r w:rsidRPr="00B677F5">
              <w:t>19</w:t>
            </w:r>
            <w:r w:rsidR="00E75264">
              <w:t> </w:t>
            </w:r>
            <w:r w:rsidRPr="00B677F5">
              <w:t>September 2014 — $116</w:t>
            </w:r>
            <w:r w:rsidR="00E13A82">
              <w:t xml:space="preserve"> </w:t>
            </w:r>
            <w:r w:rsidRPr="00B677F5">
              <w:t xml:space="preserve">136.00, from </w:t>
            </w:r>
            <w:r w:rsidR="00E13A82">
              <w:br/>
            </w:r>
            <w:r w:rsidRPr="00B677F5">
              <w:t>20</w:t>
            </w:r>
            <w:r w:rsidR="00E75264">
              <w:t> </w:t>
            </w:r>
            <w:r w:rsidRPr="00B677F5">
              <w:t>September 2014 to 19</w:t>
            </w:r>
            <w:r w:rsidR="00E75264">
              <w:t> </w:t>
            </w:r>
            <w:r w:rsidRPr="00B677F5">
              <w:t>March 2015 — $116</w:t>
            </w:r>
            <w:r w:rsidR="00E13A82">
              <w:t xml:space="preserve"> </w:t>
            </w:r>
            <w:r w:rsidRPr="00B677F5">
              <w:t>636.00 and from 20</w:t>
            </w:r>
            <w:r w:rsidR="00E13A82">
              <w:t> </w:t>
            </w:r>
            <w:r w:rsidRPr="00B677F5">
              <w:t>March 2015 to 19</w:t>
            </w:r>
            <w:r w:rsidR="00E75264">
              <w:t> </w:t>
            </w:r>
            <w:r w:rsidRPr="00B677F5">
              <w:t>September 2015 — $118</w:t>
            </w:r>
            <w:r w:rsidR="00E13A82">
              <w:t xml:space="preserve"> </w:t>
            </w:r>
            <w:r w:rsidRPr="00B677F5">
              <w:t>363.20, from 20</w:t>
            </w:r>
            <w:r w:rsidR="00E13A82">
              <w:t> </w:t>
            </w:r>
            <w:r w:rsidRPr="00B677F5">
              <w:t>September</w:t>
            </w:r>
            <w:r w:rsidR="00E75264">
              <w:t xml:space="preserve"> </w:t>
            </w:r>
            <w:r w:rsidRPr="00B677F5">
              <w:t xml:space="preserve">2015 </w:t>
            </w:r>
            <w:r w:rsidR="00CB11D3" w:rsidRPr="00CB11D3">
              <w:t>—</w:t>
            </w:r>
            <w:r w:rsidRPr="00B677F5">
              <w:t xml:space="preserve"> $118</w:t>
            </w:r>
            <w:r w:rsidR="00E13A82">
              <w:t xml:space="preserve"> </w:t>
            </w:r>
            <w:r w:rsidRPr="00B677F5">
              <w:t>966.40). Low means residents are those who have entered permanent residential care on or after 1</w:t>
            </w:r>
            <w:r w:rsidR="00E75264">
              <w:t> </w:t>
            </w:r>
            <w:r w:rsidRPr="00B677F5">
              <w:t>July 2014 (or who re</w:t>
            </w:r>
            <w:r w:rsidR="00E75264">
              <w:noBreakHyphen/>
            </w:r>
            <w:r w:rsidRPr="00B677F5">
              <w:t>enter care on or after 1</w:t>
            </w:r>
            <w:r w:rsidR="00E75264">
              <w:t> </w:t>
            </w:r>
            <w:r w:rsidRPr="00B677F5">
              <w:t>July 2014 after a break in care of more than 28 days; or who re</w:t>
            </w:r>
            <w:r w:rsidR="00E75264">
              <w:noBreakHyphen/>
            </w:r>
            <w:r w:rsidRPr="00B677F5">
              <w:t>enter care on or after 1</w:t>
            </w:r>
            <w:r w:rsidR="00E75264">
              <w:t> </w:t>
            </w:r>
            <w:r w:rsidRPr="00B677F5">
              <w:t>July 2014 and choose to ‘opt in’ to the new means testing arrangements) and have a daily means tested amount (assessed under the combined assets and income means test) at the date they enter care that is less than the maximum daily rate of accommodation supplement, from 1</w:t>
            </w:r>
            <w:r w:rsidR="00E75264">
              <w:t> </w:t>
            </w:r>
            <w:r w:rsidRPr="00B677F5">
              <w:t>July 2014 to 19</w:t>
            </w:r>
            <w:r w:rsidR="00E75264">
              <w:t> </w:t>
            </w:r>
            <w:r w:rsidRPr="00B677F5">
              <w:t xml:space="preserve">September 2014 </w:t>
            </w:r>
            <w:r w:rsidR="00CB11D3">
              <w:rPr>
                <w:rFonts w:ascii="Calibri" w:hAnsi="Calibri"/>
              </w:rPr>
              <w:t>–</w:t>
            </w:r>
            <w:r w:rsidRPr="00B677F5">
              <w:t xml:space="preserve"> $52.49, from 19</w:t>
            </w:r>
            <w:r w:rsidR="00E13A82">
              <w:t> </w:t>
            </w:r>
            <w:r w:rsidRPr="00B677F5">
              <w:t>September 2014 to 19</w:t>
            </w:r>
            <w:r w:rsidR="00E75264">
              <w:t> </w:t>
            </w:r>
            <w:r w:rsidRPr="00B677F5">
              <w:t xml:space="preserve">March 2015 </w:t>
            </w:r>
            <w:r w:rsidR="00CB11D3">
              <w:rPr>
                <w:rFonts w:ascii="Calibri" w:hAnsi="Calibri"/>
              </w:rPr>
              <w:t>–</w:t>
            </w:r>
            <w:r w:rsidRPr="00B677F5">
              <w:t xml:space="preserve"> $53.04, from 20</w:t>
            </w:r>
            <w:r w:rsidR="00E75264">
              <w:t> </w:t>
            </w:r>
            <w:r w:rsidRPr="00B677F5">
              <w:t>March 2015 to 19</w:t>
            </w:r>
            <w:r w:rsidR="00E13A82">
              <w:t> </w:t>
            </w:r>
            <w:r w:rsidRPr="00B677F5">
              <w:t xml:space="preserve">September 2015 </w:t>
            </w:r>
            <w:r w:rsidR="00CB11D3">
              <w:rPr>
                <w:rFonts w:ascii="Calibri" w:hAnsi="Calibri"/>
              </w:rPr>
              <w:t>–</w:t>
            </w:r>
            <w:r w:rsidRPr="00B677F5">
              <w:t xml:space="preserve"> $53.39, from 20</w:t>
            </w:r>
            <w:r w:rsidR="00E75264">
              <w:t> </w:t>
            </w:r>
            <w:r w:rsidRPr="00B677F5">
              <w:t xml:space="preserve">September 2015 </w:t>
            </w:r>
            <w:r w:rsidR="00CB11D3">
              <w:rPr>
                <w:rFonts w:ascii="Calibri" w:hAnsi="Calibri"/>
              </w:rPr>
              <w:t>–</w:t>
            </w:r>
            <w:r w:rsidR="00E75264">
              <w:noBreakHyphen/>
            </w:r>
            <w:r w:rsidRPr="00B677F5">
              <w:t xml:space="preserve"> $53.84.</w:t>
            </w:r>
            <w:r w:rsidR="00E75264">
              <w:t xml:space="preserve"> </w:t>
            </w:r>
          </w:p>
        </w:tc>
      </w:tr>
      <w:tr w:rsidR="00A16164" w:rsidRPr="009853A3" w:rsidTr="00C76A52">
        <w:tc>
          <w:tcPr>
            <w:tcW w:w="2410" w:type="dxa"/>
            <w:shd w:val="clear" w:color="auto" w:fill="FFFFFF" w:themeFill="background1"/>
          </w:tcPr>
          <w:p w:rsidR="00A16164" w:rsidRPr="009853A3" w:rsidRDefault="00A16164" w:rsidP="004F0B02">
            <w:pPr>
              <w:pStyle w:val="TableBodyText"/>
              <w:keepNext w:val="0"/>
              <w:widowControl w:val="0"/>
              <w:jc w:val="left"/>
              <w:rPr>
                <w:b/>
              </w:rPr>
            </w:pPr>
            <w:r w:rsidRPr="009853A3">
              <w:rPr>
                <w:b/>
              </w:rPr>
              <w:t>Dementia services program</w:t>
            </w:r>
          </w:p>
        </w:tc>
        <w:tc>
          <w:tcPr>
            <w:tcW w:w="6379" w:type="dxa"/>
            <w:shd w:val="clear" w:color="auto" w:fill="FFFFFF" w:themeFill="background1"/>
          </w:tcPr>
          <w:p w:rsidR="00A16164" w:rsidRPr="009853A3" w:rsidRDefault="00A16164" w:rsidP="004F0B02">
            <w:pPr>
              <w:pStyle w:val="TableBodyText"/>
              <w:keepNext w:val="0"/>
              <w:widowControl w:val="0"/>
              <w:jc w:val="left"/>
            </w:pPr>
            <w:r w:rsidRPr="009853A3">
              <w:t xml:space="preserve">Includes flexible and innovative support, respite, counselling, information and referral services, education and leisure. The program includes meeting individual and immediate needs which cannot be met by other services, </w:t>
            </w:r>
            <w:r w:rsidRPr="009853A3">
              <w:lastRenderedPageBreak/>
              <w:t>through carer respite services and other carer support agencies. Inpatient services are excluded.</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lastRenderedPageBreak/>
              <w:t>Disability</w:t>
            </w:r>
          </w:p>
        </w:tc>
        <w:tc>
          <w:tcPr>
            <w:tcW w:w="6379" w:type="dxa"/>
          </w:tcPr>
          <w:p w:rsidR="00A16164" w:rsidRPr="009853A3" w:rsidRDefault="00A16164" w:rsidP="004F0B02">
            <w:pPr>
              <w:pStyle w:val="TableBodyText"/>
              <w:keepNext w:val="0"/>
              <w:widowControl w:val="0"/>
              <w:jc w:val="left"/>
            </w:pPr>
            <w:r w:rsidRPr="009853A3">
              <w:t>A limitation, restriction or impairment that has lasted, or is likely to last, for at least six months and restricts everyday activities.</w:t>
            </w:r>
          </w:p>
        </w:tc>
      </w:tr>
      <w:tr w:rsidR="00A16164" w:rsidRPr="009853A3" w:rsidTr="00C76A52">
        <w:tc>
          <w:tcPr>
            <w:tcW w:w="2410" w:type="dxa"/>
          </w:tcPr>
          <w:p w:rsidR="00A16164" w:rsidRPr="009853A3" w:rsidRDefault="00A16164" w:rsidP="00916688">
            <w:pPr>
              <w:pStyle w:val="TableBodyText"/>
              <w:keepNext w:val="0"/>
              <w:widowControl w:val="0"/>
              <w:jc w:val="left"/>
              <w:rPr>
                <w:b/>
              </w:rPr>
            </w:pPr>
            <w:r w:rsidRPr="009853A3">
              <w:rPr>
                <w:b/>
              </w:rPr>
              <w:t>E</w:t>
            </w:r>
            <w:r w:rsidR="00916688">
              <w:rPr>
                <w:b/>
              </w:rPr>
              <w:t xml:space="preserve">nterprise </w:t>
            </w:r>
            <w:r w:rsidR="00916688" w:rsidRPr="009853A3">
              <w:rPr>
                <w:b/>
              </w:rPr>
              <w:t>B</w:t>
            </w:r>
            <w:r w:rsidR="00916688">
              <w:rPr>
                <w:b/>
              </w:rPr>
              <w:t xml:space="preserve">argaining </w:t>
            </w:r>
            <w:r w:rsidRPr="009853A3">
              <w:rPr>
                <w:b/>
              </w:rPr>
              <w:t>A</w:t>
            </w:r>
            <w:r w:rsidR="00916688">
              <w:rPr>
                <w:b/>
              </w:rPr>
              <w:t xml:space="preserve">greement </w:t>
            </w:r>
            <w:r w:rsidRPr="009853A3">
              <w:rPr>
                <w:b/>
              </w:rPr>
              <w:t>supplement</w:t>
            </w:r>
          </w:p>
        </w:tc>
        <w:tc>
          <w:tcPr>
            <w:tcW w:w="6379" w:type="dxa"/>
          </w:tcPr>
          <w:p w:rsidR="00A16164" w:rsidRPr="009853A3" w:rsidRDefault="00A16164" w:rsidP="004F0B02">
            <w:pPr>
              <w:pStyle w:val="TableBodyText"/>
              <w:keepNext w:val="0"/>
              <w:widowControl w:val="0"/>
              <w:jc w:val="left"/>
            </w:pPr>
            <w:r w:rsidRPr="009853A3">
              <w:t>Payments made to supplement services for the extra costs associated with public sector enterprise bargaining agreements over and above those required by other wage Awards.</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t>Elapsed time</w:t>
            </w:r>
          </w:p>
        </w:tc>
        <w:tc>
          <w:tcPr>
            <w:tcW w:w="6379" w:type="dxa"/>
          </w:tcPr>
          <w:p w:rsidR="00A16164" w:rsidRPr="009853A3" w:rsidRDefault="00A16164" w:rsidP="00D1777F">
            <w:pPr>
              <w:pStyle w:val="TableBodyText"/>
              <w:keepNext w:val="0"/>
              <w:widowControl w:val="0"/>
              <w:jc w:val="left"/>
            </w:pPr>
            <w:r w:rsidRPr="009853A3">
              <w:t xml:space="preserve">The measure of the time elapsed between </w:t>
            </w:r>
            <w:r w:rsidR="005712D3">
              <w:t xml:space="preserve">an </w:t>
            </w:r>
            <w:r w:rsidRPr="009853A3">
              <w:t>ACAT approval and entry into a residential care service</w:t>
            </w:r>
            <w:r w:rsidR="005712D3">
              <w:t xml:space="preserve"> or commencement of Home Care</w:t>
            </w:r>
            <w:r w:rsidRPr="009853A3">
              <w:t xml:space="preserve">. </w:t>
            </w:r>
          </w:p>
        </w:tc>
      </w:tr>
      <w:tr w:rsidR="00A16164" w:rsidRPr="009853A3" w:rsidTr="0056376C">
        <w:tc>
          <w:tcPr>
            <w:tcW w:w="2410" w:type="dxa"/>
            <w:shd w:val="clear" w:color="auto" w:fill="FFFFFF" w:themeFill="background1"/>
          </w:tcPr>
          <w:p w:rsidR="00A16164" w:rsidRPr="009853A3" w:rsidRDefault="00A16164" w:rsidP="004F0B02">
            <w:pPr>
              <w:pStyle w:val="TableBodyText"/>
              <w:keepNext w:val="0"/>
              <w:widowControl w:val="0"/>
              <w:jc w:val="left"/>
              <w:rPr>
                <w:b/>
              </w:rPr>
            </w:pPr>
            <w:r>
              <w:rPr>
                <w:b/>
              </w:rPr>
              <w:t>HACC target population</w:t>
            </w:r>
          </w:p>
        </w:tc>
        <w:tc>
          <w:tcPr>
            <w:tcW w:w="6379" w:type="dxa"/>
            <w:shd w:val="clear" w:color="auto" w:fill="FFFFFF" w:themeFill="background1"/>
          </w:tcPr>
          <w:p w:rsidR="00A16164" w:rsidRPr="009853A3" w:rsidRDefault="00D1777F" w:rsidP="00C07DBA">
            <w:pPr>
              <w:pStyle w:val="TableBodyText"/>
              <w:keepNext w:val="0"/>
              <w:widowControl w:val="0"/>
              <w:jc w:val="left"/>
            </w:pPr>
            <w:r w:rsidRPr="00D1777F">
              <w:t>The HACC Target Population is people in the Australian community who, without basic maintenance and support services provided under the scope of the HACC Program, would be at risk of premature or inappropriate long term residential care, including older and frail people with moderate, severe or profound disabilities.</w:t>
            </w:r>
            <w:r w:rsidR="00E75264">
              <w:t xml:space="preserve"> </w:t>
            </w:r>
            <w:r w:rsidRPr="00D1777F">
              <w:t xml:space="preserve">The HACC Target Population is estimated by applying the proportion of all people with moderate, severe or profound disability in households, by sex and five year age groups, from the ABS 2012 </w:t>
            </w:r>
            <w:proofErr w:type="spellStart"/>
            <w:r w:rsidR="00C07DBA">
              <w:t>SDAC</w:t>
            </w:r>
            <w:proofErr w:type="spellEnd"/>
            <w:r w:rsidRPr="00D1777F">
              <w:t xml:space="preserve"> to Population projections by </w:t>
            </w:r>
            <w:r w:rsidR="00BD3E63">
              <w:t>Statistical Local Area</w:t>
            </w:r>
            <w:r w:rsidRPr="00D1777F">
              <w:t xml:space="preserve"> for 2012</w:t>
            </w:r>
            <w:r w:rsidR="00E75264">
              <w:t>–</w:t>
            </w:r>
            <w:r w:rsidRPr="00D1777F">
              <w:t>2027 (prepared by ABS according to assumptions agreed to by DSS) in each jurisdiction. To calculate the Indigenous 50</w:t>
            </w:r>
            <w:r w:rsidR="00E75264">
              <w:noBreakHyphen/>
            </w:r>
            <w:r w:rsidRPr="00D1777F">
              <w:t>64 year component of the HACC target population for older people, the proportion of all people aged 50</w:t>
            </w:r>
            <w:r w:rsidR="00E75264">
              <w:noBreakHyphen/>
            </w:r>
            <w:r w:rsidRPr="00D1777F">
              <w:t>64 years in households with moderate, severe or profound disability was multiplied by an additional Indigenous factor of 1.9 (from ABS unpublished analysis) and then applied to DSS Indigenous population projections in the 50</w:t>
            </w:r>
            <w:r w:rsidR="00B169DC">
              <w:noBreakHyphen/>
            </w:r>
            <w:r w:rsidRPr="00D1777F">
              <w:t>64 years age groups in each jurisdiction. The HACC target population from 2013</w:t>
            </w:r>
            <w:r w:rsidR="00E75264">
              <w:noBreakHyphen/>
            </w:r>
            <w:r w:rsidRPr="00D1777F">
              <w:t xml:space="preserve">14 is based on </w:t>
            </w:r>
            <w:r w:rsidR="009B3493">
              <w:t xml:space="preserve">the </w:t>
            </w:r>
            <w:proofErr w:type="spellStart"/>
            <w:r w:rsidR="00C07DBA">
              <w:t>SDAC</w:t>
            </w:r>
            <w:proofErr w:type="spellEnd"/>
            <w:r w:rsidRPr="00D1777F">
              <w:t xml:space="preserve"> 2012 while </w:t>
            </w:r>
            <w:proofErr w:type="spellStart"/>
            <w:r w:rsidRPr="00D1777F">
              <w:t>HACC</w:t>
            </w:r>
            <w:proofErr w:type="spellEnd"/>
            <w:r w:rsidR="00E75264">
              <w:t xml:space="preserve"> </w:t>
            </w:r>
            <w:r w:rsidRPr="00D1777F">
              <w:t xml:space="preserve">target populations for previous years are based on </w:t>
            </w:r>
            <w:proofErr w:type="spellStart"/>
            <w:r w:rsidRPr="00D1777F">
              <w:t>SDAC</w:t>
            </w:r>
            <w:proofErr w:type="spellEnd"/>
            <w:r w:rsidRPr="00D1777F">
              <w:t xml:space="preserve"> 2009. See table</w:t>
            </w:r>
            <w:r w:rsidR="00E75264">
              <w:t> </w:t>
            </w:r>
            <w:r w:rsidRPr="00D1777F">
              <w:t>13A.2 for details about the total population projections and the Aboriginal and Torres Strait Islander population used in these calculations.</w:t>
            </w:r>
            <w:r w:rsidR="00E75264">
              <w:t xml:space="preserve"> </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t>In</w:t>
            </w:r>
            <w:r w:rsidRPr="009853A3">
              <w:rPr>
                <w:b/>
              </w:rPr>
              <w:noBreakHyphen/>
              <w:t>home respite</w:t>
            </w:r>
          </w:p>
        </w:tc>
        <w:tc>
          <w:tcPr>
            <w:tcW w:w="6379" w:type="dxa"/>
          </w:tcPr>
          <w:p w:rsidR="00A16164" w:rsidRPr="009853A3" w:rsidRDefault="00A16164" w:rsidP="004F0B02">
            <w:pPr>
              <w:pStyle w:val="TableBodyText"/>
              <w:keepNext w:val="0"/>
              <w:widowControl w:val="0"/>
              <w:jc w:val="left"/>
            </w:pPr>
            <w:r w:rsidRPr="009853A3">
              <w:t>A short term alternative for usual care.</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t>People from non</w:t>
            </w:r>
            <w:r w:rsidRPr="009853A3">
              <w:rPr>
                <w:b/>
              </w:rPr>
              <w:noBreakHyphen/>
              <w:t>English speaking countries</w:t>
            </w:r>
          </w:p>
        </w:tc>
        <w:tc>
          <w:tcPr>
            <w:tcW w:w="6379" w:type="dxa"/>
          </w:tcPr>
          <w:p w:rsidR="00A16164" w:rsidRPr="009853A3" w:rsidRDefault="00A16164" w:rsidP="004F0B02">
            <w:pPr>
              <w:pStyle w:val="TableBodyText"/>
              <w:keepNext w:val="0"/>
              <w:widowControl w:val="0"/>
              <w:jc w:val="left"/>
            </w:pPr>
            <w:r w:rsidRPr="009853A3">
              <w:t>People who were born in non</w:t>
            </w:r>
            <w:r w:rsidRPr="009853A3">
              <w:noBreakHyphen/>
              <w:t>English speaking countries. English</w:t>
            </w:r>
            <w:r w:rsidRPr="009853A3">
              <w:noBreakHyphen/>
              <w:t>speaking countries are defined as Australia, New Zealand, the United Kingdom, Ireland, the United States, Canada and South Africa.</w:t>
            </w:r>
          </w:p>
        </w:tc>
      </w:tr>
      <w:tr w:rsidR="00A16164" w:rsidRPr="009853A3" w:rsidTr="00714775">
        <w:tc>
          <w:tcPr>
            <w:tcW w:w="2410" w:type="dxa"/>
            <w:shd w:val="clear" w:color="auto" w:fill="FFFFFF" w:themeFill="background1"/>
          </w:tcPr>
          <w:p w:rsidR="00A16164" w:rsidRPr="009853A3" w:rsidRDefault="00A16164" w:rsidP="004F0B02">
            <w:pPr>
              <w:pStyle w:val="TableBodyText"/>
              <w:keepNext w:val="0"/>
              <w:widowControl w:val="0"/>
              <w:jc w:val="left"/>
              <w:rPr>
                <w:b/>
              </w:rPr>
            </w:pPr>
            <w:r w:rsidRPr="009853A3">
              <w:rPr>
                <w:b/>
              </w:rPr>
              <w:t xml:space="preserve">People with </w:t>
            </w:r>
            <w:r w:rsidR="002A4167">
              <w:rPr>
                <w:b/>
              </w:rPr>
              <w:t xml:space="preserve">profound, severe and moderate </w:t>
            </w:r>
            <w:r>
              <w:rPr>
                <w:b/>
              </w:rPr>
              <w:t>disability</w:t>
            </w:r>
          </w:p>
        </w:tc>
        <w:tc>
          <w:tcPr>
            <w:tcW w:w="6379" w:type="dxa"/>
          </w:tcPr>
          <w:p w:rsidR="00A16164" w:rsidRDefault="00A16164" w:rsidP="004F0B02">
            <w:pPr>
              <w:pStyle w:val="TableBodyText"/>
              <w:keepNext w:val="0"/>
              <w:widowControl w:val="0"/>
              <w:jc w:val="left"/>
            </w:pPr>
            <w:r>
              <w:t xml:space="preserve">A person with a profound disability is unable to do, or always needs help with, a core activity task. </w:t>
            </w:r>
          </w:p>
          <w:p w:rsidR="00A16164" w:rsidRDefault="00A16164" w:rsidP="004F0B02">
            <w:pPr>
              <w:pStyle w:val="TableBodyText"/>
              <w:keepNext w:val="0"/>
              <w:widowControl w:val="0"/>
              <w:jc w:val="left"/>
            </w:pPr>
            <w:r>
              <w:t>A person with a severe disability:</w:t>
            </w:r>
          </w:p>
          <w:p w:rsidR="00A16164" w:rsidRDefault="00A16164" w:rsidP="004F0B02">
            <w:pPr>
              <w:pStyle w:val="TableBullet"/>
              <w:keepNext w:val="0"/>
              <w:widowControl w:val="0"/>
            </w:pPr>
            <w:r>
              <w:t xml:space="preserve">sometimes needs help with a core activity task, and/or </w:t>
            </w:r>
          </w:p>
          <w:p w:rsidR="00A16164" w:rsidRDefault="00A16164" w:rsidP="004F0B02">
            <w:pPr>
              <w:pStyle w:val="TableBullet"/>
              <w:keepNext w:val="0"/>
              <w:widowControl w:val="0"/>
            </w:pPr>
            <w:r>
              <w:t xml:space="preserve">has difficulty understanding or being understood by family or friends, or </w:t>
            </w:r>
          </w:p>
          <w:p w:rsidR="00A16164" w:rsidRDefault="00A16164" w:rsidP="004F0B02">
            <w:pPr>
              <w:pStyle w:val="TableBullet"/>
              <w:keepNext w:val="0"/>
              <w:widowControl w:val="0"/>
            </w:pPr>
            <w:r>
              <w:t>can communicate more easily using sign language or other non</w:t>
            </w:r>
            <w:r w:rsidR="009551A0">
              <w:noBreakHyphen/>
            </w:r>
            <w:r>
              <w:t>spoken forms of communication.</w:t>
            </w:r>
          </w:p>
          <w:p w:rsidR="00A16164" w:rsidRPr="009853A3" w:rsidRDefault="00A16164" w:rsidP="004F0B02">
            <w:pPr>
              <w:pStyle w:val="TableBodyText"/>
              <w:keepNext w:val="0"/>
              <w:widowControl w:val="0"/>
              <w:jc w:val="left"/>
            </w:pPr>
            <w:r>
              <w:t xml:space="preserve">A person with a moderate </w:t>
            </w:r>
            <w:r w:rsidRPr="00715E48">
              <w:t xml:space="preserve">disability </w:t>
            </w:r>
            <w:r>
              <w:t>needs no help, but has difficulty with a core activity task.</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t>Personal care</w:t>
            </w:r>
          </w:p>
        </w:tc>
        <w:tc>
          <w:tcPr>
            <w:tcW w:w="6379" w:type="dxa"/>
          </w:tcPr>
          <w:p w:rsidR="00A16164" w:rsidRPr="009853A3" w:rsidRDefault="00A16164" w:rsidP="004F0B02">
            <w:pPr>
              <w:pStyle w:val="TableBodyText"/>
              <w:keepNext w:val="0"/>
              <w:widowControl w:val="0"/>
              <w:jc w:val="left"/>
            </w:pPr>
            <w:r w:rsidRPr="009853A3">
              <w:t>Assistance in undertaking personal tasks (for example, bathing).</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t>Places</w:t>
            </w:r>
          </w:p>
        </w:tc>
        <w:tc>
          <w:tcPr>
            <w:tcW w:w="6379" w:type="dxa"/>
          </w:tcPr>
          <w:p w:rsidR="00A16164" w:rsidRPr="009853A3" w:rsidRDefault="00A16164" w:rsidP="004F0B02">
            <w:pPr>
              <w:pStyle w:val="TableBodyText"/>
              <w:keepNext w:val="0"/>
              <w:widowControl w:val="0"/>
              <w:jc w:val="left"/>
            </w:pPr>
            <w:r w:rsidRPr="009853A3">
              <w:t>A capacity within an aged care service for the provision of residential care, community care or flexible care in the residential care context to an individual (</w:t>
            </w:r>
            <w:r w:rsidRPr="009853A3">
              <w:rPr>
                <w:i/>
              </w:rPr>
              <w:t>Aged Care Act 1997 (</w:t>
            </w:r>
            <w:proofErr w:type="spellStart"/>
            <w:r w:rsidRPr="009853A3">
              <w:rPr>
                <w:i/>
              </w:rPr>
              <w:t>Cwlth</w:t>
            </w:r>
            <w:proofErr w:type="spellEnd"/>
            <w:r w:rsidRPr="009853A3">
              <w:rPr>
                <w:i/>
              </w:rPr>
              <w:t>)</w:t>
            </w:r>
            <w:r w:rsidRPr="009853A3">
              <w:t>); also refers to ‘beds’ (</w:t>
            </w:r>
            <w:r w:rsidRPr="009853A3">
              <w:rPr>
                <w:i/>
              </w:rPr>
              <w:t>Aged Care (Consequential Provisions) Act 1997 (</w:t>
            </w:r>
            <w:proofErr w:type="spellStart"/>
            <w:r w:rsidRPr="009853A3">
              <w:rPr>
                <w:i/>
              </w:rPr>
              <w:t>Cwlth</w:t>
            </w:r>
            <w:proofErr w:type="spellEnd"/>
            <w:r w:rsidRPr="009853A3">
              <w:rPr>
                <w:i/>
              </w:rPr>
              <w:t>)</w:t>
            </w:r>
            <w:r w:rsidRPr="009853A3">
              <w:t xml:space="preserve">, </w:t>
            </w:r>
            <w:proofErr w:type="spellStart"/>
            <w:r w:rsidRPr="009853A3">
              <w:t>s.16</w:t>
            </w:r>
            <w:proofErr w:type="spellEnd"/>
            <w:r w:rsidRPr="009853A3">
              <w:t>).</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t>Real expenditure</w:t>
            </w:r>
          </w:p>
        </w:tc>
        <w:tc>
          <w:tcPr>
            <w:tcW w:w="6379" w:type="dxa"/>
          </w:tcPr>
          <w:p w:rsidR="00A16164" w:rsidRPr="009853A3" w:rsidRDefault="00A16164" w:rsidP="00916688">
            <w:pPr>
              <w:pStyle w:val="TableBodyText"/>
              <w:keepNext w:val="0"/>
              <w:widowControl w:val="0"/>
              <w:jc w:val="left"/>
            </w:pPr>
            <w:r w:rsidRPr="009853A3">
              <w:t xml:space="preserve">Actual expenditure adjusted for changes in prices, </w:t>
            </w:r>
            <w:r w:rsidR="00D1777F" w:rsidRPr="00D1777F">
              <w:t>using the General Government Final Consumption Expenditure chain price deflator</w:t>
            </w:r>
            <w:r w:rsidRPr="009853A3">
              <w:t>.</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t>Resident</w:t>
            </w:r>
          </w:p>
        </w:tc>
        <w:tc>
          <w:tcPr>
            <w:tcW w:w="6379" w:type="dxa"/>
          </w:tcPr>
          <w:p w:rsidR="00A16164" w:rsidRPr="009853A3" w:rsidRDefault="00A16164" w:rsidP="004F0B02">
            <w:pPr>
              <w:pStyle w:val="TableBodyText"/>
              <w:keepNext w:val="0"/>
              <w:widowControl w:val="0"/>
              <w:jc w:val="left"/>
            </w:pPr>
            <w:r w:rsidRPr="009853A3">
              <w:t xml:space="preserve">For the purposes of the </w:t>
            </w:r>
            <w:r w:rsidRPr="009853A3">
              <w:rPr>
                <w:i/>
              </w:rPr>
              <w:t>Aged Care Act 1997</w:t>
            </w:r>
            <w:r w:rsidRPr="009853A3">
              <w:t>, a person who is being provided with residential care through an aged care service conducted by an approved provider under the Act.</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t>Respite care</w:t>
            </w:r>
          </w:p>
        </w:tc>
        <w:tc>
          <w:tcPr>
            <w:tcW w:w="6379" w:type="dxa"/>
          </w:tcPr>
          <w:p w:rsidR="00A16164" w:rsidRPr="009853A3" w:rsidRDefault="00A16164" w:rsidP="004F0B02">
            <w:pPr>
              <w:pStyle w:val="TableBodyText"/>
              <w:keepNext w:val="0"/>
              <w:widowControl w:val="0"/>
              <w:jc w:val="left"/>
            </w:pPr>
            <w:r w:rsidRPr="009853A3">
              <w:t>Alternative care arrangements for dependent people living in the community, with the primary purpose of giving a carer or a care recipient a short term break from their usual care arrangement.</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t>Rural small nursing home supplement</w:t>
            </w:r>
          </w:p>
        </w:tc>
        <w:tc>
          <w:tcPr>
            <w:tcW w:w="6379" w:type="dxa"/>
          </w:tcPr>
          <w:p w:rsidR="00A16164" w:rsidRPr="009853A3" w:rsidRDefault="00A16164" w:rsidP="004F0B02">
            <w:pPr>
              <w:pStyle w:val="TableBodyText"/>
              <w:keepNext w:val="0"/>
              <w:widowControl w:val="0"/>
              <w:jc w:val="left"/>
            </w:pPr>
            <w:r w:rsidRPr="009853A3">
              <w:t>Payments made by states and territories to small sized public sector residential aged care facilities (up to 30 places) that are located in rural areas. Three levels of supplement are paid to facilities varying in size from 10 to 20 and 30 places.</w:t>
            </w:r>
          </w:p>
        </w:tc>
      </w:tr>
      <w:tr w:rsidR="00A16164" w:rsidRPr="009853A3" w:rsidTr="00C76A52">
        <w:tc>
          <w:tcPr>
            <w:tcW w:w="2410" w:type="dxa"/>
          </w:tcPr>
          <w:p w:rsidR="00A16164" w:rsidRPr="009853A3" w:rsidRDefault="00A16164" w:rsidP="004F0B02">
            <w:pPr>
              <w:pStyle w:val="TableBodyText"/>
              <w:keepNext w:val="0"/>
              <w:widowControl w:val="0"/>
              <w:jc w:val="left"/>
              <w:rPr>
                <w:b/>
              </w:rPr>
            </w:pPr>
            <w:r w:rsidRPr="009853A3">
              <w:rPr>
                <w:b/>
              </w:rPr>
              <w:t>Special needs groups</w:t>
            </w:r>
          </w:p>
        </w:tc>
        <w:tc>
          <w:tcPr>
            <w:tcW w:w="6379" w:type="dxa"/>
            <w:shd w:val="clear" w:color="auto" w:fill="FFFFFF" w:themeFill="background1"/>
          </w:tcPr>
          <w:p w:rsidR="00A16164" w:rsidRPr="009853A3" w:rsidRDefault="00A16164" w:rsidP="00916688">
            <w:pPr>
              <w:pStyle w:val="TableBodyText"/>
              <w:keepNext w:val="0"/>
              <w:widowControl w:val="0"/>
              <w:jc w:val="left"/>
            </w:pPr>
            <w:r w:rsidRPr="009853A3">
              <w:t>Section 11</w:t>
            </w:r>
            <w:r w:rsidRPr="009853A3">
              <w:noBreakHyphen/>
              <w:t xml:space="preserve">3 of the </w:t>
            </w:r>
            <w:r w:rsidRPr="009853A3">
              <w:rPr>
                <w:i/>
              </w:rPr>
              <w:t>Aged Care Act 1997</w:t>
            </w:r>
            <w:r w:rsidRPr="009853A3">
              <w:t xml:space="preserve">, specifies the following people as people with special needs: people from Aboriginal and Torres Strait Islander communities; people from culturally and linguistically diverse backgrounds; </w:t>
            </w:r>
            <w:r w:rsidRPr="009853A3">
              <w:lastRenderedPageBreak/>
              <w:t>veterans; people who live in rural or remote areas; people who are financially or socially disadvantaged; people who are homeless or at risk of becoming homeless; care</w:t>
            </w:r>
            <w:r w:rsidRPr="009853A3">
              <w:noBreakHyphen/>
              <w:t>leavers; parents separated from their children by forced adoption or removal; and lesbian, gay, bise</w:t>
            </w:r>
            <w:r w:rsidR="00916688">
              <w:t xml:space="preserve">xual, transgender and intersex </w:t>
            </w:r>
            <w:r w:rsidRPr="009853A3">
              <w:t>people.</w:t>
            </w:r>
          </w:p>
        </w:tc>
      </w:tr>
      <w:tr w:rsidR="00A16164" w:rsidRPr="009853A3" w:rsidTr="0056376C">
        <w:tc>
          <w:tcPr>
            <w:tcW w:w="2410" w:type="dxa"/>
            <w:shd w:val="clear" w:color="auto" w:fill="FFFFFF" w:themeFill="background1"/>
          </w:tcPr>
          <w:p w:rsidR="00A16164" w:rsidRPr="009853A3" w:rsidRDefault="00A16164" w:rsidP="004F0B02">
            <w:pPr>
              <w:pStyle w:val="TableBodyText"/>
              <w:keepNext w:val="0"/>
              <w:widowControl w:val="0"/>
              <w:jc w:val="left"/>
              <w:rPr>
                <w:b/>
              </w:rPr>
            </w:pPr>
            <w:r w:rsidRPr="009853A3">
              <w:rPr>
                <w:b/>
              </w:rPr>
              <w:lastRenderedPageBreak/>
              <w:t>Veterans</w:t>
            </w:r>
          </w:p>
        </w:tc>
        <w:tc>
          <w:tcPr>
            <w:tcW w:w="6379" w:type="dxa"/>
            <w:shd w:val="clear" w:color="auto" w:fill="FFFFFF" w:themeFill="background1"/>
          </w:tcPr>
          <w:p w:rsidR="00A16164" w:rsidRPr="009853A3" w:rsidRDefault="00A16164" w:rsidP="004F0B02">
            <w:pPr>
              <w:pStyle w:val="TableBodyText"/>
              <w:keepNext w:val="0"/>
              <w:widowControl w:val="0"/>
              <w:jc w:val="left"/>
            </w:pPr>
            <w:r>
              <w:rPr>
                <w:sz w:val="20"/>
              </w:rPr>
              <w:t xml:space="preserve">Veterans, war widows, widowers and dependants who hold a Repatriation Health Card and are entitled to health services and treatment under the </w:t>
            </w:r>
            <w:r>
              <w:rPr>
                <w:i/>
                <w:iCs/>
                <w:sz w:val="20"/>
              </w:rPr>
              <w:t>Veterans’ Entitlements Act 1986</w:t>
            </w:r>
            <w:r>
              <w:rPr>
                <w:sz w:val="20"/>
              </w:rPr>
              <w:t xml:space="preserve"> (</w:t>
            </w:r>
            <w:proofErr w:type="spellStart"/>
            <w:r>
              <w:rPr>
                <w:sz w:val="20"/>
              </w:rPr>
              <w:t>VEA</w:t>
            </w:r>
            <w:proofErr w:type="spellEnd"/>
            <w:r>
              <w:rPr>
                <w:sz w:val="20"/>
              </w:rPr>
              <w:t xml:space="preserve">), </w:t>
            </w:r>
            <w:r>
              <w:rPr>
                <w:i/>
                <w:iCs/>
                <w:sz w:val="20"/>
              </w:rPr>
              <w:t>Safety, Rehabilitation and Compensation Act 1988</w:t>
            </w:r>
            <w:r>
              <w:rPr>
                <w:sz w:val="20"/>
              </w:rPr>
              <w:t xml:space="preserve"> (</w:t>
            </w:r>
            <w:proofErr w:type="spellStart"/>
            <w:r>
              <w:rPr>
                <w:sz w:val="20"/>
              </w:rPr>
              <w:t>SRCA</w:t>
            </w:r>
            <w:proofErr w:type="spellEnd"/>
            <w:r>
              <w:rPr>
                <w:sz w:val="20"/>
              </w:rPr>
              <w:t xml:space="preserve">) or the </w:t>
            </w:r>
            <w:r>
              <w:rPr>
                <w:i/>
                <w:iCs/>
                <w:sz w:val="20"/>
              </w:rPr>
              <w:t>Military Rehabilitation and Compensation Act 2004</w:t>
            </w:r>
            <w:r>
              <w:rPr>
                <w:sz w:val="20"/>
              </w:rPr>
              <w:t xml:space="preserve"> (</w:t>
            </w:r>
            <w:proofErr w:type="spellStart"/>
            <w:r>
              <w:rPr>
                <w:sz w:val="20"/>
              </w:rPr>
              <w:t>MRCA</w:t>
            </w:r>
            <w:proofErr w:type="spellEnd"/>
            <w:r>
              <w:rPr>
                <w:sz w:val="20"/>
              </w:rPr>
              <w:t>).</w:t>
            </w:r>
          </w:p>
        </w:tc>
      </w:tr>
    </w:tbl>
    <w:p w:rsidR="009853A3" w:rsidRDefault="009853A3" w:rsidP="009853A3">
      <w:pPr>
        <w:pStyle w:val="Heading2"/>
      </w:pPr>
      <w:bookmarkStart w:id="24" w:name="_Toc432170529"/>
      <w:r>
        <w:t>13.</w:t>
      </w:r>
      <w:r w:rsidR="006A5448">
        <w:rPr>
          <w:noProof/>
        </w:rPr>
        <w:t>6</w:t>
      </w:r>
      <w:r>
        <w:tab/>
        <w:t>List of attachment tables</w:t>
      </w:r>
      <w:bookmarkEnd w:id="24"/>
    </w:p>
    <w:p w:rsidR="009853A3" w:rsidRDefault="009853A3" w:rsidP="009853A3">
      <w:pPr>
        <w:pStyle w:val="BodyText"/>
      </w:pPr>
      <w:r>
        <w:t>Attachment tables are identified in references throughout this chapter by a ‘</w:t>
      </w:r>
      <w:proofErr w:type="spellStart"/>
      <w:r>
        <w:t>13A</w:t>
      </w:r>
      <w:proofErr w:type="spellEnd"/>
      <w:r>
        <w:t>’ prefix (for example, table</w:t>
      </w:r>
      <w:r w:rsidR="009551A0">
        <w:t> </w:t>
      </w:r>
      <w:proofErr w:type="spellStart"/>
      <w:r>
        <w:t>13A.1</w:t>
      </w:r>
      <w:proofErr w:type="spellEnd"/>
      <w:r>
        <w:t xml:space="preserve">). Attachment tables are available on the website </w:t>
      </w:r>
      <w:r w:rsidRPr="003B6056">
        <w:t>(</w:t>
      </w:r>
      <w:proofErr w:type="spellStart"/>
      <w:r w:rsidR="003A05B8" w:rsidRPr="003A05B8">
        <w:t>www.pc.gov.au</w:t>
      </w:r>
      <w:proofErr w:type="spellEnd"/>
      <w:r w:rsidR="003A05B8" w:rsidRPr="003A05B8">
        <w:t>/</w:t>
      </w:r>
      <w:proofErr w:type="spellStart"/>
      <w:r w:rsidR="003A05B8" w:rsidRPr="003A05B8">
        <w:t>rogs</w:t>
      </w:r>
      <w:proofErr w:type="spellEnd"/>
      <w:r w:rsidR="003A05B8" w:rsidRPr="003A05B8">
        <w:t>/2016</w:t>
      </w:r>
      <w:r w:rsidRPr="003A05B8">
        <w:t>)</w:t>
      </w:r>
      <w:r>
        <w:t>.</w:t>
      </w:r>
    </w:p>
    <w:p w:rsidR="00E75B69" w:rsidRDefault="00E75B69" w:rsidP="003D233C">
      <w:pPr>
        <w:pStyle w:val="BodyText"/>
      </w:pPr>
    </w:p>
    <w:tbl>
      <w:tblPr>
        <w:tblW w:w="8826" w:type="dxa"/>
        <w:tblInd w:w="108" w:type="dxa"/>
        <w:tblLook w:val="04A0" w:firstRow="1" w:lastRow="0" w:firstColumn="1" w:lastColumn="0" w:noHBand="0" w:noVBand="1"/>
      </w:tblPr>
      <w:tblGrid>
        <w:gridCol w:w="1456"/>
        <w:gridCol w:w="7370"/>
      </w:tblGrid>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13A.1</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People aged 65 and over, by sex and remoteness, 30</w:t>
            </w:r>
            <w:r w:rsidR="00E75264">
              <w:rPr>
                <w:rFonts w:ascii="Arial" w:hAnsi="Arial" w:cs="Arial"/>
                <w:sz w:val="20"/>
                <w:szCs w:val="20"/>
              </w:rPr>
              <w:t> </w:t>
            </w:r>
            <w:r w:rsidRPr="00E75B69">
              <w:rPr>
                <w:rFonts w:ascii="Arial" w:hAnsi="Arial" w:cs="Arial"/>
                <w:sz w:val="20"/>
                <w:szCs w:val="20"/>
              </w:rPr>
              <w:t>June 2015</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13A.2</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Aged care target population, by remoteness areas (</w:t>
            </w:r>
            <w:r w:rsidR="00E75264">
              <w:rPr>
                <w:rFonts w:ascii="Arial" w:hAnsi="Arial" w:cs="Arial"/>
                <w:sz w:val="20"/>
                <w:szCs w:val="20"/>
              </w:rPr>
              <w:t>‘</w:t>
            </w:r>
            <w:r w:rsidRPr="00E75B69">
              <w:rPr>
                <w:rFonts w:ascii="Arial" w:hAnsi="Arial" w:cs="Arial"/>
                <w:sz w:val="20"/>
                <w:szCs w:val="20"/>
              </w:rPr>
              <w:t>000)</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13A.3</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People receiving aged care services, 2014</w:t>
            </w:r>
            <w:r w:rsidR="00E75264">
              <w:rPr>
                <w:rFonts w:ascii="Arial" w:hAnsi="Arial" w:cs="Arial"/>
                <w:sz w:val="20"/>
                <w:szCs w:val="20"/>
              </w:rPr>
              <w:noBreakHyphen/>
            </w:r>
            <w:r w:rsidRPr="00E75B69">
              <w:rPr>
                <w:rFonts w:ascii="Arial" w:hAnsi="Arial" w:cs="Arial"/>
                <w:sz w:val="20"/>
                <w:szCs w:val="20"/>
              </w:rPr>
              <w:t>15</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13A.4</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Government expenditure on aged care services, 2014</w:t>
            </w:r>
            <w:r w:rsidR="00E75264">
              <w:rPr>
                <w:rFonts w:ascii="Arial" w:hAnsi="Arial" w:cs="Arial"/>
                <w:sz w:val="20"/>
                <w:szCs w:val="20"/>
              </w:rPr>
              <w:noBreakHyphen/>
            </w:r>
            <w:r w:rsidRPr="00E75B69">
              <w:rPr>
                <w:rFonts w:ascii="Arial" w:hAnsi="Arial" w:cs="Arial"/>
                <w:sz w:val="20"/>
                <w:szCs w:val="20"/>
              </w:rPr>
              <w:t>15 ($ million)</w:t>
            </w:r>
            <w:r w:rsidR="00E75264">
              <w:rPr>
                <w:rFonts w:ascii="Arial" w:hAnsi="Arial" w:cs="Arial"/>
                <w:sz w:val="20"/>
                <w:szCs w:val="20"/>
              </w:rPr>
              <w:t xml:space="preserve"> </w:t>
            </w:r>
          </w:p>
        </w:tc>
      </w:tr>
      <w:tr w:rsidR="00E75B69" w:rsidRPr="00E75B69" w:rsidTr="00C4322A">
        <w:trPr>
          <w:trHeight w:val="567"/>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13A.5</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 xml:space="preserve">Government real expenditure on aged care services, by program type </w:t>
            </w:r>
            <w:r w:rsidR="00C4322A">
              <w:rPr>
                <w:rFonts w:ascii="Arial" w:hAnsi="Arial" w:cs="Arial"/>
                <w:sz w:val="20"/>
                <w:szCs w:val="20"/>
              </w:rPr>
              <w:br/>
            </w:r>
            <w:r w:rsidRPr="00E75B69">
              <w:rPr>
                <w:rFonts w:ascii="Arial" w:hAnsi="Arial" w:cs="Arial"/>
                <w:sz w:val="20"/>
                <w:szCs w:val="20"/>
              </w:rPr>
              <w:t>(2014</w:t>
            </w:r>
            <w:r w:rsidR="00E75264">
              <w:rPr>
                <w:rFonts w:ascii="Arial" w:hAnsi="Arial" w:cs="Arial"/>
                <w:sz w:val="20"/>
                <w:szCs w:val="20"/>
              </w:rPr>
              <w:noBreakHyphen/>
            </w:r>
            <w:r w:rsidRPr="00E75B69">
              <w:rPr>
                <w:rFonts w:ascii="Arial" w:hAnsi="Arial" w:cs="Arial"/>
                <w:sz w:val="20"/>
                <w:szCs w:val="20"/>
              </w:rPr>
              <w:t>15$)</w:t>
            </w:r>
            <w:r w:rsidR="00E75264">
              <w:rPr>
                <w:rFonts w:ascii="Arial" w:hAnsi="Arial" w:cs="Arial"/>
                <w:sz w:val="20"/>
                <w:szCs w:val="20"/>
              </w:rPr>
              <w:t xml:space="preserve"> </w:t>
            </w:r>
          </w:p>
        </w:tc>
      </w:tr>
      <w:tr w:rsidR="00E75B69" w:rsidRPr="00E75B69" w:rsidTr="00C4322A">
        <w:trPr>
          <w:trHeight w:val="567"/>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13A.6</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Australian Government (DoHA/DSS) real expenditure on assessment and information services (2014</w:t>
            </w:r>
            <w:r w:rsidR="00E75264">
              <w:rPr>
                <w:rFonts w:ascii="Arial" w:hAnsi="Arial" w:cs="Arial"/>
                <w:sz w:val="20"/>
                <w:szCs w:val="20"/>
              </w:rPr>
              <w:noBreakHyphen/>
            </w:r>
            <w:r w:rsidRPr="00E75B69">
              <w:rPr>
                <w:rFonts w:ascii="Arial" w:hAnsi="Arial" w:cs="Arial"/>
                <w:sz w:val="20"/>
                <w:szCs w:val="20"/>
              </w:rPr>
              <w:t xml:space="preserve">15$) </w:t>
            </w:r>
          </w:p>
        </w:tc>
      </w:tr>
      <w:tr w:rsidR="00E75B69" w:rsidRPr="00E75B69" w:rsidTr="00C4322A">
        <w:trPr>
          <w:trHeight w:val="357"/>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13A.7</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Government real expenditure on home care and support services (2014</w:t>
            </w:r>
            <w:r w:rsidR="00E75264">
              <w:rPr>
                <w:rFonts w:ascii="Arial" w:hAnsi="Arial" w:cs="Arial"/>
                <w:sz w:val="20"/>
                <w:szCs w:val="20"/>
              </w:rPr>
              <w:noBreakHyphen/>
            </w:r>
            <w:r w:rsidRPr="00E75B69">
              <w:rPr>
                <w:rFonts w:ascii="Arial" w:hAnsi="Arial" w:cs="Arial"/>
                <w:sz w:val="20"/>
                <w:szCs w:val="20"/>
              </w:rPr>
              <w:t xml:space="preserve">15$) </w:t>
            </w:r>
          </w:p>
        </w:tc>
      </w:tr>
      <w:tr w:rsidR="00E75B69" w:rsidRPr="00E75B69" w:rsidTr="000A5762">
        <w:trPr>
          <w:trHeight w:val="496"/>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13A.8</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Government real expenditure on residential care and flexible care services</w:t>
            </w:r>
            <w:r w:rsidR="00E75264">
              <w:rPr>
                <w:rFonts w:ascii="Arial" w:hAnsi="Arial" w:cs="Arial"/>
                <w:sz w:val="20"/>
                <w:szCs w:val="20"/>
              </w:rPr>
              <w:t xml:space="preserve"> </w:t>
            </w:r>
            <w:r w:rsidRPr="00E75B69">
              <w:rPr>
                <w:rFonts w:ascii="Arial" w:hAnsi="Arial" w:cs="Arial"/>
                <w:sz w:val="20"/>
                <w:szCs w:val="20"/>
              </w:rPr>
              <w:t>(2014</w:t>
            </w:r>
            <w:r w:rsidR="00E75264">
              <w:rPr>
                <w:rFonts w:ascii="Arial" w:hAnsi="Arial" w:cs="Arial"/>
                <w:sz w:val="20"/>
                <w:szCs w:val="20"/>
              </w:rPr>
              <w:noBreakHyphen/>
            </w:r>
            <w:r w:rsidRPr="00E75B69">
              <w:rPr>
                <w:rFonts w:ascii="Arial" w:hAnsi="Arial" w:cs="Arial"/>
                <w:sz w:val="20"/>
                <w:szCs w:val="20"/>
              </w:rPr>
              <w:t xml:space="preserve">15$) </w:t>
            </w:r>
          </w:p>
        </w:tc>
      </w:tr>
      <w:tr w:rsidR="00E75B69" w:rsidRPr="00E75B69" w:rsidTr="00C4322A">
        <w:trPr>
          <w:trHeight w:val="567"/>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13A.9</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State and Territory governments</w:t>
            </w:r>
            <w:r w:rsidR="00E75264">
              <w:rPr>
                <w:rFonts w:ascii="Arial" w:hAnsi="Arial" w:cs="Arial"/>
                <w:sz w:val="20"/>
                <w:szCs w:val="20"/>
              </w:rPr>
              <w:t xml:space="preserve">’ </w:t>
            </w:r>
            <w:r w:rsidRPr="00E75B69">
              <w:rPr>
                <w:rFonts w:ascii="Arial" w:hAnsi="Arial" w:cs="Arial"/>
                <w:sz w:val="20"/>
                <w:szCs w:val="20"/>
              </w:rPr>
              <w:t>aged care related expenditure ($2014</w:t>
            </w:r>
            <w:r w:rsidR="00E75264">
              <w:rPr>
                <w:rFonts w:ascii="Arial" w:hAnsi="Arial" w:cs="Arial"/>
                <w:sz w:val="20"/>
                <w:szCs w:val="20"/>
              </w:rPr>
              <w:noBreakHyphen/>
            </w:r>
            <w:r w:rsidRPr="00E75B69">
              <w:rPr>
                <w:rFonts w:ascii="Arial" w:hAnsi="Arial" w:cs="Arial"/>
                <w:sz w:val="20"/>
                <w:szCs w:val="20"/>
              </w:rPr>
              <w:t xml:space="preserve">15 million)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13A.10</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Real capital expenditure on aged care services (2014</w:t>
            </w:r>
            <w:r w:rsidR="00E75264">
              <w:rPr>
                <w:rFonts w:ascii="Arial" w:hAnsi="Arial" w:cs="Arial"/>
                <w:sz w:val="20"/>
                <w:szCs w:val="20"/>
              </w:rPr>
              <w:noBreakHyphen/>
            </w:r>
            <w:r w:rsidRPr="00E75B69">
              <w:rPr>
                <w:rFonts w:ascii="Arial" w:hAnsi="Arial" w:cs="Arial"/>
                <w:sz w:val="20"/>
                <w:szCs w:val="20"/>
              </w:rPr>
              <w:t>15 $million)</w:t>
            </w:r>
            <w:r w:rsidR="00E75264">
              <w:rPr>
                <w:rFonts w:ascii="Arial" w:hAnsi="Arial" w:cs="Arial"/>
                <w:sz w:val="20"/>
                <w:szCs w:val="20"/>
              </w:rPr>
              <w:t xml:space="preserve"> </w:t>
            </w:r>
          </w:p>
        </w:tc>
      </w:tr>
      <w:tr w:rsidR="00E75B69" w:rsidRPr="00E75B69" w:rsidTr="00C4322A">
        <w:trPr>
          <w:trHeight w:val="567"/>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13A.11</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Australian Government (DVA) Veterans</w:t>
            </w:r>
            <w:r w:rsidR="00E75264">
              <w:rPr>
                <w:rFonts w:ascii="Arial" w:hAnsi="Arial" w:cs="Arial"/>
                <w:sz w:val="20"/>
                <w:szCs w:val="20"/>
              </w:rPr>
              <w:t>’</w:t>
            </w:r>
            <w:r w:rsidRPr="00E75B69">
              <w:rPr>
                <w:rFonts w:ascii="Arial" w:hAnsi="Arial" w:cs="Arial"/>
                <w:sz w:val="20"/>
                <w:szCs w:val="20"/>
              </w:rPr>
              <w:t xml:space="preserve"> Home Care (VHC) and Community Nursing programs, 2014</w:t>
            </w:r>
            <w:r w:rsidR="00E75264">
              <w:rPr>
                <w:rFonts w:ascii="Arial" w:hAnsi="Arial" w:cs="Arial"/>
                <w:sz w:val="20"/>
                <w:szCs w:val="20"/>
              </w:rPr>
              <w:noBreakHyphen/>
            </w:r>
            <w:r w:rsidRPr="00E75B69">
              <w:rPr>
                <w:rFonts w:ascii="Arial" w:hAnsi="Arial" w:cs="Arial"/>
                <w:sz w:val="20"/>
                <w:szCs w:val="20"/>
              </w:rPr>
              <w:t>15</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13A.12</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Australian Government (DVA) residential aged care clients</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13A.13</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Australian Government Activity Measures on selected Aged Care Programs</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13A.14</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 xml:space="preserve">Ownership of operational residential aged care places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13A.15</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 xml:space="preserve">Ownership of operational Home Care places </w:t>
            </w:r>
          </w:p>
        </w:tc>
      </w:tr>
      <w:tr w:rsidR="00E75B69" w:rsidRPr="00E75B69" w:rsidTr="00C4322A">
        <w:trPr>
          <w:trHeight w:val="76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13A.16</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 xml:space="preserve">Average annual Australian Government basic subsidy amount, including Conditional Adjustment Payment, per occupied place and the dependency level of aged care residents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13A.17</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Size and distribution of all residential aged care services</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13A.18</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Operational number of aged care places, 30 June</w:t>
            </w:r>
            <w:r w:rsidR="00E75264">
              <w:rPr>
                <w:rFonts w:ascii="Arial" w:hAnsi="Arial" w:cs="Arial"/>
                <w:sz w:val="20"/>
                <w:szCs w:val="20"/>
              </w:rPr>
              <w:t xml:space="preserve"> </w:t>
            </w:r>
          </w:p>
        </w:tc>
      </w:tr>
      <w:tr w:rsidR="00E75B69" w:rsidRPr="00E75B69" w:rsidTr="00C4322A">
        <w:trPr>
          <w:trHeight w:val="526"/>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13A.19</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Operational number of aged care places per 1000 people aged 70 years or over, 30 June</w:t>
            </w:r>
            <w:r w:rsidR="00E75264">
              <w:rPr>
                <w:rFonts w:ascii="Arial" w:hAnsi="Arial" w:cs="Arial"/>
                <w:sz w:val="20"/>
                <w:szCs w:val="20"/>
              </w:rPr>
              <w:t xml:space="preserve"> </w:t>
            </w:r>
          </w:p>
        </w:tc>
      </w:tr>
      <w:tr w:rsidR="00E75B69" w:rsidRPr="00E75B69" w:rsidTr="00C4322A">
        <w:trPr>
          <w:trHeight w:val="59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lastRenderedPageBreak/>
              <w:t>Table</w:t>
            </w:r>
            <w:r w:rsidR="00E75264">
              <w:rPr>
                <w:rFonts w:ascii="Arial" w:hAnsi="Arial" w:cs="Arial"/>
                <w:b/>
                <w:bCs/>
                <w:color w:val="0000FF"/>
                <w:sz w:val="20"/>
                <w:szCs w:val="20"/>
              </w:rPr>
              <w:t> </w:t>
            </w:r>
            <w:r w:rsidRPr="00E75B69">
              <w:rPr>
                <w:rFonts w:ascii="Arial" w:hAnsi="Arial" w:cs="Arial"/>
                <w:b/>
                <w:bCs/>
                <w:color w:val="0000FF"/>
                <w:sz w:val="20"/>
                <w:szCs w:val="20"/>
              </w:rPr>
              <w:t>13A.20</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Operational number of aged care places per 1000 people aged 70 years or over and Aboriginal and Torres Strait Islander Australians aged 50–69 years, 30 June</w:t>
            </w:r>
            <w:r w:rsidR="00E75264">
              <w:rPr>
                <w:rFonts w:ascii="Arial" w:hAnsi="Arial" w:cs="Arial"/>
                <w:sz w:val="20"/>
                <w:szCs w:val="20"/>
              </w:rPr>
              <w:t xml:space="preserve"> </w:t>
            </w:r>
          </w:p>
        </w:tc>
      </w:tr>
      <w:tr w:rsidR="00E75B69" w:rsidRPr="00E75B69" w:rsidTr="00C4322A">
        <w:trPr>
          <w:trHeight w:val="59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13A.21</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Residential and community aged care places per 1000 population aged 70 years or over and Indigenous aged 50–69 years, by remoteness, 30</w:t>
            </w:r>
            <w:r w:rsidR="00E75264">
              <w:rPr>
                <w:rFonts w:ascii="Arial" w:hAnsi="Arial" w:cs="Arial"/>
                <w:sz w:val="20"/>
                <w:szCs w:val="20"/>
              </w:rPr>
              <w:t> </w:t>
            </w:r>
            <w:r w:rsidRPr="00E75B69">
              <w:rPr>
                <w:rFonts w:ascii="Arial" w:hAnsi="Arial" w:cs="Arial"/>
                <w:sz w:val="20"/>
                <w:szCs w:val="20"/>
              </w:rPr>
              <w:t xml:space="preserve">June 2015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13A.22</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HACC recipients per 1000 people, Indigenous status</w:t>
            </w:r>
            <w:r w:rsidR="00E75264">
              <w:rPr>
                <w:rFonts w:ascii="Arial" w:hAnsi="Arial" w:cs="Arial"/>
                <w:sz w:val="20"/>
                <w:szCs w:val="20"/>
              </w:rPr>
              <w:t xml:space="preserve"> </w:t>
            </w:r>
          </w:p>
        </w:tc>
      </w:tr>
      <w:tr w:rsidR="00E75B69" w:rsidRPr="00E75B69" w:rsidTr="00C4322A">
        <w:trPr>
          <w:trHeight w:val="59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13A.23</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People from Culturally and Linguistically Diverse backgrounds as a proportion of the aged care target population and of aged care recipients, 30 June</w:t>
            </w:r>
            <w:r w:rsidR="00E75264">
              <w:rPr>
                <w:rFonts w:ascii="Arial" w:hAnsi="Arial" w:cs="Arial"/>
                <w:sz w:val="20"/>
                <w:szCs w:val="20"/>
              </w:rPr>
              <w:t xml:space="preserve"> </w:t>
            </w:r>
          </w:p>
        </w:tc>
      </w:tr>
      <w:tr w:rsidR="00E75B69" w:rsidRPr="00E75B69" w:rsidTr="00CB0FCE">
        <w:trPr>
          <w:trHeight w:val="76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13A.24</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Aboriginal and Torres Strait Islander aged care recipients of all ages per 1000 Aboriginal and Torres Strait Islander Australians aged 50 years or over and as a proportion of all recipients, 30 June</w:t>
            </w:r>
            <w:r w:rsidR="00E75264">
              <w:rPr>
                <w:rFonts w:ascii="Arial" w:hAnsi="Arial" w:cs="Arial"/>
                <w:sz w:val="20"/>
                <w:szCs w:val="20"/>
              </w:rPr>
              <w:t xml:space="preserve"> </w:t>
            </w:r>
          </w:p>
        </w:tc>
      </w:tr>
      <w:tr w:rsidR="00E75B69" w:rsidRPr="00E75B69" w:rsidTr="00C4322A">
        <w:trPr>
          <w:trHeight w:val="59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13A.25</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Aged care recipients at 30</w:t>
            </w:r>
            <w:r w:rsidR="00E75264">
              <w:rPr>
                <w:rFonts w:ascii="Arial" w:hAnsi="Arial" w:cs="Arial"/>
                <w:sz w:val="20"/>
                <w:szCs w:val="20"/>
              </w:rPr>
              <w:t> </w:t>
            </w:r>
            <w:r w:rsidRPr="00E75B69">
              <w:rPr>
                <w:rFonts w:ascii="Arial" w:hAnsi="Arial" w:cs="Arial"/>
                <w:sz w:val="20"/>
                <w:szCs w:val="20"/>
              </w:rPr>
              <w:t>June 2015 by program: age</w:t>
            </w:r>
            <w:r w:rsidR="00E75264">
              <w:rPr>
                <w:rFonts w:ascii="Arial" w:hAnsi="Arial" w:cs="Arial"/>
                <w:sz w:val="20"/>
                <w:szCs w:val="20"/>
              </w:rPr>
              <w:noBreakHyphen/>
            </w:r>
            <w:r w:rsidRPr="00E75B69">
              <w:rPr>
                <w:rFonts w:ascii="Arial" w:hAnsi="Arial" w:cs="Arial"/>
                <w:sz w:val="20"/>
                <w:szCs w:val="20"/>
              </w:rPr>
              <w:t>sex specific usage rates per 1000 people</w:t>
            </w:r>
            <w:r w:rsidR="00E75264">
              <w:rPr>
                <w:rFonts w:ascii="Arial" w:hAnsi="Arial" w:cs="Arial"/>
                <w:sz w:val="20"/>
                <w:szCs w:val="20"/>
              </w:rPr>
              <w:t xml:space="preserve"> </w:t>
            </w:r>
          </w:p>
        </w:tc>
      </w:tr>
      <w:tr w:rsidR="00E75B69" w:rsidRPr="00E75B69" w:rsidTr="00C4322A">
        <w:trPr>
          <w:trHeight w:val="59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13A.26</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 xml:space="preserve">Proportion of permanent new residents or all resident care days classified as concessional, assisted or supported (per cent) </w:t>
            </w:r>
          </w:p>
        </w:tc>
      </w:tr>
      <w:tr w:rsidR="00E75B69" w:rsidRPr="00E75B69" w:rsidTr="00C4322A">
        <w:trPr>
          <w:trHeight w:val="59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13A.27</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HACC services received per 1000 people aged 65 years or over and Aboriginal and Torres Strait Islander Australians aged 50–64 years</w:t>
            </w:r>
            <w:r w:rsidR="00E75264">
              <w:rPr>
                <w:rFonts w:ascii="Arial" w:hAnsi="Arial" w:cs="Arial"/>
                <w:sz w:val="20"/>
                <w:szCs w:val="20"/>
              </w:rPr>
              <w:t xml:space="preserve"> </w:t>
            </w:r>
          </w:p>
        </w:tc>
      </w:tr>
      <w:tr w:rsidR="00E75B69" w:rsidRPr="00E75B69" w:rsidTr="00C4322A">
        <w:trPr>
          <w:trHeight w:val="59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13A.28</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HACC target population aged 65 years or over and Aboriginal and Torres Strait Islander Australians aged 50–64 years</w:t>
            </w:r>
            <w:r w:rsidR="00E75264">
              <w:rPr>
                <w:rFonts w:ascii="Arial" w:hAnsi="Arial" w:cs="Arial"/>
                <w:sz w:val="20"/>
                <w:szCs w:val="20"/>
              </w:rPr>
              <w:t xml:space="preserve"> </w:t>
            </w:r>
          </w:p>
        </w:tc>
      </w:tr>
      <w:tr w:rsidR="00E75B69" w:rsidRPr="00E75B69" w:rsidTr="00C4322A">
        <w:trPr>
          <w:trHeight w:val="59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13A.29</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HACC services received per 1000 HACC target population aged 65 years or over and Aboriginal and Torres Strait Islander Australians aged 50–64 years</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13A.30</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Older HACC client characteristics</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13A.31</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Distribution of older HACC clients, by age and Indigenous status (per cent)</w:t>
            </w:r>
            <w:r w:rsidR="00E75264">
              <w:rPr>
                <w:rFonts w:ascii="Arial" w:hAnsi="Arial" w:cs="Arial"/>
                <w:sz w:val="20"/>
                <w:szCs w:val="20"/>
              </w:rPr>
              <w:t xml:space="preserve"> </w:t>
            </w:r>
          </w:p>
        </w:tc>
      </w:tr>
      <w:tr w:rsidR="00E75B69" w:rsidRPr="00E75B69" w:rsidTr="000A5762">
        <w:trPr>
          <w:trHeight w:val="478"/>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13A.32</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Comparative characteristics of Aboriginal and Torres Strait Islander HACC clients</w:t>
            </w:r>
            <w:r w:rsidR="00E75264">
              <w:rPr>
                <w:rFonts w:ascii="Arial" w:hAnsi="Arial" w:cs="Arial"/>
                <w:sz w:val="20"/>
                <w:szCs w:val="20"/>
              </w:rPr>
              <w:t xml:space="preserve"> </w:t>
            </w:r>
          </w:p>
        </w:tc>
      </w:tr>
      <w:tr w:rsidR="00E75B69" w:rsidRPr="00E75B69" w:rsidTr="00C4322A">
        <w:trPr>
          <w:trHeight w:val="357"/>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13A.33</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Aged care assessments</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13A.34</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Aged care assessments, by age</w:t>
            </w:r>
          </w:p>
        </w:tc>
      </w:tr>
      <w:tr w:rsidR="00E75B69" w:rsidRPr="00E75B69" w:rsidTr="00C4322A">
        <w:trPr>
          <w:trHeight w:val="567"/>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13A.35</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Elapsed time between Aged Care Assessment Team (ACAT) approval and entry into aged care services</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13A.36</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Elapsed times for aged care services, by remoteness</w:t>
            </w:r>
            <w:r w:rsidR="00E75264">
              <w:rPr>
                <w:rFonts w:ascii="Arial" w:hAnsi="Arial" w:cs="Arial"/>
                <w:sz w:val="20"/>
                <w:szCs w:val="20"/>
              </w:rPr>
              <w:t xml:space="preserve"> </w:t>
            </w:r>
          </w:p>
        </w:tc>
      </w:tr>
      <w:tr w:rsidR="00E75B69" w:rsidRPr="00E75B69" w:rsidTr="00C4322A">
        <w:trPr>
          <w:trHeight w:val="55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13A.37</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Elapsed times for aged care services, by Socio</w:t>
            </w:r>
            <w:r w:rsidR="00E75264">
              <w:rPr>
                <w:rFonts w:ascii="Arial" w:hAnsi="Arial" w:cs="Arial"/>
                <w:sz w:val="20"/>
                <w:szCs w:val="20"/>
              </w:rPr>
              <w:noBreakHyphen/>
            </w:r>
            <w:r w:rsidRPr="00E75B69">
              <w:rPr>
                <w:rFonts w:ascii="Arial" w:hAnsi="Arial" w:cs="Arial"/>
                <w:sz w:val="20"/>
                <w:szCs w:val="20"/>
              </w:rPr>
              <w:t>Economic Indexes for Areas (SEIFA) Index of Relative Socio</w:t>
            </w:r>
            <w:r w:rsidR="00E75264">
              <w:rPr>
                <w:rFonts w:ascii="Arial" w:hAnsi="Arial" w:cs="Arial"/>
                <w:sz w:val="20"/>
                <w:szCs w:val="20"/>
              </w:rPr>
              <w:noBreakHyphen/>
            </w:r>
            <w:r w:rsidRPr="00E75B69">
              <w:rPr>
                <w:rFonts w:ascii="Arial" w:hAnsi="Arial" w:cs="Arial"/>
                <w:sz w:val="20"/>
                <w:szCs w:val="20"/>
              </w:rPr>
              <w:t>Economic Disadvantage (</w:t>
            </w:r>
            <w:proofErr w:type="spellStart"/>
            <w:r w:rsidRPr="00E75B69">
              <w:rPr>
                <w:rFonts w:ascii="Arial" w:hAnsi="Arial" w:cs="Arial"/>
                <w:sz w:val="20"/>
                <w:szCs w:val="20"/>
              </w:rPr>
              <w:t>IRSD</w:t>
            </w:r>
            <w:proofErr w:type="spellEnd"/>
            <w:r w:rsidRPr="00E75B69">
              <w:rPr>
                <w:rFonts w:ascii="Arial" w:hAnsi="Arial" w:cs="Arial"/>
                <w:sz w:val="20"/>
                <w:szCs w:val="20"/>
              </w:rPr>
              <w:t>) quintiles</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13A.38</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Elapsed times for aged care services, by Indigenous status</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13A.39</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 xml:space="preserve">Recommended location of longer term living arrangements of </w:t>
            </w:r>
            <w:r w:rsidR="00391E20" w:rsidRPr="00391E20">
              <w:rPr>
                <w:rFonts w:ascii="Arial" w:hAnsi="Arial" w:cs="Arial"/>
                <w:sz w:val="20"/>
                <w:szCs w:val="20"/>
              </w:rPr>
              <w:t>Aged Care Assessment Program</w:t>
            </w:r>
            <w:r w:rsidRPr="00E75B69">
              <w:rPr>
                <w:rFonts w:ascii="Arial" w:hAnsi="Arial" w:cs="Arial"/>
                <w:sz w:val="20"/>
                <w:szCs w:val="20"/>
              </w:rPr>
              <w:t xml:space="preserve"> clients</w:t>
            </w:r>
            <w:r w:rsidR="00E75264">
              <w:rPr>
                <w:rFonts w:ascii="Arial" w:hAnsi="Arial" w:cs="Arial"/>
                <w:sz w:val="20"/>
                <w:szCs w:val="20"/>
              </w:rPr>
              <w:t xml:space="preserve"> </w:t>
            </w:r>
          </w:p>
        </w:tc>
      </w:tr>
      <w:tr w:rsidR="00E75B69" w:rsidRPr="00E75B69" w:rsidTr="00C4322A">
        <w:trPr>
          <w:trHeight w:val="567"/>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13A.40</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Older people needing assistance with at least one everyday activity: extent to which need was met, 2012</w:t>
            </w:r>
            <w:r w:rsidR="00E75264">
              <w:rPr>
                <w:rFonts w:ascii="Arial" w:hAnsi="Arial" w:cs="Arial"/>
                <w:sz w:val="20"/>
                <w:szCs w:val="20"/>
              </w:rPr>
              <w:t xml:space="preserve"> </w:t>
            </w:r>
          </w:p>
        </w:tc>
      </w:tr>
      <w:tr w:rsidR="00E75B69" w:rsidRPr="00E75B69" w:rsidTr="00CB0FCE">
        <w:trPr>
          <w:trHeight w:val="76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13A.41</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 xml:space="preserve">Public hospital separations for care type </w:t>
            </w:r>
            <w:r w:rsidR="00E75264">
              <w:rPr>
                <w:rFonts w:ascii="Arial" w:hAnsi="Arial" w:cs="Arial"/>
                <w:sz w:val="20"/>
                <w:szCs w:val="20"/>
              </w:rPr>
              <w:t>‘</w:t>
            </w:r>
            <w:r w:rsidRPr="00E75B69">
              <w:rPr>
                <w:rFonts w:ascii="Arial" w:hAnsi="Arial" w:cs="Arial"/>
                <w:sz w:val="20"/>
                <w:szCs w:val="20"/>
              </w:rPr>
              <w:t>maintenance</w:t>
            </w:r>
            <w:r w:rsidR="00E75264">
              <w:rPr>
                <w:rFonts w:ascii="Arial" w:hAnsi="Arial" w:cs="Arial"/>
                <w:sz w:val="20"/>
                <w:szCs w:val="20"/>
              </w:rPr>
              <w:t>’</w:t>
            </w:r>
            <w:r w:rsidRPr="00E75B69">
              <w:rPr>
                <w:rFonts w:ascii="Arial" w:hAnsi="Arial" w:cs="Arial"/>
                <w:sz w:val="20"/>
                <w:szCs w:val="20"/>
              </w:rPr>
              <w:t xml:space="preserve"> for older people aged</w:t>
            </w:r>
            <w:r w:rsidR="00E75264">
              <w:rPr>
                <w:rFonts w:ascii="Arial" w:hAnsi="Arial" w:cs="Arial"/>
                <w:sz w:val="20"/>
                <w:szCs w:val="20"/>
              </w:rPr>
              <w:t xml:space="preserve"> </w:t>
            </w:r>
            <w:r w:rsidRPr="00E75B69">
              <w:rPr>
                <w:rFonts w:ascii="Arial" w:hAnsi="Arial" w:cs="Arial"/>
                <w:sz w:val="20"/>
                <w:szCs w:val="20"/>
              </w:rPr>
              <w:t>65 years or over and Aboriginal and Torres Strait Islander Australians aged 50–64 years</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13A.42</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 xml:space="preserve">Hospital patient days used by those eligible and waiting for residential aged care </w:t>
            </w:r>
          </w:p>
        </w:tc>
      </w:tr>
      <w:tr w:rsidR="00E75B69" w:rsidRPr="00E75B69" w:rsidTr="000A5762">
        <w:trPr>
          <w:trHeight w:val="51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13A.43</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Residential aged care services re</w:t>
            </w:r>
            <w:r w:rsidR="00E75264">
              <w:rPr>
                <w:rFonts w:ascii="Arial" w:hAnsi="Arial" w:cs="Arial"/>
                <w:sz w:val="20"/>
                <w:szCs w:val="20"/>
              </w:rPr>
              <w:noBreakHyphen/>
            </w:r>
            <w:r w:rsidRPr="00E75B69">
              <w:rPr>
                <w:rFonts w:ascii="Arial" w:hAnsi="Arial" w:cs="Arial"/>
                <w:sz w:val="20"/>
                <w:szCs w:val="20"/>
              </w:rPr>
              <w:t>accredited in the past year, re</w:t>
            </w:r>
            <w:r w:rsidR="00E75264">
              <w:rPr>
                <w:rFonts w:ascii="Arial" w:hAnsi="Arial" w:cs="Arial"/>
                <w:sz w:val="20"/>
                <w:szCs w:val="20"/>
              </w:rPr>
              <w:noBreakHyphen/>
            </w:r>
            <w:r w:rsidRPr="00E75B69">
              <w:rPr>
                <w:rFonts w:ascii="Arial" w:hAnsi="Arial" w:cs="Arial"/>
                <w:sz w:val="20"/>
                <w:szCs w:val="20"/>
              </w:rPr>
              <w:t>accreditation period in effect, as at 30</w:t>
            </w:r>
            <w:r w:rsidR="00E75264">
              <w:rPr>
                <w:rFonts w:ascii="Arial" w:hAnsi="Arial" w:cs="Arial"/>
                <w:sz w:val="20"/>
                <w:szCs w:val="20"/>
              </w:rPr>
              <w:t> </w:t>
            </w:r>
            <w:r w:rsidRPr="00E75B69">
              <w:rPr>
                <w:rFonts w:ascii="Arial" w:hAnsi="Arial" w:cs="Arial"/>
                <w:sz w:val="20"/>
                <w:szCs w:val="20"/>
              </w:rPr>
              <w:t xml:space="preserve">June 2015 </w:t>
            </w:r>
          </w:p>
        </w:tc>
      </w:tr>
      <w:tr w:rsidR="00E75B69" w:rsidRPr="00E75B69" w:rsidTr="00C4322A">
        <w:trPr>
          <w:trHeight w:val="566"/>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r w:rsidRPr="00E75B69">
              <w:rPr>
                <w:rFonts w:ascii="Arial" w:hAnsi="Arial" w:cs="Arial"/>
                <w:b/>
                <w:bCs/>
                <w:color w:val="0000FF"/>
                <w:sz w:val="20"/>
                <w:szCs w:val="20"/>
              </w:rPr>
              <w:t>13A.44</w:t>
            </w:r>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Proportion of residential aged care services that are three year re</w:t>
            </w:r>
            <w:r w:rsidR="00E75264">
              <w:rPr>
                <w:rFonts w:ascii="Arial" w:hAnsi="Arial" w:cs="Arial"/>
                <w:sz w:val="20"/>
                <w:szCs w:val="20"/>
              </w:rPr>
              <w:noBreakHyphen/>
            </w:r>
            <w:r w:rsidRPr="00E75B69">
              <w:rPr>
                <w:rFonts w:ascii="Arial" w:hAnsi="Arial" w:cs="Arial"/>
                <w:sz w:val="20"/>
                <w:szCs w:val="20"/>
              </w:rPr>
              <w:t>accredited, by remoteness, 2014</w:t>
            </w:r>
            <w:r w:rsidR="00E75264">
              <w:rPr>
                <w:rFonts w:ascii="Arial" w:hAnsi="Arial" w:cs="Arial"/>
                <w:sz w:val="20"/>
                <w:szCs w:val="20"/>
              </w:rPr>
              <w:noBreakHyphen/>
            </w:r>
            <w:r w:rsidRPr="00E75B69">
              <w:rPr>
                <w:rFonts w:ascii="Arial" w:hAnsi="Arial" w:cs="Arial"/>
                <w:sz w:val="20"/>
                <w:szCs w:val="20"/>
              </w:rPr>
              <w:t>15</w:t>
            </w:r>
            <w:r w:rsidR="00E75264">
              <w:rPr>
                <w:rFonts w:ascii="Arial" w:hAnsi="Arial" w:cs="Arial"/>
                <w:sz w:val="20"/>
                <w:szCs w:val="20"/>
              </w:rPr>
              <w:t xml:space="preserve"> </w:t>
            </w:r>
          </w:p>
        </w:tc>
      </w:tr>
      <w:tr w:rsidR="00E75B69" w:rsidRPr="00E75B69" w:rsidTr="00C4322A">
        <w:trPr>
          <w:trHeight w:val="567"/>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13A.45</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Proportion of residential aged care services that are three year re</w:t>
            </w:r>
            <w:r w:rsidR="00E75264">
              <w:rPr>
                <w:rFonts w:ascii="Arial" w:hAnsi="Arial" w:cs="Arial"/>
                <w:sz w:val="20"/>
                <w:szCs w:val="20"/>
              </w:rPr>
              <w:noBreakHyphen/>
            </w:r>
            <w:r w:rsidRPr="00E75B69">
              <w:rPr>
                <w:rFonts w:ascii="Arial" w:hAnsi="Arial" w:cs="Arial"/>
                <w:sz w:val="20"/>
                <w:szCs w:val="20"/>
              </w:rPr>
              <w:t>accredited, by size of facility (places), 2014</w:t>
            </w:r>
            <w:r w:rsidR="00E75264">
              <w:rPr>
                <w:rFonts w:ascii="Arial" w:hAnsi="Arial" w:cs="Arial"/>
                <w:sz w:val="20"/>
                <w:szCs w:val="20"/>
              </w:rPr>
              <w:noBreakHyphen/>
            </w:r>
            <w:r w:rsidRPr="00E75B69">
              <w:rPr>
                <w:rFonts w:ascii="Arial" w:hAnsi="Arial" w:cs="Arial"/>
                <w:sz w:val="20"/>
                <w:szCs w:val="20"/>
              </w:rPr>
              <w:t>15</w:t>
            </w:r>
            <w:r w:rsidR="00E75264">
              <w:rPr>
                <w:rFonts w:ascii="Arial" w:hAnsi="Arial" w:cs="Arial"/>
                <w:sz w:val="20"/>
                <w:szCs w:val="20"/>
              </w:rPr>
              <w:t xml:space="preserve"> </w:t>
            </w:r>
          </w:p>
        </w:tc>
      </w:tr>
      <w:tr w:rsidR="00E75B69" w:rsidRPr="00E75B69" w:rsidTr="000A5762">
        <w:trPr>
          <w:trHeight w:val="499"/>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lastRenderedPageBreak/>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13A.46</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All re</w:t>
            </w:r>
            <w:r w:rsidR="00E75264">
              <w:rPr>
                <w:rFonts w:ascii="Arial" w:hAnsi="Arial" w:cs="Arial"/>
                <w:sz w:val="20"/>
                <w:szCs w:val="20"/>
              </w:rPr>
              <w:noBreakHyphen/>
            </w:r>
            <w:r w:rsidRPr="00E75B69">
              <w:rPr>
                <w:rFonts w:ascii="Arial" w:hAnsi="Arial" w:cs="Arial"/>
                <w:sz w:val="20"/>
                <w:szCs w:val="20"/>
              </w:rPr>
              <w:t>accredited residential aged care services, re</w:t>
            </w:r>
            <w:r w:rsidR="00E75264">
              <w:rPr>
                <w:rFonts w:ascii="Arial" w:hAnsi="Arial" w:cs="Arial"/>
                <w:sz w:val="20"/>
                <w:szCs w:val="20"/>
              </w:rPr>
              <w:noBreakHyphen/>
            </w:r>
            <w:r w:rsidRPr="00E75B69">
              <w:rPr>
                <w:rFonts w:ascii="Arial" w:hAnsi="Arial" w:cs="Arial"/>
                <w:sz w:val="20"/>
                <w:szCs w:val="20"/>
              </w:rPr>
              <w:t>accreditation period in effect, as at 30</w:t>
            </w:r>
            <w:r w:rsidR="00E75264">
              <w:rPr>
                <w:rFonts w:ascii="Arial" w:hAnsi="Arial" w:cs="Arial"/>
                <w:sz w:val="20"/>
                <w:szCs w:val="20"/>
              </w:rPr>
              <w:t> </w:t>
            </w:r>
            <w:r w:rsidRPr="00E75B69">
              <w:rPr>
                <w:rFonts w:ascii="Arial" w:hAnsi="Arial" w:cs="Arial"/>
                <w:sz w:val="20"/>
                <w:szCs w:val="20"/>
              </w:rPr>
              <w:t xml:space="preserve">June 2015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13A.47</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Aged Care Complaints Scheme</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13A.48</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 xml:space="preserve">Compliance with service standards for NRCP and Home Care service providers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13A.49</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 xml:space="preserve">Compliance with service standards for community aged care services — HACC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13A.50</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 xml:space="preserve">Aged care assessment program — activity and costs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13A.51</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Home and Community Care — cost per hour of service (2013</w:t>
            </w:r>
            <w:r w:rsidR="00E75264">
              <w:rPr>
                <w:rFonts w:ascii="Arial" w:hAnsi="Arial" w:cs="Arial"/>
                <w:sz w:val="20"/>
                <w:szCs w:val="20"/>
              </w:rPr>
              <w:noBreakHyphen/>
            </w:r>
            <w:r w:rsidRPr="00E75B69">
              <w:rPr>
                <w:rFonts w:ascii="Arial" w:hAnsi="Arial" w:cs="Arial"/>
                <w:sz w:val="20"/>
                <w:szCs w:val="20"/>
              </w:rPr>
              <w:t>14 $)</w:t>
            </w:r>
            <w:r w:rsidR="00E75264">
              <w:rPr>
                <w:rFonts w:ascii="Arial" w:hAnsi="Arial" w:cs="Arial"/>
                <w:sz w:val="20"/>
                <w:szCs w:val="20"/>
              </w:rPr>
              <w:t xml:space="preserve"> </w:t>
            </w:r>
          </w:p>
        </w:tc>
      </w:tr>
      <w:tr w:rsidR="00E75B69" w:rsidRPr="00E75B69" w:rsidTr="00CB0FCE">
        <w:trPr>
          <w:trHeight w:val="76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13A.52</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Governments</w:t>
            </w:r>
            <w:r w:rsidR="00E75264">
              <w:rPr>
                <w:rFonts w:ascii="Arial" w:hAnsi="Arial" w:cs="Arial"/>
                <w:sz w:val="20"/>
                <w:szCs w:val="20"/>
              </w:rPr>
              <w:t>’</w:t>
            </w:r>
            <w:r w:rsidRPr="00E75B69">
              <w:rPr>
                <w:rFonts w:ascii="Arial" w:hAnsi="Arial" w:cs="Arial"/>
                <w:sz w:val="20"/>
                <w:szCs w:val="20"/>
              </w:rPr>
              <w:t xml:space="preserve"> real expenditure on residential </w:t>
            </w:r>
            <w:r w:rsidR="00704E80">
              <w:rPr>
                <w:rFonts w:ascii="Arial" w:hAnsi="Arial" w:cs="Arial"/>
                <w:sz w:val="20"/>
                <w:szCs w:val="20"/>
              </w:rPr>
              <w:t xml:space="preserve">aged care </w:t>
            </w:r>
            <w:r w:rsidRPr="00E75B69">
              <w:rPr>
                <w:rFonts w:ascii="Arial" w:hAnsi="Arial" w:cs="Arial"/>
                <w:sz w:val="20"/>
                <w:szCs w:val="20"/>
              </w:rPr>
              <w:t>services, per person aged 65 years or over and Aboriginal and Torres Strait Islander Australians aged 50–64 years (2014</w:t>
            </w:r>
            <w:r w:rsidR="00E75264">
              <w:rPr>
                <w:rFonts w:ascii="Arial" w:hAnsi="Arial" w:cs="Arial"/>
                <w:sz w:val="20"/>
                <w:szCs w:val="20"/>
              </w:rPr>
              <w:noBreakHyphen/>
            </w:r>
            <w:r w:rsidRPr="00E75B69">
              <w:rPr>
                <w:rFonts w:ascii="Arial" w:hAnsi="Arial" w:cs="Arial"/>
                <w:sz w:val="20"/>
                <w:szCs w:val="20"/>
              </w:rPr>
              <w:t>15 dollars)</w:t>
            </w:r>
            <w:r w:rsidR="00E75264">
              <w:rPr>
                <w:rFonts w:ascii="Arial" w:hAnsi="Arial" w:cs="Arial"/>
                <w:sz w:val="20"/>
                <w:szCs w:val="20"/>
              </w:rPr>
              <w:t xml:space="preserve"> </w:t>
            </w:r>
          </w:p>
        </w:tc>
      </w:tr>
      <w:tr w:rsidR="00E75B69" w:rsidRPr="00E75B69" w:rsidTr="00CB0FCE">
        <w:trPr>
          <w:trHeight w:val="76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13A.53</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Australian, Victorian and WA governments</w:t>
            </w:r>
            <w:r w:rsidR="00E75264">
              <w:rPr>
                <w:rFonts w:ascii="Arial" w:hAnsi="Arial" w:cs="Arial"/>
                <w:sz w:val="20"/>
                <w:szCs w:val="20"/>
              </w:rPr>
              <w:t>’</w:t>
            </w:r>
            <w:r w:rsidRPr="00E75B69">
              <w:rPr>
                <w:rFonts w:ascii="Arial" w:hAnsi="Arial" w:cs="Arial"/>
                <w:sz w:val="20"/>
                <w:szCs w:val="20"/>
              </w:rPr>
              <w:t xml:space="preserve"> real expenditure on HACC services per person in the HACC target population aged 65 years or over and Aboriginal and Torres Strait Islander Australians aged 50–64 years (2014</w:t>
            </w:r>
            <w:r w:rsidR="00E75264">
              <w:rPr>
                <w:rFonts w:ascii="Arial" w:hAnsi="Arial" w:cs="Arial"/>
                <w:sz w:val="20"/>
                <w:szCs w:val="20"/>
              </w:rPr>
              <w:noBreakHyphen/>
            </w:r>
            <w:r w:rsidRPr="00E75B69">
              <w:rPr>
                <w:rFonts w:ascii="Arial" w:hAnsi="Arial" w:cs="Arial"/>
                <w:sz w:val="20"/>
                <w:szCs w:val="20"/>
              </w:rPr>
              <w:t>15 dollars)</w:t>
            </w:r>
            <w:r w:rsidR="00E75264">
              <w:rPr>
                <w:rFonts w:ascii="Arial" w:hAnsi="Arial" w:cs="Arial"/>
                <w:sz w:val="20"/>
                <w:szCs w:val="20"/>
              </w:rPr>
              <w:t xml:space="preserve"> </w:t>
            </w:r>
          </w:p>
        </w:tc>
      </w:tr>
      <w:tr w:rsidR="00E75B69" w:rsidRPr="00E75B69" w:rsidTr="00CB0FCE">
        <w:trPr>
          <w:trHeight w:val="76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13A.54</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Australian, Victorian and WA governments</w:t>
            </w:r>
            <w:r w:rsidR="00E75264">
              <w:rPr>
                <w:rFonts w:ascii="Arial" w:hAnsi="Arial" w:cs="Arial"/>
                <w:sz w:val="20"/>
                <w:szCs w:val="20"/>
              </w:rPr>
              <w:t>’</w:t>
            </w:r>
            <w:r w:rsidRPr="00E75B69">
              <w:rPr>
                <w:rFonts w:ascii="Arial" w:hAnsi="Arial" w:cs="Arial"/>
                <w:sz w:val="20"/>
                <w:szCs w:val="20"/>
              </w:rPr>
              <w:t xml:space="preserve"> total real expenditure on HACC services, per person aged 65 years or over and Aboriginal and Torres Strait Islander Australians aged 50–64 years (2014</w:t>
            </w:r>
            <w:r w:rsidR="00E75264">
              <w:rPr>
                <w:rFonts w:ascii="Arial" w:hAnsi="Arial" w:cs="Arial"/>
                <w:sz w:val="20"/>
                <w:szCs w:val="20"/>
              </w:rPr>
              <w:noBreakHyphen/>
            </w:r>
            <w:r w:rsidRPr="00E75B69">
              <w:rPr>
                <w:rFonts w:ascii="Arial" w:hAnsi="Arial" w:cs="Arial"/>
                <w:sz w:val="20"/>
                <w:szCs w:val="20"/>
              </w:rPr>
              <w:t>15 dollars)</w:t>
            </w:r>
            <w:r w:rsidR="00E75264">
              <w:rPr>
                <w:rFonts w:ascii="Arial" w:hAnsi="Arial" w:cs="Arial"/>
                <w:sz w:val="20"/>
                <w:szCs w:val="20"/>
              </w:rPr>
              <w:t xml:space="preserve"> </w:t>
            </w:r>
          </w:p>
        </w:tc>
      </w:tr>
      <w:tr w:rsidR="00E75B69" w:rsidRPr="00E75B69" w:rsidTr="00CB0FCE">
        <w:trPr>
          <w:trHeight w:val="76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13A.55</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Australian Government real expenditure on Home Care, per person aged 65 years or over and Aboriginal and Torres Strait Islander Australians aged 50–64 years (2014</w:t>
            </w:r>
            <w:r w:rsidR="00E75264">
              <w:rPr>
                <w:rFonts w:ascii="Arial" w:hAnsi="Arial" w:cs="Arial"/>
                <w:sz w:val="20"/>
                <w:szCs w:val="20"/>
              </w:rPr>
              <w:noBreakHyphen/>
            </w:r>
            <w:r w:rsidRPr="00E75B69">
              <w:rPr>
                <w:rFonts w:ascii="Arial" w:hAnsi="Arial" w:cs="Arial"/>
                <w:sz w:val="20"/>
                <w:szCs w:val="20"/>
              </w:rPr>
              <w:t>15 dollars)</w:t>
            </w:r>
            <w:r w:rsidR="00E75264">
              <w:rPr>
                <w:rFonts w:ascii="Arial" w:hAnsi="Arial" w:cs="Arial"/>
                <w:sz w:val="20"/>
                <w:szCs w:val="20"/>
              </w:rPr>
              <w:t xml:space="preserve"> </w:t>
            </w:r>
          </w:p>
        </w:tc>
      </w:tr>
      <w:tr w:rsidR="00E75B69" w:rsidRPr="00E75B69" w:rsidTr="00CB0FCE">
        <w:trPr>
          <w:trHeight w:val="76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13A.56</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Participation of people aged 65 years or over in any social and community activities away from home in the last 3 months, by disability status, 2012 (per cent)</w:t>
            </w:r>
            <w:r w:rsidR="00E75264">
              <w:rPr>
                <w:rFonts w:ascii="Arial" w:hAnsi="Arial" w:cs="Arial"/>
                <w:sz w:val="20"/>
                <w:szCs w:val="20"/>
              </w:rPr>
              <w:t xml:space="preserve"> </w:t>
            </w:r>
          </w:p>
        </w:tc>
      </w:tr>
      <w:tr w:rsidR="00E75B69" w:rsidRPr="00E75B69" w:rsidTr="00CB0FCE">
        <w:trPr>
          <w:trHeight w:val="765"/>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13A.57</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People aged 65 years or over who had face</w:t>
            </w:r>
            <w:r w:rsidR="00E75264">
              <w:rPr>
                <w:rFonts w:ascii="Arial" w:hAnsi="Arial" w:cs="Arial"/>
                <w:sz w:val="20"/>
                <w:szCs w:val="20"/>
              </w:rPr>
              <w:noBreakHyphen/>
            </w:r>
            <w:r w:rsidRPr="00E75B69">
              <w:rPr>
                <w:rFonts w:ascii="Arial" w:hAnsi="Arial" w:cs="Arial"/>
                <w:sz w:val="20"/>
                <w:szCs w:val="20"/>
              </w:rPr>
              <w:t>to</w:t>
            </w:r>
            <w:r w:rsidR="00E75264">
              <w:rPr>
                <w:rFonts w:ascii="Arial" w:hAnsi="Arial" w:cs="Arial"/>
                <w:sz w:val="20"/>
                <w:szCs w:val="20"/>
              </w:rPr>
              <w:noBreakHyphen/>
            </w:r>
            <w:r w:rsidRPr="00E75B69">
              <w:rPr>
                <w:rFonts w:ascii="Arial" w:hAnsi="Arial" w:cs="Arial"/>
                <w:sz w:val="20"/>
                <w:szCs w:val="20"/>
              </w:rPr>
              <w:t>face contact with family or friends not living in the same household in last three months, by frequency of contact and disability status, 2012 (per cent)</w:t>
            </w:r>
            <w:r w:rsidR="00E75264">
              <w:rPr>
                <w:rFonts w:ascii="Arial" w:hAnsi="Arial" w:cs="Arial"/>
                <w:sz w:val="20"/>
                <w:szCs w:val="20"/>
              </w:rPr>
              <w:t xml:space="preserve"> </w:t>
            </w:r>
          </w:p>
        </w:tc>
      </w:tr>
      <w:tr w:rsidR="00E75B69" w:rsidRPr="00E75B69" w:rsidTr="00C4322A">
        <w:trPr>
          <w:trHeight w:val="567"/>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13A.58</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People aged 65 years or over and whether they leave home as often as they would like, by disability status, 2012 (per cent)</w:t>
            </w:r>
            <w:r w:rsidR="00E75264">
              <w:rPr>
                <w:rFonts w:ascii="Arial" w:hAnsi="Arial" w:cs="Arial"/>
                <w:sz w:val="20"/>
                <w:szCs w:val="20"/>
              </w:rPr>
              <w:t xml:space="preserve"> </w:t>
            </w:r>
          </w:p>
        </w:tc>
      </w:tr>
      <w:tr w:rsidR="00E75B69" w:rsidRPr="00E75B69" w:rsidTr="00C4322A">
        <w:trPr>
          <w:trHeight w:val="340"/>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13A.59</w:t>
            </w:r>
            <w:proofErr w:type="spellEnd"/>
          </w:p>
        </w:tc>
        <w:tc>
          <w:tcPr>
            <w:tcW w:w="7370" w:type="dxa"/>
            <w:tcBorders>
              <w:top w:val="nil"/>
              <w:left w:val="nil"/>
              <w:bottom w:val="nil"/>
              <w:right w:val="nil"/>
            </w:tcBorders>
            <w:shd w:val="clear" w:color="auto" w:fill="auto"/>
            <w:hideMark/>
          </w:tcPr>
          <w:p w:rsidR="00E75B69" w:rsidRPr="00E75B69" w:rsidRDefault="00E75B69" w:rsidP="00E75B69">
            <w:pPr>
              <w:jc w:val="both"/>
              <w:rPr>
                <w:rFonts w:ascii="Arial" w:hAnsi="Arial" w:cs="Arial"/>
                <w:sz w:val="20"/>
                <w:szCs w:val="20"/>
              </w:rPr>
            </w:pPr>
            <w:r w:rsidRPr="00E75B69">
              <w:rPr>
                <w:rFonts w:ascii="Arial" w:hAnsi="Arial" w:cs="Arial"/>
                <w:sz w:val="20"/>
                <w:szCs w:val="20"/>
              </w:rPr>
              <w:t>Transition Care Program, summary measures</w:t>
            </w:r>
          </w:p>
        </w:tc>
      </w:tr>
      <w:tr w:rsidR="00E75B69" w:rsidRPr="00E75B69" w:rsidTr="00C4322A">
        <w:trPr>
          <w:trHeight w:val="357"/>
        </w:trPr>
        <w:tc>
          <w:tcPr>
            <w:tcW w:w="1456" w:type="dxa"/>
            <w:tcBorders>
              <w:top w:val="nil"/>
              <w:left w:val="nil"/>
              <w:bottom w:val="nil"/>
              <w:right w:val="nil"/>
            </w:tcBorders>
            <w:shd w:val="clear" w:color="auto" w:fill="auto"/>
            <w:noWrap/>
            <w:hideMark/>
          </w:tcPr>
          <w:p w:rsidR="00E75B69" w:rsidRPr="00E75B69" w:rsidRDefault="00E75B69" w:rsidP="00E75B69">
            <w:pPr>
              <w:rPr>
                <w:rFonts w:ascii="Arial" w:hAnsi="Arial" w:cs="Arial"/>
                <w:b/>
                <w:bCs/>
                <w:color w:val="0000FF"/>
                <w:sz w:val="20"/>
                <w:szCs w:val="20"/>
              </w:rPr>
            </w:pPr>
            <w:r w:rsidRPr="00E75B69">
              <w:rPr>
                <w:rFonts w:ascii="Arial" w:hAnsi="Arial" w:cs="Arial"/>
                <w:b/>
                <w:bCs/>
                <w:color w:val="0000FF"/>
                <w:sz w:val="20"/>
                <w:szCs w:val="20"/>
              </w:rPr>
              <w:t>Table</w:t>
            </w:r>
            <w:r w:rsidR="00E75264">
              <w:rPr>
                <w:rFonts w:ascii="Arial" w:hAnsi="Arial" w:cs="Arial"/>
                <w:b/>
                <w:bCs/>
                <w:color w:val="0000FF"/>
                <w:sz w:val="20"/>
                <w:szCs w:val="20"/>
              </w:rPr>
              <w:t> </w:t>
            </w:r>
            <w:proofErr w:type="spellStart"/>
            <w:r w:rsidRPr="00E75B69">
              <w:rPr>
                <w:rFonts w:ascii="Arial" w:hAnsi="Arial" w:cs="Arial"/>
                <w:b/>
                <w:bCs/>
                <w:color w:val="0000FF"/>
                <w:sz w:val="20"/>
                <w:szCs w:val="20"/>
              </w:rPr>
              <w:t>13A.60</w:t>
            </w:r>
            <w:proofErr w:type="spellEnd"/>
          </w:p>
        </w:tc>
        <w:tc>
          <w:tcPr>
            <w:tcW w:w="7370" w:type="dxa"/>
            <w:tcBorders>
              <w:top w:val="nil"/>
              <w:left w:val="nil"/>
              <w:bottom w:val="nil"/>
              <w:right w:val="nil"/>
            </w:tcBorders>
            <w:shd w:val="clear" w:color="auto" w:fill="auto"/>
            <w:hideMark/>
          </w:tcPr>
          <w:p w:rsidR="00E75B69" w:rsidRPr="00E75B69" w:rsidRDefault="00E75B69" w:rsidP="00CB0FCE">
            <w:pPr>
              <w:jc w:val="both"/>
              <w:rPr>
                <w:rFonts w:ascii="Arial" w:hAnsi="Arial" w:cs="Arial"/>
                <w:sz w:val="20"/>
                <w:szCs w:val="20"/>
              </w:rPr>
            </w:pPr>
            <w:r w:rsidRPr="00E75B69">
              <w:rPr>
                <w:rFonts w:ascii="Arial" w:hAnsi="Arial" w:cs="Arial"/>
                <w:sz w:val="20"/>
                <w:szCs w:val="20"/>
              </w:rPr>
              <w:t xml:space="preserve">General Government Final Consumption Expenditure, Chain price Index </w:t>
            </w:r>
          </w:p>
        </w:tc>
      </w:tr>
    </w:tbl>
    <w:p w:rsidR="009853A3" w:rsidRDefault="009853A3" w:rsidP="009853A3">
      <w:pPr>
        <w:pStyle w:val="Heading2"/>
      </w:pPr>
      <w:bookmarkStart w:id="25" w:name="_Toc432170530"/>
      <w:r>
        <w:t>13.</w:t>
      </w:r>
      <w:r w:rsidR="006A5448">
        <w:rPr>
          <w:noProof/>
        </w:rPr>
        <w:t>7</w:t>
      </w:r>
      <w:r>
        <w:tab/>
      </w:r>
      <w:r>
        <w:tab/>
        <w:t>References</w:t>
      </w:r>
      <w:bookmarkEnd w:id="25"/>
    </w:p>
    <w:p w:rsidR="009853A3" w:rsidRDefault="009853A3" w:rsidP="009853A3">
      <w:pPr>
        <w:pStyle w:val="Reference"/>
      </w:pPr>
      <w:r>
        <w:t xml:space="preserve">ABS 2013, </w:t>
      </w:r>
      <w:r w:rsidRPr="009853A3">
        <w:rPr>
          <w:i/>
        </w:rPr>
        <w:t>Experimental Life Tables for Aboriginal and Torres Strait Islander Australians, Australia, 2010–2012</w:t>
      </w:r>
      <w:r>
        <w:t xml:space="preserve">, Cat. no. 3302.0.55.003, Canberra. </w:t>
      </w:r>
    </w:p>
    <w:p w:rsidR="009853A3" w:rsidRDefault="009853A3" w:rsidP="009853A3">
      <w:pPr>
        <w:pStyle w:val="Reference"/>
      </w:pPr>
      <w:r>
        <w:t xml:space="preserve">COAG (Council of Australian Governments) 2009, </w:t>
      </w:r>
      <w:r w:rsidRPr="009853A3">
        <w:rPr>
          <w:i/>
        </w:rPr>
        <w:t>National Healthcare Agreement</w:t>
      </w:r>
      <w:r>
        <w:t>, www.coag.gov.au/intergov_agreements/federal_financial_relations/docs/IGA_FFR_ScheduleF_National_Healthcare_Agreement.rtf (accessed 15</w:t>
      </w:r>
      <w:r w:rsidR="009551A0">
        <w:t> </w:t>
      </w:r>
      <w:r>
        <w:t>October 2010).</w:t>
      </w:r>
    </w:p>
    <w:p w:rsidR="009853A3" w:rsidRDefault="009853A3" w:rsidP="009853A3">
      <w:pPr>
        <w:pStyle w:val="Reference"/>
      </w:pPr>
      <w:r>
        <w:t>DoHA (</w:t>
      </w:r>
      <w:r w:rsidR="00745D59" w:rsidRPr="004B2BE8">
        <w:rPr>
          <w:shd w:val="clear" w:color="auto" w:fill="FFFFFF" w:themeFill="background1"/>
        </w:rPr>
        <w:t xml:space="preserve">the former </w:t>
      </w:r>
      <w:r>
        <w:t xml:space="preserve">Department of Health and Ageing) 2012, </w:t>
      </w:r>
      <w:r w:rsidRPr="009853A3">
        <w:rPr>
          <w:i/>
        </w:rPr>
        <w:t>Report on the Operation of the Aged Care Act 1997, 1</w:t>
      </w:r>
      <w:r w:rsidR="009551A0">
        <w:rPr>
          <w:i/>
        </w:rPr>
        <w:t> </w:t>
      </w:r>
      <w:r w:rsidRPr="009853A3">
        <w:rPr>
          <w:i/>
        </w:rPr>
        <w:t>July 2011 — 30</w:t>
      </w:r>
      <w:r w:rsidR="009551A0">
        <w:rPr>
          <w:i/>
        </w:rPr>
        <w:t> </w:t>
      </w:r>
      <w:r w:rsidRPr="009853A3">
        <w:rPr>
          <w:i/>
        </w:rPr>
        <w:t>June 2012</w:t>
      </w:r>
      <w:r>
        <w:t xml:space="preserve">, Canberra, </w:t>
      </w:r>
      <w:r w:rsidRPr="009853A3">
        <w:t>www.health.gov.au/internet/main</w:t>
      </w:r>
      <w:r>
        <w:t>/publishing.nsf/Content/ageing reports acarep 2012.htm (accessed 10</w:t>
      </w:r>
      <w:r w:rsidR="00F822AE">
        <w:t> </w:t>
      </w:r>
      <w:r>
        <w:t>December</w:t>
      </w:r>
      <w:r w:rsidR="009551A0">
        <w:t xml:space="preserve"> </w:t>
      </w:r>
      <w:r>
        <w:t>2012).</w:t>
      </w:r>
    </w:p>
    <w:p w:rsidR="004D488B" w:rsidRPr="009853A3" w:rsidRDefault="009853A3" w:rsidP="003D233C">
      <w:pPr>
        <w:pStyle w:val="Reference"/>
      </w:pPr>
      <w:r>
        <w:t xml:space="preserve">DSS (Department of Social Services) </w:t>
      </w:r>
      <w:r w:rsidR="00F61FBA">
        <w:t xml:space="preserve">2014, </w:t>
      </w:r>
      <w:r w:rsidR="006B559B" w:rsidRPr="006B559B">
        <w:rPr>
          <w:i/>
        </w:rPr>
        <w:t>2013</w:t>
      </w:r>
      <w:r w:rsidR="009551A0">
        <w:rPr>
          <w:i/>
        </w:rPr>
        <w:noBreakHyphen/>
      </w:r>
      <w:r w:rsidR="006B559B" w:rsidRPr="006B559B">
        <w:rPr>
          <w:i/>
        </w:rPr>
        <w:t>14 Report on the Operation of the Aged Care Act 1997</w:t>
      </w:r>
      <w:r w:rsidR="00F61FBA">
        <w:t xml:space="preserve">, Canberra, </w:t>
      </w:r>
      <w:r w:rsidR="006B559B" w:rsidRPr="006B559B">
        <w:t>www.dss.gov.au/our</w:t>
      </w:r>
      <w:r w:rsidR="009551A0">
        <w:noBreakHyphen/>
      </w:r>
      <w:r w:rsidR="006B559B" w:rsidRPr="006B559B">
        <w:t>responsibilities/ageing</w:t>
      </w:r>
      <w:r w:rsidR="009551A0">
        <w:noBreakHyphen/>
      </w:r>
      <w:r w:rsidR="006B559B" w:rsidRPr="006B559B">
        <w:t>and</w:t>
      </w:r>
      <w:r w:rsidR="009551A0">
        <w:noBreakHyphen/>
      </w:r>
      <w:r w:rsidR="006B559B" w:rsidRPr="006B559B">
        <w:t>aged</w:t>
      </w:r>
      <w:r w:rsidR="009551A0">
        <w:noBreakHyphen/>
      </w:r>
      <w:r w:rsidR="006B559B" w:rsidRPr="006B559B">
        <w:t>care/</w:t>
      </w:r>
      <w:r w:rsidR="00EC43C2">
        <w:br/>
      </w:r>
      <w:r w:rsidR="006B559B" w:rsidRPr="006B559B">
        <w:t>tools</w:t>
      </w:r>
      <w:r w:rsidR="009551A0">
        <w:noBreakHyphen/>
      </w:r>
      <w:r w:rsidR="006B559B" w:rsidRPr="006B559B">
        <w:t>and</w:t>
      </w:r>
      <w:r w:rsidR="009551A0">
        <w:noBreakHyphen/>
      </w:r>
      <w:r w:rsidR="006B559B" w:rsidRPr="006B559B">
        <w:t>resources/reports</w:t>
      </w:r>
      <w:r w:rsidR="009551A0">
        <w:noBreakHyphen/>
      </w:r>
      <w:r w:rsidR="006B559B" w:rsidRPr="006B559B">
        <w:t>on</w:t>
      </w:r>
      <w:r w:rsidR="009551A0">
        <w:noBreakHyphen/>
      </w:r>
      <w:r w:rsidR="006B559B" w:rsidRPr="006B559B">
        <w:t>aged</w:t>
      </w:r>
      <w:r w:rsidR="009551A0">
        <w:noBreakHyphen/>
      </w:r>
      <w:r w:rsidR="006B559B" w:rsidRPr="006B559B">
        <w:t xml:space="preserve">care </w:t>
      </w:r>
      <w:r w:rsidR="00F61FBA">
        <w:t xml:space="preserve">(accessed </w:t>
      </w:r>
      <w:r w:rsidR="006B559B">
        <w:t>5</w:t>
      </w:r>
      <w:r w:rsidR="009551A0">
        <w:t> </w:t>
      </w:r>
      <w:r w:rsidR="003D233C">
        <w:t>December 2014).</w:t>
      </w:r>
    </w:p>
    <w:sectPr w:rsidR="004D488B" w:rsidRPr="009853A3" w:rsidSect="00BF039C">
      <w:headerReference w:type="even" r:id="rId34"/>
      <w:headerReference w:type="default" r:id="rId35"/>
      <w:footerReference w:type="even" r:id="rId36"/>
      <w:footerReference w:type="default" r:id="rId37"/>
      <w:headerReference w:type="first" r:id="rId38"/>
      <w:footerReference w:type="first" r:id="rId39"/>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24E" w:rsidRDefault="005F024E">
      <w:r>
        <w:separator/>
      </w:r>
    </w:p>
  </w:endnote>
  <w:endnote w:type="continuationSeparator" w:id="0">
    <w:p w:rsidR="005F024E" w:rsidRDefault="005F0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F024E" w:rsidTr="005F48ED">
      <w:trPr>
        <w:trHeight w:hRule="exact" w:val="567"/>
      </w:trPr>
      <w:tc>
        <w:tcPr>
          <w:tcW w:w="510" w:type="dxa"/>
        </w:tcPr>
        <w:p w:rsidR="005F024E" w:rsidRPr="00A24443" w:rsidRDefault="005F024E" w:rsidP="0019293B">
          <w:pPr>
            <w:pStyle w:val="Footer"/>
            <w:tabs>
              <w:tab w:val="left" w:pos="0"/>
            </w:tabs>
            <w:ind w:right="0"/>
            <w:rPr>
              <w:rStyle w:val="PageNumber"/>
              <w:caps w:val="0"/>
            </w:rPr>
          </w:pPr>
          <w:r>
            <w:rPr>
              <w:rStyle w:val="PageNumber"/>
              <w:caps w:val="0"/>
            </w:rPr>
            <w:t>13.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97433">
            <w:rPr>
              <w:rStyle w:val="PageNumber"/>
              <w:caps w:val="0"/>
              <w:noProof/>
            </w:rPr>
            <w:t>48</w:t>
          </w:r>
          <w:r w:rsidRPr="00A24443">
            <w:rPr>
              <w:rStyle w:val="PageNumber"/>
              <w:caps w:val="0"/>
            </w:rPr>
            <w:fldChar w:fldCharType="end"/>
          </w:r>
        </w:p>
      </w:tc>
      <w:tc>
        <w:tcPr>
          <w:tcW w:w="7767" w:type="dxa"/>
        </w:tcPr>
        <w:p w:rsidR="005F024E" w:rsidRPr="0013739A" w:rsidRDefault="005F024E" w:rsidP="00051268">
          <w:pPr>
            <w:pStyle w:val="Footer"/>
            <w:rPr>
              <w:rFonts w:cs="Arial"/>
            </w:rPr>
          </w:pPr>
          <w:r>
            <w:rPr>
              <w:rFonts w:cs="Arial"/>
            </w:rPr>
            <w:t>Report on Government Services 201</w:t>
          </w:r>
          <w:bookmarkStart w:id="26" w:name="DraftReportEven"/>
          <w:bookmarkEnd w:id="26"/>
          <w:r>
            <w:rPr>
              <w:rFonts w:cs="Arial"/>
            </w:rPr>
            <w:t>6</w:t>
          </w:r>
        </w:p>
      </w:tc>
      <w:tc>
        <w:tcPr>
          <w:tcW w:w="510" w:type="dxa"/>
        </w:tcPr>
        <w:p w:rsidR="005F024E" w:rsidRDefault="005F024E" w:rsidP="0019293B">
          <w:pPr>
            <w:pStyle w:val="Footer"/>
          </w:pPr>
        </w:p>
      </w:tc>
    </w:tr>
  </w:tbl>
  <w:p w:rsidR="005F024E" w:rsidRDefault="005F024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F024E" w:rsidTr="005F48ED">
      <w:trPr>
        <w:trHeight w:hRule="exact" w:val="567"/>
      </w:trPr>
      <w:tc>
        <w:tcPr>
          <w:tcW w:w="510" w:type="dxa"/>
        </w:tcPr>
        <w:p w:rsidR="005F024E" w:rsidRDefault="005F024E">
          <w:pPr>
            <w:pStyle w:val="Footer"/>
            <w:ind w:right="360" w:firstLine="360"/>
          </w:pPr>
        </w:p>
      </w:tc>
      <w:tc>
        <w:tcPr>
          <w:tcW w:w="7767" w:type="dxa"/>
        </w:tcPr>
        <w:p w:rsidR="005F024E" w:rsidRPr="00BA5B14" w:rsidRDefault="005F024E" w:rsidP="0013739A">
          <w:pPr>
            <w:pStyle w:val="Footer"/>
            <w:jc w:val="right"/>
            <w:rPr>
              <w:rFonts w:cs="Arial"/>
            </w:rPr>
          </w:pPr>
          <w:r>
            <w:rPr>
              <w:rFonts w:cs="Arial"/>
            </w:rPr>
            <w:t>Aged care services</w:t>
          </w:r>
          <w:bookmarkStart w:id="27" w:name="DraftReportOdd"/>
          <w:bookmarkEnd w:id="27"/>
        </w:p>
      </w:tc>
      <w:tc>
        <w:tcPr>
          <w:tcW w:w="510" w:type="dxa"/>
        </w:tcPr>
        <w:p w:rsidR="005F024E" w:rsidRPr="00A24443" w:rsidRDefault="005F024E">
          <w:pPr>
            <w:pStyle w:val="Footer"/>
            <w:jc w:val="right"/>
            <w:rPr>
              <w:caps w:val="0"/>
            </w:rPr>
          </w:pPr>
          <w:r>
            <w:rPr>
              <w:rStyle w:val="PageNumber"/>
              <w:caps w:val="0"/>
            </w:rPr>
            <w:t>13.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97433">
            <w:rPr>
              <w:rStyle w:val="PageNumber"/>
              <w:caps w:val="0"/>
              <w:noProof/>
            </w:rPr>
            <w:t>47</w:t>
          </w:r>
          <w:r w:rsidRPr="00A24443">
            <w:rPr>
              <w:rStyle w:val="PageNumber"/>
              <w:caps w:val="0"/>
            </w:rPr>
            <w:fldChar w:fldCharType="end"/>
          </w:r>
        </w:p>
      </w:tc>
    </w:tr>
  </w:tbl>
  <w:p w:rsidR="005F024E" w:rsidRDefault="005F024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F024E" w:rsidTr="00D7267B">
      <w:trPr>
        <w:trHeight w:hRule="exact" w:val="567"/>
      </w:trPr>
      <w:tc>
        <w:tcPr>
          <w:tcW w:w="510" w:type="dxa"/>
        </w:tcPr>
        <w:p w:rsidR="005F024E" w:rsidRDefault="005F024E" w:rsidP="00D7267B">
          <w:pPr>
            <w:pStyle w:val="Footer"/>
            <w:ind w:right="360" w:firstLine="360"/>
          </w:pPr>
        </w:p>
      </w:tc>
      <w:tc>
        <w:tcPr>
          <w:tcW w:w="7767" w:type="dxa"/>
        </w:tcPr>
        <w:p w:rsidR="005F024E" w:rsidRPr="00BA5B14" w:rsidRDefault="005F024E" w:rsidP="00D7267B">
          <w:pPr>
            <w:pStyle w:val="Footer"/>
            <w:jc w:val="right"/>
            <w:rPr>
              <w:rFonts w:cs="Arial"/>
            </w:rPr>
          </w:pPr>
          <w:r>
            <w:rPr>
              <w:rFonts w:cs="Arial"/>
            </w:rPr>
            <w:t>Aged care services</w:t>
          </w:r>
        </w:p>
      </w:tc>
      <w:tc>
        <w:tcPr>
          <w:tcW w:w="510" w:type="dxa"/>
        </w:tcPr>
        <w:p w:rsidR="005F024E" w:rsidRPr="00A24443" w:rsidRDefault="005F024E" w:rsidP="00D7267B">
          <w:pPr>
            <w:pStyle w:val="Footer"/>
            <w:jc w:val="right"/>
            <w:rPr>
              <w:caps w:val="0"/>
            </w:rPr>
          </w:pPr>
          <w:r>
            <w:rPr>
              <w:rStyle w:val="PageNumber"/>
              <w:caps w:val="0"/>
            </w:rPr>
            <w:t>13.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1</w:t>
          </w:r>
          <w:r w:rsidRPr="00A24443">
            <w:rPr>
              <w:rStyle w:val="PageNumber"/>
              <w:caps w:val="0"/>
            </w:rPr>
            <w:fldChar w:fldCharType="end"/>
          </w:r>
        </w:p>
      </w:tc>
    </w:tr>
  </w:tbl>
  <w:p w:rsidR="005F024E" w:rsidRPr="00D7267B" w:rsidRDefault="005F024E" w:rsidP="00D7267B">
    <w:pPr>
      <w:pStyle w:val="Footer"/>
      <w:spacing w:before="0" w:line="240" w:lineRule="auto"/>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24E" w:rsidRDefault="005F024E">
      <w:r>
        <w:separator/>
      </w:r>
    </w:p>
  </w:footnote>
  <w:footnote w:type="continuationSeparator" w:id="0">
    <w:p w:rsidR="005F024E" w:rsidRDefault="005F0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F024E">
      <w:tc>
        <w:tcPr>
          <w:tcW w:w="2155" w:type="dxa"/>
          <w:tcBorders>
            <w:top w:val="single" w:sz="24" w:space="0" w:color="auto"/>
          </w:tcBorders>
        </w:tcPr>
        <w:p w:rsidR="005F024E" w:rsidRDefault="005F024E" w:rsidP="0019293B">
          <w:pPr>
            <w:pStyle w:val="HeaderEven"/>
          </w:pPr>
        </w:p>
      </w:tc>
      <w:tc>
        <w:tcPr>
          <w:tcW w:w="6634" w:type="dxa"/>
          <w:tcBorders>
            <w:top w:val="single" w:sz="6" w:space="0" w:color="auto"/>
          </w:tcBorders>
        </w:tcPr>
        <w:p w:rsidR="005F024E" w:rsidRDefault="005F024E" w:rsidP="0019293B">
          <w:pPr>
            <w:pStyle w:val="HeaderEven"/>
          </w:pPr>
        </w:p>
      </w:tc>
    </w:tr>
  </w:tbl>
  <w:p w:rsidR="005F024E" w:rsidRDefault="005F024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F024E">
      <w:tc>
        <w:tcPr>
          <w:tcW w:w="6634" w:type="dxa"/>
          <w:tcBorders>
            <w:top w:val="single" w:sz="6" w:space="0" w:color="auto"/>
          </w:tcBorders>
        </w:tcPr>
        <w:p w:rsidR="005F024E" w:rsidRDefault="005F024E" w:rsidP="00E669E2">
          <w:pPr>
            <w:pStyle w:val="HeaderOdd"/>
          </w:pPr>
        </w:p>
      </w:tc>
      <w:tc>
        <w:tcPr>
          <w:tcW w:w="2155" w:type="dxa"/>
          <w:tcBorders>
            <w:top w:val="single" w:sz="24" w:space="0" w:color="auto"/>
          </w:tcBorders>
        </w:tcPr>
        <w:p w:rsidR="005F024E" w:rsidRDefault="005F024E" w:rsidP="00E669E2">
          <w:pPr>
            <w:pStyle w:val="HeaderOdd"/>
          </w:pPr>
        </w:p>
      </w:tc>
    </w:tr>
  </w:tbl>
  <w:p w:rsidR="005F024E" w:rsidRDefault="005F024E"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F024E" w:rsidTr="00D7267B">
      <w:tc>
        <w:tcPr>
          <w:tcW w:w="6634" w:type="dxa"/>
          <w:tcBorders>
            <w:top w:val="single" w:sz="6" w:space="0" w:color="auto"/>
          </w:tcBorders>
        </w:tcPr>
        <w:p w:rsidR="005F024E" w:rsidRDefault="005F024E" w:rsidP="00D7267B">
          <w:pPr>
            <w:pStyle w:val="HeaderOdd"/>
          </w:pPr>
          <w:r>
            <w:t>STEERING COMMITTEE</w:t>
          </w:r>
          <w:r w:rsidRPr="00D7267B">
            <w:t xml:space="preserve"> DRAFT — IN CONFIDENCE</w:t>
          </w:r>
        </w:p>
      </w:tc>
      <w:tc>
        <w:tcPr>
          <w:tcW w:w="2155" w:type="dxa"/>
          <w:tcBorders>
            <w:top w:val="single" w:sz="24" w:space="0" w:color="auto"/>
          </w:tcBorders>
        </w:tcPr>
        <w:p w:rsidR="005F024E" w:rsidRDefault="005F024E" w:rsidP="00D7267B">
          <w:pPr>
            <w:pStyle w:val="HeaderOdd"/>
          </w:pPr>
        </w:p>
      </w:tc>
    </w:tr>
  </w:tbl>
  <w:p w:rsidR="005F024E" w:rsidRPr="00D7267B" w:rsidRDefault="005F024E" w:rsidP="00D7267B">
    <w:pPr>
      <w:pStyle w:val="Header"/>
      <w:spacing w:line="240" w:lineRule="auto"/>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13"/>
  </w:num>
  <w:num w:numId="23">
    <w:abstractNumId w:val="11"/>
  </w:num>
  <w:num w:numId="24">
    <w:abstractNumId w:val="13"/>
  </w:num>
  <w:num w:numId="25">
    <w:abstractNumId w:val="13"/>
  </w:num>
  <w:num w:numId="26">
    <w:abstractNumId w:val="4"/>
  </w:num>
  <w:num w:numId="27">
    <w:abstractNumId w:val="4"/>
  </w:num>
  <w:num w:numId="28">
    <w:abstractNumId w:val="11"/>
  </w:num>
  <w:num w:numId="29">
    <w:abstractNumId w:val="13"/>
  </w:num>
  <w:num w:numId="30">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ged care services"/>
    <w:docVar w:name="ShortReportTitle" w:val="Report on Government Services 2016"/>
  </w:docVars>
  <w:rsids>
    <w:rsidRoot w:val="00CA1E21"/>
    <w:rsid w:val="000008E2"/>
    <w:rsid w:val="00001C1C"/>
    <w:rsid w:val="000064BA"/>
    <w:rsid w:val="00006A4D"/>
    <w:rsid w:val="00010F44"/>
    <w:rsid w:val="000119C8"/>
    <w:rsid w:val="00013637"/>
    <w:rsid w:val="00014B2D"/>
    <w:rsid w:val="0001680C"/>
    <w:rsid w:val="00020420"/>
    <w:rsid w:val="00021E8C"/>
    <w:rsid w:val="000227D5"/>
    <w:rsid w:val="000245AA"/>
    <w:rsid w:val="00025AE5"/>
    <w:rsid w:val="00026CEF"/>
    <w:rsid w:val="00030F93"/>
    <w:rsid w:val="00033A05"/>
    <w:rsid w:val="0003664B"/>
    <w:rsid w:val="00036A0A"/>
    <w:rsid w:val="00036C3C"/>
    <w:rsid w:val="000371D4"/>
    <w:rsid w:val="0004111F"/>
    <w:rsid w:val="000413CB"/>
    <w:rsid w:val="00041C6A"/>
    <w:rsid w:val="00042DCB"/>
    <w:rsid w:val="00044AE4"/>
    <w:rsid w:val="00050D31"/>
    <w:rsid w:val="0005121A"/>
    <w:rsid w:val="00051268"/>
    <w:rsid w:val="00051FFD"/>
    <w:rsid w:val="000533CC"/>
    <w:rsid w:val="00054747"/>
    <w:rsid w:val="00055077"/>
    <w:rsid w:val="0005575E"/>
    <w:rsid w:val="000565B3"/>
    <w:rsid w:val="00056966"/>
    <w:rsid w:val="00057C9B"/>
    <w:rsid w:val="0006137C"/>
    <w:rsid w:val="000625B0"/>
    <w:rsid w:val="00062E7E"/>
    <w:rsid w:val="000649C8"/>
    <w:rsid w:val="00066AE5"/>
    <w:rsid w:val="000675DA"/>
    <w:rsid w:val="000701D8"/>
    <w:rsid w:val="000702FF"/>
    <w:rsid w:val="00070340"/>
    <w:rsid w:val="00070BD9"/>
    <w:rsid w:val="0007150B"/>
    <w:rsid w:val="0007332D"/>
    <w:rsid w:val="00073515"/>
    <w:rsid w:val="000755A9"/>
    <w:rsid w:val="00075BD0"/>
    <w:rsid w:val="00076510"/>
    <w:rsid w:val="00076829"/>
    <w:rsid w:val="000812FD"/>
    <w:rsid w:val="0008253C"/>
    <w:rsid w:val="00082F9E"/>
    <w:rsid w:val="0008379A"/>
    <w:rsid w:val="00084A79"/>
    <w:rsid w:val="00084F55"/>
    <w:rsid w:val="00087FC4"/>
    <w:rsid w:val="00090256"/>
    <w:rsid w:val="000908A3"/>
    <w:rsid w:val="0009203D"/>
    <w:rsid w:val="000938F5"/>
    <w:rsid w:val="00095663"/>
    <w:rsid w:val="00095DD0"/>
    <w:rsid w:val="00096331"/>
    <w:rsid w:val="00096E55"/>
    <w:rsid w:val="0009783E"/>
    <w:rsid w:val="000A0F41"/>
    <w:rsid w:val="000A3D79"/>
    <w:rsid w:val="000A4C66"/>
    <w:rsid w:val="000A5762"/>
    <w:rsid w:val="000A5D6A"/>
    <w:rsid w:val="000A6684"/>
    <w:rsid w:val="000A7541"/>
    <w:rsid w:val="000A7CF9"/>
    <w:rsid w:val="000B1022"/>
    <w:rsid w:val="000B311B"/>
    <w:rsid w:val="000B601B"/>
    <w:rsid w:val="000C0C10"/>
    <w:rsid w:val="000C110D"/>
    <w:rsid w:val="000C207E"/>
    <w:rsid w:val="000C24D6"/>
    <w:rsid w:val="000C25BF"/>
    <w:rsid w:val="000C3528"/>
    <w:rsid w:val="000C36D9"/>
    <w:rsid w:val="000C3F3E"/>
    <w:rsid w:val="000C4DA8"/>
    <w:rsid w:val="000C664E"/>
    <w:rsid w:val="000D02EE"/>
    <w:rsid w:val="000D0A2A"/>
    <w:rsid w:val="000D0F1B"/>
    <w:rsid w:val="000D1072"/>
    <w:rsid w:val="000D41E9"/>
    <w:rsid w:val="000D4757"/>
    <w:rsid w:val="000D5E7E"/>
    <w:rsid w:val="000D6EE2"/>
    <w:rsid w:val="000D7D62"/>
    <w:rsid w:val="000E0175"/>
    <w:rsid w:val="000E26FD"/>
    <w:rsid w:val="000E3952"/>
    <w:rsid w:val="000E497F"/>
    <w:rsid w:val="000E4D54"/>
    <w:rsid w:val="000F0035"/>
    <w:rsid w:val="000F060A"/>
    <w:rsid w:val="000F255B"/>
    <w:rsid w:val="000F267F"/>
    <w:rsid w:val="000F2C19"/>
    <w:rsid w:val="000F4170"/>
    <w:rsid w:val="000F420B"/>
    <w:rsid w:val="000F664B"/>
    <w:rsid w:val="000F6E9B"/>
    <w:rsid w:val="000F76CB"/>
    <w:rsid w:val="00101707"/>
    <w:rsid w:val="001023AE"/>
    <w:rsid w:val="00102B27"/>
    <w:rsid w:val="00102B60"/>
    <w:rsid w:val="00104A5E"/>
    <w:rsid w:val="0010572E"/>
    <w:rsid w:val="00110116"/>
    <w:rsid w:val="001109A8"/>
    <w:rsid w:val="001115E6"/>
    <w:rsid w:val="00115A56"/>
    <w:rsid w:val="00115E9E"/>
    <w:rsid w:val="00116AD7"/>
    <w:rsid w:val="00120072"/>
    <w:rsid w:val="001208DC"/>
    <w:rsid w:val="00123F51"/>
    <w:rsid w:val="0012443F"/>
    <w:rsid w:val="00126E0E"/>
    <w:rsid w:val="00126EB8"/>
    <w:rsid w:val="001274D4"/>
    <w:rsid w:val="0012765F"/>
    <w:rsid w:val="00127681"/>
    <w:rsid w:val="00127E2E"/>
    <w:rsid w:val="001328CB"/>
    <w:rsid w:val="001332B5"/>
    <w:rsid w:val="00136001"/>
    <w:rsid w:val="001363AA"/>
    <w:rsid w:val="0013739A"/>
    <w:rsid w:val="00140966"/>
    <w:rsid w:val="00142165"/>
    <w:rsid w:val="001439D6"/>
    <w:rsid w:val="00144AB5"/>
    <w:rsid w:val="00145517"/>
    <w:rsid w:val="0014593B"/>
    <w:rsid w:val="001517F8"/>
    <w:rsid w:val="0015191D"/>
    <w:rsid w:val="00152AD6"/>
    <w:rsid w:val="00153E2A"/>
    <w:rsid w:val="00153F53"/>
    <w:rsid w:val="00155807"/>
    <w:rsid w:val="001564AA"/>
    <w:rsid w:val="0015677A"/>
    <w:rsid w:val="001573BE"/>
    <w:rsid w:val="00162434"/>
    <w:rsid w:val="00162496"/>
    <w:rsid w:val="00162DDE"/>
    <w:rsid w:val="001664AE"/>
    <w:rsid w:val="00166B9E"/>
    <w:rsid w:val="001674AF"/>
    <w:rsid w:val="001723A9"/>
    <w:rsid w:val="0017282A"/>
    <w:rsid w:val="00175B50"/>
    <w:rsid w:val="00180EB6"/>
    <w:rsid w:val="001830A4"/>
    <w:rsid w:val="00183E82"/>
    <w:rsid w:val="00185332"/>
    <w:rsid w:val="001878BB"/>
    <w:rsid w:val="00187CE7"/>
    <w:rsid w:val="0019020A"/>
    <w:rsid w:val="001902E0"/>
    <w:rsid w:val="001911D5"/>
    <w:rsid w:val="00191509"/>
    <w:rsid w:val="00191AE0"/>
    <w:rsid w:val="0019293B"/>
    <w:rsid w:val="001934EB"/>
    <w:rsid w:val="0019426B"/>
    <w:rsid w:val="001943DE"/>
    <w:rsid w:val="00194F5F"/>
    <w:rsid w:val="0019510D"/>
    <w:rsid w:val="001968AA"/>
    <w:rsid w:val="001A3F50"/>
    <w:rsid w:val="001A442B"/>
    <w:rsid w:val="001A4D03"/>
    <w:rsid w:val="001A5803"/>
    <w:rsid w:val="001A6A4B"/>
    <w:rsid w:val="001B0E91"/>
    <w:rsid w:val="001B2662"/>
    <w:rsid w:val="001B2E1E"/>
    <w:rsid w:val="001B33F5"/>
    <w:rsid w:val="001B351C"/>
    <w:rsid w:val="001B39ED"/>
    <w:rsid w:val="001B4EEE"/>
    <w:rsid w:val="001B53C5"/>
    <w:rsid w:val="001B672D"/>
    <w:rsid w:val="001B6CD6"/>
    <w:rsid w:val="001B7698"/>
    <w:rsid w:val="001C0865"/>
    <w:rsid w:val="001C09CA"/>
    <w:rsid w:val="001C0AED"/>
    <w:rsid w:val="001C11AD"/>
    <w:rsid w:val="001C18DF"/>
    <w:rsid w:val="001C1FED"/>
    <w:rsid w:val="001C240F"/>
    <w:rsid w:val="001C27E5"/>
    <w:rsid w:val="001C2D0B"/>
    <w:rsid w:val="001C3ABA"/>
    <w:rsid w:val="001C4D24"/>
    <w:rsid w:val="001C50C9"/>
    <w:rsid w:val="001C5111"/>
    <w:rsid w:val="001D0EFF"/>
    <w:rsid w:val="001D20C3"/>
    <w:rsid w:val="001D2738"/>
    <w:rsid w:val="001D452A"/>
    <w:rsid w:val="001D5B19"/>
    <w:rsid w:val="001D5B96"/>
    <w:rsid w:val="001D6536"/>
    <w:rsid w:val="001D718C"/>
    <w:rsid w:val="001D7D0A"/>
    <w:rsid w:val="001E0842"/>
    <w:rsid w:val="001E1E6B"/>
    <w:rsid w:val="001E2B14"/>
    <w:rsid w:val="001E2BFA"/>
    <w:rsid w:val="001E2FBD"/>
    <w:rsid w:val="001E742F"/>
    <w:rsid w:val="001E78FB"/>
    <w:rsid w:val="001E7BE8"/>
    <w:rsid w:val="001F0248"/>
    <w:rsid w:val="001F0B82"/>
    <w:rsid w:val="001F36C6"/>
    <w:rsid w:val="001F3EB3"/>
    <w:rsid w:val="001F4F86"/>
    <w:rsid w:val="001F54C4"/>
    <w:rsid w:val="00200321"/>
    <w:rsid w:val="0020251C"/>
    <w:rsid w:val="00202C2C"/>
    <w:rsid w:val="00203050"/>
    <w:rsid w:val="002032F3"/>
    <w:rsid w:val="0020334C"/>
    <w:rsid w:val="0020370B"/>
    <w:rsid w:val="00204A1B"/>
    <w:rsid w:val="0020748E"/>
    <w:rsid w:val="002074E0"/>
    <w:rsid w:val="002115F3"/>
    <w:rsid w:val="00211969"/>
    <w:rsid w:val="00212202"/>
    <w:rsid w:val="0021237B"/>
    <w:rsid w:val="0021335B"/>
    <w:rsid w:val="002135AB"/>
    <w:rsid w:val="00213FF3"/>
    <w:rsid w:val="002144BE"/>
    <w:rsid w:val="00214C62"/>
    <w:rsid w:val="00216559"/>
    <w:rsid w:val="002170AE"/>
    <w:rsid w:val="002219EA"/>
    <w:rsid w:val="002225FC"/>
    <w:rsid w:val="00223571"/>
    <w:rsid w:val="00224633"/>
    <w:rsid w:val="00225F82"/>
    <w:rsid w:val="002264AE"/>
    <w:rsid w:val="0023061C"/>
    <w:rsid w:val="00231EFC"/>
    <w:rsid w:val="00233B88"/>
    <w:rsid w:val="00233F50"/>
    <w:rsid w:val="002340B4"/>
    <w:rsid w:val="00237C88"/>
    <w:rsid w:val="00242279"/>
    <w:rsid w:val="00243997"/>
    <w:rsid w:val="0024516C"/>
    <w:rsid w:val="002455F4"/>
    <w:rsid w:val="00245C82"/>
    <w:rsid w:val="00246A6C"/>
    <w:rsid w:val="00246CAD"/>
    <w:rsid w:val="00247541"/>
    <w:rsid w:val="0025389B"/>
    <w:rsid w:val="0025434C"/>
    <w:rsid w:val="00255755"/>
    <w:rsid w:val="0025584D"/>
    <w:rsid w:val="00255999"/>
    <w:rsid w:val="00255E72"/>
    <w:rsid w:val="00260173"/>
    <w:rsid w:val="00261CB4"/>
    <w:rsid w:val="00263EC7"/>
    <w:rsid w:val="00264CE4"/>
    <w:rsid w:val="0026598B"/>
    <w:rsid w:val="00270EDF"/>
    <w:rsid w:val="00271185"/>
    <w:rsid w:val="002724BA"/>
    <w:rsid w:val="00275CC5"/>
    <w:rsid w:val="002763E2"/>
    <w:rsid w:val="00280561"/>
    <w:rsid w:val="002805D0"/>
    <w:rsid w:val="00280A91"/>
    <w:rsid w:val="00283E47"/>
    <w:rsid w:val="00284F78"/>
    <w:rsid w:val="002862FD"/>
    <w:rsid w:val="00287070"/>
    <w:rsid w:val="00291B40"/>
    <w:rsid w:val="00292DDF"/>
    <w:rsid w:val="00294D3C"/>
    <w:rsid w:val="002A0088"/>
    <w:rsid w:val="002A06B8"/>
    <w:rsid w:val="002A0AEB"/>
    <w:rsid w:val="002A0C3A"/>
    <w:rsid w:val="002A40DA"/>
    <w:rsid w:val="002A4167"/>
    <w:rsid w:val="002A6413"/>
    <w:rsid w:val="002A7441"/>
    <w:rsid w:val="002B1B37"/>
    <w:rsid w:val="002B337A"/>
    <w:rsid w:val="002B4008"/>
    <w:rsid w:val="002B4257"/>
    <w:rsid w:val="002B715A"/>
    <w:rsid w:val="002B74C7"/>
    <w:rsid w:val="002B75B3"/>
    <w:rsid w:val="002C16A4"/>
    <w:rsid w:val="002C36A8"/>
    <w:rsid w:val="002C439F"/>
    <w:rsid w:val="002D0C42"/>
    <w:rsid w:val="002D0E8E"/>
    <w:rsid w:val="002D1E5A"/>
    <w:rsid w:val="002D5B18"/>
    <w:rsid w:val="002D6F25"/>
    <w:rsid w:val="002D7BE6"/>
    <w:rsid w:val="002E225C"/>
    <w:rsid w:val="002E2C84"/>
    <w:rsid w:val="002E3E19"/>
    <w:rsid w:val="002E507D"/>
    <w:rsid w:val="002E50F8"/>
    <w:rsid w:val="002E585D"/>
    <w:rsid w:val="002E5910"/>
    <w:rsid w:val="002E7067"/>
    <w:rsid w:val="002E7C1F"/>
    <w:rsid w:val="002F3720"/>
    <w:rsid w:val="002F3CF1"/>
    <w:rsid w:val="002F60AE"/>
    <w:rsid w:val="002F7A7F"/>
    <w:rsid w:val="003008BF"/>
    <w:rsid w:val="00300BF1"/>
    <w:rsid w:val="00300F46"/>
    <w:rsid w:val="00301189"/>
    <w:rsid w:val="00301E4A"/>
    <w:rsid w:val="00301EAF"/>
    <w:rsid w:val="003038AE"/>
    <w:rsid w:val="003053CF"/>
    <w:rsid w:val="00306089"/>
    <w:rsid w:val="00306A7C"/>
    <w:rsid w:val="0030759F"/>
    <w:rsid w:val="003117E0"/>
    <w:rsid w:val="00312162"/>
    <w:rsid w:val="003166EA"/>
    <w:rsid w:val="00316889"/>
    <w:rsid w:val="003168B8"/>
    <w:rsid w:val="00316989"/>
    <w:rsid w:val="003173DF"/>
    <w:rsid w:val="0032221B"/>
    <w:rsid w:val="00322D64"/>
    <w:rsid w:val="00323E09"/>
    <w:rsid w:val="003269B4"/>
    <w:rsid w:val="00327856"/>
    <w:rsid w:val="00327932"/>
    <w:rsid w:val="00327941"/>
    <w:rsid w:val="0032794D"/>
    <w:rsid w:val="00330158"/>
    <w:rsid w:val="003322D3"/>
    <w:rsid w:val="0033251A"/>
    <w:rsid w:val="0033387C"/>
    <w:rsid w:val="00333932"/>
    <w:rsid w:val="00335077"/>
    <w:rsid w:val="003354AD"/>
    <w:rsid w:val="0033632A"/>
    <w:rsid w:val="00336CD3"/>
    <w:rsid w:val="00337043"/>
    <w:rsid w:val="00337313"/>
    <w:rsid w:val="00340F39"/>
    <w:rsid w:val="003434BA"/>
    <w:rsid w:val="0034414A"/>
    <w:rsid w:val="003446A7"/>
    <w:rsid w:val="00344E40"/>
    <w:rsid w:val="003451D4"/>
    <w:rsid w:val="003471F4"/>
    <w:rsid w:val="00350721"/>
    <w:rsid w:val="003518AA"/>
    <w:rsid w:val="00351D64"/>
    <w:rsid w:val="00352165"/>
    <w:rsid w:val="00353182"/>
    <w:rsid w:val="00354FE6"/>
    <w:rsid w:val="00355BC1"/>
    <w:rsid w:val="003565D9"/>
    <w:rsid w:val="003602E1"/>
    <w:rsid w:val="003657D3"/>
    <w:rsid w:val="003662CE"/>
    <w:rsid w:val="0037026F"/>
    <w:rsid w:val="00370CA4"/>
    <w:rsid w:val="00371240"/>
    <w:rsid w:val="00372384"/>
    <w:rsid w:val="00372FF3"/>
    <w:rsid w:val="00374172"/>
    <w:rsid w:val="00374252"/>
    <w:rsid w:val="00374731"/>
    <w:rsid w:val="00376022"/>
    <w:rsid w:val="00376E59"/>
    <w:rsid w:val="00377694"/>
    <w:rsid w:val="00377EC1"/>
    <w:rsid w:val="0038031F"/>
    <w:rsid w:val="00380340"/>
    <w:rsid w:val="00380D6E"/>
    <w:rsid w:val="00381058"/>
    <w:rsid w:val="00381B90"/>
    <w:rsid w:val="00382E90"/>
    <w:rsid w:val="003832D3"/>
    <w:rsid w:val="00383D7C"/>
    <w:rsid w:val="0038566B"/>
    <w:rsid w:val="00390FA7"/>
    <w:rsid w:val="003919F9"/>
    <w:rsid w:val="00391E20"/>
    <w:rsid w:val="00391E5A"/>
    <w:rsid w:val="003920CF"/>
    <w:rsid w:val="003932A4"/>
    <w:rsid w:val="00393CD8"/>
    <w:rsid w:val="003948D7"/>
    <w:rsid w:val="003949F4"/>
    <w:rsid w:val="003964CB"/>
    <w:rsid w:val="00396CAB"/>
    <w:rsid w:val="00397EA4"/>
    <w:rsid w:val="003A05B8"/>
    <w:rsid w:val="003A082C"/>
    <w:rsid w:val="003A1DB8"/>
    <w:rsid w:val="003A22C2"/>
    <w:rsid w:val="003A3390"/>
    <w:rsid w:val="003A4D24"/>
    <w:rsid w:val="003A5971"/>
    <w:rsid w:val="003B09FE"/>
    <w:rsid w:val="003B1D45"/>
    <w:rsid w:val="003B23C2"/>
    <w:rsid w:val="003B2531"/>
    <w:rsid w:val="003B3235"/>
    <w:rsid w:val="003B3B62"/>
    <w:rsid w:val="003B3C1D"/>
    <w:rsid w:val="003B3D21"/>
    <w:rsid w:val="003B6056"/>
    <w:rsid w:val="003B6A11"/>
    <w:rsid w:val="003C229B"/>
    <w:rsid w:val="003C38B5"/>
    <w:rsid w:val="003C43ED"/>
    <w:rsid w:val="003C480D"/>
    <w:rsid w:val="003C5D99"/>
    <w:rsid w:val="003C6618"/>
    <w:rsid w:val="003C662A"/>
    <w:rsid w:val="003C71E4"/>
    <w:rsid w:val="003D1087"/>
    <w:rsid w:val="003D1D8F"/>
    <w:rsid w:val="003D233C"/>
    <w:rsid w:val="003D363E"/>
    <w:rsid w:val="003D7C64"/>
    <w:rsid w:val="003E032E"/>
    <w:rsid w:val="003E2F59"/>
    <w:rsid w:val="003E2FEC"/>
    <w:rsid w:val="003E35AF"/>
    <w:rsid w:val="003E5AAB"/>
    <w:rsid w:val="003E64E3"/>
    <w:rsid w:val="003E746B"/>
    <w:rsid w:val="003F0789"/>
    <w:rsid w:val="003F0A56"/>
    <w:rsid w:val="003F1442"/>
    <w:rsid w:val="003F2893"/>
    <w:rsid w:val="003F45A9"/>
    <w:rsid w:val="003F7363"/>
    <w:rsid w:val="003F7CCB"/>
    <w:rsid w:val="00401613"/>
    <w:rsid w:val="00401882"/>
    <w:rsid w:val="00403246"/>
    <w:rsid w:val="004033CD"/>
    <w:rsid w:val="0040412E"/>
    <w:rsid w:val="0040429C"/>
    <w:rsid w:val="00406177"/>
    <w:rsid w:val="00407392"/>
    <w:rsid w:val="004079B3"/>
    <w:rsid w:val="004100C8"/>
    <w:rsid w:val="004116F7"/>
    <w:rsid w:val="00411DBD"/>
    <w:rsid w:val="004127DD"/>
    <w:rsid w:val="00412ACE"/>
    <w:rsid w:val="00413369"/>
    <w:rsid w:val="004145D2"/>
    <w:rsid w:val="00415749"/>
    <w:rsid w:val="00417A11"/>
    <w:rsid w:val="00417F01"/>
    <w:rsid w:val="00420660"/>
    <w:rsid w:val="00421371"/>
    <w:rsid w:val="00422BFF"/>
    <w:rsid w:val="00425EA1"/>
    <w:rsid w:val="004262BC"/>
    <w:rsid w:val="00426831"/>
    <w:rsid w:val="00426850"/>
    <w:rsid w:val="00426BB7"/>
    <w:rsid w:val="00426CB4"/>
    <w:rsid w:val="0043053E"/>
    <w:rsid w:val="0043066F"/>
    <w:rsid w:val="00431249"/>
    <w:rsid w:val="004326B0"/>
    <w:rsid w:val="00434512"/>
    <w:rsid w:val="00434C19"/>
    <w:rsid w:val="00436E13"/>
    <w:rsid w:val="00441ED3"/>
    <w:rsid w:val="0044431E"/>
    <w:rsid w:val="00446BBE"/>
    <w:rsid w:val="00447877"/>
    <w:rsid w:val="004500A2"/>
    <w:rsid w:val="00450810"/>
    <w:rsid w:val="0045217F"/>
    <w:rsid w:val="00452677"/>
    <w:rsid w:val="00457598"/>
    <w:rsid w:val="00461693"/>
    <w:rsid w:val="00461D3C"/>
    <w:rsid w:val="0046299F"/>
    <w:rsid w:val="00462C59"/>
    <w:rsid w:val="00465A5B"/>
    <w:rsid w:val="00466060"/>
    <w:rsid w:val="00467455"/>
    <w:rsid w:val="00467702"/>
    <w:rsid w:val="00470737"/>
    <w:rsid w:val="004723BC"/>
    <w:rsid w:val="0047240E"/>
    <w:rsid w:val="004732DF"/>
    <w:rsid w:val="00474182"/>
    <w:rsid w:val="00474468"/>
    <w:rsid w:val="00477144"/>
    <w:rsid w:val="004832F7"/>
    <w:rsid w:val="00484188"/>
    <w:rsid w:val="00484263"/>
    <w:rsid w:val="004863F8"/>
    <w:rsid w:val="004864F5"/>
    <w:rsid w:val="00491380"/>
    <w:rsid w:val="0049270B"/>
    <w:rsid w:val="00492B88"/>
    <w:rsid w:val="00493254"/>
    <w:rsid w:val="0049459F"/>
    <w:rsid w:val="00494F3F"/>
    <w:rsid w:val="004950E5"/>
    <w:rsid w:val="00497E90"/>
    <w:rsid w:val="00497EEA"/>
    <w:rsid w:val="004A23B8"/>
    <w:rsid w:val="004A2E50"/>
    <w:rsid w:val="004A3721"/>
    <w:rsid w:val="004A38DD"/>
    <w:rsid w:val="004A3AB9"/>
    <w:rsid w:val="004B0AFE"/>
    <w:rsid w:val="004B2BE8"/>
    <w:rsid w:val="004B2FD8"/>
    <w:rsid w:val="004B43AE"/>
    <w:rsid w:val="004B50A5"/>
    <w:rsid w:val="004B6D12"/>
    <w:rsid w:val="004C0DFD"/>
    <w:rsid w:val="004C16BA"/>
    <w:rsid w:val="004C20AB"/>
    <w:rsid w:val="004C30ED"/>
    <w:rsid w:val="004C3E5B"/>
    <w:rsid w:val="004C5DD3"/>
    <w:rsid w:val="004C66A9"/>
    <w:rsid w:val="004C71DA"/>
    <w:rsid w:val="004C725F"/>
    <w:rsid w:val="004D3334"/>
    <w:rsid w:val="004D488B"/>
    <w:rsid w:val="004D48B4"/>
    <w:rsid w:val="004D4985"/>
    <w:rsid w:val="004D4E47"/>
    <w:rsid w:val="004D5675"/>
    <w:rsid w:val="004D68EC"/>
    <w:rsid w:val="004D7C64"/>
    <w:rsid w:val="004D7F01"/>
    <w:rsid w:val="004E0294"/>
    <w:rsid w:val="004E1AD3"/>
    <w:rsid w:val="004E2D57"/>
    <w:rsid w:val="004E31A6"/>
    <w:rsid w:val="004E627A"/>
    <w:rsid w:val="004E7D4A"/>
    <w:rsid w:val="004F00F9"/>
    <w:rsid w:val="004F0B02"/>
    <w:rsid w:val="004F211F"/>
    <w:rsid w:val="004F2F95"/>
    <w:rsid w:val="004F3E0D"/>
    <w:rsid w:val="00500A2F"/>
    <w:rsid w:val="00501FA5"/>
    <w:rsid w:val="00502A24"/>
    <w:rsid w:val="00502CAC"/>
    <w:rsid w:val="00504D87"/>
    <w:rsid w:val="005072C7"/>
    <w:rsid w:val="00507F7F"/>
    <w:rsid w:val="00511EEA"/>
    <w:rsid w:val="005127FC"/>
    <w:rsid w:val="005171D3"/>
    <w:rsid w:val="00517795"/>
    <w:rsid w:val="00517EE5"/>
    <w:rsid w:val="00520951"/>
    <w:rsid w:val="005233D5"/>
    <w:rsid w:val="00523639"/>
    <w:rsid w:val="00523FFF"/>
    <w:rsid w:val="005258A0"/>
    <w:rsid w:val="00531FE5"/>
    <w:rsid w:val="0053213A"/>
    <w:rsid w:val="00534575"/>
    <w:rsid w:val="00534F3F"/>
    <w:rsid w:val="0053645D"/>
    <w:rsid w:val="005376AE"/>
    <w:rsid w:val="005402FA"/>
    <w:rsid w:val="00540C94"/>
    <w:rsid w:val="00543C93"/>
    <w:rsid w:val="00545C68"/>
    <w:rsid w:val="0055064E"/>
    <w:rsid w:val="005513A9"/>
    <w:rsid w:val="00552F33"/>
    <w:rsid w:val="00554A4E"/>
    <w:rsid w:val="00555391"/>
    <w:rsid w:val="00560C59"/>
    <w:rsid w:val="00561EAC"/>
    <w:rsid w:val="005625C2"/>
    <w:rsid w:val="0056376C"/>
    <w:rsid w:val="00563D04"/>
    <w:rsid w:val="005646C4"/>
    <w:rsid w:val="00565A42"/>
    <w:rsid w:val="00567F3E"/>
    <w:rsid w:val="005712D3"/>
    <w:rsid w:val="005717D7"/>
    <w:rsid w:val="00571A55"/>
    <w:rsid w:val="005729BD"/>
    <w:rsid w:val="00572AFE"/>
    <w:rsid w:val="00573824"/>
    <w:rsid w:val="005742FE"/>
    <w:rsid w:val="00575A94"/>
    <w:rsid w:val="00576E67"/>
    <w:rsid w:val="00580154"/>
    <w:rsid w:val="00580697"/>
    <w:rsid w:val="00583C39"/>
    <w:rsid w:val="0058474E"/>
    <w:rsid w:val="00586A90"/>
    <w:rsid w:val="00587CE7"/>
    <w:rsid w:val="00587F28"/>
    <w:rsid w:val="0059053F"/>
    <w:rsid w:val="005909CF"/>
    <w:rsid w:val="00591E71"/>
    <w:rsid w:val="00592CDD"/>
    <w:rsid w:val="00593423"/>
    <w:rsid w:val="0059392A"/>
    <w:rsid w:val="005947AD"/>
    <w:rsid w:val="005955C2"/>
    <w:rsid w:val="00596CCE"/>
    <w:rsid w:val="005A0D41"/>
    <w:rsid w:val="005A2220"/>
    <w:rsid w:val="005A37F7"/>
    <w:rsid w:val="005A5473"/>
    <w:rsid w:val="005A7770"/>
    <w:rsid w:val="005A7AD9"/>
    <w:rsid w:val="005B4821"/>
    <w:rsid w:val="005B4B2A"/>
    <w:rsid w:val="005B6E45"/>
    <w:rsid w:val="005B7680"/>
    <w:rsid w:val="005B79FE"/>
    <w:rsid w:val="005C068F"/>
    <w:rsid w:val="005C23C9"/>
    <w:rsid w:val="005C273E"/>
    <w:rsid w:val="005C3550"/>
    <w:rsid w:val="005C5B68"/>
    <w:rsid w:val="005C6181"/>
    <w:rsid w:val="005C6C6B"/>
    <w:rsid w:val="005C72D9"/>
    <w:rsid w:val="005C7D1B"/>
    <w:rsid w:val="005D21D6"/>
    <w:rsid w:val="005D27F2"/>
    <w:rsid w:val="005D2BC0"/>
    <w:rsid w:val="005D329F"/>
    <w:rsid w:val="005D39DF"/>
    <w:rsid w:val="005D3F77"/>
    <w:rsid w:val="005D4304"/>
    <w:rsid w:val="005D47E4"/>
    <w:rsid w:val="005D4D5F"/>
    <w:rsid w:val="005D50CF"/>
    <w:rsid w:val="005D5615"/>
    <w:rsid w:val="005D58F0"/>
    <w:rsid w:val="005D5AA5"/>
    <w:rsid w:val="005D6A26"/>
    <w:rsid w:val="005E1269"/>
    <w:rsid w:val="005E16F2"/>
    <w:rsid w:val="005E30E6"/>
    <w:rsid w:val="005E70A1"/>
    <w:rsid w:val="005F024E"/>
    <w:rsid w:val="005F19EB"/>
    <w:rsid w:val="005F30C7"/>
    <w:rsid w:val="005F48ED"/>
    <w:rsid w:val="005F4933"/>
    <w:rsid w:val="005F4FFA"/>
    <w:rsid w:val="005F6F55"/>
    <w:rsid w:val="005F760E"/>
    <w:rsid w:val="005F7EB7"/>
    <w:rsid w:val="0060005B"/>
    <w:rsid w:val="00600229"/>
    <w:rsid w:val="0060133A"/>
    <w:rsid w:val="0060162F"/>
    <w:rsid w:val="00601C0F"/>
    <w:rsid w:val="00602582"/>
    <w:rsid w:val="00602FC0"/>
    <w:rsid w:val="00603A6F"/>
    <w:rsid w:val="00603DA8"/>
    <w:rsid w:val="00603EE0"/>
    <w:rsid w:val="00605294"/>
    <w:rsid w:val="00605B58"/>
    <w:rsid w:val="00606A20"/>
    <w:rsid w:val="00606E78"/>
    <w:rsid w:val="00607271"/>
    <w:rsid w:val="00607BF1"/>
    <w:rsid w:val="00610594"/>
    <w:rsid w:val="00610FBD"/>
    <w:rsid w:val="00611293"/>
    <w:rsid w:val="006125F8"/>
    <w:rsid w:val="0061501A"/>
    <w:rsid w:val="006156E8"/>
    <w:rsid w:val="00615AC8"/>
    <w:rsid w:val="00620BE0"/>
    <w:rsid w:val="00625EA5"/>
    <w:rsid w:val="00626C1B"/>
    <w:rsid w:val="006275D6"/>
    <w:rsid w:val="00630D4D"/>
    <w:rsid w:val="00632A74"/>
    <w:rsid w:val="0063463D"/>
    <w:rsid w:val="00637BB9"/>
    <w:rsid w:val="00640509"/>
    <w:rsid w:val="006424EC"/>
    <w:rsid w:val="006435D0"/>
    <w:rsid w:val="00644FF9"/>
    <w:rsid w:val="00645A3F"/>
    <w:rsid w:val="00645C95"/>
    <w:rsid w:val="006477B6"/>
    <w:rsid w:val="00647BAB"/>
    <w:rsid w:val="00647F4A"/>
    <w:rsid w:val="006505BE"/>
    <w:rsid w:val="00653D20"/>
    <w:rsid w:val="00654D42"/>
    <w:rsid w:val="00655460"/>
    <w:rsid w:val="00656D6B"/>
    <w:rsid w:val="0065756F"/>
    <w:rsid w:val="00657BEE"/>
    <w:rsid w:val="00660441"/>
    <w:rsid w:val="006613E3"/>
    <w:rsid w:val="00664288"/>
    <w:rsid w:val="00666E02"/>
    <w:rsid w:val="00666FC3"/>
    <w:rsid w:val="00667C3B"/>
    <w:rsid w:val="006722F5"/>
    <w:rsid w:val="00673613"/>
    <w:rsid w:val="00674BC9"/>
    <w:rsid w:val="00677737"/>
    <w:rsid w:val="00680A5D"/>
    <w:rsid w:val="006821CD"/>
    <w:rsid w:val="00682A28"/>
    <w:rsid w:val="00683F2B"/>
    <w:rsid w:val="0069003E"/>
    <w:rsid w:val="00691955"/>
    <w:rsid w:val="00691DC4"/>
    <w:rsid w:val="006929C2"/>
    <w:rsid w:val="00694D28"/>
    <w:rsid w:val="00694E2F"/>
    <w:rsid w:val="00696849"/>
    <w:rsid w:val="0069698D"/>
    <w:rsid w:val="00696BCC"/>
    <w:rsid w:val="00697271"/>
    <w:rsid w:val="006A133F"/>
    <w:rsid w:val="006A1456"/>
    <w:rsid w:val="006A4655"/>
    <w:rsid w:val="006A4D09"/>
    <w:rsid w:val="006A5448"/>
    <w:rsid w:val="006A75B4"/>
    <w:rsid w:val="006A773A"/>
    <w:rsid w:val="006B2B3C"/>
    <w:rsid w:val="006B4A7E"/>
    <w:rsid w:val="006B559B"/>
    <w:rsid w:val="006B5A87"/>
    <w:rsid w:val="006B6EF3"/>
    <w:rsid w:val="006C06FA"/>
    <w:rsid w:val="006C1D81"/>
    <w:rsid w:val="006C36D6"/>
    <w:rsid w:val="006C3F0B"/>
    <w:rsid w:val="006C4007"/>
    <w:rsid w:val="006C52ED"/>
    <w:rsid w:val="006C7038"/>
    <w:rsid w:val="006C76C6"/>
    <w:rsid w:val="006D07BB"/>
    <w:rsid w:val="006D16D4"/>
    <w:rsid w:val="006D2AD4"/>
    <w:rsid w:val="006D3E10"/>
    <w:rsid w:val="006D6BBC"/>
    <w:rsid w:val="006D6EC0"/>
    <w:rsid w:val="006D734A"/>
    <w:rsid w:val="006E56A3"/>
    <w:rsid w:val="006E5BC1"/>
    <w:rsid w:val="006E5EDE"/>
    <w:rsid w:val="006E73EF"/>
    <w:rsid w:val="006E7AD5"/>
    <w:rsid w:val="006E7D56"/>
    <w:rsid w:val="006F100B"/>
    <w:rsid w:val="006F116F"/>
    <w:rsid w:val="006F2040"/>
    <w:rsid w:val="006F23A3"/>
    <w:rsid w:val="006F2AD1"/>
    <w:rsid w:val="006F4113"/>
    <w:rsid w:val="006F5D1E"/>
    <w:rsid w:val="00701C7A"/>
    <w:rsid w:val="00704E80"/>
    <w:rsid w:val="007072FC"/>
    <w:rsid w:val="007079C9"/>
    <w:rsid w:val="007125BB"/>
    <w:rsid w:val="00712E69"/>
    <w:rsid w:val="007140C8"/>
    <w:rsid w:val="00714775"/>
    <w:rsid w:val="00714D4D"/>
    <w:rsid w:val="00715CFB"/>
    <w:rsid w:val="00715E48"/>
    <w:rsid w:val="00717961"/>
    <w:rsid w:val="00723BC7"/>
    <w:rsid w:val="00724342"/>
    <w:rsid w:val="007266D3"/>
    <w:rsid w:val="007317F0"/>
    <w:rsid w:val="00731908"/>
    <w:rsid w:val="00732029"/>
    <w:rsid w:val="00732514"/>
    <w:rsid w:val="0073414F"/>
    <w:rsid w:val="00734754"/>
    <w:rsid w:val="00734B35"/>
    <w:rsid w:val="007359CF"/>
    <w:rsid w:val="00735B20"/>
    <w:rsid w:val="00742D1E"/>
    <w:rsid w:val="007441E9"/>
    <w:rsid w:val="00745804"/>
    <w:rsid w:val="00745D59"/>
    <w:rsid w:val="007466B9"/>
    <w:rsid w:val="007475C2"/>
    <w:rsid w:val="00755121"/>
    <w:rsid w:val="00755FE9"/>
    <w:rsid w:val="007604BB"/>
    <w:rsid w:val="00760D08"/>
    <w:rsid w:val="0076194E"/>
    <w:rsid w:val="00761E0E"/>
    <w:rsid w:val="00762682"/>
    <w:rsid w:val="00762D43"/>
    <w:rsid w:val="00762FB6"/>
    <w:rsid w:val="007641B2"/>
    <w:rsid w:val="00772909"/>
    <w:rsid w:val="00772B70"/>
    <w:rsid w:val="007734F1"/>
    <w:rsid w:val="00774E7C"/>
    <w:rsid w:val="007753D2"/>
    <w:rsid w:val="00775774"/>
    <w:rsid w:val="007758B7"/>
    <w:rsid w:val="00776735"/>
    <w:rsid w:val="0077749E"/>
    <w:rsid w:val="0078085A"/>
    <w:rsid w:val="007810C9"/>
    <w:rsid w:val="00782435"/>
    <w:rsid w:val="00782494"/>
    <w:rsid w:val="007832E1"/>
    <w:rsid w:val="00783A02"/>
    <w:rsid w:val="007848A2"/>
    <w:rsid w:val="00785232"/>
    <w:rsid w:val="0079093D"/>
    <w:rsid w:val="007933CF"/>
    <w:rsid w:val="0079368A"/>
    <w:rsid w:val="007950B7"/>
    <w:rsid w:val="00795CC9"/>
    <w:rsid w:val="0079701E"/>
    <w:rsid w:val="007A0D83"/>
    <w:rsid w:val="007A21EB"/>
    <w:rsid w:val="007B098F"/>
    <w:rsid w:val="007B1622"/>
    <w:rsid w:val="007B1A93"/>
    <w:rsid w:val="007B23DD"/>
    <w:rsid w:val="007B335A"/>
    <w:rsid w:val="007B4165"/>
    <w:rsid w:val="007B42C9"/>
    <w:rsid w:val="007B5460"/>
    <w:rsid w:val="007B6E64"/>
    <w:rsid w:val="007C038C"/>
    <w:rsid w:val="007C06E6"/>
    <w:rsid w:val="007C0935"/>
    <w:rsid w:val="007C0EA9"/>
    <w:rsid w:val="007C0ECE"/>
    <w:rsid w:val="007C36C9"/>
    <w:rsid w:val="007C6983"/>
    <w:rsid w:val="007D4D17"/>
    <w:rsid w:val="007D544D"/>
    <w:rsid w:val="007D6401"/>
    <w:rsid w:val="007D663A"/>
    <w:rsid w:val="007D6706"/>
    <w:rsid w:val="007D748F"/>
    <w:rsid w:val="007E01E4"/>
    <w:rsid w:val="007E09DA"/>
    <w:rsid w:val="007E2FDA"/>
    <w:rsid w:val="007E7A12"/>
    <w:rsid w:val="007F34D5"/>
    <w:rsid w:val="007F592B"/>
    <w:rsid w:val="007F7107"/>
    <w:rsid w:val="00800D4C"/>
    <w:rsid w:val="008016A7"/>
    <w:rsid w:val="0080539E"/>
    <w:rsid w:val="008057F7"/>
    <w:rsid w:val="0080776E"/>
    <w:rsid w:val="00807C9F"/>
    <w:rsid w:val="008100C2"/>
    <w:rsid w:val="0081030F"/>
    <w:rsid w:val="00812F4A"/>
    <w:rsid w:val="00814210"/>
    <w:rsid w:val="00815F3A"/>
    <w:rsid w:val="00816184"/>
    <w:rsid w:val="0082087D"/>
    <w:rsid w:val="00830CA6"/>
    <w:rsid w:val="008317EB"/>
    <w:rsid w:val="008318DE"/>
    <w:rsid w:val="0083293C"/>
    <w:rsid w:val="00834C32"/>
    <w:rsid w:val="00835771"/>
    <w:rsid w:val="0083712C"/>
    <w:rsid w:val="00842933"/>
    <w:rsid w:val="00843217"/>
    <w:rsid w:val="00846B15"/>
    <w:rsid w:val="00846B35"/>
    <w:rsid w:val="008479D1"/>
    <w:rsid w:val="0085349D"/>
    <w:rsid w:val="008552A6"/>
    <w:rsid w:val="00855626"/>
    <w:rsid w:val="00860258"/>
    <w:rsid w:val="00860559"/>
    <w:rsid w:val="0086082C"/>
    <w:rsid w:val="00860BB2"/>
    <w:rsid w:val="0086351C"/>
    <w:rsid w:val="00864ADC"/>
    <w:rsid w:val="00864C90"/>
    <w:rsid w:val="0086534B"/>
    <w:rsid w:val="008658B6"/>
    <w:rsid w:val="0086738C"/>
    <w:rsid w:val="00871E71"/>
    <w:rsid w:val="00874382"/>
    <w:rsid w:val="00874852"/>
    <w:rsid w:val="00874964"/>
    <w:rsid w:val="00875573"/>
    <w:rsid w:val="00876DF0"/>
    <w:rsid w:val="00877F93"/>
    <w:rsid w:val="00880153"/>
    <w:rsid w:val="00880F97"/>
    <w:rsid w:val="0088133A"/>
    <w:rsid w:val="008823AE"/>
    <w:rsid w:val="00886661"/>
    <w:rsid w:val="008876E7"/>
    <w:rsid w:val="008912DC"/>
    <w:rsid w:val="00892566"/>
    <w:rsid w:val="0089285E"/>
    <w:rsid w:val="0089370A"/>
    <w:rsid w:val="00893E14"/>
    <w:rsid w:val="0089436C"/>
    <w:rsid w:val="00896150"/>
    <w:rsid w:val="00897DA9"/>
    <w:rsid w:val="008A3750"/>
    <w:rsid w:val="008A3E6A"/>
    <w:rsid w:val="008A4DC7"/>
    <w:rsid w:val="008A57A7"/>
    <w:rsid w:val="008A7BDF"/>
    <w:rsid w:val="008B07A0"/>
    <w:rsid w:val="008B0DB8"/>
    <w:rsid w:val="008B24CE"/>
    <w:rsid w:val="008B263B"/>
    <w:rsid w:val="008B4554"/>
    <w:rsid w:val="008B4CF7"/>
    <w:rsid w:val="008B53BF"/>
    <w:rsid w:val="008B5756"/>
    <w:rsid w:val="008B6DBC"/>
    <w:rsid w:val="008B7F53"/>
    <w:rsid w:val="008C0AC9"/>
    <w:rsid w:val="008C0DA4"/>
    <w:rsid w:val="008C0E34"/>
    <w:rsid w:val="008C2AB0"/>
    <w:rsid w:val="008C37C5"/>
    <w:rsid w:val="008C44E6"/>
    <w:rsid w:val="008C67E4"/>
    <w:rsid w:val="008C746C"/>
    <w:rsid w:val="008D00AD"/>
    <w:rsid w:val="008D13A2"/>
    <w:rsid w:val="008D35A5"/>
    <w:rsid w:val="008D365C"/>
    <w:rsid w:val="008D7622"/>
    <w:rsid w:val="008E1F46"/>
    <w:rsid w:val="008E35EE"/>
    <w:rsid w:val="008E3BC9"/>
    <w:rsid w:val="008E4200"/>
    <w:rsid w:val="008E589D"/>
    <w:rsid w:val="008E7D56"/>
    <w:rsid w:val="008F2244"/>
    <w:rsid w:val="008F2555"/>
    <w:rsid w:val="008F34FC"/>
    <w:rsid w:val="008F70FD"/>
    <w:rsid w:val="008F7365"/>
    <w:rsid w:val="008F7A7F"/>
    <w:rsid w:val="009021A6"/>
    <w:rsid w:val="009030BF"/>
    <w:rsid w:val="00903A6B"/>
    <w:rsid w:val="00903B52"/>
    <w:rsid w:val="0090448D"/>
    <w:rsid w:val="00905CDA"/>
    <w:rsid w:val="00905D77"/>
    <w:rsid w:val="00905FD4"/>
    <w:rsid w:val="0091032F"/>
    <w:rsid w:val="00914368"/>
    <w:rsid w:val="009164D3"/>
    <w:rsid w:val="00916688"/>
    <w:rsid w:val="009176D1"/>
    <w:rsid w:val="00923CCC"/>
    <w:rsid w:val="00923D80"/>
    <w:rsid w:val="00923F6E"/>
    <w:rsid w:val="00925264"/>
    <w:rsid w:val="00927AFA"/>
    <w:rsid w:val="00931076"/>
    <w:rsid w:val="0093178B"/>
    <w:rsid w:val="00932254"/>
    <w:rsid w:val="0093245C"/>
    <w:rsid w:val="009345D9"/>
    <w:rsid w:val="00934B15"/>
    <w:rsid w:val="00935A1F"/>
    <w:rsid w:val="00940519"/>
    <w:rsid w:val="00940C87"/>
    <w:rsid w:val="009417AF"/>
    <w:rsid w:val="00942B62"/>
    <w:rsid w:val="00942FC6"/>
    <w:rsid w:val="0094467C"/>
    <w:rsid w:val="00947BD4"/>
    <w:rsid w:val="0095323B"/>
    <w:rsid w:val="00954544"/>
    <w:rsid w:val="009551A0"/>
    <w:rsid w:val="0095527E"/>
    <w:rsid w:val="0095616E"/>
    <w:rsid w:val="00956A0C"/>
    <w:rsid w:val="00956BD9"/>
    <w:rsid w:val="0095755F"/>
    <w:rsid w:val="00962489"/>
    <w:rsid w:val="00963515"/>
    <w:rsid w:val="009638BE"/>
    <w:rsid w:val="00967236"/>
    <w:rsid w:val="00967CD3"/>
    <w:rsid w:val="009708F5"/>
    <w:rsid w:val="009710EE"/>
    <w:rsid w:val="00972003"/>
    <w:rsid w:val="009724D4"/>
    <w:rsid w:val="0097494A"/>
    <w:rsid w:val="0097726B"/>
    <w:rsid w:val="00980075"/>
    <w:rsid w:val="0098043A"/>
    <w:rsid w:val="0098289F"/>
    <w:rsid w:val="00982E18"/>
    <w:rsid w:val="00983B3C"/>
    <w:rsid w:val="00983DB1"/>
    <w:rsid w:val="009853A3"/>
    <w:rsid w:val="0098622E"/>
    <w:rsid w:val="00990C2C"/>
    <w:rsid w:val="00993E4E"/>
    <w:rsid w:val="00993F59"/>
    <w:rsid w:val="00994568"/>
    <w:rsid w:val="00994AD5"/>
    <w:rsid w:val="00997407"/>
    <w:rsid w:val="009A0BAB"/>
    <w:rsid w:val="009A1B38"/>
    <w:rsid w:val="009A1C5A"/>
    <w:rsid w:val="009A24D1"/>
    <w:rsid w:val="009A26D3"/>
    <w:rsid w:val="009A3857"/>
    <w:rsid w:val="009A3FD8"/>
    <w:rsid w:val="009A5171"/>
    <w:rsid w:val="009A5D39"/>
    <w:rsid w:val="009A6361"/>
    <w:rsid w:val="009A7C93"/>
    <w:rsid w:val="009B0570"/>
    <w:rsid w:val="009B0634"/>
    <w:rsid w:val="009B233F"/>
    <w:rsid w:val="009B3493"/>
    <w:rsid w:val="009B3710"/>
    <w:rsid w:val="009B3A27"/>
    <w:rsid w:val="009B58B8"/>
    <w:rsid w:val="009B636A"/>
    <w:rsid w:val="009C2F75"/>
    <w:rsid w:val="009C7155"/>
    <w:rsid w:val="009C7D0E"/>
    <w:rsid w:val="009D1568"/>
    <w:rsid w:val="009D3336"/>
    <w:rsid w:val="009D6DDE"/>
    <w:rsid w:val="009E0820"/>
    <w:rsid w:val="009E1844"/>
    <w:rsid w:val="009F0940"/>
    <w:rsid w:val="009F0D1B"/>
    <w:rsid w:val="009F4D3C"/>
    <w:rsid w:val="009F5492"/>
    <w:rsid w:val="009F5BBD"/>
    <w:rsid w:val="009F696D"/>
    <w:rsid w:val="009F6BBD"/>
    <w:rsid w:val="009F6BC6"/>
    <w:rsid w:val="009F707B"/>
    <w:rsid w:val="009F72C4"/>
    <w:rsid w:val="009F74EF"/>
    <w:rsid w:val="00A02826"/>
    <w:rsid w:val="00A0387D"/>
    <w:rsid w:val="00A05B7A"/>
    <w:rsid w:val="00A12FC2"/>
    <w:rsid w:val="00A13E89"/>
    <w:rsid w:val="00A15D5A"/>
    <w:rsid w:val="00A16164"/>
    <w:rsid w:val="00A16A28"/>
    <w:rsid w:val="00A17328"/>
    <w:rsid w:val="00A20426"/>
    <w:rsid w:val="00A217C8"/>
    <w:rsid w:val="00A21E1B"/>
    <w:rsid w:val="00A23A20"/>
    <w:rsid w:val="00A23F19"/>
    <w:rsid w:val="00A24443"/>
    <w:rsid w:val="00A244A7"/>
    <w:rsid w:val="00A268B9"/>
    <w:rsid w:val="00A26979"/>
    <w:rsid w:val="00A26F91"/>
    <w:rsid w:val="00A2703A"/>
    <w:rsid w:val="00A30106"/>
    <w:rsid w:val="00A327F8"/>
    <w:rsid w:val="00A33DFF"/>
    <w:rsid w:val="00A34B70"/>
    <w:rsid w:val="00A35115"/>
    <w:rsid w:val="00A35564"/>
    <w:rsid w:val="00A364C3"/>
    <w:rsid w:val="00A36D9A"/>
    <w:rsid w:val="00A4284A"/>
    <w:rsid w:val="00A43A70"/>
    <w:rsid w:val="00A44558"/>
    <w:rsid w:val="00A448A5"/>
    <w:rsid w:val="00A44ED6"/>
    <w:rsid w:val="00A451DC"/>
    <w:rsid w:val="00A530B5"/>
    <w:rsid w:val="00A554AB"/>
    <w:rsid w:val="00A55510"/>
    <w:rsid w:val="00A56C9B"/>
    <w:rsid w:val="00A57062"/>
    <w:rsid w:val="00A608ED"/>
    <w:rsid w:val="00A613B8"/>
    <w:rsid w:val="00A62E4B"/>
    <w:rsid w:val="00A63231"/>
    <w:rsid w:val="00A6460B"/>
    <w:rsid w:val="00A65EDE"/>
    <w:rsid w:val="00A67781"/>
    <w:rsid w:val="00A70844"/>
    <w:rsid w:val="00A70F04"/>
    <w:rsid w:val="00A7165F"/>
    <w:rsid w:val="00A71BE0"/>
    <w:rsid w:val="00A71DCE"/>
    <w:rsid w:val="00A72198"/>
    <w:rsid w:val="00A7461C"/>
    <w:rsid w:val="00A74908"/>
    <w:rsid w:val="00A761F9"/>
    <w:rsid w:val="00A77374"/>
    <w:rsid w:val="00A77A39"/>
    <w:rsid w:val="00A77A56"/>
    <w:rsid w:val="00A81387"/>
    <w:rsid w:val="00A81B8E"/>
    <w:rsid w:val="00A854F7"/>
    <w:rsid w:val="00A86348"/>
    <w:rsid w:val="00A90BD3"/>
    <w:rsid w:val="00A90D7D"/>
    <w:rsid w:val="00A92B53"/>
    <w:rsid w:val="00A938F3"/>
    <w:rsid w:val="00A94FA6"/>
    <w:rsid w:val="00A965E4"/>
    <w:rsid w:val="00AA04FF"/>
    <w:rsid w:val="00AA11FA"/>
    <w:rsid w:val="00AA1F1E"/>
    <w:rsid w:val="00AA3C69"/>
    <w:rsid w:val="00AA3D82"/>
    <w:rsid w:val="00AA49A0"/>
    <w:rsid w:val="00AA62D9"/>
    <w:rsid w:val="00AA6710"/>
    <w:rsid w:val="00AA6CEF"/>
    <w:rsid w:val="00AB0293"/>
    <w:rsid w:val="00AB0681"/>
    <w:rsid w:val="00AB1B72"/>
    <w:rsid w:val="00AB2201"/>
    <w:rsid w:val="00AB39C2"/>
    <w:rsid w:val="00AB3C2B"/>
    <w:rsid w:val="00AB4052"/>
    <w:rsid w:val="00AB7CF7"/>
    <w:rsid w:val="00AC11D4"/>
    <w:rsid w:val="00AC1540"/>
    <w:rsid w:val="00AC1870"/>
    <w:rsid w:val="00AC1B62"/>
    <w:rsid w:val="00AC3A15"/>
    <w:rsid w:val="00AC4C39"/>
    <w:rsid w:val="00AC4CD7"/>
    <w:rsid w:val="00AC521F"/>
    <w:rsid w:val="00AC61CC"/>
    <w:rsid w:val="00AC63EB"/>
    <w:rsid w:val="00AC67D9"/>
    <w:rsid w:val="00AC6969"/>
    <w:rsid w:val="00AC7C54"/>
    <w:rsid w:val="00AD2365"/>
    <w:rsid w:val="00AD2D97"/>
    <w:rsid w:val="00AD3006"/>
    <w:rsid w:val="00AD3960"/>
    <w:rsid w:val="00AD520B"/>
    <w:rsid w:val="00AD5D98"/>
    <w:rsid w:val="00AD6181"/>
    <w:rsid w:val="00AD6CA2"/>
    <w:rsid w:val="00AD6D82"/>
    <w:rsid w:val="00AE0450"/>
    <w:rsid w:val="00AE3797"/>
    <w:rsid w:val="00AE3A3E"/>
    <w:rsid w:val="00AE3BCC"/>
    <w:rsid w:val="00AE40DF"/>
    <w:rsid w:val="00AF0117"/>
    <w:rsid w:val="00AF0407"/>
    <w:rsid w:val="00AF0D96"/>
    <w:rsid w:val="00AF159E"/>
    <w:rsid w:val="00AF2603"/>
    <w:rsid w:val="00AF31E4"/>
    <w:rsid w:val="00AF6528"/>
    <w:rsid w:val="00AF7E75"/>
    <w:rsid w:val="00B006C1"/>
    <w:rsid w:val="00B00946"/>
    <w:rsid w:val="00B02AB7"/>
    <w:rsid w:val="00B0458B"/>
    <w:rsid w:val="00B0495A"/>
    <w:rsid w:val="00B077B4"/>
    <w:rsid w:val="00B12B9C"/>
    <w:rsid w:val="00B12D3D"/>
    <w:rsid w:val="00B13A52"/>
    <w:rsid w:val="00B149EB"/>
    <w:rsid w:val="00B15073"/>
    <w:rsid w:val="00B169DC"/>
    <w:rsid w:val="00B22CC2"/>
    <w:rsid w:val="00B235FE"/>
    <w:rsid w:val="00B2494F"/>
    <w:rsid w:val="00B24FF4"/>
    <w:rsid w:val="00B25720"/>
    <w:rsid w:val="00B25734"/>
    <w:rsid w:val="00B25A03"/>
    <w:rsid w:val="00B26660"/>
    <w:rsid w:val="00B2747E"/>
    <w:rsid w:val="00B27812"/>
    <w:rsid w:val="00B27873"/>
    <w:rsid w:val="00B3061E"/>
    <w:rsid w:val="00B30739"/>
    <w:rsid w:val="00B32773"/>
    <w:rsid w:val="00B35D0C"/>
    <w:rsid w:val="00B37A7A"/>
    <w:rsid w:val="00B425C3"/>
    <w:rsid w:val="00B43486"/>
    <w:rsid w:val="00B440AD"/>
    <w:rsid w:val="00B4497C"/>
    <w:rsid w:val="00B451BF"/>
    <w:rsid w:val="00B45B95"/>
    <w:rsid w:val="00B479BB"/>
    <w:rsid w:val="00B51B91"/>
    <w:rsid w:val="00B53C16"/>
    <w:rsid w:val="00B53E7E"/>
    <w:rsid w:val="00B55641"/>
    <w:rsid w:val="00B55D2B"/>
    <w:rsid w:val="00B57260"/>
    <w:rsid w:val="00B601DB"/>
    <w:rsid w:val="00B603A6"/>
    <w:rsid w:val="00B604EA"/>
    <w:rsid w:val="00B6113E"/>
    <w:rsid w:val="00B618CD"/>
    <w:rsid w:val="00B62CDE"/>
    <w:rsid w:val="00B6342E"/>
    <w:rsid w:val="00B63643"/>
    <w:rsid w:val="00B64BFF"/>
    <w:rsid w:val="00B67582"/>
    <w:rsid w:val="00B677F5"/>
    <w:rsid w:val="00B67FD7"/>
    <w:rsid w:val="00B707CE"/>
    <w:rsid w:val="00B70F9B"/>
    <w:rsid w:val="00B7113F"/>
    <w:rsid w:val="00B72C20"/>
    <w:rsid w:val="00B73095"/>
    <w:rsid w:val="00B73170"/>
    <w:rsid w:val="00B74384"/>
    <w:rsid w:val="00B751BF"/>
    <w:rsid w:val="00B80551"/>
    <w:rsid w:val="00B846D8"/>
    <w:rsid w:val="00B84CFA"/>
    <w:rsid w:val="00B85E8D"/>
    <w:rsid w:val="00B861BD"/>
    <w:rsid w:val="00B867BE"/>
    <w:rsid w:val="00B8698F"/>
    <w:rsid w:val="00B86AC0"/>
    <w:rsid w:val="00B92C49"/>
    <w:rsid w:val="00B9310B"/>
    <w:rsid w:val="00B94E1A"/>
    <w:rsid w:val="00B95B54"/>
    <w:rsid w:val="00B96073"/>
    <w:rsid w:val="00B964C7"/>
    <w:rsid w:val="00B96DEA"/>
    <w:rsid w:val="00BA04BB"/>
    <w:rsid w:val="00BA18EF"/>
    <w:rsid w:val="00BA2BCF"/>
    <w:rsid w:val="00BA2C40"/>
    <w:rsid w:val="00BA3177"/>
    <w:rsid w:val="00BA3272"/>
    <w:rsid w:val="00BA3467"/>
    <w:rsid w:val="00BA4DEF"/>
    <w:rsid w:val="00BA5B14"/>
    <w:rsid w:val="00BA73B6"/>
    <w:rsid w:val="00BA7E27"/>
    <w:rsid w:val="00BB093A"/>
    <w:rsid w:val="00BB10BF"/>
    <w:rsid w:val="00BB1FFB"/>
    <w:rsid w:val="00BB2603"/>
    <w:rsid w:val="00BB4FCD"/>
    <w:rsid w:val="00BB5B41"/>
    <w:rsid w:val="00BB66AD"/>
    <w:rsid w:val="00BC04E9"/>
    <w:rsid w:val="00BC09A5"/>
    <w:rsid w:val="00BC19E1"/>
    <w:rsid w:val="00BC509A"/>
    <w:rsid w:val="00BC5D02"/>
    <w:rsid w:val="00BD0734"/>
    <w:rsid w:val="00BD11FF"/>
    <w:rsid w:val="00BD13EA"/>
    <w:rsid w:val="00BD3E63"/>
    <w:rsid w:val="00BD4702"/>
    <w:rsid w:val="00BD7779"/>
    <w:rsid w:val="00BE0681"/>
    <w:rsid w:val="00BE0FB3"/>
    <w:rsid w:val="00BE3808"/>
    <w:rsid w:val="00BE446E"/>
    <w:rsid w:val="00BE6F0E"/>
    <w:rsid w:val="00BF039C"/>
    <w:rsid w:val="00BF2411"/>
    <w:rsid w:val="00BF4149"/>
    <w:rsid w:val="00BF4B14"/>
    <w:rsid w:val="00C00026"/>
    <w:rsid w:val="00C01FA7"/>
    <w:rsid w:val="00C02DDE"/>
    <w:rsid w:val="00C03B88"/>
    <w:rsid w:val="00C062E9"/>
    <w:rsid w:val="00C06393"/>
    <w:rsid w:val="00C07B64"/>
    <w:rsid w:val="00C07DBA"/>
    <w:rsid w:val="00C13721"/>
    <w:rsid w:val="00C14534"/>
    <w:rsid w:val="00C145AB"/>
    <w:rsid w:val="00C14FE4"/>
    <w:rsid w:val="00C1612F"/>
    <w:rsid w:val="00C16D2A"/>
    <w:rsid w:val="00C17254"/>
    <w:rsid w:val="00C21BFF"/>
    <w:rsid w:val="00C25A45"/>
    <w:rsid w:val="00C278DF"/>
    <w:rsid w:val="00C3066D"/>
    <w:rsid w:val="00C32218"/>
    <w:rsid w:val="00C32824"/>
    <w:rsid w:val="00C33124"/>
    <w:rsid w:val="00C335F4"/>
    <w:rsid w:val="00C33DC7"/>
    <w:rsid w:val="00C350C7"/>
    <w:rsid w:val="00C37A27"/>
    <w:rsid w:val="00C40087"/>
    <w:rsid w:val="00C406CE"/>
    <w:rsid w:val="00C4132C"/>
    <w:rsid w:val="00C4322A"/>
    <w:rsid w:val="00C43645"/>
    <w:rsid w:val="00C44D5E"/>
    <w:rsid w:val="00C46F0F"/>
    <w:rsid w:val="00C47D03"/>
    <w:rsid w:val="00C50358"/>
    <w:rsid w:val="00C5205D"/>
    <w:rsid w:val="00C52111"/>
    <w:rsid w:val="00C52416"/>
    <w:rsid w:val="00C53B56"/>
    <w:rsid w:val="00C53D7D"/>
    <w:rsid w:val="00C543F4"/>
    <w:rsid w:val="00C54D6F"/>
    <w:rsid w:val="00C55A04"/>
    <w:rsid w:val="00C56770"/>
    <w:rsid w:val="00C60C42"/>
    <w:rsid w:val="00C62470"/>
    <w:rsid w:val="00C6291C"/>
    <w:rsid w:val="00C633CB"/>
    <w:rsid w:val="00C6461C"/>
    <w:rsid w:val="00C64EFF"/>
    <w:rsid w:val="00C655AD"/>
    <w:rsid w:val="00C656CC"/>
    <w:rsid w:val="00C664CD"/>
    <w:rsid w:val="00C70EB9"/>
    <w:rsid w:val="00C7133F"/>
    <w:rsid w:val="00C736B7"/>
    <w:rsid w:val="00C74E99"/>
    <w:rsid w:val="00C76A52"/>
    <w:rsid w:val="00C7774D"/>
    <w:rsid w:val="00C803C8"/>
    <w:rsid w:val="00C806B2"/>
    <w:rsid w:val="00C80FE5"/>
    <w:rsid w:val="00C81D4A"/>
    <w:rsid w:val="00C863CB"/>
    <w:rsid w:val="00C8728E"/>
    <w:rsid w:val="00C8762C"/>
    <w:rsid w:val="00C919C4"/>
    <w:rsid w:val="00C93484"/>
    <w:rsid w:val="00C93830"/>
    <w:rsid w:val="00C951B8"/>
    <w:rsid w:val="00C95F80"/>
    <w:rsid w:val="00C97F6C"/>
    <w:rsid w:val="00CA00F9"/>
    <w:rsid w:val="00CA1E21"/>
    <w:rsid w:val="00CA1F6E"/>
    <w:rsid w:val="00CA1F74"/>
    <w:rsid w:val="00CA2961"/>
    <w:rsid w:val="00CA4106"/>
    <w:rsid w:val="00CA46A7"/>
    <w:rsid w:val="00CA5249"/>
    <w:rsid w:val="00CA7AA8"/>
    <w:rsid w:val="00CB0089"/>
    <w:rsid w:val="00CB0FCE"/>
    <w:rsid w:val="00CB11D3"/>
    <w:rsid w:val="00CB28D0"/>
    <w:rsid w:val="00CB3225"/>
    <w:rsid w:val="00CB49E9"/>
    <w:rsid w:val="00CB50D7"/>
    <w:rsid w:val="00CB63AA"/>
    <w:rsid w:val="00CB6B70"/>
    <w:rsid w:val="00CB7177"/>
    <w:rsid w:val="00CB7610"/>
    <w:rsid w:val="00CB7CED"/>
    <w:rsid w:val="00CC070F"/>
    <w:rsid w:val="00CC0995"/>
    <w:rsid w:val="00CC10E8"/>
    <w:rsid w:val="00CC1998"/>
    <w:rsid w:val="00CC1F16"/>
    <w:rsid w:val="00CC4946"/>
    <w:rsid w:val="00CC56A6"/>
    <w:rsid w:val="00CC58B6"/>
    <w:rsid w:val="00CC64A1"/>
    <w:rsid w:val="00CD4205"/>
    <w:rsid w:val="00CD5417"/>
    <w:rsid w:val="00CD6E29"/>
    <w:rsid w:val="00CE065F"/>
    <w:rsid w:val="00CE166F"/>
    <w:rsid w:val="00CE2C0A"/>
    <w:rsid w:val="00CE4F30"/>
    <w:rsid w:val="00CE634B"/>
    <w:rsid w:val="00CF2310"/>
    <w:rsid w:val="00CF3213"/>
    <w:rsid w:val="00CF34CE"/>
    <w:rsid w:val="00CF37CB"/>
    <w:rsid w:val="00CF388A"/>
    <w:rsid w:val="00CF3B11"/>
    <w:rsid w:val="00CF493A"/>
    <w:rsid w:val="00CF5074"/>
    <w:rsid w:val="00CF591B"/>
    <w:rsid w:val="00CF6593"/>
    <w:rsid w:val="00CF7ACD"/>
    <w:rsid w:val="00D00C37"/>
    <w:rsid w:val="00D00F31"/>
    <w:rsid w:val="00D00F7C"/>
    <w:rsid w:val="00D016B2"/>
    <w:rsid w:val="00D025F6"/>
    <w:rsid w:val="00D02FA9"/>
    <w:rsid w:val="00D03B5B"/>
    <w:rsid w:val="00D04A0A"/>
    <w:rsid w:val="00D05D22"/>
    <w:rsid w:val="00D067DC"/>
    <w:rsid w:val="00D0684B"/>
    <w:rsid w:val="00D12D12"/>
    <w:rsid w:val="00D149E4"/>
    <w:rsid w:val="00D156D3"/>
    <w:rsid w:val="00D15FF6"/>
    <w:rsid w:val="00D167B5"/>
    <w:rsid w:val="00D172D7"/>
    <w:rsid w:val="00D1777F"/>
    <w:rsid w:val="00D270A4"/>
    <w:rsid w:val="00D31FE9"/>
    <w:rsid w:val="00D323BF"/>
    <w:rsid w:val="00D34072"/>
    <w:rsid w:val="00D34DCD"/>
    <w:rsid w:val="00D34E1B"/>
    <w:rsid w:val="00D35040"/>
    <w:rsid w:val="00D37572"/>
    <w:rsid w:val="00D376BA"/>
    <w:rsid w:val="00D37DF4"/>
    <w:rsid w:val="00D434A0"/>
    <w:rsid w:val="00D43F0A"/>
    <w:rsid w:val="00D445AA"/>
    <w:rsid w:val="00D44F78"/>
    <w:rsid w:val="00D45634"/>
    <w:rsid w:val="00D4655F"/>
    <w:rsid w:val="00D46689"/>
    <w:rsid w:val="00D52BC8"/>
    <w:rsid w:val="00D52F7F"/>
    <w:rsid w:val="00D5568A"/>
    <w:rsid w:val="00D55B04"/>
    <w:rsid w:val="00D56AC8"/>
    <w:rsid w:val="00D56FDE"/>
    <w:rsid w:val="00D57DEC"/>
    <w:rsid w:val="00D613F4"/>
    <w:rsid w:val="00D62934"/>
    <w:rsid w:val="00D63D73"/>
    <w:rsid w:val="00D6425F"/>
    <w:rsid w:val="00D64452"/>
    <w:rsid w:val="00D64D2A"/>
    <w:rsid w:val="00D66141"/>
    <w:rsid w:val="00D66E1E"/>
    <w:rsid w:val="00D70696"/>
    <w:rsid w:val="00D7190E"/>
    <w:rsid w:val="00D71B9C"/>
    <w:rsid w:val="00D7267B"/>
    <w:rsid w:val="00D73873"/>
    <w:rsid w:val="00D750FB"/>
    <w:rsid w:val="00D75722"/>
    <w:rsid w:val="00D80475"/>
    <w:rsid w:val="00D80CCE"/>
    <w:rsid w:val="00D80CF5"/>
    <w:rsid w:val="00D831FA"/>
    <w:rsid w:val="00D832E4"/>
    <w:rsid w:val="00D83F93"/>
    <w:rsid w:val="00D85A00"/>
    <w:rsid w:val="00D867D6"/>
    <w:rsid w:val="00D953E5"/>
    <w:rsid w:val="00D9594A"/>
    <w:rsid w:val="00DA13D2"/>
    <w:rsid w:val="00DA271F"/>
    <w:rsid w:val="00DA3C2E"/>
    <w:rsid w:val="00DA47DC"/>
    <w:rsid w:val="00DA5BBA"/>
    <w:rsid w:val="00DB0D52"/>
    <w:rsid w:val="00DB13BA"/>
    <w:rsid w:val="00DB17CA"/>
    <w:rsid w:val="00DB26D2"/>
    <w:rsid w:val="00DB27AB"/>
    <w:rsid w:val="00DB5EE4"/>
    <w:rsid w:val="00DB67C9"/>
    <w:rsid w:val="00DB687E"/>
    <w:rsid w:val="00DB74A5"/>
    <w:rsid w:val="00DC0C95"/>
    <w:rsid w:val="00DC29E4"/>
    <w:rsid w:val="00DC4F0B"/>
    <w:rsid w:val="00DC50F3"/>
    <w:rsid w:val="00DC66DF"/>
    <w:rsid w:val="00DC69FE"/>
    <w:rsid w:val="00DC71E1"/>
    <w:rsid w:val="00DD0D4B"/>
    <w:rsid w:val="00DD141C"/>
    <w:rsid w:val="00DD1C83"/>
    <w:rsid w:val="00DD50A2"/>
    <w:rsid w:val="00DD6580"/>
    <w:rsid w:val="00DE51C4"/>
    <w:rsid w:val="00DE681C"/>
    <w:rsid w:val="00DE6856"/>
    <w:rsid w:val="00DE6C10"/>
    <w:rsid w:val="00DE7C2E"/>
    <w:rsid w:val="00DF277B"/>
    <w:rsid w:val="00DF3290"/>
    <w:rsid w:val="00DF3680"/>
    <w:rsid w:val="00DF5116"/>
    <w:rsid w:val="00DF657E"/>
    <w:rsid w:val="00DF66FA"/>
    <w:rsid w:val="00DF6BBD"/>
    <w:rsid w:val="00DF6D46"/>
    <w:rsid w:val="00E01D7F"/>
    <w:rsid w:val="00E03FD0"/>
    <w:rsid w:val="00E043B9"/>
    <w:rsid w:val="00E04C8D"/>
    <w:rsid w:val="00E04FE4"/>
    <w:rsid w:val="00E05C03"/>
    <w:rsid w:val="00E06F54"/>
    <w:rsid w:val="00E12838"/>
    <w:rsid w:val="00E13A82"/>
    <w:rsid w:val="00E13DD4"/>
    <w:rsid w:val="00E16E6F"/>
    <w:rsid w:val="00E174BA"/>
    <w:rsid w:val="00E178FB"/>
    <w:rsid w:val="00E17C72"/>
    <w:rsid w:val="00E20499"/>
    <w:rsid w:val="00E2069B"/>
    <w:rsid w:val="00E20DF4"/>
    <w:rsid w:val="00E21FC6"/>
    <w:rsid w:val="00E2244E"/>
    <w:rsid w:val="00E22C89"/>
    <w:rsid w:val="00E22E34"/>
    <w:rsid w:val="00E23243"/>
    <w:rsid w:val="00E25C20"/>
    <w:rsid w:val="00E27053"/>
    <w:rsid w:val="00E30882"/>
    <w:rsid w:val="00E328DE"/>
    <w:rsid w:val="00E34043"/>
    <w:rsid w:val="00E41098"/>
    <w:rsid w:val="00E431A9"/>
    <w:rsid w:val="00E47D07"/>
    <w:rsid w:val="00E51395"/>
    <w:rsid w:val="00E515AD"/>
    <w:rsid w:val="00E575FB"/>
    <w:rsid w:val="00E65599"/>
    <w:rsid w:val="00E65C04"/>
    <w:rsid w:val="00E66949"/>
    <w:rsid w:val="00E669E2"/>
    <w:rsid w:val="00E66B48"/>
    <w:rsid w:val="00E7094A"/>
    <w:rsid w:val="00E71CFF"/>
    <w:rsid w:val="00E72531"/>
    <w:rsid w:val="00E75264"/>
    <w:rsid w:val="00E75B69"/>
    <w:rsid w:val="00E75B86"/>
    <w:rsid w:val="00E76135"/>
    <w:rsid w:val="00E770C7"/>
    <w:rsid w:val="00E77D4F"/>
    <w:rsid w:val="00E8096D"/>
    <w:rsid w:val="00E82057"/>
    <w:rsid w:val="00E82F4F"/>
    <w:rsid w:val="00E83C31"/>
    <w:rsid w:val="00E84577"/>
    <w:rsid w:val="00E864DF"/>
    <w:rsid w:val="00E8744D"/>
    <w:rsid w:val="00E9064C"/>
    <w:rsid w:val="00E91F2F"/>
    <w:rsid w:val="00E9200B"/>
    <w:rsid w:val="00E95959"/>
    <w:rsid w:val="00E9623D"/>
    <w:rsid w:val="00EA379E"/>
    <w:rsid w:val="00EA4106"/>
    <w:rsid w:val="00EA608E"/>
    <w:rsid w:val="00EB0497"/>
    <w:rsid w:val="00EB05D8"/>
    <w:rsid w:val="00EB1366"/>
    <w:rsid w:val="00EB1E2C"/>
    <w:rsid w:val="00EB2642"/>
    <w:rsid w:val="00EB2CC3"/>
    <w:rsid w:val="00EB376C"/>
    <w:rsid w:val="00EB3C25"/>
    <w:rsid w:val="00EB5474"/>
    <w:rsid w:val="00EB69CA"/>
    <w:rsid w:val="00EB7335"/>
    <w:rsid w:val="00EC0D21"/>
    <w:rsid w:val="00EC16B4"/>
    <w:rsid w:val="00EC179A"/>
    <w:rsid w:val="00EC24D9"/>
    <w:rsid w:val="00EC2674"/>
    <w:rsid w:val="00EC2844"/>
    <w:rsid w:val="00EC43C2"/>
    <w:rsid w:val="00EC5500"/>
    <w:rsid w:val="00EC5948"/>
    <w:rsid w:val="00ED0A17"/>
    <w:rsid w:val="00ED18F8"/>
    <w:rsid w:val="00ED3970"/>
    <w:rsid w:val="00ED3ED9"/>
    <w:rsid w:val="00ED4A98"/>
    <w:rsid w:val="00ED542D"/>
    <w:rsid w:val="00ED5EA8"/>
    <w:rsid w:val="00EE0CC8"/>
    <w:rsid w:val="00EE1487"/>
    <w:rsid w:val="00EE16A9"/>
    <w:rsid w:val="00EE2B24"/>
    <w:rsid w:val="00EE49B1"/>
    <w:rsid w:val="00EE6EDA"/>
    <w:rsid w:val="00EE7151"/>
    <w:rsid w:val="00EE778E"/>
    <w:rsid w:val="00EF17B6"/>
    <w:rsid w:val="00EF2833"/>
    <w:rsid w:val="00EF309D"/>
    <w:rsid w:val="00EF53A1"/>
    <w:rsid w:val="00EF6719"/>
    <w:rsid w:val="00EF6C6C"/>
    <w:rsid w:val="00F0023E"/>
    <w:rsid w:val="00F00253"/>
    <w:rsid w:val="00F00DC5"/>
    <w:rsid w:val="00F05615"/>
    <w:rsid w:val="00F056FC"/>
    <w:rsid w:val="00F0632F"/>
    <w:rsid w:val="00F069AE"/>
    <w:rsid w:val="00F06E9D"/>
    <w:rsid w:val="00F0706E"/>
    <w:rsid w:val="00F07FE2"/>
    <w:rsid w:val="00F1016A"/>
    <w:rsid w:val="00F10476"/>
    <w:rsid w:val="00F10C5B"/>
    <w:rsid w:val="00F11D75"/>
    <w:rsid w:val="00F132AA"/>
    <w:rsid w:val="00F135D8"/>
    <w:rsid w:val="00F214FF"/>
    <w:rsid w:val="00F219D8"/>
    <w:rsid w:val="00F23DB8"/>
    <w:rsid w:val="00F25D62"/>
    <w:rsid w:val="00F26D13"/>
    <w:rsid w:val="00F270C0"/>
    <w:rsid w:val="00F27357"/>
    <w:rsid w:val="00F30D4F"/>
    <w:rsid w:val="00F31299"/>
    <w:rsid w:val="00F350C8"/>
    <w:rsid w:val="00F3534A"/>
    <w:rsid w:val="00F36609"/>
    <w:rsid w:val="00F36ACC"/>
    <w:rsid w:val="00F405F0"/>
    <w:rsid w:val="00F41D82"/>
    <w:rsid w:val="00F42A8F"/>
    <w:rsid w:val="00F42EDA"/>
    <w:rsid w:val="00F43306"/>
    <w:rsid w:val="00F43860"/>
    <w:rsid w:val="00F44FFA"/>
    <w:rsid w:val="00F45A68"/>
    <w:rsid w:val="00F46E03"/>
    <w:rsid w:val="00F47BEC"/>
    <w:rsid w:val="00F50354"/>
    <w:rsid w:val="00F51609"/>
    <w:rsid w:val="00F5379D"/>
    <w:rsid w:val="00F543E4"/>
    <w:rsid w:val="00F54562"/>
    <w:rsid w:val="00F5562A"/>
    <w:rsid w:val="00F55C25"/>
    <w:rsid w:val="00F57C2B"/>
    <w:rsid w:val="00F57D94"/>
    <w:rsid w:val="00F60B9C"/>
    <w:rsid w:val="00F614EC"/>
    <w:rsid w:val="00F61FA0"/>
    <w:rsid w:val="00F61FBA"/>
    <w:rsid w:val="00F64DAC"/>
    <w:rsid w:val="00F65AD9"/>
    <w:rsid w:val="00F71320"/>
    <w:rsid w:val="00F73716"/>
    <w:rsid w:val="00F73727"/>
    <w:rsid w:val="00F744CB"/>
    <w:rsid w:val="00F76144"/>
    <w:rsid w:val="00F766A7"/>
    <w:rsid w:val="00F77060"/>
    <w:rsid w:val="00F806E7"/>
    <w:rsid w:val="00F81006"/>
    <w:rsid w:val="00F822AE"/>
    <w:rsid w:val="00F82615"/>
    <w:rsid w:val="00F84049"/>
    <w:rsid w:val="00F85325"/>
    <w:rsid w:val="00F85984"/>
    <w:rsid w:val="00F8649B"/>
    <w:rsid w:val="00F86B70"/>
    <w:rsid w:val="00F87097"/>
    <w:rsid w:val="00F878DB"/>
    <w:rsid w:val="00F90407"/>
    <w:rsid w:val="00F91DDC"/>
    <w:rsid w:val="00F92039"/>
    <w:rsid w:val="00F927F4"/>
    <w:rsid w:val="00F92FD3"/>
    <w:rsid w:val="00F9395A"/>
    <w:rsid w:val="00F96DF4"/>
    <w:rsid w:val="00F973B9"/>
    <w:rsid w:val="00F97433"/>
    <w:rsid w:val="00F9744E"/>
    <w:rsid w:val="00FA1188"/>
    <w:rsid w:val="00FA2792"/>
    <w:rsid w:val="00FA29BA"/>
    <w:rsid w:val="00FA627B"/>
    <w:rsid w:val="00FA7F30"/>
    <w:rsid w:val="00FB071B"/>
    <w:rsid w:val="00FB4781"/>
    <w:rsid w:val="00FB72B3"/>
    <w:rsid w:val="00FC0915"/>
    <w:rsid w:val="00FC1B7A"/>
    <w:rsid w:val="00FC2476"/>
    <w:rsid w:val="00FC4E41"/>
    <w:rsid w:val="00FC7326"/>
    <w:rsid w:val="00FC737A"/>
    <w:rsid w:val="00FD137A"/>
    <w:rsid w:val="00FD19D3"/>
    <w:rsid w:val="00FD22B1"/>
    <w:rsid w:val="00FD33F1"/>
    <w:rsid w:val="00FD3566"/>
    <w:rsid w:val="00FD5824"/>
    <w:rsid w:val="00FD720A"/>
    <w:rsid w:val="00FE18CA"/>
    <w:rsid w:val="00FE19B9"/>
    <w:rsid w:val="00FE3F9E"/>
    <w:rsid w:val="00FE4653"/>
    <w:rsid w:val="00FE5397"/>
    <w:rsid w:val="00FE7641"/>
    <w:rsid w:val="00FF2A72"/>
    <w:rsid w:val="00FF4BFB"/>
    <w:rsid w:val="00FF5329"/>
    <w:rsid w:val="00FF5DA7"/>
    <w:rsid w:val="00FF6F85"/>
    <w:rsid w:val="00FF790A"/>
    <w:rsid w:val="00FF79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97433"/>
    <w:rPr>
      <w:sz w:val="24"/>
      <w:szCs w:val="24"/>
    </w:rPr>
  </w:style>
  <w:style w:type="paragraph" w:styleId="Heading1">
    <w:name w:val="heading 1"/>
    <w:basedOn w:val="BodyText"/>
    <w:next w:val="BodyText"/>
    <w:rsid w:val="00F9743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9743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97433"/>
    <w:pPr>
      <w:spacing w:before="560" w:line="320" w:lineRule="exact"/>
      <w:ind w:left="0" w:firstLine="0"/>
      <w:outlineLvl w:val="2"/>
    </w:pPr>
    <w:rPr>
      <w:sz w:val="26"/>
    </w:rPr>
  </w:style>
  <w:style w:type="paragraph" w:styleId="Heading4">
    <w:name w:val="heading 4"/>
    <w:basedOn w:val="Heading3"/>
    <w:next w:val="BodyText"/>
    <w:link w:val="Heading4Char"/>
    <w:qFormat/>
    <w:rsid w:val="00F97433"/>
    <w:pPr>
      <w:spacing w:before="480"/>
      <w:outlineLvl w:val="3"/>
    </w:pPr>
    <w:rPr>
      <w:b w:val="0"/>
      <w:sz w:val="24"/>
    </w:rPr>
  </w:style>
  <w:style w:type="paragraph" w:styleId="Heading5">
    <w:name w:val="heading 5"/>
    <w:basedOn w:val="Heading4"/>
    <w:next w:val="BodyText"/>
    <w:link w:val="Heading5Char"/>
    <w:qFormat/>
    <w:rsid w:val="00F97433"/>
    <w:pPr>
      <w:outlineLvl w:val="4"/>
    </w:pPr>
    <w:rPr>
      <w:i/>
      <w:sz w:val="22"/>
    </w:rPr>
  </w:style>
  <w:style w:type="paragraph" w:styleId="Heading6">
    <w:name w:val="heading 6"/>
    <w:basedOn w:val="BodyText"/>
    <w:next w:val="BodyText"/>
    <w:semiHidden/>
    <w:rsid w:val="00F97433"/>
    <w:pPr>
      <w:spacing w:after="60"/>
      <w:jc w:val="left"/>
      <w:outlineLvl w:val="5"/>
    </w:pPr>
    <w:rPr>
      <w:i/>
      <w:sz w:val="22"/>
    </w:rPr>
  </w:style>
  <w:style w:type="paragraph" w:styleId="Heading7">
    <w:name w:val="heading 7"/>
    <w:basedOn w:val="BodyText"/>
    <w:next w:val="BodyText"/>
    <w:semiHidden/>
    <w:rsid w:val="00F97433"/>
    <w:pPr>
      <w:spacing w:after="60" w:line="240" w:lineRule="auto"/>
      <w:jc w:val="left"/>
      <w:outlineLvl w:val="6"/>
    </w:pPr>
    <w:rPr>
      <w:rFonts w:ascii="Arial" w:hAnsi="Arial"/>
      <w:sz w:val="20"/>
    </w:rPr>
  </w:style>
  <w:style w:type="paragraph" w:styleId="Heading8">
    <w:name w:val="heading 8"/>
    <w:basedOn w:val="BodyText"/>
    <w:next w:val="BodyText"/>
    <w:semiHidden/>
    <w:rsid w:val="00F97433"/>
    <w:pPr>
      <w:spacing w:after="60" w:line="240" w:lineRule="auto"/>
      <w:jc w:val="left"/>
      <w:outlineLvl w:val="7"/>
    </w:pPr>
    <w:rPr>
      <w:rFonts w:ascii="Arial" w:hAnsi="Arial"/>
      <w:i/>
      <w:sz w:val="20"/>
    </w:rPr>
  </w:style>
  <w:style w:type="paragraph" w:styleId="Heading9">
    <w:name w:val="heading 9"/>
    <w:basedOn w:val="BodyText"/>
    <w:next w:val="BodyText"/>
    <w:semiHidden/>
    <w:rsid w:val="00F9743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974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433"/>
  </w:style>
  <w:style w:type="paragraph" w:styleId="BodyText">
    <w:name w:val="Body Text"/>
    <w:link w:val="BodyTextChar"/>
    <w:qFormat/>
    <w:rsid w:val="00F97433"/>
    <w:pPr>
      <w:spacing w:before="240" w:line="300" w:lineRule="atLeast"/>
      <w:jc w:val="both"/>
    </w:pPr>
    <w:rPr>
      <w:sz w:val="24"/>
    </w:rPr>
  </w:style>
  <w:style w:type="paragraph" w:styleId="Footer">
    <w:name w:val="footer"/>
    <w:basedOn w:val="BodyText"/>
    <w:link w:val="FooterChar"/>
    <w:semiHidden/>
    <w:rsid w:val="00F97433"/>
    <w:pPr>
      <w:spacing w:before="80" w:line="200" w:lineRule="exact"/>
      <w:ind w:right="6"/>
      <w:jc w:val="left"/>
    </w:pPr>
    <w:rPr>
      <w:rFonts w:ascii="Arial" w:hAnsi="Arial"/>
      <w:caps/>
      <w:spacing w:val="-4"/>
      <w:sz w:val="16"/>
    </w:rPr>
  </w:style>
  <w:style w:type="paragraph" w:customStyle="1" w:styleId="FooterEnd">
    <w:name w:val="Footer End"/>
    <w:basedOn w:val="Footer"/>
    <w:rsid w:val="00F97433"/>
    <w:pPr>
      <w:spacing w:before="0" w:line="20" w:lineRule="exact"/>
    </w:pPr>
  </w:style>
  <w:style w:type="paragraph" w:styleId="Header">
    <w:name w:val="header"/>
    <w:basedOn w:val="BodyText"/>
    <w:rsid w:val="00F9743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97433"/>
    <w:pPr>
      <w:spacing w:line="20" w:lineRule="exact"/>
    </w:pPr>
    <w:rPr>
      <w:sz w:val="16"/>
    </w:rPr>
  </w:style>
  <w:style w:type="paragraph" w:customStyle="1" w:styleId="HeaderEven">
    <w:name w:val="Header Even"/>
    <w:basedOn w:val="Header"/>
    <w:semiHidden/>
    <w:rsid w:val="00F97433"/>
  </w:style>
  <w:style w:type="paragraph" w:customStyle="1" w:styleId="HeaderOdd">
    <w:name w:val="Header Odd"/>
    <w:basedOn w:val="Header"/>
    <w:semiHidden/>
    <w:rsid w:val="00F97433"/>
  </w:style>
  <w:style w:type="character" w:styleId="PageNumber">
    <w:name w:val="page number"/>
    <w:basedOn w:val="DefaultParagraphFont"/>
    <w:rsid w:val="00F97433"/>
    <w:rPr>
      <w:rFonts w:ascii="Arial" w:hAnsi="Arial"/>
      <w:b/>
      <w:sz w:val="16"/>
    </w:rPr>
  </w:style>
  <w:style w:type="paragraph" w:customStyle="1" w:styleId="Abbreviation">
    <w:name w:val="Abbreviation"/>
    <w:basedOn w:val="BodyText"/>
    <w:rsid w:val="00F97433"/>
    <w:pPr>
      <w:spacing w:before="120"/>
      <w:ind w:left="2381" w:hanging="2381"/>
      <w:jc w:val="left"/>
    </w:pPr>
  </w:style>
  <w:style w:type="paragraph" w:customStyle="1" w:styleId="Box">
    <w:name w:val="Box"/>
    <w:basedOn w:val="BodyText"/>
    <w:link w:val="BoxChar"/>
    <w:qFormat/>
    <w:rsid w:val="00F97433"/>
    <w:pPr>
      <w:keepNext/>
      <w:spacing w:before="120" w:line="260" w:lineRule="atLeast"/>
    </w:pPr>
    <w:rPr>
      <w:rFonts w:ascii="Arial" w:hAnsi="Arial"/>
      <w:sz w:val="20"/>
    </w:rPr>
  </w:style>
  <w:style w:type="paragraph" w:customStyle="1" w:styleId="BoxContinued">
    <w:name w:val="Box Continued"/>
    <w:basedOn w:val="BodyText"/>
    <w:next w:val="BodyText"/>
    <w:semiHidden/>
    <w:rsid w:val="00F97433"/>
    <w:pPr>
      <w:spacing w:before="180" w:line="220" w:lineRule="exact"/>
      <w:jc w:val="right"/>
    </w:pPr>
    <w:rPr>
      <w:rFonts w:ascii="Arial" w:hAnsi="Arial"/>
      <w:sz w:val="18"/>
    </w:rPr>
  </w:style>
  <w:style w:type="paragraph" w:customStyle="1" w:styleId="BoxHeading1">
    <w:name w:val="Box Heading 1"/>
    <w:basedOn w:val="BodyText"/>
    <w:next w:val="Box"/>
    <w:rsid w:val="00F97433"/>
    <w:pPr>
      <w:keepNext/>
      <w:spacing w:before="200" w:line="280" w:lineRule="atLeast"/>
    </w:pPr>
    <w:rPr>
      <w:rFonts w:ascii="Arial" w:hAnsi="Arial"/>
      <w:b/>
      <w:sz w:val="22"/>
    </w:rPr>
  </w:style>
  <w:style w:type="paragraph" w:customStyle="1" w:styleId="BoxHeading2">
    <w:name w:val="Box Heading 2"/>
    <w:basedOn w:val="BoxHeading1"/>
    <w:next w:val="Normal"/>
    <w:rsid w:val="00F97433"/>
    <w:rPr>
      <w:b w:val="0"/>
      <w:i/>
    </w:rPr>
  </w:style>
  <w:style w:type="paragraph" w:customStyle="1" w:styleId="BoxListBullet">
    <w:name w:val="Box List Bullet"/>
    <w:basedOn w:val="BodyText"/>
    <w:link w:val="BoxListBulletChar"/>
    <w:rsid w:val="00F9743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F97433"/>
    <w:pPr>
      <w:numPr>
        <w:numId w:val="13"/>
      </w:numPr>
      <w:ind w:left="568" w:hanging="284"/>
    </w:pPr>
  </w:style>
  <w:style w:type="paragraph" w:customStyle="1" w:styleId="BoxListNumber">
    <w:name w:val="Box List Number"/>
    <w:basedOn w:val="BodyText"/>
    <w:rsid w:val="00F97433"/>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F97433"/>
    <w:pPr>
      <w:numPr>
        <w:ilvl w:val="1"/>
      </w:numPr>
      <w:ind w:left="681" w:hanging="397"/>
    </w:pPr>
  </w:style>
  <w:style w:type="paragraph" w:customStyle="1" w:styleId="BoxQuote">
    <w:name w:val="Box Quote"/>
    <w:basedOn w:val="BodyText"/>
    <w:next w:val="Box"/>
    <w:qFormat/>
    <w:rsid w:val="00F97433"/>
    <w:pPr>
      <w:keepNext/>
      <w:spacing w:before="60" w:line="240" w:lineRule="exact"/>
      <w:ind w:left="284"/>
    </w:pPr>
    <w:rPr>
      <w:rFonts w:ascii="Arial" w:hAnsi="Arial"/>
      <w:sz w:val="18"/>
    </w:rPr>
  </w:style>
  <w:style w:type="paragraph" w:customStyle="1" w:styleId="Note">
    <w:name w:val="Note"/>
    <w:basedOn w:val="BodyText"/>
    <w:next w:val="BodyText"/>
    <w:rsid w:val="00F97433"/>
    <w:pPr>
      <w:keepLines/>
      <w:spacing w:before="80" w:line="220" w:lineRule="exact"/>
    </w:pPr>
    <w:rPr>
      <w:rFonts w:ascii="Arial" w:hAnsi="Arial"/>
      <w:sz w:val="18"/>
    </w:rPr>
  </w:style>
  <w:style w:type="paragraph" w:customStyle="1" w:styleId="Source">
    <w:name w:val="Source"/>
    <w:basedOn w:val="Normal"/>
    <w:next w:val="BodyText"/>
    <w:link w:val="SourceChar"/>
    <w:rsid w:val="00F97433"/>
    <w:pPr>
      <w:keepLines/>
      <w:spacing w:before="80" w:line="220" w:lineRule="exact"/>
      <w:jc w:val="both"/>
    </w:pPr>
    <w:rPr>
      <w:rFonts w:ascii="Arial" w:hAnsi="Arial"/>
      <w:sz w:val="18"/>
      <w:szCs w:val="20"/>
    </w:rPr>
  </w:style>
  <w:style w:type="paragraph" w:customStyle="1" w:styleId="BoxSource">
    <w:name w:val="Box Source"/>
    <w:basedOn w:val="Source"/>
    <w:next w:val="BodyText"/>
    <w:rsid w:val="00F97433"/>
    <w:pPr>
      <w:spacing w:before="120"/>
    </w:pPr>
  </w:style>
  <w:style w:type="paragraph" w:customStyle="1" w:styleId="BoxSpaceAbove">
    <w:name w:val="Box Space Above"/>
    <w:basedOn w:val="BodyText"/>
    <w:rsid w:val="00F97433"/>
    <w:pPr>
      <w:keepNext/>
      <w:spacing w:before="360" w:line="80" w:lineRule="exact"/>
      <w:jc w:val="left"/>
    </w:pPr>
  </w:style>
  <w:style w:type="paragraph" w:styleId="Caption">
    <w:name w:val="caption"/>
    <w:basedOn w:val="Normal"/>
    <w:next w:val="BodyText"/>
    <w:rsid w:val="00F9743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97433"/>
    <w:pPr>
      <w:spacing w:before="120" w:after="0"/>
    </w:pPr>
  </w:style>
  <w:style w:type="paragraph" w:customStyle="1" w:styleId="BoxSubtitle">
    <w:name w:val="Box Subtitle"/>
    <w:basedOn w:val="BoxTitle"/>
    <w:next w:val="Normal"/>
    <w:rsid w:val="00F97433"/>
    <w:pPr>
      <w:spacing w:after="80" w:line="200" w:lineRule="exact"/>
      <w:ind w:firstLine="0"/>
    </w:pPr>
    <w:rPr>
      <w:b w:val="0"/>
      <w:sz w:val="20"/>
    </w:rPr>
  </w:style>
  <w:style w:type="paragraph" w:customStyle="1" w:styleId="Chapter">
    <w:name w:val="Chapter"/>
    <w:basedOn w:val="Heading1"/>
    <w:next w:val="BodyText"/>
    <w:semiHidden/>
    <w:rsid w:val="00F97433"/>
    <w:pPr>
      <w:ind w:left="0" w:firstLine="0"/>
      <w:outlineLvl w:val="9"/>
    </w:pPr>
  </w:style>
  <w:style w:type="paragraph" w:customStyle="1" w:styleId="ChapterSummary">
    <w:name w:val="Chapter Summary"/>
    <w:basedOn w:val="BodyText"/>
    <w:rsid w:val="00F97433"/>
    <w:pPr>
      <w:spacing w:line="280" w:lineRule="atLeast"/>
      <w:ind w:left="907"/>
    </w:pPr>
    <w:rPr>
      <w:rFonts w:ascii="Arial" w:hAnsi="Arial"/>
      <w:b/>
      <w:sz w:val="20"/>
    </w:rPr>
  </w:style>
  <w:style w:type="character" w:styleId="CommentReference">
    <w:name w:val="annotation reference"/>
    <w:basedOn w:val="DefaultParagraphFont"/>
    <w:semiHidden/>
    <w:rsid w:val="00F97433"/>
    <w:rPr>
      <w:b/>
      <w:vanish/>
      <w:color w:val="FF00FF"/>
      <w:sz w:val="20"/>
    </w:rPr>
  </w:style>
  <w:style w:type="paragraph" w:styleId="CommentText">
    <w:name w:val="annotation text"/>
    <w:basedOn w:val="Normal"/>
    <w:link w:val="CommentTextChar"/>
    <w:semiHidden/>
    <w:rsid w:val="00F97433"/>
    <w:pPr>
      <w:spacing w:before="120" w:line="240" w:lineRule="atLeast"/>
      <w:ind w:left="567" w:hanging="567"/>
    </w:pPr>
    <w:rPr>
      <w:sz w:val="20"/>
    </w:rPr>
  </w:style>
  <w:style w:type="paragraph" w:customStyle="1" w:styleId="Continued">
    <w:name w:val="Continued"/>
    <w:basedOn w:val="BoxContinued"/>
    <w:next w:val="BodyText"/>
    <w:rsid w:val="00F97433"/>
  </w:style>
  <w:style w:type="character" w:customStyle="1" w:styleId="DocumentInfo">
    <w:name w:val="Document Info"/>
    <w:basedOn w:val="DefaultParagraphFont"/>
    <w:semiHidden/>
    <w:rsid w:val="00F97433"/>
    <w:rPr>
      <w:rFonts w:ascii="Arial" w:hAnsi="Arial"/>
      <w:sz w:val="14"/>
    </w:rPr>
  </w:style>
  <w:style w:type="character" w:customStyle="1" w:styleId="DraftingNote">
    <w:name w:val="Drafting Note"/>
    <w:basedOn w:val="DefaultParagraphFont"/>
    <w:rsid w:val="00F97433"/>
    <w:rPr>
      <w:b/>
      <w:color w:val="FF0000"/>
      <w:sz w:val="24"/>
      <w:u w:val="dotted"/>
    </w:rPr>
  </w:style>
  <w:style w:type="paragraph" w:customStyle="1" w:styleId="Figure">
    <w:name w:val="Figure"/>
    <w:basedOn w:val="BodyText"/>
    <w:rsid w:val="00F97433"/>
    <w:pPr>
      <w:keepNext/>
      <w:spacing w:before="120" w:after="120" w:line="240" w:lineRule="atLeast"/>
      <w:jc w:val="center"/>
    </w:pPr>
  </w:style>
  <w:style w:type="paragraph" w:customStyle="1" w:styleId="FigureTitle">
    <w:name w:val="Figure Title"/>
    <w:basedOn w:val="Caption"/>
    <w:next w:val="Subtitle"/>
    <w:rsid w:val="00F97433"/>
    <w:pPr>
      <w:spacing w:before="120"/>
    </w:pPr>
  </w:style>
  <w:style w:type="paragraph" w:styleId="Subtitle">
    <w:name w:val="Subtitle"/>
    <w:basedOn w:val="Caption"/>
    <w:link w:val="SubtitleChar"/>
    <w:qFormat/>
    <w:rsid w:val="00F97433"/>
    <w:pPr>
      <w:spacing w:before="0" w:line="200" w:lineRule="exact"/>
      <w:ind w:firstLine="0"/>
    </w:pPr>
    <w:rPr>
      <w:b w:val="0"/>
      <w:sz w:val="20"/>
    </w:rPr>
  </w:style>
  <w:style w:type="paragraph" w:customStyle="1" w:styleId="Finding">
    <w:name w:val="Finding"/>
    <w:basedOn w:val="BodyText"/>
    <w:rsid w:val="00F97433"/>
    <w:pPr>
      <w:keepLines/>
      <w:spacing w:before="120" w:line="280" w:lineRule="atLeast"/>
    </w:pPr>
    <w:rPr>
      <w:rFonts w:ascii="Arial" w:hAnsi="Arial"/>
      <w:sz w:val="22"/>
    </w:rPr>
  </w:style>
  <w:style w:type="paragraph" w:customStyle="1" w:styleId="FindingBullet">
    <w:name w:val="Finding Bullet"/>
    <w:basedOn w:val="Finding"/>
    <w:rsid w:val="00F97433"/>
    <w:pPr>
      <w:numPr>
        <w:numId w:val="15"/>
      </w:numPr>
      <w:spacing w:before="80"/>
    </w:pPr>
  </w:style>
  <w:style w:type="paragraph" w:customStyle="1" w:styleId="FindingNoTitle">
    <w:name w:val="Finding NoTitle"/>
    <w:basedOn w:val="Finding"/>
    <w:semiHidden/>
    <w:rsid w:val="00F97433"/>
    <w:pPr>
      <w:spacing w:before="240"/>
    </w:pPr>
  </w:style>
  <w:style w:type="paragraph" w:customStyle="1" w:styleId="RecTitle">
    <w:name w:val="Rec Title"/>
    <w:basedOn w:val="BodyText"/>
    <w:next w:val="Rec"/>
    <w:qFormat/>
    <w:rsid w:val="00F97433"/>
    <w:pPr>
      <w:keepNext/>
      <w:keepLines/>
      <w:spacing w:line="280" w:lineRule="atLeast"/>
    </w:pPr>
    <w:rPr>
      <w:rFonts w:ascii="Arial" w:hAnsi="Arial"/>
      <w:caps/>
      <w:sz w:val="18"/>
    </w:rPr>
  </w:style>
  <w:style w:type="paragraph" w:customStyle="1" w:styleId="FindingTitle">
    <w:name w:val="Finding Title"/>
    <w:basedOn w:val="RecTitle"/>
    <w:next w:val="Finding"/>
    <w:rsid w:val="00F97433"/>
  </w:style>
  <w:style w:type="character" w:styleId="FootnoteReference">
    <w:name w:val="footnote reference"/>
    <w:basedOn w:val="DefaultParagraphFont"/>
    <w:semiHidden/>
    <w:rsid w:val="00F97433"/>
    <w:rPr>
      <w:rFonts w:ascii="Times New Roman" w:hAnsi="Times New Roman"/>
      <w:position w:val="6"/>
      <w:sz w:val="20"/>
      <w:vertAlign w:val="baseline"/>
    </w:rPr>
  </w:style>
  <w:style w:type="paragraph" w:styleId="FootnoteText">
    <w:name w:val="footnote text"/>
    <w:basedOn w:val="BodyText"/>
    <w:link w:val="FootnoteTextChar"/>
    <w:rsid w:val="00F9743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F97433"/>
    <w:rPr>
      <w:i/>
    </w:rPr>
  </w:style>
  <w:style w:type="paragraph" w:customStyle="1" w:styleId="Jurisdictioncommentsbodytext">
    <w:name w:val="Jurisdiction comments body text"/>
    <w:rsid w:val="00F97433"/>
    <w:pPr>
      <w:spacing w:after="140"/>
      <w:jc w:val="both"/>
    </w:pPr>
    <w:rPr>
      <w:rFonts w:ascii="Arial" w:hAnsi="Arial"/>
      <w:sz w:val="24"/>
      <w:lang w:eastAsia="en-US"/>
    </w:rPr>
  </w:style>
  <w:style w:type="paragraph" w:customStyle="1" w:styleId="Jurisdictioncommentsheading">
    <w:name w:val="Jurisdiction comments heading"/>
    <w:rsid w:val="00F9743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97433"/>
    <w:pPr>
      <w:numPr>
        <w:numId w:val="2"/>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F97433"/>
    <w:pPr>
      <w:numPr>
        <w:numId w:val="3"/>
      </w:numPr>
      <w:spacing w:before="120"/>
    </w:pPr>
  </w:style>
  <w:style w:type="paragraph" w:styleId="ListBullet2">
    <w:name w:val="List Bullet 2"/>
    <w:basedOn w:val="BodyText"/>
    <w:rsid w:val="00F97433"/>
    <w:pPr>
      <w:numPr>
        <w:numId w:val="4"/>
      </w:numPr>
      <w:spacing w:before="120"/>
    </w:pPr>
  </w:style>
  <w:style w:type="paragraph" w:styleId="ListBullet3">
    <w:name w:val="List Bullet 3"/>
    <w:basedOn w:val="BodyText"/>
    <w:rsid w:val="00F97433"/>
    <w:pPr>
      <w:numPr>
        <w:numId w:val="5"/>
      </w:numPr>
      <w:spacing w:before="120"/>
      <w:ind w:left="1020" w:hanging="340"/>
    </w:pPr>
  </w:style>
  <w:style w:type="paragraph" w:styleId="ListNumber">
    <w:name w:val="List Number"/>
    <w:basedOn w:val="BodyText"/>
    <w:rsid w:val="00F97433"/>
    <w:pPr>
      <w:numPr>
        <w:numId w:val="9"/>
      </w:numPr>
      <w:spacing w:before="120"/>
    </w:pPr>
  </w:style>
  <w:style w:type="paragraph" w:styleId="ListNumber2">
    <w:name w:val="List Number 2"/>
    <w:basedOn w:val="ListNumber"/>
    <w:rsid w:val="00F97433"/>
    <w:pPr>
      <w:numPr>
        <w:ilvl w:val="1"/>
      </w:numPr>
    </w:pPr>
  </w:style>
  <w:style w:type="paragraph" w:styleId="ListNumber3">
    <w:name w:val="List Number 3"/>
    <w:basedOn w:val="ListNumber2"/>
    <w:rsid w:val="00F97433"/>
    <w:pPr>
      <w:numPr>
        <w:ilvl w:val="2"/>
      </w:numPr>
    </w:pPr>
  </w:style>
  <w:style w:type="character" w:customStyle="1" w:styleId="NoteLabel">
    <w:name w:val="Note Label"/>
    <w:basedOn w:val="DefaultParagraphFont"/>
    <w:rsid w:val="00F97433"/>
    <w:rPr>
      <w:rFonts w:ascii="Arial" w:hAnsi="Arial"/>
      <w:b/>
      <w:position w:val="6"/>
      <w:sz w:val="18"/>
    </w:rPr>
  </w:style>
  <w:style w:type="paragraph" w:customStyle="1" w:styleId="PartDivider">
    <w:name w:val="Part Divider"/>
    <w:basedOn w:val="BodyText"/>
    <w:next w:val="BodyText"/>
    <w:semiHidden/>
    <w:rsid w:val="00F97433"/>
    <w:pPr>
      <w:spacing w:before="0" w:line="40" w:lineRule="exact"/>
      <w:jc w:val="right"/>
    </w:pPr>
    <w:rPr>
      <w:smallCaps/>
      <w:sz w:val="16"/>
    </w:rPr>
  </w:style>
  <w:style w:type="paragraph" w:customStyle="1" w:styleId="PartNumber">
    <w:name w:val="Part Number"/>
    <w:basedOn w:val="BodyText"/>
    <w:next w:val="BodyText"/>
    <w:semiHidden/>
    <w:rsid w:val="00F97433"/>
    <w:pPr>
      <w:spacing w:before="4000" w:line="320" w:lineRule="exact"/>
      <w:ind w:left="6634"/>
      <w:jc w:val="right"/>
    </w:pPr>
    <w:rPr>
      <w:smallCaps/>
      <w:spacing w:val="60"/>
      <w:sz w:val="32"/>
    </w:rPr>
  </w:style>
  <w:style w:type="paragraph" w:customStyle="1" w:styleId="PartTitle">
    <w:name w:val="Part Title"/>
    <w:basedOn w:val="BodyText"/>
    <w:semiHidden/>
    <w:rsid w:val="00F97433"/>
    <w:pPr>
      <w:spacing w:before="160" w:after="1360" w:line="520" w:lineRule="exact"/>
      <w:ind w:right="2381"/>
      <w:jc w:val="right"/>
    </w:pPr>
    <w:rPr>
      <w:smallCaps/>
      <w:sz w:val="52"/>
    </w:rPr>
  </w:style>
  <w:style w:type="paragraph" w:styleId="Quote">
    <w:name w:val="Quote"/>
    <w:basedOn w:val="BodyText"/>
    <w:next w:val="BodyText"/>
    <w:qFormat/>
    <w:rsid w:val="00F97433"/>
    <w:pPr>
      <w:spacing w:before="120" w:line="280" w:lineRule="exact"/>
      <w:ind w:left="340"/>
    </w:pPr>
    <w:rPr>
      <w:sz w:val="22"/>
    </w:rPr>
  </w:style>
  <w:style w:type="paragraph" w:customStyle="1" w:styleId="QuoteBullet">
    <w:name w:val="Quote Bullet"/>
    <w:basedOn w:val="Quote"/>
    <w:rsid w:val="00F97433"/>
    <w:pPr>
      <w:numPr>
        <w:numId w:val="6"/>
      </w:numPr>
    </w:pPr>
  </w:style>
  <w:style w:type="paragraph" w:customStyle="1" w:styleId="Rec">
    <w:name w:val="Rec"/>
    <w:basedOn w:val="BodyText"/>
    <w:qFormat/>
    <w:rsid w:val="00F97433"/>
    <w:pPr>
      <w:keepLines/>
      <w:spacing w:before="120" w:line="280" w:lineRule="atLeast"/>
    </w:pPr>
    <w:rPr>
      <w:rFonts w:ascii="Arial" w:hAnsi="Arial"/>
      <w:sz w:val="22"/>
    </w:rPr>
  </w:style>
  <w:style w:type="paragraph" w:customStyle="1" w:styleId="RecBullet">
    <w:name w:val="Rec Bullet"/>
    <w:basedOn w:val="Rec"/>
    <w:rsid w:val="00F97433"/>
    <w:pPr>
      <w:numPr>
        <w:numId w:val="17"/>
      </w:numPr>
      <w:spacing w:before="80"/>
    </w:pPr>
  </w:style>
  <w:style w:type="paragraph" w:customStyle="1" w:styleId="RecB">
    <w:name w:val="RecB"/>
    <w:basedOn w:val="Normal"/>
    <w:semiHidden/>
    <w:rsid w:val="00F9743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97433"/>
    <w:pPr>
      <w:numPr>
        <w:numId w:val="11"/>
      </w:numPr>
      <w:spacing w:before="80"/>
    </w:pPr>
  </w:style>
  <w:style w:type="paragraph" w:customStyle="1" w:styleId="RecBNoTitle">
    <w:name w:val="RecB NoTitle"/>
    <w:basedOn w:val="RecB"/>
    <w:semiHidden/>
    <w:rsid w:val="00F97433"/>
    <w:pPr>
      <w:spacing w:before="240"/>
    </w:pPr>
  </w:style>
  <w:style w:type="paragraph" w:customStyle="1" w:styleId="Reference">
    <w:name w:val="Reference"/>
    <w:basedOn w:val="BodyText"/>
    <w:rsid w:val="00F97433"/>
    <w:pPr>
      <w:spacing w:before="120"/>
      <w:ind w:left="340" w:hanging="340"/>
    </w:pPr>
  </w:style>
  <w:style w:type="paragraph" w:customStyle="1" w:styleId="SequenceInfo">
    <w:name w:val="Sequence Info"/>
    <w:basedOn w:val="BodyText"/>
    <w:semiHidden/>
    <w:rsid w:val="00F97433"/>
    <w:rPr>
      <w:vanish/>
      <w:sz w:val="16"/>
    </w:rPr>
  </w:style>
  <w:style w:type="paragraph" w:customStyle="1" w:styleId="SideNote">
    <w:name w:val="Side Note"/>
    <w:basedOn w:val="BodyText"/>
    <w:next w:val="BodyText"/>
    <w:semiHidden/>
    <w:rsid w:val="00F9743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F97433"/>
    <w:pPr>
      <w:framePr w:wrap="around"/>
      <w:numPr>
        <w:numId w:val="7"/>
      </w:numPr>
      <w:tabs>
        <w:tab w:val="left" w:pos="227"/>
      </w:tabs>
    </w:pPr>
  </w:style>
  <w:style w:type="paragraph" w:customStyle="1" w:styleId="SideNoteGraphic">
    <w:name w:val="Side Note Graphic"/>
    <w:basedOn w:val="SideNote"/>
    <w:next w:val="BodyText"/>
    <w:semiHidden/>
    <w:rsid w:val="00F97433"/>
    <w:pPr>
      <w:framePr w:wrap="around"/>
    </w:pPr>
  </w:style>
  <w:style w:type="paragraph" w:customStyle="1" w:styleId="TableBodyText">
    <w:name w:val="Table Body Text"/>
    <w:basedOn w:val="BodyText"/>
    <w:link w:val="TableBodyTextChar"/>
    <w:rsid w:val="00F9743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F97433"/>
    <w:pPr>
      <w:numPr>
        <w:numId w:val="8"/>
      </w:numPr>
      <w:jc w:val="left"/>
    </w:pPr>
  </w:style>
  <w:style w:type="paragraph" w:customStyle="1" w:styleId="TableColumnHeading">
    <w:name w:val="Table Column Heading"/>
    <w:basedOn w:val="TableBodyText"/>
    <w:rsid w:val="00F97433"/>
    <w:pPr>
      <w:spacing w:before="80" w:after="80"/>
    </w:pPr>
    <w:rPr>
      <w:i/>
    </w:rPr>
  </w:style>
  <w:style w:type="paragraph" w:styleId="TOC2">
    <w:name w:val="toc 2"/>
    <w:basedOn w:val="TOC1"/>
    <w:rsid w:val="00F97433"/>
    <w:pPr>
      <w:ind w:left="1134" w:hanging="624"/>
    </w:pPr>
    <w:rPr>
      <w:b w:val="0"/>
    </w:rPr>
  </w:style>
  <w:style w:type="paragraph" w:styleId="TOC3">
    <w:name w:val="toc 3"/>
    <w:basedOn w:val="TOC2"/>
    <w:rsid w:val="00F97433"/>
    <w:pPr>
      <w:spacing w:before="60"/>
      <w:ind w:left="1190" w:hanging="680"/>
    </w:pPr>
  </w:style>
  <w:style w:type="paragraph" w:styleId="TableofFigures">
    <w:name w:val="table of figures"/>
    <w:basedOn w:val="TOC3"/>
    <w:next w:val="BodyText"/>
    <w:semiHidden/>
    <w:rsid w:val="00F97433"/>
    <w:pPr>
      <w:ind w:left="737" w:hanging="737"/>
    </w:pPr>
  </w:style>
  <w:style w:type="paragraph" w:customStyle="1" w:styleId="TableTitle">
    <w:name w:val="Table Title"/>
    <w:basedOn w:val="Caption"/>
    <w:next w:val="Subtitle"/>
    <w:qFormat/>
    <w:rsid w:val="00F97433"/>
    <w:pPr>
      <w:spacing w:before="120"/>
    </w:pPr>
  </w:style>
  <w:style w:type="paragraph" w:customStyle="1" w:styleId="TableUnitsRow">
    <w:name w:val="Table Units Row"/>
    <w:basedOn w:val="TableBodyText"/>
    <w:rsid w:val="00F97433"/>
    <w:pPr>
      <w:spacing w:before="40"/>
    </w:pPr>
  </w:style>
  <w:style w:type="paragraph" w:styleId="TOC1">
    <w:name w:val="toc 1"/>
    <w:basedOn w:val="Normal"/>
    <w:next w:val="TOC2"/>
    <w:link w:val="TOC1Char"/>
    <w:rsid w:val="00F9743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F97433"/>
    <w:pPr>
      <w:ind w:left="1191" w:firstLine="0"/>
    </w:pPr>
  </w:style>
  <w:style w:type="paragraph" w:customStyle="1" w:styleId="RecBBullet2">
    <w:name w:val="RecB Bullet 2"/>
    <w:basedOn w:val="ListBullet2"/>
    <w:semiHidden/>
    <w:rsid w:val="00F97433"/>
    <w:pPr>
      <w:pBdr>
        <w:left w:val="single" w:sz="24" w:space="29" w:color="C0C0C0"/>
      </w:pBdr>
    </w:pPr>
    <w:rPr>
      <w:b/>
      <w:i/>
    </w:rPr>
  </w:style>
  <w:style w:type="paragraph" w:styleId="BalloonText">
    <w:name w:val="Balloon Text"/>
    <w:basedOn w:val="Normal"/>
    <w:link w:val="BalloonTextChar"/>
    <w:rsid w:val="00F97433"/>
    <w:rPr>
      <w:rFonts w:ascii="Tahoma" w:hAnsi="Tahoma" w:cs="Tahoma"/>
      <w:sz w:val="16"/>
      <w:szCs w:val="16"/>
    </w:rPr>
  </w:style>
  <w:style w:type="character" w:customStyle="1" w:styleId="BalloonTextChar">
    <w:name w:val="Balloon Text Char"/>
    <w:basedOn w:val="DefaultParagraphFont"/>
    <w:link w:val="BalloonText"/>
    <w:rsid w:val="00F97433"/>
    <w:rPr>
      <w:rFonts w:ascii="Tahoma" w:hAnsi="Tahoma" w:cs="Tahoma"/>
      <w:sz w:val="16"/>
      <w:szCs w:val="16"/>
    </w:rPr>
  </w:style>
  <w:style w:type="character" w:customStyle="1" w:styleId="SubtitleChar">
    <w:name w:val="Subtitle Char"/>
    <w:basedOn w:val="DefaultParagraphFont"/>
    <w:link w:val="Subtitle"/>
    <w:rsid w:val="00F97433"/>
    <w:rPr>
      <w:rFonts w:ascii="Arial" w:hAnsi="Arial"/>
      <w:szCs w:val="24"/>
    </w:rPr>
  </w:style>
  <w:style w:type="paragraph" w:customStyle="1" w:styleId="BoxListBullet3">
    <w:name w:val="Box List Bullet 3"/>
    <w:basedOn w:val="ListBullet3"/>
    <w:rsid w:val="00F97433"/>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F97433"/>
    <w:rPr>
      <w:i/>
      <w:iCs/>
    </w:rPr>
  </w:style>
  <w:style w:type="paragraph" w:customStyle="1" w:styleId="BoxQuoteBullet">
    <w:name w:val="Box Quote Bullet"/>
    <w:basedOn w:val="BoxQuote"/>
    <w:next w:val="Box"/>
    <w:rsid w:val="00F97433"/>
    <w:pPr>
      <w:numPr>
        <w:numId w:val="12"/>
      </w:numPr>
      <w:ind w:left="568" w:hanging="284"/>
    </w:pPr>
  </w:style>
  <w:style w:type="paragraph" w:customStyle="1" w:styleId="InformationRequestBullet">
    <w:name w:val="Information Request Bullet"/>
    <w:basedOn w:val="ListBullet"/>
    <w:next w:val="BodyText"/>
    <w:rsid w:val="00F97433"/>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F97433"/>
    <w:pPr>
      <w:keepNext w:val="0"/>
      <w:spacing w:before="60" w:after="60" w:line="80" w:lineRule="exact"/>
    </w:pPr>
    <w:rPr>
      <w:sz w:val="14"/>
    </w:rPr>
  </w:style>
  <w:style w:type="paragraph" w:customStyle="1" w:styleId="KeyPointsListBullet">
    <w:name w:val="Key Points List Bullet"/>
    <w:basedOn w:val="Normal"/>
    <w:qFormat/>
    <w:rsid w:val="00F97433"/>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F97433"/>
    <w:pPr>
      <w:numPr>
        <w:numId w:val="19"/>
      </w:numPr>
      <w:ind w:left="568" w:hanging="284"/>
    </w:pPr>
  </w:style>
  <w:style w:type="paragraph" w:customStyle="1" w:styleId="InformationRequestTitle">
    <w:name w:val="Information Request Title"/>
    <w:basedOn w:val="FindingTitle"/>
    <w:next w:val="InformationRequest"/>
    <w:rsid w:val="00F97433"/>
    <w:rPr>
      <w:i/>
    </w:rPr>
  </w:style>
  <w:style w:type="paragraph" w:customStyle="1" w:styleId="Space">
    <w:name w:val="Space"/>
    <w:basedOn w:val="Normal"/>
    <w:rsid w:val="00F97433"/>
    <w:pPr>
      <w:keepNext/>
      <w:spacing w:line="120" w:lineRule="exact"/>
      <w:jc w:val="both"/>
    </w:pPr>
    <w:rPr>
      <w:rFonts w:ascii="Arial" w:hAnsi="Arial"/>
      <w:sz w:val="20"/>
      <w:szCs w:val="20"/>
    </w:rPr>
  </w:style>
  <w:style w:type="paragraph" w:customStyle="1" w:styleId="Heading1nochapterno">
    <w:name w:val="Heading 1 (no chapter no.)"/>
    <w:basedOn w:val="Heading1"/>
    <w:rsid w:val="00F97433"/>
    <w:pPr>
      <w:spacing w:before="0"/>
      <w:ind w:left="0" w:firstLine="0"/>
    </w:pPr>
  </w:style>
  <w:style w:type="paragraph" w:customStyle="1" w:styleId="Heading2nosectionno">
    <w:name w:val="Heading 2 (no section no.)"/>
    <w:basedOn w:val="Heading2"/>
    <w:rsid w:val="00F97433"/>
    <w:pPr>
      <w:ind w:left="0" w:firstLine="0"/>
    </w:pPr>
  </w:style>
  <w:style w:type="character" w:customStyle="1" w:styleId="Heading5Char">
    <w:name w:val="Heading 5 Char"/>
    <w:basedOn w:val="DefaultParagraphFont"/>
    <w:link w:val="Heading5"/>
    <w:rsid w:val="00F97433"/>
    <w:rPr>
      <w:rFonts w:ascii="Arial" w:hAnsi="Arial"/>
      <w:i/>
      <w:sz w:val="22"/>
    </w:rPr>
  </w:style>
  <w:style w:type="paragraph" w:customStyle="1" w:styleId="Figurespace">
    <w:name w:val="Figure space"/>
    <w:basedOn w:val="Box"/>
    <w:rsid w:val="00F97433"/>
    <w:pPr>
      <w:spacing w:before="0" w:line="120" w:lineRule="exact"/>
    </w:pPr>
  </w:style>
  <w:style w:type="paragraph" w:customStyle="1" w:styleId="FooterDraftReport">
    <w:name w:val="FooterDraftReport"/>
    <w:basedOn w:val="Footer"/>
    <w:link w:val="FooterDraftReportChar"/>
    <w:rsid w:val="00F9743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F97433"/>
    <w:rPr>
      <w:sz w:val="24"/>
    </w:rPr>
  </w:style>
  <w:style w:type="character" w:customStyle="1" w:styleId="FooterChar">
    <w:name w:val="Footer Char"/>
    <w:basedOn w:val="BodyTextChar"/>
    <w:link w:val="Footer"/>
    <w:semiHidden/>
    <w:rsid w:val="00F97433"/>
    <w:rPr>
      <w:rFonts w:ascii="Arial" w:hAnsi="Arial"/>
      <w:caps/>
      <w:spacing w:val="-4"/>
      <w:sz w:val="16"/>
    </w:rPr>
  </w:style>
  <w:style w:type="character" w:customStyle="1" w:styleId="FooterDraftReportChar">
    <w:name w:val="FooterDraftReport Char"/>
    <w:basedOn w:val="FooterChar"/>
    <w:link w:val="FooterDraftReport"/>
    <w:rsid w:val="00F9743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F97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97433"/>
    <w:rPr>
      <w:rFonts w:ascii="Arial" w:hAnsi="Arial"/>
      <w:b/>
      <w:sz w:val="26"/>
      <w:szCs w:val="26"/>
      <w:lang w:eastAsia="en-US"/>
    </w:rPr>
  </w:style>
  <w:style w:type="character" w:customStyle="1" w:styleId="TableBodyTextChar">
    <w:name w:val="Table Body Text Char"/>
    <w:basedOn w:val="DefaultParagraphFont"/>
    <w:link w:val="TableBodyText"/>
    <w:rsid w:val="00E20499"/>
    <w:rPr>
      <w:rFonts w:ascii="Arial" w:hAnsi="Arial"/>
      <w:sz w:val="18"/>
    </w:rPr>
  </w:style>
  <w:style w:type="character" w:customStyle="1" w:styleId="SourceChar">
    <w:name w:val="Source Char"/>
    <w:basedOn w:val="DefaultParagraphFont"/>
    <w:link w:val="Source"/>
    <w:rsid w:val="003E64E3"/>
    <w:rPr>
      <w:rFonts w:ascii="Arial" w:hAnsi="Arial"/>
      <w:sz w:val="18"/>
    </w:rPr>
  </w:style>
  <w:style w:type="character" w:styleId="Hyperlink">
    <w:name w:val="Hyperlink"/>
    <w:basedOn w:val="DefaultParagraphFont"/>
    <w:rsid w:val="000C4DA8"/>
    <w:rPr>
      <w:color w:val="78A22F" w:themeColor="hyperlink"/>
      <w:u w:val="single"/>
    </w:rPr>
  </w:style>
  <w:style w:type="paragraph" w:styleId="Revision">
    <w:name w:val="Revision"/>
    <w:hidden/>
    <w:uiPriority w:val="99"/>
    <w:semiHidden/>
    <w:rsid w:val="002B337A"/>
    <w:rPr>
      <w:sz w:val="24"/>
      <w:szCs w:val="24"/>
    </w:rPr>
  </w:style>
  <w:style w:type="paragraph" w:styleId="EndnoteText">
    <w:name w:val="endnote text"/>
    <w:basedOn w:val="Normal"/>
    <w:link w:val="EndnoteTextChar"/>
    <w:rsid w:val="00C33124"/>
    <w:rPr>
      <w:sz w:val="20"/>
      <w:szCs w:val="20"/>
    </w:rPr>
  </w:style>
  <w:style w:type="character" w:customStyle="1" w:styleId="EndnoteTextChar">
    <w:name w:val="Endnote Text Char"/>
    <w:basedOn w:val="DefaultParagraphFont"/>
    <w:link w:val="EndnoteText"/>
    <w:rsid w:val="00C33124"/>
  </w:style>
  <w:style w:type="character" w:styleId="EndnoteReference">
    <w:name w:val="endnote reference"/>
    <w:basedOn w:val="DefaultParagraphFont"/>
    <w:rsid w:val="00C33124"/>
    <w:rPr>
      <w:vertAlign w:val="superscript"/>
    </w:rPr>
  </w:style>
  <w:style w:type="paragraph" w:styleId="CommentSubject">
    <w:name w:val="annotation subject"/>
    <w:basedOn w:val="CommentText"/>
    <w:next w:val="CommentText"/>
    <w:link w:val="CommentSubjectChar"/>
    <w:rsid w:val="0038105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81058"/>
    <w:rPr>
      <w:szCs w:val="24"/>
    </w:rPr>
  </w:style>
  <w:style w:type="character" w:customStyle="1" w:styleId="CommentSubjectChar">
    <w:name w:val="Comment Subject Char"/>
    <w:basedOn w:val="CommentTextChar"/>
    <w:link w:val="CommentSubject"/>
    <w:rsid w:val="00381058"/>
    <w:rPr>
      <w:b/>
      <w:bCs/>
      <w:szCs w:val="24"/>
    </w:rPr>
  </w:style>
  <w:style w:type="character" w:customStyle="1" w:styleId="Heading4Char">
    <w:name w:val="Heading 4 Char"/>
    <w:basedOn w:val="DefaultParagraphFont"/>
    <w:link w:val="Heading4"/>
    <w:rsid w:val="00745804"/>
    <w:rPr>
      <w:rFonts w:ascii="Arial" w:hAnsi="Arial"/>
      <w:sz w:val="24"/>
    </w:rPr>
  </w:style>
  <w:style w:type="character" w:customStyle="1" w:styleId="FootnoteTextChar">
    <w:name w:val="Footnote Text Char"/>
    <w:basedOn w:val="DefaultParagraphFont"/>
    <w:link w:val="FootnoteText"/>
    <w:rsid w:val="004F3E0D"/>
  </w:style>
  <w:style w:type="character" w:customStyle="1" w:styleId="BoxChar">
    <w:name w:val="Box Char"/>
    <w:basedOn w:val="BodyTextChar"/>
    <w:link w:val="Box"/>
    <w:rsid w:val="004F3E0D"/>
    <w:rPr>
      <w:rFonts w:ascii="Arial" w:hAnsi="Arial"/>
      <w:sz w:val="24"/>
    </w:rPr>
  </w:style>
  <w:style w:type="character" w:customStyle="1" w:styleId="BoxListBulletChar">
    <w:name w:val="Box List Bullet Char"/>
    <w:basedOn w:val="BoxChar"/>
    <w:link w:val="BoxListBullet"/>
    <w:rsid w:val="004F3E0D"/>
    <w:rPr>
      <w:rFonts w:ascii="Arial" w:hAnsi="Arial"/>
      <w:sz w:val="24"/>
    </w:rPr>
  </w:style>
  <w:style w:type="character" w:customStyle="1" w:styleId="ListBulletChar">
    <w:name w:val="List Bullet Char"/>
    <w:aliases w:val="List Bullet1 Char,List Bullet Char1 Char,List Bullet Char Char Char,List Bullet Char1 Char Char Char"/>
    <w:basedOn w:val="BodyTextChar"/>
    <w:link w:val="ListBullet"/>
    <w:rsid w:val="004F3E0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97433"/>
    <w:rPr>
      <w:sz w:val="24"/>
      <w:szCs w:val="24"/>
    </w:rPr>
  </w:style>
  <w:style w:type="paragraph" w:styleId="Heading1">
    <w:name w:val="heading 1"/>
    <w:basedOn w:val="BodyText"/>
    <w:next w:val="BodyText"/>
    <w:rsid w:val="00F9743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9743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97433"/>
    <w:pPr>
      <w:spacing w:before="560" w:line="320" w:lineRule="exact"/>
      <w:ind w:left="0" w:firstLine="0"/>
      <w:outlineLvl w:val="2"/>
    </w:pPr>
    <w:rPr>
      <w:sz w:val="26"/>
    </w:rPr>
  </w:style>
  <w:style w:type="paragraph" w:styleId="Heading4">
    <w:name w:val="heading 4"/>
    <w:basedOn w:val="Heading3"/>
    <w:next w:val="BodyText"/>
    <w:link w:val="Heading4Char"/>
    <w:qFormat/>
    <w:rsid w:val="00F97433"/>
    <w:pPr>
      <w:spacing w:before="480"/>
      <w:outlineLvl w:val="3"/>
    </w:pPr>
    <w:rPr>
      <w:b w:val="0"/>
      <w:sz w:val="24"/>
    </w:rPr>
  </w:style>
  <w:style w:type="paragraph" w:styleId="Heading5">
    <w:name w:val="heading 5"/>
    <w:basedOn w:val="Heading4"/>
    <w:next w:val="BodyText"/>
    <w:link w:val="Heading5Char"/>
    <w:qFormat/>
    <w:rsid w:val="00F97433"/>
    <w:pPr>
      <w:outlineLvl w:val="4"/>
    </w:pPr>
    <w:rPr>
      <w:i/>
      <w:sz w:val="22"/>
    </w:rPr>
  </w:style>
  <w:style w:type="paragraph" w:styleId="Heading6">
    <w:name w:val="heading 6"/>
    <w:basedOn w:val="BodyText"/>
    <w:next w:val="BodyText"/>
    <w:semiHidden/>
    <w:rsid w:val="00F97433"/>
    <w:pPr>
      <w:spacing w:after="60"/>
      <w:jc w:val="left"/>
      <w:outlineLvl w:val="5"/>
    </w:pPr>
    <w:rPr>
      <w:i/>
      <w:sz w:val="22"/>
    </w:rPr>
  </w:style>
  <w:style w:type="paragraph" w:styleId="Heading7">
    <w:name w:val="heading 7"/>
    <w:basedOn w:val="BodyText"/>
    <w:next w:val="BodyText"/>
    <w:semiHidden/>
    <w:rsid w:val="00F97433"/>
    <w:pPr>
      <w:spacing w:after="60" w:line="240" w:lineRule="auto"/>
      <w:jc w:val="left"/>
      <w:outlineLvl w:val="6"/>
    </w:pPr>
    <w:rPr>
      <w:rFonts w:ascii="Arial" w:hAnsi="Arial"/>
      <w:sz w:val="20"/>
    </w:rPr>
  </w:style>
  <w:style w:type="paragraph" w:styleId="Heading8">
    <w:name w:val="heading 8"/>
    <w:basedOn w:val="BodyText"/>
    <w:next w:val="BodyText"/>
    <w:semiHidden/>
    <w:rsid w:val="00F97433"/>
    <w:pPr>
      <w:spacing w:after="60" w:line="240" w:lineRule="auto"/>
      <w:jc w:val="left"/>
      <w:outlineLvl w:val="7"/>
    </w:pPr>
    <w:rPr>
      <w:rFonts w:ascii="Arial" w:hAnsi="Arial"/>
      <w:i/>
      <w:sz w:val="20"/>
    </w:rPr>
  </w:style>
  <w:style w:type="paragraph" w:styleId="Heading9">
    <w:name w:val="heading 9"/>
    <w:basedOn w:val="BodyText"/>
    <w:next w:val="BodyText"/>
    <w:semiHidden/>
    <w:rsid w:val="00F9743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974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433"/>
  </w:style>
  <w:style w:type="paragraph" w:styleId="BodyText">
    <w:name w:val="Body Text"/>
    <w:link w:val="BodyTextChar"/>
    <w:qFormat/>
    <w:rsid w:val="00F97433"/>
    <w:pPr>
      <w:spacing w:before="240" w:line="300" w:lineRule="atLeast"/>
      <w:jc w:val="both"/>
    </w:pPr>
    <w:rPr>
      <w:sz w:val="24"/>
    </w:rPr>
  </w:style>
  <w:style w:type="paragraph" w:styleId="Footer">
    <w:name w:val="footer"/>
    <w:basedOn w:val="BodyText"/>
    <w:link w:val="FooterChar"/>
    <w:semiHidden/>
    <w:rsid w:val="00F97433"/>
    <w:pPr>
      <w:spacing w:before="80" w:line="200" w:lineRule="exact"/>
      <w:ind w:right="6"/>
      <w:jc w:val="left"/>
    </w:pPr>
    <w:rPr>
      <w:rFonts w:ascii="Arial" w:hAnsi="Arial"/>
      <w:caps/>
      <w:spacing w:val="-4"/>
      <w:sz w:val="16"/>
    </w:rPr>
  </w:style>
  <w:style w:type="paragraph" w:customStyle="1" w:styleId="FooterEnd">
    <w:name w:val="Footer End"/>
    <w:basedOn w:val="Footer"/>
    <w:rsid w:val="00F97433"/>
    <w:pPr>
      <w:spacing w:before="0" w:line="20" w:lineRule="exact"/>
    </w:pPr>
  </w:style>
  <w:style w:type="paragraph" w:styleId="Header">
    <w:name w:val="header"/>
    <w:basedOn w:val="BodyText"/>
    <w:rsid w:val="00F9743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97433"/>
    <w:pPr>
      <w:spacing w:line="20" w:lineRule="exact"/>
    </w:pPr>
    <w:rPr>
      <w:sz w:val="16"/>
    </w:rPr>
  </w:style>
  <w:style w:type="paragraph" w:customStyle="1" w:styleId="HeaderEven">
    <w:name w:val="Header Even"/>
    <w:basedOn w:val="Header"/>
    <w:semiHidden/>
    <w:rsid w:val="00F97433"/>
  </w:style>
  <w:style w:type="paragraph" w:customStyle="1" w:styleId="HeaderOdd">
    <w:name w:val="Header Odd"/>
    <w:basedOn w:val="Header"/>
    <w:semiHidden/>
    <w:rsid w:val="00F97433"/>
  </w:style>
  <w:style w:type="character" w:styleId="PageNumber">
    <w:name w:val="page number"/>
    <w:basedOn w:val="DefaultParagraphFont"/>
    <w:rsid w:val="00F97433"/>
    <w:rPr>
      <w:rFonts w:ascii="Arial" w:hAnsi="Arial"/>
      <w:b/>
      <w:sz w:val="16"/>
    </w:rPr>
  </w:style>
  <w:style w:type="paragraph" w:customStyle="1" w:styleId="Abbreviation">
    <w:name w:val="Abbreviation"/>
    <w:basedOn w:val="BodyText"/>
    <w:rsid w:val="00F97433"/>
    <w:pPr>
      <w:spacing w:before="120"/>
      <w:ind w:left="2381" w:hanging="2381"/>
      <w:jc w:val="left"/>
    </w:pPr>
  </w:style>
  <w:style w:type="paragraph" w:customStyle="1" w:styleId="Box">
    <w:name w:val="Box"/>
    <w:basedOn w:val="BodyText"/>
    <w:link w:val="BoxChar"/>
    <w:qFormat/>
    <w:rsid w:val="00F97433"/>
    <w:pPr>
      <w:keepNext/>
      <w:spacing w:before="120" w:line="260" w:lineRule="atLeast"/>
    </w:pPr>
    <w:rPr>
      <w:rFonts w:ascii="Arial" w:hAnsi="Arial"/>
      <w:sz w:val="20"/>
    </w:rPr>
  </w:style>
  <w:style w:type="paragraph" w:customStyle="1" w:styleId="BoxContinued">
    <w:name w:val="Box Continued"/>
    <w:basedOn w:val="BodyText"/>
    <w:next w:val="BodyText"/>
    <w:semiHidden/>
    <w:rsid w:val="00F97433"/>
    <w:pPr>
      <w:spacing w:before="180" w:line="220" w:lineRule="exact"/>
      <w:jc w:val="right"/>
    </w:pPr>
    <w:rPr>
      <w:rFonts w:ascii="Arial" w:hAnsi="Arial"/>
      <w:sz w:val="18"/>
    </w:rPr>
  </w:style>
  <w:style w:type="paragraph" w:customStyle="1" w:styleId="BoxHeading1">
    <w:name w:val="Box Heading 1"/>
    <w:basedOn w:val="BodyText"/>
    <w:next w:val="Box"/>
    <w:rsid w:val="00F97433"/>
    <w:pPr>
      <w:keepNext/>
      <w:spacing w:before="200" w:line="280" w:lineRule="atLeast"/>
    </w:pPr>
    <w:rPr>
      <w:rFonts w:ascii="Arial" w:hAnsi="Arial"/>
      <w:b/>
      <w:sz w:val="22"/>
    </w:rPr>
  </w:style>
  <w:style w:type="paragraph" w:customStyle="1" w:styleId="BoxHeading2">
    <w:name w:val="Box Heading 2"/>
    <w:basedOn w:val="BoxHeading1"/>
    <w:next w:val="Normal"/>
    <w:rsid w:val="00F97433"/>
    <w:rPr>
      <w:b w:val="0"/>
      <w:i/>
    </w:rPr>
  </w:style>
  <w:style w:type="paragraph" w:customStyle="1" w:styleId="BoxListBullet">
    <w:name w:val="Box List Bullet"/>
    <w:basedOn w:val="BodyText"/>
    <w:link w:val="BoxListBulletChar"/>
    <w:rsid w:val="00F9743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F97433"/>
    <w:pPr>
      <w:numPr>
        <w:numId w:val="13"/>
      </w:numPr>
      <w:ind w:left="568" w:hanging="284"/>
    </w:pPr>
  </w:style>
  <w:style w:type="paragraph" w:customStyle="1" w:styleId="BoxListNumber">
    <w:name w:val="Box List Number"/>
    <w:basedOn w:val="BodyText"/>
    <w:rsid w:val="00F97433"/>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F97433"/>
    <w:pPr>
      <w:numPr>
        <w:ilvl w:val="1"/>
      </w:numPr>
      <w:ind w:left="681" w:hanging="397"/>
    </w:pPr>
  </w:style>
  <w:style w:type="paragraph" w:customStyle="1" w:styleId="BoxQuote">
    <w:name w:val="Box Quote"/>
    <w:basedOn w:val="BodyText"/>
    <w:next w:val="Box"/>
    <w:qFormat/>
    <w:rsid w:val="00F97433"/>
    <w:pPr>
      <w:keepNext/>
      <w:spacing w:before="60" w:line="240" w:lineRule="exact"/>
      <w:ind w:left="284"/>
    </w:pPr>
    <w:rPr>
      <w:rFonts w:ascii="Arial" w:hAnsi="Arial"/>
      <w:sz w:val="18"/>
    </w:rPr>
  </w:style>
  <w:style w:type="paragraph" w:customStyle="1" w:styleId="Note">
    <w:name w:val="Note"/>
    <w:basedOn w:val="BodyText"/>
    <w:next w:val="BodyText"/>
    <w:rsid w:val="00F97433"/>
    <w:pPr>
      <w:keepLines/>
      <w:spacing w:before="80" w:line="220" w:lineRule="exact"/>
    </w:pPr>
    <w:rPr>
      <w:rFonts w:ascii="Arial" w:hAnsi="Arial"/>
      <w:sz w:val="18"/>
    </w:rPr>
  </w:style>
  <w:style w:type="paragraph" w:customStyle="1" w:styleId="Source">
    <w:name w:val="Source"/>
    <w:basedOn w:val="Normal"/>
    <w:next w:val="BodyText"/>
    <w:link w:val="SourceChar"/>
    <w:rsid w:val="00F97433"/>
    <w:pPr>
      <w:keepLines/>
      <w:spacing w:before="80" w:line="220" w:lineRule="exact"/>
      <w:jc w:val="both"/>
    </w:pPr>
    <w:rPr>
      <w:rFonts w:ascii="Arial" w:hAnsi="Arial"/>
      <w:sz w:val="18"/>
      <w:szCs w:val="20"/>
    </w:rPr>
  </w:style>
  <w:style w:type="paragraph" w:customStyle="1" w:styleId="BoxSource">
    <w:name w:val="Box Source"/>
    <w:basedOn w:val="Source"/>
    <w:next w:val="BodyText"/>
    <w:rsid w:val="00F97433"/>
    <w:pPr>
      <w:spacing w:before="120"/>
    </w:pPr>
  </w:style>
  <w:style w:type="paragraph" w:customStyle="1" w:styleId="BoxSpaceAbove">
    <w:name w:val="Box Space Above"/>
    <w:basedOn w:val="BodyText"/>
    <w:rsid w:val="00F97433"/>
    <w:pPr>
      <w:keepNext/>
      <w:spacing w:before="360" w:line="80" w:lineRule="exact"/>
      <w:jc w:val="left"/>
    </w:pPr>
  </w:style>
  <w:style w:type="paragraph" w:styleId="Caption">
    <w:name w:val="caption"/>
    <w:basedOn w:val="Normal"/>
    <w:next w:val="BodyText"/>
    <w:rsid w:val="00F9743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97433"/>
    <w:pPr>
      <w:spacing w:before="120" w:after="0"/>
    </w:pPr>
  </w:style>
  <w:style w:type="paragraph" w:customStyle="1" w:styleId="BoxSubtitle">
    <w:name w:val="Box Subtitle"/>
    <w:basedOn w:val="BoxTitle"/>
    <w:next w:val="Normal"/>
    <w:rsid w:val="00F97433"/>
    <w:pPr>
      <w:spacing w:after="80" w:line="200" w:lineRule="exact"/>
      <w:ind w:firstLine="0"/>
    </w:pPr>
    <w:rPr>
      <w:b w:val="0"/>
      <w:sz w:val="20"/>
    </w:rPr>
  </w:style>
  <w:style w:type="paragraph" w:customStyle="1" w:styleId="Chapter">
    <w:name w:val="Chapter"/>
    <w:basedOn w:val="Heading1"/>
    <w:next w:val="BodyText"/>
    <w:semiHidden/>
    <w:rsid w:val="00F97433"/>
    <w:pPr>
      <w:ind w:left="0" w:firstLine="0"/>
      <w:outlineLvl w:val="9"/>
    </w:pPr>
  </w:style>
  <w:style w:type="paragraph" w:customStyle="1" w:styleId="ChapterSummary">
    <w:name w:val="Chapter Summary"/>
    <w:basedOn w:val="BodyText"/>
    <w:rsid w:val="00F97433"/>
    <w:pPr>
      <w:spacing w:line="280" w:lineRule="atLeast"/>
      <w:ind w:left="907"/>
    </w:pPr>
    <w:rPr>
      <w:rFonts w:ascii="Arial" w:hAnsi="Arial"/>
      <w:b/>
      <w:sz w:val="20"/>
    </w:rPr>
  </w:style>
  <w:style w:type="character" w:styleId="CommentReference">
    <w:name w:val="annotation reference"/>
    <w:basedOn w:val="DefaultParagraphFont"/>
    <w:semiHidden/>
    <w:rsid w:val="00F97433"/>
    <w:rPr>
      <w:b/>
      <w:vanish/>
      <w:color w:val="FF00FF"/>
      <w:sz w:val="20"/>
    </w:rPr>
  </w:style>
  <w:style w:type="paragraph" w:styleId="CommentText">
    <w:name w:val="annotation text"/>
    <w:basedOn w:val="Normal"/>
    <w:link w:val="CommentTextChar"/>
    <w:semiHidden/>
    <w:rsid w:val="00F97433"/>
    <w:pPr>
      <w:spacing w:before="120" w:line="240" w:lineRule="atLeast"/>
      <w:ind w:left="567" w:hanging="567"/>
    </w:pPr>
    <w:rPr>
      <w:sz w:val="20"/>
    </w:rPr>
  </w:style>
  <w:style w:type="paragraph" w:customStyle="1" w:styleId="Continued">
    <w:name w:val="Continued"/>
    <w:basedOn w:val="BoxContinued"/>
    <w:next w:val="BodyText"/>
    <w:rsid w:val="00F97433"/>
  </w:style>
  <w:style w:type="character" w:customStyle="1" w:styleId="DocumentInfo">
    <w:name w:val="Document Info"/>
    <w:basedOn w:val="DefaultParagraphFont"/>
    <w:semiHidden/>
    <w:rsid w:val="00F97433"/>
    <w:rPr>
      <w:rFonts w:ascii="Arial" w:hAnsi="Arial"/>
      <w:sz w:val="14"/>
    </w:rPr>
  </w:style>
  <w:style w:type="character" w:customStyle="1" w:styleId="DraftingNote">
    <w:name w:val="Drafting Note"/>
    <w:basedOn w:val="DefaultParagraphFont"/>
    <w:rsid w:val="00F97433"/>
    <w:rPr>
      <w:b/>
      <w:color w:val="FF0000"/>
      <w:sz w:val="24"/>
      <w:u w:val="dotted"/>
    </w:rPr>
  </w:style>
  <w:style w:type="paragraph" w:customStyle="1" w:styleId="Figure">
    <w:name w:val="Figure"/>
    <w:basedOn w:val="BodyText"/>
    <w:rsid w:val="00F97433"/>
    <w:pPr>
      <w:keepNext/>
      <w:spacing w:before="120" w:after="120" w:line="240" w:lineRule="atLeast"/>
      <w:jc w:val="center"/>
    </w:pPr>
  </w:style>
  <w:style w:type="paragraph" w:customStyle="1" w:styleId="FigureTitle">
    <w:name w:val="Figure Title"/>
    <w:basedOn w:val="Caption"/>
    <w:next w:val="Subtitle"/>
    <w:rsid w:val="00F97433"/>
    <w:pPr>
      <w:spacing w:before="120"/>
    </w:pPr>
  </w:style>
  <w:style w:type="paragraph" w:styleId="Subtitle">
    <w:name w:val="Subtitle"/>
    <w:basedOn w:val="Caption"/>
    <w:link w:val="SubtitleChar"/>
    <w:qFormat/>
    <w:rsid w:val="00F97433"/>
    <w:pPr>
      <w:spacing w:before="0" w:line="200" w:lineRule="exact"/>
      <w:ind w:firstLine="0"/>
    </w:pPr>
    <w:rPr>
      <w:b w:val="0"/>
      <w:sz w:val="20"/>
    </w:rPr>
  </w:style>
  <w:style w:type="paragraph" w:customStyle="1" w:styleId="Finding">
    <w:name w:val="Finding"/>
    <w:basedOn w:val="BodyText"/>
    <w:rsid w:val="00F97433"/>
    <w:pPr>
      <w:keepLines/>
      <w:spacing w:before="120" w:line="280" w:lineRule="atLeast"/>
    </w:pPr>
    <w:rPr>
      <w:rFonts w:ascii="Arial" w:hAnsi="Arial"/>
      <w:sz w:val="22"/>
    </w:rPr>
  </w:style>
  <w:style w:type="paragraph" w:customStyle="1" w:styleId="FindingBullet">
    <w:name w:val="Finding Bullet"/>
    <w:basedOn w:val="Finding"/>
    <w:rsid w:val="00F97433"/>
    <w:pPr>
      <w:numPr>
        <w:numId w:val="15"/>
      </w:numPr>
      <w:spacing w:before="80"/>
    </w:pPr>
  </w:style>
  <w:style w:type="paragraph" w:customStyle="1" w:styleId="FindingNoTitle">
    <w:name w:val="Finding NoTitle"/>
    <w:basedOn w:val="Finding"/>
    <w:semiHidden/>
    <w:rsid w:val="00F97433"/>
    <w:pPr>
      <w:spacing w:before="240"/>
    </w:pPr>
  </w:style>
  <w:style w:type="paragraph" w:customStyle="1" w:styleId="RecTitle">
    <w:name w:val="Rec Title"/>
    <w:basedOn w:val="BodyText"/>
    <w:next w:val="Rec"/>
    <w:qFormat/>
    <w:rsid w:val="00F97433"/>
    <w:pPr>
      <w:keepNext/>
      <w:keepLines/>
      <w:spacing w:line="280" w:lineRule="atLeast"/>
    </w:pPr>
    <w:rPr>
      <w:rFonts w:ascii="Arial" w:hAnsi="Arial"/>
      <w:caps/>
      <w:sz w:val="18"/>
    </w:rPr>
  </w:style>
  <w:style w:type="paragraph" w:customStyle="1" w:styleId="FindingTitle">
    <w:name w:val="Finding Title"/>
    <w:basedOn w:val="RecTitle"/>
    <w:next w:val="Finding"/>
    <w:rsid w:val="00F97433"/>
  </w:style>
  <w:style w:type="character" w:styleId="FootnoteReference">
    <w:name w:val="footnote reference"/>
    <w:basedOn w:val="DefaultParagraphFont"/>
    <w:semiHidden/>
    <w:rsid w:val="00F97433"/>
    <w:rPr>
      <w:rFonts w:ascii="Times New Roman" w:hAnsi="Times New Roman"/>
      <w:position w:val="6"/>
      <w:sz w:val="20"/>
      <w:vertAlign w:val="baseline"/>
    </w:rPr>
  </w:style>
  <w:style w:type="paragraph" w:styleId="FootnoteText">
    <w:name w:val="footnote text"/>
    <w:basedOn w:val="BodyText"/>
    <w:link w:val="FootnoteTextChar"/>
    <w:rsid w:val="00F9743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F97433"/>
    <w:rPr>
      <w:i/>
    </w:rPr>
  </w:style>
  <w:style w:type="paragraph" w:customStyle="1" w:styleId="Jurisdictioncommentsbodytext">
    <w:name w:val="Jurisdiction comments body text"/>
    <w:rsid w:val="00F97433"/>
    <w:pPr>
      <w:spacing w:after="140"/>
      <w:jc w:val="both"/>
    </w:pPr>
    <w:rPr>
      <w:rFonts w:ascii="Arial" w:hAnsi="Arial"/>
      <w:sz w:val="24"/>
      <w:lang w:eastAsia="en-US"/>
    </w:rPr>
  </w:style>
  <w:style w:type="paragraph" w:customStyle="1" w:styleId="Jurisdictioncommentsheading">
    <w:name w:val="Jurisdiction comments heading"/>
    <w:rsid w:val="00F9743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97433"/>
    <w:pPr>
      <w:numPr>
        <w:numId w:val="2"/>
      </w:numPr>
      <w:spacing w:after="140"/>
      <w:jc w:val="both"/>
    </w:pPr>
    <w:rPr>
      <w:rFonts w:ascii="Arial" w:hAnsi="Arial"/>
      <w:sz w:val="24"/>
      <w:lang w:eastAsia="en-US"/>
    </w:rPr>
  </w:style>
  <w:style w:type="paragraph" w:styleId="ListBullet">
    <w:name w:val="List Bullet"/>
    <w:aliases w:val="List Bullet1,List Bullet Char1,List Bullet Char Char,List Bullet Char1 Char Char"/>
    <w:basedOn w:val="BodyText"/>
    <w:link w:val="ListBulletChar"/>
    <w:rsid w:val="00F97433"/>
    <w:pPr>
      <w:numPr>
        <w:numId w:val="3"/>
      </w:numPr>
      <w:spacing w:before="120"/>
    </w:pPr>
  </w:style>
  <w:style w:type="paragraph" w:styleId="ListBullet2">
    <w:name w:val="List Bullet 2"/>
    <w:basedOn w:val="BodyText"/>
    <w:rsid w:val="00F97433"/>
    <w:pPr>
      <w:numPr>
        <w:numId w:val="4"/>
      </w:numPr>
      <w:spacing w:before="120"/>
    </w:pPr>
  </w:style>
  <w:style w:type="paragraph" w:styleId="ListBullet3">
    <w:name w:val="List Bullet 3"/>
    <w:basedOn w:val="BodyText"/>
    <w:rsid w:val="00F97433"/>
    <w:pPr>
      <w:numPr>
        <w:numId w:val="5"/>
      </w:numPr>
      <w:spacing w:before="120"/>
      <w:ind w:left="1020" w:hanging="340"/>
    </w:pPr>
  </w:style>
  <w:style w:type="paragraph" w:styleId="ListNumber">
    <w:name w:val="List Number"/>
    <w:basedOn w:val="BodyText"/>
    <w:rsid w:val="00F97433"/>
    <w:pPr>
      <w:numPr>
        <w:numId w:val="9"/>
      </w:numPr>
      <w:spacing w:before="120"/>
    </w:pPr>
  </w:style>
  <w:style w:type="paragraph" w:styleId="ListNumber2">
    <w:name w:val="List Number 2"/>
    <w:basedOn w:val="ListNumber"/>
    <w:rsid w:val="00F97433"/>
    <w:pPr>
      <w:numPr>
        <w:ilvl w:val="1"/>
      </w:numPr>
    </w:pPr>
  </w:style>
  <w:style w:type="paragraph" w:styleId="ListNumber3">
    <w:name w:val="List Number 3"/>
    <w:basedOn w:val="ListNumber2"/>
    <w:rsid w:val="00F97433"/>
    <w:pPr>
      <w:numPr>
        <w:ilvl w:val="2"/>
      </w:numPr>
    </w:pPr>
  </w:style>
  <w:style w:type="character" w:customStyle="1" w:styleId="NoteLabel">
    <w:name w:val="Note Label"/>
    <w:basedOn w:val="DefaultParagraphFont"/>
    <w:rsid w:val="00F97433"/>
    <w:rPr>
      <w:rFonts w:ascii="Arial" w:hAnsi="Arial"/>
      <w:b/>
      <w:position w:val="6"/>
      <w:sz w:val="18"/>
    </w:rPr>
  </w:style>
  <w:style w:type="paragraph" w:customStyle="1" w:styleId="PartDivider">
    <w:name w:val="Part Divider"/>
    <w:basedOn w:val="BodyText"/>
    <w:next w:val="BodyText"/>
    <w:semiHidden/>
    <w:rsid w:val="00F97433"/>
    <w:pPr>
      <w:spacing w:before="0" w:line="40" w:lineRule="exact"/>
      <w:jc w:val="right"/>
    </w:pPr>
    <w:rPr>
      <w:smallCaps/>
      <w:sz w:val="16"/>
    </w:rPr>
  </w:style>
  <w:style w:type="paragraph" w:customStyle="1" w:styleId="PartNumber">
    <w:name w:val="Part Number"/>
    <w:basedOn w:val="BodyText"/>
    <w:next w:val="BodyText"/>
    <w:semiHidden/>
    <w:rsid w:val="00F97433"/>
    <w:pPr>
      <w:spacing w:before="4000" w:line="320" w:lineRule="exact"/>
      <w:ind w:left="6634"/>
      <w:jc w:val="right"/>
    </w:pPr>
    <w:rPr>
      <w:smallCaps/>
      <w:spacing w:val="60"/>
      <w:sz w:val="32"/>
    </w:rPr>
  </w:style>
  <w:style w:type="paragraph" w:customStyle="1" w:styleId="PartTitle">
    <w:name w:val="Part Title"/>
    <w:basedOn w:val="BodyText"/>
    <w:semiHidden/>
    <w:rsid w:val="00F97433"/>
    <w:pPr>
      <w:spacing w:before="160" w:after="1360" w:line="520" w:lineRule="exact"/>
      <w:ind w:right="2381"/>
      <w:jc w:val="right"/>
    </w:pPr>
    <w:rPr>
      <w:smallCaps/>
      <w:sz w:val="52"/>
    </w:rPr>
  </w:style>
  <w:style w:type="paragraph" w:styleId="Quote">
    <w:name w:val="Quote"/>
    <w:basedOn w:val="BodyText"/>
    <w:next w:val="BodyText"/>
    <w:qFormat/>
    <w:rsid w:val="00F97433"/>
    <w:pPr>
      <w:spacing w:before="120" w:line="280" w:lineRule="exact"/>
      <w:ind w:left="340"/>
    </w:pPr>
    <w:rPr>
      <w:sz w:val="22"/>
    </w:rPr>
  </w:style>
  <w:style w:type="paragraph" w:customStyle="1" w:styleId="QuoteBullet">
    <w:name w:val="Quote Bullet"/>
    <w:basedOn w:val="Quote"/>
    <w:rsid w:val="00F97433"/>
    <w:pPr>
      <w:numPr>
        <w:numId w:val="6"/>
      </w:numPr>
    </w:pPr>
  </w:style>
  <w:style w:type="paragraph" w:customStyle="1" w:styleId="Rec">
    <w:name w:val="Rec"/>
    <w:basedOn w:val="BodyText"/>
    <w:qFormat/>
    <w:rsid w:val="00F97433"/>
    <w:pPr>
      <w:keepLines/>
      <w:spacing w:before="120" w:line="280" w:lineRule="atLeast"/>
    </w:pPr>
    <w:rPr>
      <w:rFonts w:ascii="Arial" w:hAnsi="Arial"/>
      <w:sz w:val="22"/>
    </w:rPr>
  </w:style>
  <w:style w:type="paragraph" w:customStyle="1" w:styleId="RecBullet">
    <w:name w:val="Rec Bullet"/>
    <w:basedOn w:val="Rec"/>
    <w:rsid w:val="00F97433"/>
    <w:pPr>
      <w:numPr>
        <w:numId w:val="17"/>
      </w:numPr>
      <w:spacing w:before="80"/>
    </w:pPr>
  </w:style>
  <w:style w:type="paragraph" w:customStyle="1" w:styleId="RecB">
    <w:name w:val="RecB"/>
    <w:basedOn w:val="Normal"/>
    <w:semiHidden/>
    <w:rsid w:val="00F9743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97433"/>
    <w:pPr>
      <w:numPr>
        <w:numId w:val="11"/>
      </w:numPr>
      <w:spacing w:before="80"/>
    </w:pPr>
  </w:style>
  <w:style w:type="paragraph" w:customStyle="1" w:styleId="RecBNoTitle">
    <w:name w:val="RecB NoTitle"/>
    <w:basedOn w:val="RecB"/>
    <w:semiHidden/>
    <w:rsid w:val="00F97433"/>
    <w:pPr>
      <w:spacing w:before="240"/>
    </w:pPr>
  </w:style>
  <w:style w:type="paragraph" w:customStyle="1" w:styleId="Reference">
    <w:name w:val="Reference"/>
    <w:basedOn w:val="BodyText"/>
    <w:rsid w:val="00F97433"/>
    <w:pPr>
      <w:spacing w:before="120"/>
      <w:ind w:left="340" w:hanging="340"/>
    </w:pPr>
  </w:style>
  <w:style w:type="paragraph" w:customStyle="1" w:styleId="SequenceInfo">
    <w:name w:val="Sequence Info"/>
    <w:basedOn w:val="BodyText"/>
    <w:semiHidden/>
    <w:rsid w:val="00F97433"/>
    <w:rPr>
      <w:vanish/>
      <w:sz w:val="16"/>
    </w:rPr>
  </w:style>
  <w:style w:type="paragraph" w:customStyle="1" w:styleId="SideNote">
    <w:name w:val="Side Note"/>
    <w:basedOn w:val="BodyText"/>
    <w:next w:val="BodyText"/>
    <w:semiHidden/>
    <w:rsid w:val="00F9743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F97433"/>
    <w:pPr>
      <w:framePr w:wrap="around"/>
      <w:numPr>
        <w:numId w:val="7"/>
      </w:numPr>
      <w:tabs>
        <w:tab w:val="left" w:pos="227"/>
      </w:tabs>
    </w:pPr>
  </w:style>
  <w:style w:type="paragraph" w:customStyle="1" w:styleId="SideNoteGraphic">
    <w:name w:val="Side Note Graphic"/>
    <w:basedOn w:val="SideNote"/>
    <w:next w:val="BodyText"/>
    <w:semiHidden/>
    <w:rsid w:val="00F97433"/>
    <w:pPr>
      <w:framePr w:wrap="around"/>
    </w:pPr>
  </w:style>
  <w:style w:type="paragraph" w:customStyle="1" w:styleId="TableBodyText">
    <w:name w:val="Table Body Text"/>
    <w:basedOn w:val="BodyText"/>
    <w:link w:val="TableBodyTextChar"/>
    <w:rsid w:val="00F9743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F97433"/>
    <w:pPr>
      <w:numPr>
        <w:numId w:val="8"/>
      </w:numPr>
      <w:jc w:val="left"/>
    </w:pPr>
  </w:style>
  <w:style w:type="paragraph" w:customStyle="1" w:styleId="TableColumnHeading">
    <w:name w:val="Table Column Heading"/>
    <w:basedOn w:val="TableBodyText"/>
    <w:rsid w:val="00F97433"/>
    <w:pPr>
      <w:spacing w:before="80" w:after="80"/>
    </w:pPr>
    <w:rPr>
      <w:i/>
    </w:rPr>
  </w:style>
  <w:style w:type="paragraph" w:styleId="TOC2">
    <w:name w:val="toc 2"/>
    <w:basedOn w:val="TOC1"/>
    <w:rsid w:val="00F97433"/>
    <w:pPr>
      <w:ind w:left="1134" w:hanging="624"/>
    </w:pPr>
    <w:rPr>
      <w:b w:val="0"/>
    </w:rPr>
  </w:style>
  <w:style w:type="paragraph" w:styleId="TOC3">
    <w:name w:val="toc 3"/>
    <w:basedOn w:val="TOC2"/>
    <w:rsid w:val="00F97433"/>
    <w:pPr>
      <w:spacing w:before="60"/>
      <w:ind w:left="1190" w:hanging="680"/>
    </w:pPr>
  </w:style>
  <w:style w:type="paragraph" w:styleId="TableofFigures">
    <w:name w:val="table of figures"/>
    <w:basedOn w:val="TOC3"/>
    <w:next w:val="BodyText"/>
    <w:semiHidden/>
    <w:rsid w:val="00F97433"/>
    <w:pPr>
      <w:ind w:left="737" w:hanging="737"/>
    </w:pPr>
  </w:style>
  <w:style w:type="paragraph" w:customStyle="1" w:styleId="TableTitle">
    <w:name w:val="Table Title"/>
    <w:basedOn w:val="Caption"/>
    <w:next w:val="Subtitle"/>
    <w:qFormat/>
    <w:rsid w:val="00F97433"/>
    <w:pPr>
      <w:spacing w:before="120"/>
    </w:pPr>
  </w:style>
  <w:style w:type="paragraph" w:customStyle="1" w:styleId="TableUnitsRow">
    <w:name w:val="Table Units Row"/>
    <w:basedOn w:val="TableBodyText"/>
    <w:rsid w:val="00F97433"/>
    <w:pPr>
      <w:spacing w:before="40"/>
    </w:pPr>
  </w:style>
  <w:style w:type="paragraph" w:styleId="TOC1">
    <w:name w:val="toc 1"/>
    <w:basedOn w:val="Normal"/>
    <w:next w:val="TOC2"/>
    <w:link w:val="TOC1Char"/>
    <w:rsid w:val="00F9743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F97433"/>
    <w:pPr>
      <w:ind w:left="1191" w:firstLine="0"/>
    </w:pPr>
  </w:style>
  <w:style w:type="paragraph" w:customStyle="1" w:styleId="RecBBullet2">
    <w:name w:val="RecB Bullet 2"/>
    <w:basedOn w:val="ListBullet2"/>
    <w:semiHidden/>
    <w:rsid w:val="00F97433"/>
    <w:pPr>
      <w:pBdr>
        <w:left w:val="single" w:sz="24" w:space="29" w:color="C0C0C0"/>
      </w:pBdr>
    </w:pPr>
    <w:rPr>
      <w:b/>
      <w:i/>
    </w:rPr>
  </w:style>
  <w:style w:type="paragraph" w:styleId="BalloonText">
    <w:name w:val="Balloon Text"/>
    <w:basedOn w:val="Normal"/>
    <w:link w:val="BalloonTextChar"/>
    <w:rsid w:val="00F97433"/>
    <w:rPr>
      <w:rFonts w:ascii="Tahoma" w:hAnsi="Tahoma" w:cs="Tahoma"/>
      <w:sz w:val="16"/>
      <w:szCs w:val="16"/>
    </w:rPr>
  </w:style>
  <w:style w:type="character" w:customStyle="1" w:styleId="BalloonTextChar">
    <w:name w:val="Balloon Text Char"/>
    <w:basedOn w:val="DefaultParagraphFont"/>
    <w:link w:val="BalloonText"/>
    <w:rsid w:val="00F97433"/>
    <w:rPr>
      <w:rFonts w:ascii="Tahoma" w:hAnsi="Tahoma" w:cs="Tahoma"/>
      <w:sz w:val="16"/>
      <w:szCs w:val="16"/>
    </w:rPr>
  </w:style>
  <w:style w:type="character" w:customStyle="1" w:styleId="SubtitleChar">
    <w:name w:val="Subtitle Char"/>
    <w:basedOn w:val="DefaultParagraphFont"/>
    <w:link w:val="Subtitle"/>
    <w:rsid w:val="00F97433"/>
    <w:rPr>
      <w:rFonts w:ascii="Arial" w:hAnsi="Arial"/>
      <w:szCs w:val="24"/>
    </w:rPr>
  </w:style>
  <w:style w:type="paragraph" w:customStyle="1" w:styleId="BoxListBullet3">
    <w:name w:val="Box List Bullet 3"/>
    <w:basedOn w:val="ListBullet3"/>
    <w:rsid w:val="00F97433"/>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F97433"/>
    <w:rPr>
      <w:i/>
      <w:iCs/>
    </w:rPr>
  </w:style>
  <w:style w:type="paragraph" w:customStyle="1" w:styleId="BoxQuoteBullet">
    <w:name w:val="Box Quote Bullet"/>
    <w:basedOn w:val="BoxQuote"/>
    <w:next w:val="Box"/>
    <w:rsid w:val="00F97433"/>
    <w:pPr>
      <w:numPr>
        <w:numId w:val="12"/>
      </w:numPr>
      <w:ind w:left="568" w:hanging="284"/>
    </w:pPr>
  </w:style>
  <w:style w:type="paragraph" w:customStyle="1" w:styleId="InformationRequestBullet">
    <w:name w:val="Information Request Bullet"/>
    <w:basedOn w:val="ListBullet"/>
    <w:next w:val="BodyText"/>
    <w:rsid w:val="00F97433"/>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F97433"/>
    <w:pPr>
      <w:keepNext w:val="0"/>
      <w:spacing w:before="60" w:after="60" w:line="80" w:lineRule="exact"/>
    </w:pPr>
    <w:rPr>
      <w:sz w:val="14"/>
    </w:rPr>
  </w:style>
  <w:style w:type="paragraph" w:customStyle="1" w:styleId="KeyPointsListBullet">
    <w:name w:val="Key Points List Bullet"/>
    <w:basedOn w:val="Normal"/>
    <w:qFormat/>
    <w:rsid w:val="00F97433"/>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F97433"/>
    <w:pPr>
      <w:numPr>
        <w:numId w:val="19"/>
      </w:numPr>
      <w:ind w:left="568" w:hanging="284"/>
    </w:pPr>
  </w:style>
  <w:style w:type="paragraph" w:customStyle="1" w:styleId="InformationRequestTitle">
    <w:name w:val="Information Request Title"/>
    <w:basedOn w:val="FindingTitle"/>
    <w:next w:val="InformationRequest"/>
    <w:rsid w:val="00F97433"/>
    <w:rPr>
      <w:i/>
    </w:rPr>
  </w:style>
  <w:style w:type="paragraph" w:customStyle="1" w:styleId="Space">
    <w:name w:val="Space"/>
    <w:basedOn w:val="Normal"/>
    <w:rsid w:val="00F97433"/>
    <w:pPr>
      <w:keepNext/>
      <w:spacing w:line="120" w:lineRule="exact"/>
      <w:jc w:val="both"/>
    </w:pPr>
    <w:rPr>
      <w:rFonts w:ascii="Arial" w:hAnsi="Arial"/>
      <w:sz w:val="20"/>
      <w:szCs w:val="20"/>
    </w:rPr>
  </w:style>
  <w:style w:type="paragraph" w:customStyle="1" w:styleId="Heading1nochapterno">
    <w:name w:val="Heading 1 (no chapter no.)"/>
    <w:basedOn w:val="Heading1"/>
    <w:rsid w:val="00F97433"/>
    <w:pPr>
      <w:spacing w:before="0"/>
      <w:ind w:left="0" w:firstLine="0"/>
    </w:pPr>
  </w:style>
  <w:style w:type="paragraph" w:customStyle="1" w:styleId="Heading2nosectionno">
    <w:name w:val="Heading 2 (no section no.)"/>
    <w:basedOn w:val="Heading2"/>
    <w:rsid w:val="00F97433"/>
    <w:pPr>
      <w:ind w:left="0" w:firstLine="0"/>
    </w:pPr>
  </w:style>
  <w:style w:type="character" w:customStyle="1" w:styleId="Heading5Char">
    <w:name w:val="Heading 5 Char"/>
    <w:basedOn w:val="DefaultParagraphFont"/>
    <w:link w:val="Heading5"/>
    <w:rsid w:val="00F97433"/>
    <w:rPr>
      <w:rFonts w:ascii="Arial" w:hAnsi="Arial"/>
      <w:i/>
      <w:sz w:val="22"/>
    </w:rPr>
  </w:style>
  <w:style w:type="paragraph" w:customStyle="1" w:styleId="Figurespace">
    <w:name w:val="Figure space"/>
    <w:basedOn w:val="Box"/>
    <w:rsid w:val="00F97433"/>
    <w:pPr>
      <w:spacing w:before="0" w:line="120" w:lineRule="exact"/>
    </w:pPr>
  </w:style>
  <w:style w:type="paragraph" w:customStyle="1" w:styleId="FooterDraftReport">
    <w:name w:val="FooterDraftReport"/>
    <w:basedOn w:val="Footer"/>
    <w:link w:val="FooterDraftReportChar"/>
    <w:rsid w:val="00F9743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F97433"/>
    <w:rPr>
      <w:sz w:val="24"/>
    </w:rPr>
  </w:style>
  <w:style w:type="character" w:customStyle="1" w:styleId="FooterChar">
    <w:name w:val="Footer Char"/>
    <w:basedOn w:val="BodyTextChar"/>
    <w:link w:val="Footer"/>
    <w:semiHidden/>
    <w:rsid w:val="00F97433"/>
    <w:rPr>
      <w:rFonts w:ascii="Arial" w:hAnsi="Arial"/>
      <w:caps/>
      <w:spacing w:val="-4"/>
      <w:sz w:val="16"/>
    </w:rPr>
  </w:style>
  <w:style w:type="character" w:customStyle="1" w:styleId="FooterDraftReportChar">
    <w:name w:val="FooterDraftReport Char"/>
    <w:basedOn w:val="FooterChar"/>
    <w:link w:val="FooterDraftReport"/>
    <w:rsid w:val="00F9743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F97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97433"/>
    <w:rPr>
      <w:rFonts w:ascii="Arial" w:hAnsi="Arial"/>
      <w:b/>
      <w:sz w:val="26"/>
      <w:szCs w:val="26"/>
      <w:lang w:eastAsia="en-US"/>
    </w:rPr>
  </w:style>
  <w:style w:type="character" w:customStyle="1" w:styleId="TableBodyTextChar">
    <w:name w:val="Table Body Text Char"/>
    <w:basedOn w:val="DefaultParagraphFont"/>
    <w:link w:val="TableBodyText"/>
    <w:rsid w:val="00E20499"/>
    <w:rPr>
      <w:rFonts w:ascii="Arial" w:hAnsi="Arial"/>
      <w:sz w:val="18"/>
    </w:rPr>
  </w:style>
  <w:style w:type="character" w:customStyle="1" w:styleId="SourceChar">
    <w:name w:val="Source Char"/>
    <w:basedOn w:val="DefaultParagraphFont"/>
    <w:link w:val="Source"/>
    <w:rsid w:val="003E64E3"/>
    <w:rPr>
      <w:rFonts w:ascii="Arial" w:hAnsi="Arial"/>
      <w:sz w:val="18"/>
    </w:rPr>
  </w:style>
  <w:style w:type="character" w:styleId="Hyperlink">
    <w:name w:val="Hyperlink"/>
    <w:basedOn w:val="DefaultParagraphFont"/>
    <w:rsid w:val="000C4DA8"/>
    <w:rPr>
      <w:color w:val="78A22F" w:themeColor="hyperlink"/>
      <w:u w:val="single"/>
    </w:rPr>
  </w:style>
  <w:style w:type="paragraph" w:styleId="Revision">
    <w:name w:val="Revision"/>
    <w:hidden/>
    <w:uiPriority w:val="99"/>
    <w:semiHidden/>
    <w:rsid w:val="002B337A"/>
    <w:rPr>
      <w:sz w:val="24"/>
      <w:szCs w:val="24"/>
    </w:rPr>
  </w:style>
  <w:style w:type="paragraph" w:styleId="EndnoteText">
    <w:name w:val="endnote text"/>
    <w:basedOn w:val="Normal"/>
    <w:link w:val="EndnoteTextChar"/>
    <w:rsid w:val="00C33124"/>
    <w:rPr>
      <w:sz w:val="20"/>
      <w:szCs w:val="20"/>
    </w:rPr>
  </w:style>
  <w:style w:type="character" w:customStyle="1" w:styleId="EndnoteTextChar">
    <w:name w:val="Endnote Text Char"/>
    <w:basedOn w:val="DefaultParagraphFont"/>
    <w:link w:val="EndnoteText"/>
    <w:rsid w:val="00C33124"/>
  </w:style>
  <w:style w:type="character" w:styleId="EndnoteReference">
    <w:name w:val="endnote reference"/>
    <w:basedOn w:val="DefaultParagraphFont"/>
    <w:rsid w:val="00C33124"/>
    <w:rPr>
      <w:vertAlign w:val="superscript"/>
    </w:rPr>
  </w:style>
  <w:style w:type="paragraph" w:styleId="CommentSubject">
    <w:name w:val="annotation subject"/>
    <w:basedOn w:val="CommentText"/>
    <w:next w:val="CommentText"/>
    <w:link w:val="CommentSubjectChar"/>
    <w:rsid w:val="0038105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81058"/>
    <w:rPr>
      <w:szCs w:val="24"/>
    </w:rPr>
  </w:style>
  <w:style w:type="character" w:customStyle="1" w:styleId="CommentSubjectChar">
    <w:name w:val="Comment Subject Char"/>
    <w:basedOn w:val="CommentTextChar"/>
    <w:link w:val="CommentSubject"/>
    <w:rsid w:val="00381058"/>
    <w:rPr>
      <w:b/>
      <w:bCs/>
      <w:szCs w:val="24"/>
    </w:rPr>
  </w:style>
  <w:style w:type="character" w:customStyle="1" w:styleId="Heading4Char">
    <w:name w:val="Heading 4 Char"/>
    <w:basedOn w:val="DefaultParagraphFont"/>
    <w:link w:val="Heading4"/>
    <w:rsid w:val="00745804"/>
    <w:rPr>
      <w:rFonts w:ascii="Arial" w:hAnsi="Arial"/>
      <w:sz w:val="24"/>
    </w:rPr>
  </w:style>
  <w:style w:type="character" w:customStyle="1" w:styleId="FootnoteTextChar">
    <w:name w:val="Footnote Text Char"/>
    <w:basedOn w:val="DefaultParagraphFont"/>
    <w:link w:val="FootnoteText"/>
    <w:rsid w:val="004F3E0D"/>
  </w:style>
  <w:style w:type="character" w:customStyle="1" w:styleId="BoxChar">
    <w:name w:val="Box Char"/>
    <w:basedOn w:val="BodyTextChar"/>
    <w:link w:val="Box"/>
    <w:rsid w:val="004F3E0D"/>
    <w:rPr>
      <w:rFonts w:ascii="Arial" w:hAnsi="Arial"/>
      <w:sz w:val="24"/>
    </w:rPr>
  </w:style>
  <w:style w:type="character" w:customStyle="1" w:styleId="BoxListBulletChar">
    <w:name w:val="Box List Bullet Char"/>
    <w:basedOn w:val="BoxChar"/>
    <w:link w:val="BoxListBullet"/>
    <w:rsid w:val="004F3E0D"/>
    <w:rPr>
      <w:rFonts w:ascii="Arial" w:hAnsi="Arial"/>
      <w:sz w:val="24"/>
    </w:rPr>
  </w:style>
  <w:style w:type="character" w:customStyle="1" w:styleId="ListBulletChar">
    <w:name w:val="List Bullet Char"/>
    <w:aliases w:val="List Bullet1 Char,List Bullet Char1 Char,List Bullet Char Char Char,List Bullet Char1 Char Char Char"/>
    <w:basedOn w:val="BodyTextChar"/>
    <w:link w:val="ListBullet"/>
    <w:rsid w:val="004F3E0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19528">
      <w:bodyDiv w:val="1"/>
      <w:marLeft w:val="0"/>
      <w:marRight w:val="0"/>
      <w:marTop w:val="0"/>
      <w:marBottom w:val="0"/>
      <w:divBdr>
        <w:top w:val="none" w:sz="0" w:space="0" w:color="auto"/>
        <w:left w:val="none" w:sz="0" w:space="0" w:color="auto"/>
        <w:bottom w:val="none" w:sz="0" w:space="0" w:color="auto"/>
        <w:right w:val="none" w:sz="0" w:space="0" w:color="auto"/>
      </w:divBdr>
    </w:div>
    <w:div w:id="297225680">
      <w:bodyDiv w:val="1"/>
      <w:marLeft w:val="0"/>
      <w:marRight w:val="0"/>
      <w:marTop w:val="0"/>
      <w:marBottom w:val="0"/>
      <w:divBdr>
        <w:top w:val="none" w:sz="0" w:space="0" w:color="auto"/>
        <w:left w:val="none" w:sz="0" w:space="0" w:color="auto"/>
        <w:bottom w:val="none" w:sz="0" w:space="0" w:color="auto"/>
        <w:right w:val="none" w:sz="0" w:space="0" w:color="auto"/>
      </w:divBdr>
    </w:div>
    <w:div w:id="401560125">
      <w:bodyDiv w:val="1"/>
      <w:marLeft w:val="0"/>
      <w:marRight w:val="0"/>
      <w:marTop w:val="0"/>
      <w:marBottom w:val="0"/>
      <w:divBdr>
        <w:top w:val="none" w:sz="0" w:space="0" w:color="auto"/>
        <w:left w:val="none" w:sz="0" w:space="0" w:color="auto"/>
        <w:bottom w:val="none" w:sz="0" w:space="0" w:color="auto"/>
        <w:right w:val="none" w:sz="0" w:space="0" w:color="auto"/>
      </w:divBdr>
    </w:div>
    <w:div w:id="455879344">
      <w:bodyDiv w:val="1"/>
      <w:marLeft w:val="0"/>
      <w:marRight w:val="0"/>
      <w:marTop w:val="0"/>
      <w:marBottom w:val="0"/>
      <w:divBdr>
        <w:top w:val="none" w:sz="0" w:space="0" w:color="auto"/>
        <w:left w:val="none" w:sz="0" w:space="0" w:color="auto"/>
        <w:bottom w:val="none" w:sz="0" w:space="0" w:color="auto"/>
        <w:right w:val="none" w:sz="0" w:space="0" w:color="auto"/>
      </w:divBdr>
    </w:div>
    <w:div w:id="617419536">
      <w:bodyDiv w:val="1"/>
      <w:marLeft w:val="0"/>
      <w:marRight w:val="0"/>
      <w:marTop w:val="0"/>
      <w:marBottom w:val="0"/>
      <w:divBdr>
        <w:top w:val="none" w:sz="0" w:space="0" w:color="auto"/>
        <w:left w:val="none" w:sz="0" w:space="0" w:color="auto"/>
        <w:bottom w:val="none" w:sz="0" w:space="0" w:color="auto"/>
        <w:right w:val="none" w:sz="0" w:space="0" w:color="auto"/>
      </w:divBdr>
    </w:div>
    <w:div w:id="621425086">
      <w:bodyDiv w:val="1"/>
      <w:marLeft w:val="0"/>
      <w:marRight w:val="0"/>
      <w:marTop w:val="0"/>
      <w:marBottom w:val="0"/>
      <w:divBdr>
        <w:top w:val="none" w:sz="0" w:space="0" w:color="auto"/>
        <w:left w:val="none" w:sz="0" w:space="0" w:color="auto"/>
        <w:bottom w:val="none" w:sz="0" w:space="0" w:color="auto"/>
        <w:right w:val="none" w:sz="0" w:space="0" w:color="auto"/>
      </w:divBdr>
    </w:div>
    <w:div w:id="793792776">
      <w:bodyDiv w:val="1"/>
      <w:marLeft w:val="0"/>
      <w:marRight w:val="0"/>
      <w:marTop w:val="0"/>
      <w:marBottom w:val="0"/>
      <w:divBdr>
        <w:top w:val="none" w:sz="0" w:space="0" w:color="auto"/>
        <w:left w:val="none" w:sz="0" w:space="0" w:color="auto"/>
        <w:bottom w:val="none" w:sz="0" w:space="0" w:color="auto"/>
        <w:right w:val="none" w:sz="0" w:space="0" w:color="auto"/>
      </w:divBdr>
    </w:div>
    <w:div w:id="797525090">
      <w:bodyDiv w:val="1"/>
      <w:marLeft w:val="0"/>
      <w:marRight w:val="0"/>
      <w:marTop w:val="0"/>
      <w:marBottom w:val="0"/>
      <w:divBdr>
        <w:top w:val="none" w:sz="0" w:space="0" w:color="auto"/>
        <w:left w:val="none" w:sz="0" w:space="0" w:color="auto"/>
        <w:bottom w:val="none" w:sz="0" w:space="0" w:color="auto"/>
        <w:right w:val="none" w:sz="0" w:space="0" w:color="auto"/>
      </w:divBdr>
    </w:div>
    <w:div w:id="828057483">
      <w:bodyDiv w:val="1"/>
      <w:marLeft w:val="0"/>
      <w:marRight w:val="0"/>
      <w:marTop w:val="0"/>
      <w:marBottom w:val="0"/>
      <w:divBdr>
        <w:top w:val="none" w:sz="0" w:space="0" w:color="auto"/>
        <w:left w:val="none" w:sz="0" w:space="0" w:color="auto"/>
        <w:bottom w:val="none" w:sz="0" w:space="0" w:color="auto"/>
        <w:right w:val="none" w:sz="0" w:space="0" w:color="auto"/>
      </w:divBdr>
    </w:div>
    <w:div w:id="897781909">
      <w:bodyDiv w:val="1"/>
      <w:marLeft w:val="0"/>
      <w:marRight w:val="0"/>
      <w:marTop w:val="0"/>
      <w:marBottom w:val="0"/>
      <w:divBdr>
        <w:top w:val="none" w:sz="0" w:space="0" w:color="auto"/>
        <w:left w:val="none" w:sz="0" w:space="0" w:color="auto"/>
        <w:bottom w:val="none" w:sz="0" w:space="0" w:color="auto"/>
        <w:right w:val="none" w:sz="0" w:space="0" w:color="auto"/>
      </w:divBdr>
    </w:div>
    <w:div w:id="928123658">
      <w:bodyDiv w:val="1"/>
      <w:marLeft w:val="0"/>
      <w:marRight w:val="0"/>
      <w:marTop w:val="0"/>
      <w:marBottom w:val="0"/>
      <w:divBdr>
        <w:top w:val="none" w:sz="0" w:space="0" w:color="auto"/>
        <w:left w:val="none" w:sz="0" w:space="0" w:color="auto"/>
        <w:bottom w:val="none" w:sz="0" w:space="0" w:color="auto"/>
        <w:right w:val="none" w:sz="0" w:space="0" w:color="auto"/>
      </w:divBdr>
    </w:div>
    <w:div w:id="1235628762">
      <w:bodyDiv w:val="1"/>
      <w:marLeft w:val="0"/>
      <w:marRight w:val="0"/>
      <w:marTop w:val="0"/>
      <w:marBottom w:val="0"/>
      <w:divBdr>
        <w:top w:val="none" w:sz="0" w:space="0" w:color="auto"/>
        <w:left w:val="none" w:sz="0" w:space="0" w:color="auto"/>
        <w:bottom w:val="none" w:sz="0" w:space="0" w:color="auto"/>
        <w:right w:val="none" w:sz="0" w:space="0" w:color="auto"/>
      </w:divBdr>
    </w:div>
    <w:div w:id="1240095060">
      <w:bodyDiv w:val="1"/>
      <w:marLeft w:val="0"/>
      <w:marRight w:val="0"/>
      <w:marTop w:val="0"/>
      <w:marBottom w:val="0"/>
      <w:divBdr>
        <w:top w:val="none" w:sz="0" w:space="0" w:color="auto"/>
        <w:left w:val="none" w:sz="0" w:space="0" w:color="auto"/>
        <w:bottom w:val="none" w:sz="0" w:space="0" w:color="auto"/>
        <w:right w:val="none" w:sz="0" w:space="0" w:color="auto"/>
      </w:divBdr>
    </w:div>
    <w:div w:id="1284076409">
      <w:bodyDiv w:val="1"/>
      <w:marLeft w:val="0"/>
      <w:marRight w:val="0"/>
      <w:marTop w:val="0"/>
      <w:marBottom w:val="0"/>
      <w:divBdr>
        <w:top w:val="none" w:sz="0" w:space="0" w:color="auto"/>
        <w:left w:val="none" w:sz="0" w:space="0" w:color="auto"/>
        <w:bottom w:val="none" w:sz="0" w:space="0" w:color="auto"/>
        <w:right w:val="none" w:sz="0" w:space="0" w:color="auto"/>
      </w:divBdr>
    </w:div>
    <w:div w:id="1433822109">
      <w:bodyDiv w:val="1"/>
      <w:marLeft w:val="0"/>
      <w:marRight w:val="0"/>
      <w:marTop w:val="0"/>
      <w:marBottom w:val="0"/>
      <w:divBdr>
        <w:top w:val="none" w:sz="0" w:space="0" w:color="auto"/>
        <w:left w:val="none" w:sz="0" w:space="0" w:color="auto"/>
        <w:bottom w:val="none" w:sz="0" w:space="0" w:color="auto"/>
        <w:right w:val="none" w:sz="0" w:space="0" w:color="auto"/>
      </w:divBdr>
    </w:div>
    <w:div w:id="1661617914">
      <w:bodyDiv w:val="1"/>
      <w:marLeft w:val="0"/>
      <w:marRight w:val="0"/>
      <w:marTop w:val="0"/>
      <w:marBottom w:val="0"/>
      <w:divBdr>
        <w:top w:val="none" w:sz="0" w:space="0" w:color="auto"/>
        <w:left w:val="none" w:sz="0" w:space="0" w:color="auto"/>
        <w:bottom w:val="none" w:sz="0" w:space="0" w:color="auto"/>
        <w:right w:val="none" w:sz="0" w:space="0" w:color="auto"/>
      </w:divBdr>
    </w:div>
    <w:div w:id="1689483560">
      <w:bodyDiv w:val="1"/>
      <w:marLeft w:val="0"/>
      <w:marRight w:val="0"/>
      <w:marTop w:val="0"/>
      <w:marBottom w:val="0"/>
      <w:divBdr>
        <w:top w:val="none" w:sz="0" w:space="0" w:color="auto"/>
        <w:left w:val="none" w:sz="0" w:space="0" w:color="auto"/>
        <w:bottom w:val="none" w:sz="0" w:space="0" w:color="auto"/>
        <w:right w:val="none" w:sz="0" w:space="0" w:color="auto"/>
      </w:divBdr>
    </w:div>
    <w:div w:id="1736928805">
      <w:bodyDiv w:val="1"/>
      <w:marLeft w:val="0"/>
      <w:marRight w:val="0"/>
      <w:marTop w:val="0"/>
      <w:marBottom w:val="0"/>
      <w:divBdr>
        <w:top w:val="none" w:sz="0" w:space="0" w:color="auto"/>
        <w:left w:val="none" w:sz="0" w:space="0" w:color="auto"/>
        <w:bottom w:val="none" w:sz="0" w:space="0" w:color="auto"/>
        <w:right w:val="none" w:sz="0" w:space="0" w:color="auto"/>
      </w:divBdr>
    </w:div>
    <w:div w:id="1783841790">
      <w:bodyDiv w:val="1"/>
      <w:marLeft w:val="0"/>
      <w:marRight w:val="0"/>
      <w:marTop w:val="0"/>
      <w:marBottom w:val="0"/>
      <w:divBdr>
        <w:top w:val="none" w:sz="0" w:space="0" w:color="auto"/>
        <w:left w:val="none" w:sz="0" w:space="0" w:color="auto"/>
        <w:bottom w:val="none" w:sz="0" w:space="0" w:color="auto"/>
        <w:right w:val="none" w:sz="0" w:space="0" w:color="auto"/>
      </w:divBdr>
    </w:div>
    <w:div w:id="186477829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84445541">
      <w:bodyDiv w:val="1"/>
      <w:marLeft w:val="0"/>
      <w:marRight w:val="0"/>
      <w:marTop w:val="0"/>
      <w:marBottom w:val="0"/>
      <w:divBdr>
        <w:top w:val="none" w:sz="0" w:space="0" w:color="auto"/>
        <w:left w:val="none" w:sz="0" w:space="0" w:color="auto"/>
        <w:bottom w:val="none" w:sz="0" w:space="0" w:color="auto"/>
        <w:right w:val="none" w:sz="0" w:space="0" w:color="auto"/>
      </w:divBdr>
    </w:div>
    <w:div w:id="2100786543">
      <w:bodyDiv w:val="1"/>
      <w:marLeft w:val="0"/>
      <w:marRight w:val="0"/>
      <w:marTop w:val="0"/>
      <w:marBottom w:val="0"/>
      <w:divBdr>
        <w:top w:val="none" w:sz="0" w:space="0" w:color="auto"/>
        <w:left w:val="none" w:sz="0" w:space="0" w:color="auto"/>
        <w:bottom w:val="none" w:sz="0" w:space="0" w:color="auto"/>
        <w:right w:val="none" w:sz="0" w:space="0" w:color="auto"/>
      </w:divBdr>
    </w:div>
    <w:div w:id="2102991148">
      <w:bodyDiv w:val="1"/>
      <w:marLeft w:val="0"/>
      <w:marRight w:val="0"/>
      <w:marTop w:val="0"/>
      <w:marBottom w:val="0"/>
      <w:divBdr>
        <w:top w:val="none" w:sz="0" w:space="0" w:color="auto"/>
        <w:left w:val="none" w:sz="0" w:space="0" w:color="auto"/>
        <w:bottom w:val="none" w:sz="0" w:space="0" w:color="auto"/>
        <w:right w:val="none" w:sz="0" w:space="0" w:color="auto"/>
      </w:divBdr>
    </w:div>
    <w:div w:id="214310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8848E-6BBA-45D7-A5E7-00C3C3152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665</TotalTime>
  <Pages>48</Pages>
  <Words>15429</Words>
  <Characters>85474</Characters>
  <Application>Microsoft Office Word</Application>
  <DocSecurity>0</DocSecurity>
  <Lines>712</Lines>
  <Paragraphs>201</Paragraphs>
  <ScaleCrop>false</ScaleCrop>
  <HeadingPairs>
    <vt:vector size="2" baseType="variant">
      <vt:variant>
        <vt:lpstr>Title</vt:lpstr>
      </vt:variant>
      <vt:variant>
        <vt:i4>1</vt:i4>
      </vt:variant>
    </vt:vector>
  </HeadingPairs>
  <TitlesOfParts>
    <vt:vector size="1" baseType="lpstr">
      <vt:lpstr>Chapter 13 Aged care services - Report on Government Services 2016</vt:lpstr>
    </vt:vector>
  </TitlesOfParts>
  <Company>Productivity Commission</Company>
  <LinksUpToDate>false</LinksUpToDate>
  <CharactersWithSpaces>100702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Aged care services - Report on Government Services 2016</dc:title>
  <dc:creator>Steering Committee for the Review of Government Service Provision</dc:creator>
  <cp:lastModifiedBy>Frech, Tanya</cp:lastModifiedBy>
  <cp:revision>49</cp:revision>
  <cp:lastPrinted>2016-01-12T03:05:00Z</cp:lastPrinted>
  <dcterms:created xsi:type="dcterms:W3CDTF">2015-11-30T00:15:00Z</dcterms:created>
  <dcterms:modified xsi:type="dcterms:W3CDTF">2016-01-12T03:05:00Z</dcterms:modified>
</cp:coreProperties>
</file>