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charts/chart28.xml" ContentType="application/vnd.openxmlformats-officedocument.drawingml.chart+xml"/>
  <Override PartName="/word/theme/themeOverride28.xml" ContentType="application/vnd.openxmlformats-officedocument.themeOverride+xml"/>
  <Override PartName="/word/charts/chart29.xml" ContentType="application/vnd.openxmlformats-officedocument.drawingml.chart+xml"/>
  <Override PartName="/word/theme/themeOverride29.xml" ContentType="application/vnd.openxmlformats-officedocument.themeOverride+xml"/>
  <Override PartName="/word/charts/chart30.xml" ContentType="application/vnd.openxmlformats-officedocument.drawingml.chart+xml"/>
  <Override PartName="/word/theme/themeOverride30.xml" ContentType="application/vnd.openxmlformats-officedocument.themeOverride+xml"/>
  <Override PartName="/word/charts/chart31.xml" ContentType="application/vnd.openxmlformats-officedocument.drawingml.chart+xml"/>
  <Override PartName="/word/theme/themeOverride31.xml" ContentType="application/vnd.openxmlformats-officedocument.themeOverride+xml"/>
  <Override PartName="/word/charts/chart32.xml" ContentType="application/vnd.openxmlformats-officedocument.drawingml.chart+xml"/>
  <Override PartName="/word/theme/themeOverride32.xml" ContentType="application/vnd.openxmlformats-officedocument.themeOverride+xml"/>
  <Override PartName="/word/charts/chart33.xml" ContentType="application/vnd.openxmlformats-officedocument.drawingml.chart+xml"/>
  <Override PartName="/word/theme/themeOverride33.xml" ContentType="application/vnd.openxmlformats-officedocument.themeOverride+xml"/>
  <Override PartName="/word/charts/chart34.xml" ContentType="application/vnd.openxmlformats-officedocument.drawingml.chart+xml"/>
  <Override PartName="/word/theme/themeOverride34.xml" ContentType="application/vnd.openxmlformats-officedocument.themeOverride+xml"/>
  <Override PartName="/word/charts/chart35.xml" ContentType="application/vnd.openxmlformats-officedocument.drawingml.chart+xml"/>
  <Override PartName="/word/theme/themeOverride35.xml" ContentType="application/vnd.openxmlformats-officedocument.themeOverride+xml"/>
  <Override PartName="/word/charts/chart36.xml" ContentType="application/vnd.openxmlformats-officedocument.drawingml.chart+xml"/>
  <Override PartName="/word/theme/themeOverride36.xml" ContentType="application/vnd.openxmlformats-officedocument.themeOverride+xml"/>
  <Override PartName="/word/charts/chart37.xml" ContentType="application/vnd.openxmlformats-officedocument.drawingml.chart+xml"/>
  <Override PartName="/word/theme/themeOverride37.xml" ContentType="application/vnd.openxmlformats-officedocument.themeOverride+xml"/>
  <Override PartName="/word/charts/chart38.xml" ContentType="application/vnd.openxmlformats-officedocument.drawingml.chart+xml"/>
  <Override PartName="/word/theme/themeOverride38.xml" ContentType="application/vnd.openxmlformats-officedocument.themeOverride+xml"/>
  <Override PartName="/word/charts/chart39.xml" ContentType="application/vnd.openxmlformats-officedocument.drawingml.chart+xml"/>
  <Override PartName="/word/theme/themeOverride39.xml" ContentType="application/vnd.openxmlformats-officedocument.themeOverride+xml"/>
  <Override PartName="/word/charts/chart40.xml" ContentType="application/vnd.openxmlformats-officedocument.drawingml.chart+xml"/>
  <Override PartName="/word/theme/themeOverride40.xml" ContentType="application/vnd.openxmlformats-officedocument.themeOverride+xml"/>
  <Override PartName="/word/charts/chart41.xml" ContentType="application/vnd.openxmlformats-officedocument.drawingml.chart+xml"/>
  <Override PartName="/word/theme/themeOverride41.xml" ContentType="application/vnd.openxmlformats-officedocument.themeOverride+xml"/>
  <Override PartName="/word/charts/chart42.xml" ContentType="application/vnd.openxmlformats-officedocument.drawingml.chart+xml"/>
  <Override PartName="/word/theme/themeOverride4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D16196" w:rsidRDefault="009E5608" w:rsidP="00D16196">
      <w:pPr>
        <w:pStyle w:val="Heading1"/>
      </w:pPr>
      <w:bookmarkStart w:id="0" w:name="ChapterNumber"/>
      <w:bookmarkStart w:id="1" w:name="_Toc260665287"/>
      <w:bookmarkStart w:id="2" w:name="_Toc275945519"/>
      <w:bookmarkStart w:id="3" w:name="_Toc278127508"/>
      <w:bookmarkStart w:id="4" w:name="_Toc282502378"/>
      <w:bookmarkStart w:id="5" w:name="_Toc313462301"/>
      <w:bookmarkStart w:id="6" w:name="_Toc345416480"/>
      <w:bookmarkStart w:id="7" w:name="_Toc355353083"/>
      <w:bookmarkStart w:id="8" w:name="_Toc369851909"/>
      <w:bookmarkStart w:id="9" w:name="_Toc396221938"/>
      <w:bookmarkStart w:id="10" w:name="_Toc396222177"/>
      <w:bookmarkStart w:id="11" w:name="_Toc401918671"/>
      <w:bookmarkStart w:id="12" w:name="_Toc432581223"/>
      <w:r w:rsidRPr="00D16196">
        <w:t>15</w:t>
      </w:r>
      <w:bookmarkEnd w:id="0"/>
      <w:r w:rsidR="00D53A87" w:rsidRPr="00D16196">
        <w:tab/>
      </w:r>
      <w:r w:rsidR="00163654" w:rsidRPr="00D16196">
        <w:t xml:space="preserve">Child protection </w:t>
      </w:r>
      <w:r w:rsidR="00F023D8" w:rsidRPr="00D16196">
        <w:t>services</w:t>
      </w:r>
      <w:bookmarkStart w:id="13" w:name="_GoBack"/>
      <w:bookmarkEnd w:id="1"/>
      <w:bookmarkEnd w:id="2"/>
      <w:bookmarkEnd w:id="3"/>
      <w:bookmarkEnd w:id="4"/>
      <w:bookmarkEnd w:id="5"/>
      <w:bookmarkEnd w:id="6"/>
      <w:bookmarkEnd w:id="7"/>
      <w:bookmarkEnd w:id="8"/>
      <w:bookmarkEnd w:id="9"/>
      <w:bookmarkEnd w:id="10"/>
      <w:bookmarkEnd w:id="11"/>
      <w:bookmarkEnd w:id="12"/>
      <w:bookmarkEnd w:id="13"/>
    </w:p>
    <w:sdt>
      <w:sdtPr>
        <w:rPr>
          <w:b w:val="0"/>
          <w:kern w:val="28"/>
          <w:sz w:val="52"/>
        </w:rPr>
        <w:id w:val="1239982075"/>
        <w:docPartObj>
          <w:docPartGallery w:val="Table of Contents"/>
          <w:docPartUnique/>
        </w:docPartObj>
      </w:sdtPr>
      <w:sdtEndPr>
        <w:rPr>
          <w:kern w:val="0"/>
          <w:sz w:val="26"/>
        </w:rPr>
      </w:sdtEndPr>
      <w:sdtContent>
        <w:p w:rsidR="00283B69" w:rsidRPr="00D16196" w:rsidRDefault="00E7022E" w:rsidP="00D16196">
          <w:pPr>
            <w:pStyle w:val="TOC1"/>
            <w:rPr>
              <w:noProof/>
            </w:rPr>
          </w:pPr>
          <w:r w:rsidRPr="00D16196">
            <w:rPr>
              <w:rStyle w:val="Heading4Char"/>
              <w:b w:val="0"/>
            </w:rPr>
            <w:t>CONTENTS</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15.1</w:t>
          </w:r>
          <w:r w:rsidRPr="00D16196">
            <w:rPr>
              <w:rFonts w:asciiTheme="minorHAnsi" w:eastAsiaTheme="minorEastAsia" w:hAnsiTheme="minorHAnsi" w:cstheme="minorBidi"/>
              <w:noProof/>
              <w:lang w:eastAsia="en-AU"/>
            </w:rPr>
            <w:tab/>
          </w:r>
          <w:r w:rsidRPr="00D16196">
            <w:rPr>
              <w:noProof/>
            </w:rPr>
            <w:t>Profile of child protection services</w:t>
          </w:r>
          <w:r w:rsidRPr="00D16196">
            <w:rPr>
              <w:noProof/>
            </w:rPr>
            <w:tab/>
            <w:t>15.</w:t>
          </w:r>
          <w:r w:rsidR="000C7373">
            <w:rPr>
              <w:noProof/>
            </w:rPr>
            <w:t>2</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15.2</w:t>
          </w:r>
          <w:r w:rsidRPr="00D16196">
            <w:rPr>
              <w:rFonts w:asciiTheme="minorHAnsi" w:eastAsiaTheme="minorEastAsia" w:hAnsiTheme="minorHAnsi" w:cstheme="minorBidi"/>
              <w:noProof/>
              <w:lang w:eastAsia="en-AU"/>
            </w:rPr>
            <w:tab/>
          </w:r>
          <w:r w:rsidRPr="00D16196">
            <w:rPr>
              <w:noProof/>
            </w:rPr>
            <w:t>Framework of performance indicators</w:t>
          </w:r>
          <w:r w:rsidRPr="00D16196">
            <w:rPr>
              <w:noProof/>
            </w:rPr>
            <w:tab/>
            <w:t>15.</w:t>
          </w:r>
          <w:r w:rsidR="000C7373">
            <w:rPr>
              <w:noProof/>
            </w:rPr>
            <w:t>8</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15.3</w:t>
          </w:r>
          <w:r w:rsidRPr="00D16196">
            <w:rPr>
              <w:rFonts w:asciiTheme="minorHAnsi" w:eastAsiaTheme="minorEastAsia" w:hAnsiTheme="minorHAnsi" w:cstheme="minorBidi"/>
              <w:noProof/>
              <w:lang w:eastAsia="en-AU"/>
            </w:rPr>
            <w:tab/>
          </w:r>
          <w:r w:rsidRPr="00D16196">
            <w:rPr>
              <w:noProof/>
            </w:rPr>
            <w:t>Key performance indicator results</w:t>
          </w:r>
          <w:r w:rsidRPr="00D16196">
            <w:rPr>
              <w:noProof/>
            </w:rPr>
            <w:tab/>
            <w:t>15.</w:t>
          </w:r>
          <w:r w:rsidR="000C7373">
            <w:rPr>
              <w:noProof/>
            </w:rPr>
            <w:t>10</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15.4</w:t>
          </w:r>
          <w:r w:rsidRPr="00D16196">
            <w:rPr>
              <w:rFonts w:asciiTheme="minorHAnsi" w:eastAsiaTheme="minorEastAsia" w:hAnsiTheme="minorHAnsi" w:cstheme="minorBidi"/>
              <w:noProof/>
              <w:lang w:eastAsia="en-AU"/>
            </w:rPr>
            <w:tab/>
          </w:r>
          <w:r w:rsidRPr="00D16196">
            <w:rPr>
              <w:noProof/>
            </w:rPr>
            <w:t>Future directions in performance reporting</w:t>
          </w:r>
          <w:r w:rsidRPr="00D16196">
            <w:rPr>
              <w:noProof/>
            </w:rPr>
            <w:tab/>
            <w:t>15.</w:t>
          </w:r>
          <w:r w:rsidR="000C7373">
            <w:rPr>
              <w:noProof/>
            </w:rPr>
            <w:t>43</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15.5</w:t>
          </w:r>
          <w:r w:rsidRPr="00D16196">
            <w:rPr>
              <w:rFonts w:asciiTheme="minorHAnsi" w:eastAsiaTheme="minorEastAsia" w:hAnsiTheme="minorHAnsi" w:cstheme="minorBidi"/>
              <w:noProof/>
              <w:lang w:eastAsia="en-AU"/>
            </w:rPr>
            <w:tab/>
          </w:r>
          <w:r w:rsidRPr="00D16196">
            <w:rPr>
              <w:noProof/>
            </w:rPr>
            <w:t>Definitions of key terms</w:t>
          </w:r>
          <w:r w:rsidRPr="00D16196">
            <w:rPr>
              <w:noProof/>
            </w:rPr>
            <w:tab/>
            <w:t>15.</w:t>
          </w:r>
          <w:r w:rsidR="000C7373">
            <w:rPr>
              <w:noProof/>
            </w:rPr>
            <w:t>44</w:t>
          </w:r>
        </w:p>
        <w:p w:rsidR="00283B69" w:rsidRPr="00D16196" w:rsidRDefault="00283B69" w:rsidP="00D16196">
          <w:pPr>
            <w:pStyle w:val="TOC2"/>
            <w:tabs>
              <w:tab w:val="left" w:pos="1320"/>
            </w:tabs>
            <w:rPr>
              <w:rFonts w:asciiTheme="minorHAnsi" w:eastAsiaTheme="minorEastAsia" w:hAnsiTheme="minorHAnsi" w:cstheme="minorBidi"/>
              <w:noProof/>
              <w:lang w:eastAsia="en-AU"/>
            </w:rPr>
          </w:pPr>
          <w:r w:rsidRPr="00D16196">
            <w:rPr>
              <w:noProof/>
            </w:rPr>
            <w:t>15.6</w:t>
          </w:r>
          <w:r w:rsidRPr="00D16196">
            <w:rPr>
              <w:rFonts w:asciiTheme="minorHAnsi" w:eastAsiaTheme="minorEastAsia" w:hAnsiTheme="minorHAnsi" w:cstheme="minorBidi"/>
              <w:noProof/>
              <w:lang w:eastAsia="en-AU"/>
            </w:rPr>
            <w:tab/>
          </w:r>
          <w:r w:rsidRPr="00D16196">
            <w:rPr>
              <w:noProof/>
            </w:rPr>
            <w:t>List of attachment tables</w:t>
          </w:r>
          <w:r w:rsidRPr="00D16196">
            <w:rPr>
              <w:noProof/>
            </w:rPr>
            <w:tab/>
            <w:t>15.</w:t>
          </w:r>
          <w:r w:rsidR="000C7373">
            <w:rPr>
              <w:noProof/>
            </w:rPr>
            <w:t>50</w:t>
          </w:r>
        </w:p>
        <w:p w:rsidR="003E70C9" w:rsidRPr="00D16196" w:rsidRDefault="00283B69" w:rsidP="00D16196">
          <w:pPr>
            <w:pStyle w:val="TOC2"/>
            <w:tabs>
              <w:tab w:val="left" w:pos="1320"/>
            </w:tabs>
          </w:pPr>
          <w:r w:rsidRPr="00D16196">
            <w:rPr>
              <w:noProof/>
            </w:rPr>
            <w:t>15.7</w:t>
          </w:r>
          <w:r w:rsidRPr="00D16196">
            <w:rPr>
              <w:rFonts w:asciiTheme="minorHAnsi" w:eastAsiaTheme="minorEastAsia" w:hAnsiTheme="minorHAnsi" w:cstheme="minorBidi"/>
              <w:noProof/>
              <w:lang w:eastAsia="en-AU"/>
            </w:rPr>
            <w:tab/>
          </w:r>
          <w:r w:rsidRPr="00D16196">
            <w:rPr>
              <w:noProof/>
            </w:rPr>
            <w:t>References</w:t>
          </w:r>
          <w:r w:rsidRPr="00D16196">
            <w:rPr>
              <w:noProof/>
            </w:rPr>
            <w:tab/>
            <w:t>15.</w:t>
          </w:r>
          <w:r w:rsidR="000C7373">
            <w:rPr>
              <w:noProof/>
            </w:rPr>
            <w:t>52</w:t>
          </w:r>
        </w:p>
      </w:sdtContent>
    </w:sdt>
    <w:p w:rsidR="00F03085" w:rsidRPr="00D16196" w:rsidRDefault="00F03085" w:rsidP="00D16196">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03085" w:rsidRPr="00D16196" w:rsidTr="00F03085">
        <w:tc>
          <w:tcPr>
            <w:tcW w:w="8771" w:type="dxa"/>
            <w:tcBorders>
              <w:top w:val="single" w:sz="6" w:space="0" w:color="78A22F"/>
              <w:left w:val="nil"/>
              <w:bottom w:val="nil"/>
              <w:right w:val="nil"/>
            </w:tcBorders>
            <w:shd w:val="clear" w:color="auto" w:fill="F2F2F2"/>
          </w:tcPr>
          <w:p w:rsidR="00F03085" w:rsidRPr="00D16196" w:rsidRDefault="00F03085" w:rsidP="00D16196">
            <w:pPr>
              <w:pStyle w:val="BoxTitle"/>
            </w:pPr>
            <w:r w:rsidRPr="00D16196">
              <w:t>Attachment tables</w:t>
            </w:r>
          </w:p>
        </w:tc>
      </w:tr>
      <w:tr w:rsidR="00F03085" w:rsidRPr="00D16196" w:rsidTr="00F03085">
        <w:trPr>
          <w:cantSplit/>
        </w:trPr>
        <w:tc>
          <w:tcPr>
            <w:tcW w:w="8771" w:type="dxa"/>
            <w:tcBorders>
              <w:top w:val="nil"/>
              <w:left w:val="nil"/>
              <w:bottom w:val="nil"/>
              <w:right w:val="nil"/>
            </w:tcBorders>
            <w:shd w:val="clear" w:color="auto" w:fill="F2F2F2"/>
          </w:tcPr>
          <w:p w:rsidR="00F03085" w:rsidRPr="00D16196" w:rsidRDefault="00F03085" w:rsidP="00D16196">
            <w:pPr>
              <w:pStyle w:val="Box"/>
            </w:pPr>
            <w:r w:rsidRPr="00D16196">
              <w:t>Attachment tables are identified in references throughout this chapter by a ‘</w:t>
            </w:r>
            <w:proofErr w:type="spellStart"/>
            <w:r w:rsidRPr="00D16196">
              <w:t>15A</w:t>
            </w:r>
            <w:proofErr w:type="spellEnd"/>
            <w:r w:rsidRPr="00D16196">
              <w:t xml:space="preserve">’ prefix (for example, table </w:t>
            </w:r>
            <w:proofErr w:type="spellStart"/>
            <w:r w:rsidRPr="00D16196">
              <w:t>15A.1</w:t>
            </w:r>
            <w:proofErr w:type="spellEnd"/>
            <w:r w:rsidRPr="00D16196">
              <w:t xml:space="preserve">). A full list of attachment tables is provided at the end of this chapter, and the attachment tables are available from the website at </w:t>
            </w:r>
            <w:proofErr w:type="spellStart"/>
            <w:r w:rsidR="00125EED" w:rsidRPr="00D16196">
              <w:t>www.pc.gov.au</w:t>
            </w:r>
            <w:proofErr w:type="spellEnd"/>
            <w:r w:rsidR="00125EED" w:rsidRPr="00D16196">
              <w:t>/</w:t>
            </w:r>
            <w:proofErr w:type="spellStart"/>
            <w:r w:rsidR="00125EED" w:rsidRPr="00D16196">
              <w:t>rogs</w:t>
            </w:r>
            <w:proofErr w:type="spellEnd"/>
            <w:r w:rsidR="00125EED" w:rsidRPr="00D16196">
              <w:t>/2016</w:t>
            </w:r>
            <w:r w:rsidRPr="00D16196">
              <w:t>.</w:t>
            </w:r>
          </w:p>
        </w:tc>
      </w:tr>
      <w:tr w:rsidR="00F03085" w:rsidRPr="00D16196" w:rsidTr="00F03085">
        <w:trPr>
          <w:cantSplit/>
        </w:trPr>
        <w:tc>
          <w:tcPr>
            <w:tcW w:w="8771" w:type="dxa"/>
            <w:tcBorders>
              <w:top w:val="nil"/>
              <w:left w:val="nil"/>
              <w:bottom w:val="single" w:sz="6" w:space="0" w:color="78A22F"/>
              <w:right w:val="nil"/>
            </w:tcBorders>
            <w:shd w:val="clear" w:color="auto" w:fill="F2F2F2"/>
          </w:tcPr>
          <w:p w:rsidR="00F03085" w:rsidRPr="00D16196" w:rsidRDefault="00F03085" w:rsidP="00D16196">
            <w:pPr>
              <w:pStyle w:val="Box"/>
              <w:spacing w:before="0" w:line="120" w:lineRule="exact"/>
            </w:pPr>
          </w:p>
        </w:tc>
      </w:tr>
    </w:tbl>
    <w:p w:rsidR="006842D6" w:rsidRPr="00D16196" w:rsidRDefault="00834717" w:rsidP="00D16196">
      <w:pPr>
        <w:pStyle w:val="BodyText"/>
        <w:keepNext/>
        <w:widowControl w:val="0"/>
      </w:pPr>
      <w:r w:rsidRPr="00D16196">
        <w:t>This chapter reports on the performance of governments in delivering services to promote family wellbeing and to protect children. Specifically, t</w:t>
      </w:r>
      <w:r w:rsidR="006842D6" w:rsidRPr="00D16196">
        <w:t>his chapter reports on:</w:t>
      </w:r>
    </w:p>
    <w:p w:rsidR="00EA5792" w:rsidRPr="00D16196" w:rsidRDefault="00834717" w:rsidP="00D16196">
      <w:pPr>
        <w:pStyle w:val="ListBullet"/>
      </w:pPr>
      <w:r w:rsidRPr="00D16196">
        <w:t>family support services</w:t>
      </w:r>
    </w:p>
    <w:p w:rsidR="00EA5792" w:rsidRPr="00D16196" w:rsidRDefault="00EA5792" w:rsidP="00D16196">
      <w:pPr>
        <w:pStyle w:val="ListBullet"/>
      </w:pPr>
      <w:r w:rsidRPr="00D16196">
        <w:t>intensive family support services</w:t>
      </w:r>
    </w:p>
    <w:p w:rsidR="00EA5792" w:rsidRPr="00D16196" w:rsidRDefault="00EA5792" w:rsidP="00D16196">
      <w:pPr>
        <w:pStyle w:val="ListBullet"/>
      </w:pPr>
      <w:r w:rsidRPr="00D16196">
        <w:t xml:space="preserve">child protection services </w:t>
      </w:r>
    </w:p>
    <w:p w:rsidR="00F033C9" w:rsidRPr="00D16196" w:rsidRDefault="00EA5792" w:rsidP="00D16196">
      <w:pPr>
        <w:pStyle w:val="ListBullet"/>
      </w:pPr>
      <w:r w:rsidRPr="00D16196">
        <w:t>out-of-home care services (see section 15.5 for definitions).</w:t>
      </w:r>
    </w:p>
    <w:p w:rsidR="00187352" w:rsidRPr="00D16196" w:rsidRDefault="00187352" w:rsidP="00D16196">
      <w:pPr>
        <w:pStyle w:val="BodyText"/>
      </w:pPr>
      <w:r w:rsidRPr="00D16196">
        <w:t>Improvements to the reporting of child protection services in this edition include:</w:t>
      </w:r>
    </w:p>
    <w:p w:rsidR="00C50E67" w:rsidRPr="00D16196" w:rsidRDefault="00B36939" w:rsidP="00D16196">
      <w:pPr>
        <w:pStyle w:val="ListBullet"/>
        <w:rPr>
          <w:b/>
        </w:rPr>
      </w:pPr>
      <w:r w:rsidRPr="00D16196">
        <w:t xml:space="preserve">data now reported </w:t>
      </w:r>
      <w:r w:rsidR="00834717" w:rsidRPr="00D16196">
        <w:t xml:space="preserve">on the number of children </w:t>
      </w:r>
      <w:r w:rsidR="00834717" w:rsidRPr="00D16196">
        <w:rPr>
          <w:i/>
        </w:rPr>
        <w:t>receiving</w:t>
      </w:r>
      <w:r w:rsidR="00834717" w:rsidRPr="00D16196">
        <w:t xml:space="preserve"> intensive </w:t>
      </w:r>
      <w:r w:rsidR="006C20F6" w:rsidRPr="00D16196">
        <w:t xml:space="preserve">family </w:t>
      </w:r>
      <w:r w:rsidR="00834717" w:rsidRPr="00D16196">
        <w:t xml:space="preserve">support services </w:t>
      </w:r>
      <w:r w:rsidR="00AA693C" w:rsidRPr="00D16196">
        <w:t>throughout</w:t>
      </w:r>
      <w:r w:rsidR="00834717" w:rsidRPr="00D16196">
        <w:t xml:space="preserve"> the year, in addition to </w:t>
      </w:r>
      <w:r w:rsidR="00834717" w:rsidRPr="00D16196">
        <w:rPr>
          <w:i/>
        </w:rPr>
        <w:t>commencing</w:t>
      </w:r>
      <w:r w:rsidR="00834717" w:rsidRPr="00D16196">
        <w:t xml:space="preserve"> intensive family support services </w:t>
      </w:r>
      <w:r w:rsidR="00AA693C" w:rsidRPr="00D16196">
        <w:t>throughout</w:t>
      </w:r>
      <w:r w:rsidR="00834717" w:rsidRPr="00D16196">
        <w:t xml:space="preserve"> the year, improving the accuracy </w:t>
      </w:r>
      <w:r w:rsidR="00283B69" w:rsidRPr="00D16196">
        <w:t xml:space="preserve">of </w:t>
      </w:r>
      <w:r w:rsidR="00834717" w:rsidRPr="00D16196">
        <w:t xml:space="preserve">unit cost </w:t>
      </w:r>
      <w:r w:rsidR="00283B69" w:rsidRPr="00D16196">
        <w:t>calculations</w:t>
      </w:r>
    </w:p>
    <w:p w:rsidR="00142340" w:rsidRPr="00D16196" w:rsidRDefault="00C50E67" w:rsidP="00D16196">
      <w:pPr>
        <w:pStyle w:val="ListBullet"/>
        <w:rPr>
          <w:b/>
        </w:rPr>
      </w:pPr>
      <w:r w:rsidRPr="00D16196">
        <w:t>expenditure data for family support services reported for all jurisdictions</w:t>
      </w:r>
      <w:r w:rsidR="00834717" w:rsidRPr="00D16196">
        <w:t>.</w:t>
      </w:r>
    </w:p>
    <w:p w:rsidR="006842D6" w:rsidRPr="00D16196" w:rsidRDefault="006842D6" w:rsidP="00D16196">
      <w:pPr>
        <w:pStyle w:val="Heading2"/>
        <w:keepLines/>
      </w:pPr>
      <w:bookmarkStart w:id="14" w:name="_Toc369851910"/>
      <w:bookmarkStart w:id="15" w:name="_Toc432581224"/>
      <w:r w:rsidRPr="00D16196">
        <w:lastRenderedPageBreak/>
        <w:t>15.1</w:t>
      </w:r>
      <w:r w:rsidRPr="00D16196">
        <w:tab/>
        <w:t>Profile of child protection services</w:t>
      </w:r>
      <w:bookmarkEnd w:id="14"/>
      <w:bookmarkEnd w:id="15"/>
    </w:p>
    <w:p w:rsidR="006842D6" w:rsidRPr="00D16196" w:rsidRDefault="006842D6" w:rsidP="00D16196">
      <w:pPr>
        <w:pStyle w:val="Heading3"/>
      </w:pPr>
      <w:r w:rsidRPr="00D16196">
        <w:t>Service overview</w:t>
      </w:r>
    </w:p>
    <w:p w:rsidR="006842D6" w:rsidRPr="00D16196" w:rsidRDefault="006842D6" w:rsidP="00D16196">
      <w:pPr>
        <w:pStyle w:val="BodyText"/>
      </w:pPr>
      <w:r w:rsidRPr="00D16196">
        <w:t>Child protection services are provided to protect children and</w:t>
      </w:r>
      <w:r w:rsidR="00350801" w:rsidRPr="00D16196">
        <w:t xml:space="preserve"> young people aged </w:t>
      </w:r>
      <w:r w:rsidR="008C7051" w:rsidRPr="00D16196">
        <w:br/>
      </w:r>
      <w:r w:rsidR="00350801" w:rsidRPr="00D16196">
        <w:t>0</w:t>
      </w:r>
      <w:r w:rsidR="008C7051" w:rsidRPr="00D16196">
        <w:t>–</w:t>
      </w:r>
      <w:r w:rsidRPr="00D16196">
        <w:t xml:space="preserve">17 years who are at risk of </w:t>
      </w:r>
      <w:r w:rsidR="001B6D13" w:rsidRPr="00D16196">
        <w:t>abuse and neglect</w:t>
      </w:r>
      <w:r w:rsidRPr="00D16196">
        <w:t xml:space="preserve"> within their families, or whose families do not have the capacity to protect them. These services include:</w:t>
      </w:r>
    </w:p>
    <w:p w:rsidR="00EA5792" w:rsidRPr="00D16196" w:rsidRDefault="00EA5792" w:rsidP="00D16196">
      <w:pPr>
        <w:pStyle w:val="ListBullet"/>
      </w:pPr>
      <w:r w:rsidRPr="00D16196">
        <w:t>providing family support services (directly or through referral) to strengthen the capacity of families to care safely for children</w:t>
      </w:r>
    </w:p>
    <w:p w:rsidR="0072502D" w:rsidRPr="00D16196" w:rsidRDefault="0072502D" w:rsidP="00D16196">
      <w:pPr>
        <w:pStyle w:val="ListBullet"/>
      </w:pPr>
      <w:r w:rsidRPr="00D16196">
        <w:t xml:space="preserve">receiving and responding to reports of concern about children </w:t>
      </w:r>
      <w:r w:rsidR="00350801" w:rsidRPr="00D16196">
        <w:t xml:space="preserve">and </w:t>
      </w:r>
      <w:r w:rsidRPr="00D16196">
        <w:t>young people, including investigation and assessment where appropriate</w:t>
      </w:r>
    </w:p>
    <w:p w:rsidR="00EA5792" w:rsidRPr="00D16196" w:rsidRDefault="00EA5792" w:rsidP="00D16196">
      <w:pPr>
        <w:pStyle w:val="ListBullet"/>
      </w:pPr>
      <w:r w:rsidRPr="00D16196">
        <w:t>ensuring the ongoing safety of children and young people by working with families to resolve protective concerns</w:t>
      </w:r>
    </w:p>
    <w:p w:rsidR="006842D6" w:rsidRPr="00D16196" w:rsidRDefault="006842D6" w:rsidP="00D16196">
      <w:pPr>
        <w:pStyle w:val="ListBullet"/>
      </w:pPr>
      <w:r w:rsidRPr="00D16196">
        <w:t xml:space="preserve">initiating intervention where necessary, including applying for a care and protection order through a court and, in some situations, placing </w:t>
      </w:r>
      <w:r w:rsidR="00AA693C" w:rsidRPr="00D16196">
        <w:t>children or young people in out</w:t>
      </w:r>
      <w:r w:rsidR="00AA693C" w:rsidRPr="00D16196">
        <w:noBreakHyphen/>
      </w:r>
      <w:r w:rsidRPr="00D16196">
        <w:t>of</w:t>
      </w:r>
      <w:r w:rsidR="00AA693C" w:rsidRPr="00D16196">
        <w:noBreakHyphen/>
      </w:r>
      <w:r w:rsidRPr="00D16196">
        <w:t>home care to secure their safety</w:t>
      </w:r>
    </w:p>
    <w:p w:rsidR="006842D6" w:rsidRPr="00D16196" w:rsidRDefault="006842D6" w:rsidP="00D16196">
      <w:pPr>
        <w:pStyle w:val="ListBullet"/>
      </w:pPr>
      <w:r w:rsidRPr="00D16196">
        <w:t>working with families to reunite children</w:t>
      </w:r>
      <w:r w:rsidR="008C7051" w:rsidRPr="00D16196">
        <w:t>,</w:t>
      </w:r>
      <w:r w:rsidRPr="00D16196">
        <w:t xml:space="preserve"> who were removed for safety reasons</w:t>
      </w:r>
    </w:p>
    <w:p w:rsidR="006842D6" w:rsidRPr="00D16196" w:rsidRDefault="006842D6" w:rsidP="00D16196">
      <w:pPr>
        <w:pStyle w:val="ListBullet"/>
      </w:pPr>
      <w:r w:rsidRPr="00D16196">
        <w:t>securing p</w:t>
      </w:r>
      <w:r w:rsidR="001A32EA" w:rsidRPr="00D16196">
        <w:t>ermanent out-of-home</w:t>
      </w:r>
      <w:r w:rsidRPr="00D16196">
        <w:t xml:space="preserve"> care when it is determined that a child is unable to be returned to the care of his or her parents, and working with young people to identify alternative supported living arrangements where family reunification is not possible.</w:t>
      </w:r>
    </w:p>
    <w:p w:rsidR="00583509" w:rsidRPr="00D16196" w:rsidRDefault="006842D6" w:rsidP="00D16196">
      <w:pPr>
        <w:pStyle w:val="BodyText"/>
      </w:pPr>
      <w:r w:rsidRPr="00D16196">
        <w:t xml:space="preserve">Research suggests that children and families who come into contact with the </w:t>
      </w:r>
      <w:r w:rsidR="00D92E39" w:rsidRPr="00D16196">
        <w:t xml:space="preserve">child protection </w:t>
      </w:r>
      <w:r w:rsidRPr="00D16196">
        <w:t xml:space="preserve">system often share common social and demographic characteristics. Families </w:t>
      </w:r>
      <w:r w:rsidR="009F790F" w:rsidRPr="00D16196">
        <w:t xml:space="preserve">with a </w:t>
      </w:r>
      <w:r w:rsidRPr="00D16196">
        <w:t>history of domestic violence</w:t>
      </w:r>
      <w:r w:rsidR="009F790F" w:rsidRPr="00D16196">
        <w:t xml:space="preserve">, alcohol and substance abuse, psychiatric disability, and families with low incomes </w:t>
      </w:r>
      <w:r w:rsidR="007F2AA3" w:rsidRPr="00D16196">
        <w:t>and families who are</w:t>
      </w:r>
      <w:r w:rsidR="009F790F" w:rsidRPr="00D16196">
        <w:t xml:space="preserve"> reliant on pensions and benefits </w:t>
      </w:r>
      <w:r w:rsidRPr="00D16196">
        <w:t>are</w:t>
      </w:r>
      <w:r w:rsidR="00CE2E87" w:rsidRPr="00D16196">
        <w:t xml:space="preserve"> </w:t>
      </w:r>
      <w:r w:rsidRPr="00D16196">
        <w:t>over</w:t>
      </w:r>
      <w:r w:rsidR="00CE2E87" w:rsidRPr="00D16196">
        <w:noBreakHyphen/>
      </w:r>
      <w:r w:rsidRPr="00D16196">
        <w:t xml:space="preserve">represented in the families that </w:t>
      </w:r>
      <w:r w:rsidR="00251837" w:rsidRPr="00D16196">
        <w:t>come</w:t>
      </w:r>
      <w:r w:rsidRPr="00D16196">
        <w:t xml:space="preserve"> into contact with the </w:t>
      </w:r>
      <w:r w:rsidR="00D92E39" w:rsidRPr="00D16196">
        <w:t xml:space="preserve">child </w:t>
      </w:r>
      <w:r w:rsidRPr="00D16196">
        <w:t>protection system (</w:t>
      </w:r>
      <w:proofErr w:type="spellStart"/>
      <w:r w:rsidR="004A6955" w:rsidRPr="00D16196">
        <w:t>AIHW</w:t>
      </w:r>
      <w:proofErr w:type="spellEnd"/>
      <w:r w:rsidR="004A6955" w:rsidRPr="00D16196">
        <w:t xml:space="preserve"> </w:t>
      </w:r>
      <w:proofErr w:type="spellStart"/>
      <w:r w:rsidR="004A6955" w:rsidRPr="00D16196">
        <w:t>2015</w:t>
      </w:r>
      <w:r w:rsidR="00504AFB" w:rsidRPr="00D16196">
        <w:t>a</w:t>
      </w:r>
      <w:proofErr w:type="spellEnd"/>
      <w:r w:rsidR="004A6955" w:rsidRPr="00D16196">
        <w:t xml:space="preserve">; </w:t>
      </w:r>
      <w:proofErr w:type="spellStart"/>
      <w:r w:rsidR="00C33EE8" w:rsidRPr="00D16196">
        <w:t>CFCA</w:t>
      </w:r>
      <w:proofErr w:type="spellEnd"/>
      <w:r w:rsidR="00C33EE8" w:rsidRPr="00D16196">
        <w:t xml:space="preserve"> 2013; </w:t>
      </w:r>
      <w:r w:rsidR="001A32EA" w:rsidRPr="00D16196">
        <w:t>The Allen Consulting Group 2008</w:t>
      </w:r>
      <w:r w:rsidRPr="00D16196">
        <w:t>).</w:t>
      </w:r>
    </w:p>
    <w:p w:rsidR="00D52FB2" w:rsidRPr="00D16196" w:rsidRDefault="00AA693C" w:rsidP="00D16196">
      <w:pPr>
        <w:pStyle w:val="BodyText"/>
      </w:pPr>
      <w:r w:rsidRPr="00D16196">
        <w:t xml:space="preserve">Studies have highlighted the </w:t>
      </w:r>
      <w:r w:rsidR="00D52FB2" w:rsidRPr="00D16196">
        <w:t xml:space="preserve">higher rates of hospitalisations due to injury, injury mortality and </w:t>
      </w:r>
      <w:r w:rsidRPr="00D16196">
        <w:t xml:space="preserve">incidence of child abuse and neglect </w:t>
      </w:r>
      <w:r w:rsidR="00D52FB2" w:rsidRPr="00D16196">
        <w:t>and family violence</w:t>
      </w:r>
      <w:r w:rsidR="00DB7DFD" w:rsidRPr="00D16196">
        <w:t xml:space="preserve"> experienced by </w:t>
      </w:r>
      <w:r w:rsidRPr="00D16196">
        <w:t xml:space="preserve">Aboriginal and Torres Strait Islander </w:t>
      </w:r>
      <w:r w:rsidR="00DB7DFD" w:rsidRPr="00D16196">
        <w:t>children</w:t>
      </w:r>
      <w:r w:rsidRPr="00D16196">
        <w:t xml:space="preserve">, compared with non-Indigenous </w:t>
      </w:r>
      <w:r w:rsidR="00DB7DFD" w:rsidRPr="00D16196">
        <w:t xml:space="preserve">children </w:t>
      </w:r>
      <w:r w:rsidR="00D52FB2" w:rsidRPr="00D16196">
        <w:t>(</w:t>
      </w:r>
      <w:proofErr w:type="spellStart"/>
      <w:r w:rsidR="00D52FB2" w:rsidRPr="00D16196">
        <w:t>AIHW</w:t>
      </w:r>
      <w:proofErr w:type="spellEnd"/>
      <w:r w:rsidR="00D52FB2" w:rsidRPr="00D16196">
        <w:t> 2014)</w:t>
      </w:r>
      <w:r w:rsidRPr="00D16196">
        <w:t>. The Report of the Board of Inquiry into the Chi</w:t>
      </w:r>
      <w:r w:rsidR="00D52FB2" w:rsidRPr="00D16196">
        <w:t>ld Protection System in the NT </w:t>
      </w:r>
      <w:r w:rsidRPr="00D16196">
        <w:t xml:space="preserve"> </w:t>
      </w:r>
      <w:r w:rsidRPr="00D16196">
        <w:rPr>
          <w:i/>
        </w:rPr>
        <w:t xml:space="preserve">Growing them strong, together </w:t>
      </w:r>
      <w:r w:rsidR="00D52FB2" w:rsidRPr="00D16196">
        <w:t>(</w:t>
      </w:r>
      <w:proofErr w:type="spellStart"/>
      <w:r w:rsidR="00D52FB2" w:rsidRPr="00D16196">
        <w:t>Bamblett</w:t>
      </w:r>
      <w:proofErr w:type="spellEnd"/>
      <w:r w:rsidR="00D52FB2" w:rsidRPr="00D16196">
        <w:t xml:space="preserve"> 2010) </w:t>
      </w:r>
      <w:r w:rsidRPr="00D16196">
        <w:t>observed the presence of multiple risk factors in Aboriginal communities, including lack of adequate housing, financial security and education.</w:t>
      </w:r>
      <w:r w:rsidR="00D52FB2" w:rsidRPr="00D16196">
        <w:t xml:space="preserve"> </w:t>
      </w:r>
    </w:p>
    <w:p w:rsidR="00FF6663" w:rsidRPr="00D16196" w:rsidRDefault="00FF6663" w:rsidP="00D16196">
      <w:pPr>
        <w:pStyle w:val="Heading3"/>
      </w:pPr>
      <w:r w:rsidRPr="00D16196">
        <w:t>Roles and responsibilities</w:t>
      </w:r>
    </w:p>
    <w:p w:rsidR="00C97C12" w:rsidRPr="00D16196" w:rsidRDefault="00FF6663" w:rsidP="00D16196">
      <w:pPr>
        <w:pStyle w:val="BodyText"/>
      </w:pPr>
      <w:r w:rsidRPr="00D16196">
        <w:t>State and Territory governments fund family support (including intensive family support)</w:t>
      </w:r>
      <w:r w:rsidR="00EA5792" w:rsidRPr="00D16196">
        <w:t xml:space="preserve">, child protection, out-of-home care, </w:t>
      </w:r>
      <w:r w:rsidRPr="00D16196">
        <w:t>and other relevant services</w:t>
      </w:r>
      <w:r w:rsidR="007F2AA3" w:rsidRPr="00D16196">
        <w:t>. B</w:t>
      </w:r>
      <w:r w:rsidR="007124F1" w:rsidRPr="00D16196">
        <w:t>ox</w:t>
      </w:r>
      <w:r w:rsidR="00EA5792" w:rsidRPr="00D16196">
        <w:t xml:space="preserve"> 15.1</w:t>
      </w:r>
      <w:r w:rsidR="00081A6A" w:rsidRPr="00D16196">
        <w:t xml:space="preserve"> </w:t>
      </w:r>
      <w:r w:rsidR="00521501" w:rsidRPr="00D16196">
        <w:t xml:space="preserve">identifies </w:t>
      </w:r>
      <w:r w:rsidR="00081A6A" w:rsidRPr="00D16196">
        <w:t>S</w:t>
      </w:r>
      <w:r w:rsidR="007124F1" w:rsidRPr="00D16196">
        <w:t>tate</w:t>
      </w:r>
      <w:r w:rsidR="001E1625" w:rsidRPr="00D16196">
        <w:t xml:space="preserve"> and </w:t>
      </w:r>
      <w:r w:rsidR="00081A6A" w:rsidRPr="00D16196">
        <w:t>T</w:t>
      </w:r>
      <w:r w:rsidR="007124F1" w:rsidRPr="00D16196">
        <w:t xml:space="preserve">erritory </w:t>
      </w:r>
      <w:r w:rsidR="001E1625" w:rsidRPr="00D16196">
        <w:t xml:space="preserve">government </w:t>
      </w:r>
      <w:r w:rsidR="007124F1" w:rsidRPr="00D16196">
        <w:t>departments</w:t>
      </w:r>
      <w:r w:rsidR="00357A68" w:rsidRPr="00D16196">
        <w:t xml:space="preserve"> responsible for these services</w:t>
      </w:r>
      <w:r w:rsidR="006B4696" w:rsidRPr="00D16196">
        <w:t xml:space="preserve"> during </w:t>
      </w:r>
      <w:r w:rsidR="00E057F2" w:rsidRPr="00D16196">
        <w:t>201</w:t>
      </w:r>
      <w:r w:rsidR="00CA3B31" w:rsidRPr="00D16196">
        <w:t>4</w:t>
      </w:r>
      <w:r w:rsidR="00C55668" w:rsidRPr="00D16196">
        <w:t>-1</w:t>
      </w:r>
      <w:r w:rsidR="00CA3B31" w:rsidRPr="00D16196">
        <w:t>5</w:t>
      </w:r>
      <w:r w:rsidR="007F2AA3" w:rsidRPr="00D16196">
        <w:t>.</w:t>
      </w:r>
    </w:p>
    <w:p w:rsidR="00C97C12" w:rsidRPr="00D16196" w:rsidRDefault="00C97C12"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1112"/>
        <w:gridCol w:w="7659"/>
      </w:tblGrid>
      <w:tr w:rsidR="00C97C12" w:rsidRPr="00D16196" w:rsidTr="003E4FCA">
        <w:tc>
          <w:tcPr>
            <w:tcW w:w="8771" w:type="dxa"/>
            <w:gridSpan w:val="2"/>
            <w:tcBorders>
              <w:top w:val="single" w:sz="6" w:space="0" w:color="78A22F"/>
              <w:left w:val="nil"/>
              <w:bottom w:val="nil"/>
              <w:right w:val="nil"/>
            </w:tcBorders>
            <w:shd w:val="clear" w:color="auto" w:fill="F2F2F2" w:themeFill="background1" w:themeFillShade="F2"/>
          </w:tcPr>
          <w:p w:rsidR="00C97C12" w:rsidRPr="00D16196" w:rsidRDefault="00C97C12" w:rsidP="00D16196">
            <w:pPr>
              <w:pStyle w:val="BoxTitle"/>
            </w:pPr>
            <w:r w:rsidRPr="00D16196">
              <w:rPr>
                <w:b w:val="0"/>
              </w:rPr>
              <w:t xml:space="preserve">Box </w:t>
            </w:r>
            <w:r w:rsidR="005211D6" w:rsidRPr="00D16196">
              <w:rPr>
                <w:b w:val="0"/>
              </w:rPr>
              <w:t>15.1</w:t>
            </w:r>
            <w:r w:rsidRPr="00D16196">
              <w:tab/>
              <w:t>Government agencies responsible for child protection services, 201</w:t>
            </w:r>
            <w:r w:rsidR="00CA3B31" w:rsidRPr="00D16196">
              <w:t>4</w:t>
            </w:r>
            <w:r w:rsidRPr="00D16196">
              <w:t>-1</w:t>
            </w:r>
            <w:r w:rsidR="00EA5792" w:rsidRPr="00D16196">
              <w:t>5</w:t>
            </w:r>
          </w:p>
        </w:tc>
      </w:tr>
      <w:tr w:rsidR="00C97C12" w:rsidRPr="00D16196" w:rsidTr="00C97C12">
        <w:trPr>
          <w:cantSplit/>
        </w:trPr>
        <w:tc>
          <w:tcPr>
            <w:tcW w:w="1112" w:type="dxa"/>
            <w:tcBorders>
              <w:top w:val="nil"/>
              <w:left w:val="nil"/>
              <w:bottom w:val="nil"/>
              <w:right w:val="nil"/>
            </w:tcBorders>
            <w:shd w:val="clear" w:color="auto" w:fill="F2F2F2" w:themeFill="background1" w:themeFillShade="F2"/>
          </w:tcPr>
          <w:p w:rsidR="00C97C12" w:rsidRPr="00D16196" w:rsidRDefault="00C97C12" w:rsidP="00D16196">
            <w:pPr>
              <w:pStyle w:val="Box"/>
            </w:pPr>
            <w:r w:rsidRPr="00D16196">
              <w:t>NSW</w:t>
            </w:r>
          </w:p>
        </w:tc>
        <w:tc>
          <w:tcPr>
            <w:tcW w:w="7659" w:type="dxa"/>
            <w:tcBorders>
              <w:top w:val="nil"/>
              <w:left w:val="nil"/>
              <w:bottom w:val="nil"/>
              <w:right w:val="nil"/>
            </w:tcBorders>
            <w:shd w:val="clear" w:color="auto" w:fill="F2F2F2" w:themeFill="background1" w:themeFillShade="F2"/>
          </w:tcPr>
          <w:p w:rsidR="00C97C12" w:rsidRPr="00D16196" w:rsidRDefault="00C97C12" w:rsidP="00D16196">
            <w:pPr>
              <w:pStyle w:val="Box"/>
            </w:pPr>
            <w:r w:rsidRPr="00D16196">
              <w:t>Department of Family and Community Services</w:t>
            </w:r>
          </w:p>
        </w:tc>
      </w:tr>
      <w:tr w:rsidR="00C97C12" w:rsidRPr="00D16196" w:rsidTr="00C97C12">
        <w:trPr>
          <w:cantSplit/>
          <w:trHeight w:val="320"/>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Vic</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 xml:space="preserve">Department of </w:t>
            </w:r>
            <w:r w:rsidR="00EA5792" w:rsidRPr="00D16196">
              <w:t xml:space="preserve">Health and </w:t>
            </w:r>
            <w:r w:rsidRPr="00D16196">
              <w:t>Human Services</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Qld</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Department of Communities, Child Safety and Disability Services</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WA</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Department for Child Protection and Family Support</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SA</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Department for Education and Child Development</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proofErr w:type="spellStart"/>
            <w:r w:rsidRPr="00D16196">
              <w:t>Tas</w:t>
            </w:r>
            <w:proofErr w:type="spellEnd"/>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Department of Health and Human Services</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ACT</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Community Services Directorate</w:t>
            </w:r>
          </w:p>
        </w:tc>
      </w:tr>
      <w:tr w:rsidR="00C97C12" w:rsidRPr="00D16196" w:rsidTr="00C97C12">
        <w:trPr>
          <w:cantSplit/>
          <w:trHeight w:val="316"/>
        </w:trPr>
        <w:tc>
          <w:tcPr>
            <w:tcW w:w="1112" w:type="dxa"/>
            <w:tcBorders>
              <w:top w:val="nil"/>
              <w:left w:val="nil"/>
              <w:right w:val="nil"/>
            </w:tcBorders>
            <w:shd w:val="clear" w:color="auto" w:fill="F2F2F2" w:themeFill="background1" w:themeFillShade="F2"/>
          </w:tcPr>
          <w:p w:rsidR="00C97C12" w:rsidRPr="00D16196" w:rsidRDefault="00C97C12" w:rsidP="00D16196">
            <w:pPr>
              <w:pStyle w:val="Box"/>
            </w:pPr>
            <w:r w:rsidRPr="00D16196">
              <w:t>NT</w:t>
            </w:r>
          </w:p>
        </w:tc>
        <w:tc>
          <w:tcPr>
            <w:tcW w:w="7659" w:type="dxa"/>
            <w:tcBorders>
              <w:top w:val="nil"/>
              <w:left w:val="nil"/>
              <w:right w:val="nil"/>
            </w:tcBorders>
            <w:shd w:val="clear" w:color="auto" w:fill="F2F2F2" w:themeFill="background1" w:themeFillShade="F2"/>
          </w:tcPr>
          <w:p w:rsidR="00C97C12" w:rsidRPr="00D16196" w:rsidRDefault="00C97C12" w:rsidP="00D16196">
            <w:pPr>
              <w:pStyle w:val="Box"/>
            </w:pPr>
            <w:r w:rsidRPr="00D16196">
              <w:t>Department of Children and Families</w:t>
            </w:r>
          </w:p>
        </w:tc>
      </w:tr>
      <w:tr w:rsidR="00C97C12" w:rsidRPr="00D16196" w:rsidTr="003E4FCA">
        <w:trPr>
          <w:cantSplit/>
        </w:trPr>
        <w:tc>
          <w:tcPr>
            <w:tcW w:w="8771" w:type="dxa"/>
            <w:gridSpan w:val="2"/>
            <w:tcBorders>
              <w:top w:val="nil"/>
              <w:left w:val="nil"/>
              <w:bottom w:val="single" w:sz="6" w:space="0" w:color="78A22F"/>
              <w:right w:val="nil"/>
            </w:tcBorders>
            <w:shd w:val="clear" w:color="auto" w:fill="F2F2F2" w:themeFill="background1" w:themeFillShade="F2"/>
          </w:tcPr>
          <w:p w:rsidR="00C97C12" w:rsidRPr="00D16196" w:rsidRDefault="00C97C12" w:rsidP="00D16196">
            <w:pPr>
              <w:pStyle w:val="Box"/>
              <w:spacing w:before="0" w:line="120" w:lineRule="exact"/>
            </w:pPr>
          </w:p>
        </w:tc>
      </w:tr>
      <w:tr w:rsidR="00C97C12" w:rsidRPr="00D16196" w:rsidTr="003E4FCA">
        <w:tc>
          <w:tcPr>
            <w:tcW w:w="8771" w:type="dxa"/>
            <w:gridSpan w:val="2"/>
            <w:tcBorders>
              <w:top w:val="single" w:sz="6" w:space="0" w:color="78A22F"/>
              <w:left w:val="nil"/>
              <w:bottom w:val="nil"/>
              <w:right w:val="nil"/>
            </w:tcBorders>
          </w:tcPr>
          <w:p w:rsidR="00C97C12" w:rsidRPr="00D16196" w:rsidRDefault="00C97C12" w:rsidP="00D16196">
            <w:pPr>
              <w:pStyle w:val="BoxSpaceBelow"/>
            </w:pPr>
          </w:p>
        </w:tc>
      </w:tr>
    </w:tbl>
    <w:p w:rsidR="00FF6663" w:rsidRPr="00D16196" w:rsidRDefault="00FF6663" w:rsidP="00D16196">
      <w:pPr>
        <w:pStyle w:val="BodyText"/>
      </w:pPr>
      <w:r w:rsidRPr="00D16196">
        <w:t>Other areas of government also have role</w:t>
      </w:r>
      <w:r w:rsidR="007F5A48" w:rsidRPr="00D16196">
        <w:t>s</w:t>
      </w:r>
      <w:r w:rsidRPr="00D16196">
        <w:t xml:space="preserve"> in child protection</w:t>
      </w:r>
      <w:r w:rsidR="00BD7094" w:rsidRPr="00D16196">
        <w:t xml:space="preserve"> </w:t>
      </w:r>
      <w:r w:rsidRPr="00D16196">
        <w:t xml:space="preserve">and provide services for children who have come into contact with </w:t>
      </w:r>
      <w:r w:rsidR="006D0A24" w:rsidRPr="00D16196">
        <w:t xml:space="preserve">relevant </w:t>
      </w:r>
      <w:r w:rsidR="0059215C" w:rsidRPr="00D16196">
        <w:t xml:space="preserve">departments for protective reasons. </w:t>
      </w:r>
      <w:r w:rsidR="006D0A24" w:rsidRPr="00D16196">
        <w:t>These</w:t>
      </w:r>
      <w:r w:rsidRPr="00D16196">
        <w:t xml:space="preserve"> </w:t>
      </w:r>
      <w:r w:rsidR="00BD7094" w:rsidRPr="00D16196">
        <w:t xml:space="preserve">roles </w:t>
      </w:r>
      <w:r w:rsidRPr="00D16196">
        <w:t xml:space="preserve">include: </w:t>
      </w:r>
    </w:p>
    <w:p w:rsidR="00BD7094" w:rsidRPr="00D16196" w:rsidRDefault="00BD7094" w:rsidP="00D16196">
      <w:pPr>
        <w:pStyle w:val="ListBullet"/>
      </w:pPr>
      <w:r w:rsidRPr="00D16196">
        <w:t>mandatory reporting responsibilities in some jurisdictions</w:t>
      </w:r>
    </w:p>
    <w:p w:rsidR="00FF6663" w:rsidRPr="00D16196" w:rsidRDefault="00FF6663" w:rsidP="00D16196">
      <w:pPr>
        <w:pStyle w:val="ListBullet"/>
      </w:pPr>
      <w:r w:rsidRPr="00D16196">
        <w:t xml:space="preserve">education and child care services, which </w:t>
      </w:r>
      <w:r w:rsidR="006877DF" w:rsidRPr="00D16196">
        <w:t xml:space="preserve">in some jurisdictions </w:t>
      </w:r>
      <w:r w:rsidR="001D0DF0" w:rsidRPr="00D16196">
        <w:t xml:space="preserve">includes </w:t>
      </w:r>
      <w:r w:rsidR="009B15D5" w:rsidRPr="00D16196">
        <w:t xml:space="preserve">education on </w:t>
      </w:r>
      <w:r w:rsidRPr="00D16196">
        <w:t xml:space="preserve">protective behaviours </w:t>
      </w:r>
    </w:p>
    <w:p w:rsidR="009C1A7F" w:rsidRPr="00D16196" w:rsidRDefault="00FF6663" w:rsidP="00D16196">
      <w:pPr>
        <w:pStyle w:val="ListBullet"/>
      </w:pPr>
      <w:r w:rsidRPr="00D16196">
        <w:t>health services</w:t>
      </w:r>
      <w:r w:rsidR="00947A1A" w:rsidRPr="00D16196">
        <w:t xml:space="preserve"> and mental health services</w:t>
      </w:r>
      <w:r w:rsidRPr="00D16196">
        <w:t xml:space="preserve">, which support the assessment of child protection matters and deliver </w:t>
      </w:r>
      <w:r w:rsidR="00947A1A" w:rsidRPr="00D16196">
        <w:t xml:space="preserve">general medical and dental services as well as </w:t>
      </w:r>
      <w:r w:rsidRPr="00D16196">
        <w:t>therapeutic, counselling and other services</w:t>
      </w:r>
    </w:p>
    <w:p w:rsidR="009C1A7F" w:rsidRPr="00D16196" w:rsidRDefault="009C1A7F" w:rsidP="00D16196">
      <w:pPr>
        <w:pStyle w:val="ListBullet"/>
      </w:pPr>
      <w:r w:rsidRPr="00D16196">
        <w:t>police</w:t>
      </w:r>
      <w:r w:rsidR="00D52FB2" w:rsidRPr="00D16196">
        <w:t xml:space="preserve"> services</w:t>
      </w:r>
      <w:r w:rsidRPr="00D16196">
        <w:t>, which investigate serious allegations of child abuse and neglect, particularly criminal matters, and may also work on child protection assessments with State and Territory departments responsible for child protection</w:t>
      </w:r>
    </w:p>
    <w:p w:rsidR="00FF6663" w:rsidRPr="00D16196" w:rsidRDefault="009C1A7F" w:rsidP="00D16196">
      <w:pPr>
        <w:pStyle w:val="ListBullet"/>
      </w:pPr>
      <w:r w:rsidRPr="00D16196">
        <w:t>courts, which decide whether a child will be placed on an order.</w:t>
      </w:r>
    </w:p>
    <w:p w:rsidR="00E057F2" w:rsidRPr="00D16196" w:rsidRDefault="00FF6663" w:rsidP="00D16196">
      <w:pPr>
        <w:pStyle w:val="BodyText"/>
        <w:widowControl w:val="0"/>
      </w:pPr>
      <w:r w:rsidRPr="00D16196">
        <w:t xml:space="preserve">A range of appointments, schemes and charters have been introduced by jurisdictions in recent years, to </w:t>
      </w:r>
      <w:r w:rsidR="006400E7" w:rsidRPr="00D16196">
        <w:t xml:space="preserve">provide </w:t>
      </w:r>
      <w:r w:rsidRPr="00D16196">
        <w:t>additional protection for clients of child protection system</w:t>
      </w:r>
      <w:r w:rsidR="00E16AEC" w:rsidRPr="00D16196">
        <w:t>s</w:t>
      </w:r>
      <w:r w:rsidRPr="00D16196">
        <w:t xml:space="preserve">. Examples of these are </w:t>
      </w:r>
      <w:r w:rsidR="007F2AA3" w:rsidRPr="00D16196">
        <w:t>outlined</w:t>
      </w:r>
      <w:r w:rsidRPr="00D16196">
        <w:t xml:space="preserve"> in </w:t>
      </w:r>
      <w:r w:rsidR="00884346" w:rsidRPr="00D16196">
        <w:t xml:space="preserve">attachment table </w:t>
      </w:r>
      <w:proofErr w:type="spellStart"/>
      <w:r w:rsidR="00884346" w:rsidRPr="00D16196">
        <w:t>15A.36</w:t>
      </w:r>
      <w:proofErr w:type="spellEnd"/>
      <w:r w:rsidR="00884346" w:rsidRPr="00D16196">
        <w:t>.</w:t>
      </w:r>
    </w:p>
    <w:p w:rsidR="00145345" w:rsidRPr="00D16196" w:rsidRDefault="00145345" w:rsidP="00D16196">
      <w:pPr>
        <w:pStyle w:val="Heading3"/>
        <w:widowControl w:val="0"/>
      </w:pPr>
      <w:r w:rsidRPr="00D16196">
        <w:t>Size and scope</w:t>
      </w:r>
    </w:p>
    <w:p w:rsidR="00090D51" w:rsidRPr="00D16196" w:rsidRDefault="00090D51" w:rsidP="00D16196">
      <w:pPr>
        <w:pStyle w:val="Heading4"/>
      </w:pPr>
      <w:r w:rsidRPr="00D16196">
        <w:t xml:space="preserve">Child protection </w:t>
      </w:r>
      <w:r w:rsidR="00B97330" w:rsidRPr="00D16196">
        <w:t xml:space="preserve">service </w:t>
      </w:r>
      <w:r w:rsidRPr="00D16196">
        <w:t>system</w:t>
      </w:r>
    </w:p>
    <w:p w:rsidR="00145345" w:rsidRPr="00D16196" w:rsidRDefault="00145345" w:rsidP="00D16196">
      <w:pPr>
        <w:pStyle w:val="BodyText"/>
      </w:pPr>
      <w:r w:rsidRPr="00D16196">
        <w:t>Child protection legislation, policies and practices vary across jurisdictions</w:t>
      </w:r>
      <w:r w:rsidR="00B86921" w:rsidRPr="00D16196">
        <w:t>, which has some implications for the comparability of child protection data</w:t>
      </w:r>
      <w:bookmarkStart w:id="16" w:name="OLE_LINK32"/>
      <w:bookmarkStart w:id="17" w:name="OLE_LINK34"/>
      <w:r w:rsidR="001D4068" w:rsidRPr="00D16196">
        <w:t xml:space="preserve">. </w:t>
      </w:r>
      <w:bookmarkEnd w:id="16"/>
      <w:bookmarkEnd w:id="17"/>
      <w:r w:rsidR="001D4068" w:rsidRPr="00D16196">
        <w:t>However</w:t>
      </w:r>
      <w:r w:rsidRPr="00D16196">
        <w:t xml:space="preserve">, the broad processes in child protection systems are similar (figure </w:t>
      </w:r>
      <w:r w:rsidR="005211D6" w:rsidRPr="00D16196">
        <w:t>15.1</w:t>
      </w:r>
      <w:r w:rsidR="00ED38E7" w:rsidRPr="00D16196">
        <w:t>)</w:t>
      </w:r>
      <w:r w:rsidR="00F13FF7" w:rsidRPr="00D16196">
        <w:t xml:space="preserve"> (</w:t>
      </w:r>
      <w:proofErr w:type="spellStart"/>
      <w:r w:rsidR="00F13FF7" w:rsidRPr="00D16196">
        <w:t>AIHW</w:t>
      </w:r>
      <w:proofErr w:type="spellEnd"/>
      <w:r w:rsidR="00F13FF7" w:rsidRPr="00D16196">
        <w:t xml:space="preserve"> </w:t>
      </w:r>
      <w:proofErr w:type="spellStart"/>
      <w:r w:rsidR="00F13FF7" w:rsidRPr="00D16196">
        <w:t>2015</w:t>
      </w:r>
      <w:r w:rsidR="00504AFB" w:rsidRPr="00D16196">
        <w:t>a</w:t>
      </w:r>
      <w:proofErr w:type="spellEnd"/>
      <w:r w:rsidR="005211D6" w:rsidRPr="00D16196">
        <w:t xml:space="preserve">; </w:t>
      </w:r>
      <w:proofErr w:type="spellStart"/>
      <w:r w:rsidR="005211D6" w:rsidRPr="00D16196">
        <w:t>CFCA</w:t>
      </w:r>
      <w:proofErr w:type="spellEnd"/>
      <w:r w:rsidR="005211D6" w:rsidRPr="00D16196">
        <w:t> </w:t>
      </w:r>
      <w:r w:rsidR="00F13FF7" w:rsidRPr="00D16196">
        <w:t>2014)</w:t>
      </w:r>
      <w:r w:rsidR="00ED38E7" w:rsidRPr="00D16196">
        <w:t>.</w:t>
      </w:r>
    </w:p>
    <w:p w:rsidR="00D728A8" w:rsidRPr="00D16196" w:rsidRDefault="00145345" w:rsidP="00D16196">
      <w:pPr>
        <w:pStyle w:val="BodyText"/>
      </w:pPr>
      <w:r w:rsidRPr="00D16196">
        <w:lastRenderedPageBreak/>
        <w:t xml:space="preserve">State and Territory </w:t>
      </w:r>
      <w:r w:rsidR="00357A68" w:rsidRPr="00D16196">
        <w:t xml:space="preserve">government </w:t>
      </w:r>
      <w:r w:rsidR="00165B37" w:rsidRPr="00D16196">
        <w:t xml:space="preserve">departments </w:t>
      </w:r>
      <w:r w:rsidR="00D728A8" w:rsidRPr="00D16196">
        <w:t xml:space="preserve">with responsibility for child protection </w:t>
      </w:r>
      <w:r w:rsidRPr="00D16196">
        <w:t xml:space="preserve">are advised of concerns about the wellbeing of children through reports to these </w:t>
      </w:r>
      <w:r w:rsidR="00357A68" w:rsidRPr="00D16196">
        <w:t>agencies</w:t>
      </w:r>
      <w:r w:rsidRPr="00D16196">
        <w:t xml:space="preserve">. Reports may be made by people mandated to report </w:t>
      </w:r>
      <w:r w:rsidR="00D728A8" w:rsidRPr="00D16196">
        <w:t>or by other members of the community. Individuals and organisations mandated to report var</w:t>
      </w:r>
      <w:r w:rsidR="00375715" w:rsidRPr="00D16196">
        <w:t>y</w:t>
      </w:r>
      <w:r w:rsidR="00D728A8" w:rsidRPr="00D16196">
        <w:t xml:space="preserve"> across states and territories</w:t>
      </w:r>
      <w:r w:rsidR="00375715" w:rsidRPr="00D16196">
        <w:t>,</w:t>
      </w:r>
      <w:r w:rsidR="00D728A8" w:rsidRPr="00D16196">
        <w:t xml:space="preserve"> and may include medical practitioners, police </w:t>
      </w:r>
      <w:r w:rsidR="00357A68" w:rsidRPr="00D16196">
        <w:t>officers</w:t>
      </w:r>
      <w:r w:rsidR="00D728A8" w:rsidRPr="00D16196">
        <w:t>,</w:t>
      </w:r>
      <w:r w:rsidR="004C319C" w:rsidRPr="00D16196">
        <w:t xml:space="preserve"> school teachers and principals</w:t>
      </w:r>
      <w:r w:rsidR="00D728A8" w:rsidRPr="00D16196">
        <w:t xml:space="preserve">. </w:t>
      </w:r>
      <w:r w:rsidR="00235076" w:rsidRPr="00D16196">
        <w:t xml:space="preserve">These </w:t>
      </w:r>
      <w:r w:rsidRPr="00D16196">
        <w:t xml:space="preserve">reports are assessed and classified as child protection notifications, child concern reports, or matters requiring some other response. </w:t>
      </w:r>
      <w:bookmarkStart w:id="18" w:name="OLE_LINK14"/>
      <w:bookmarkStart w:id="19" w:name="OLE_LINK15"/>
      <w:bookmarkStart w:id="20" w:name="OLE_LINK16"/>
      <w:bookmarkStart w:id="21" w:name="OLE_LINK17"/>
      <w:bookmarkStart w:id="22" w:name="OLE_LINK12"/>
      <w:bookmarkStart w:id="23" w:name="OLE_LINK13"/>
      <w:r w:rsidR="00FE291C" w:rsidRPr="00D16196">
        <w:t xml:space="preserve">Nationally, </w:t>
      </w:r>
      <w:r w:rsidR="00956F96" w:rsidRPr="00D16196">
        <w:t>between 200</w:t>
      </w:r>
      <w:r w:rsidR="00E56915" w:rsidRPr="00D16196">
        <w:t>9</w:t>
      </w:r>
      <w:r w:rsidR="00956F96" w:rsidRPr="00D16196">
        <w:t>-</w:t>
      </w:r>
      <w:r w:rsidR="00E56915" w:rsidRPr="00D16196">
        <w:t>10</w:t>
      </w:r>
      <w:r w:rsidR="00956F96" w:rsidRPr="00D16196">
        <w:t xml:space="preserve"> </w:t>
      </w:r>
      <w:r w:rsidR="00643B61" w:rsidRPr="00D16196">
        <w:t>and</w:t>
      </w:r>
      <w:r w:rsidR="00956F96" w:rsidRPr="00D16196">
        <w:t xml:space="preserve"> 201</w:t>
      </w:r>
      <w:r w:rsidR="00E56915" w:rsidRPr="00D16196">
        <w:t>3</w:t>
      </w:r>
      <w:r w:rsidR="00956F96" w:rsidRPr="00D16196">
        <w:t>-1</w:t>
      </w:r>
      <w:r w:rsidR="00E56915" w:rsidRPr="00D16196">
        <w:t>4</w:t>
      </w:r>
      <w:r w:rsidR="007076D7" w:rsidRPr="00D16196">
        <w:t xml:space="preserve">, </w:t>
      </w:r>
      <w:r w:rsidR="007844D3" w:rsidRPr="00D16196">
        <w:t xml:space="preserve">police were the most </w:t>
      </w:r>
      <w:r w:rsidR="00FE291C" w:rsidRPr="00D16196">
        <w:t>common source of notifications</w:t>
      </w:r>
      <w:r w:rsidR="00643B61" w:rsidRPr="00D16196">
        <w:t>, although p</w:t>
      </w:r>
      <w:r w:rsidR="007844D3" w:rsidRPr="00D16196">
        <w:t xml:space="preserve">roportions </w:t>
      </w:r>
      <w:r w:rsidR="00FE291C" w:rsidRPr="00D16196">
        <w:t xml:space="preserve">varied across jurisdictions </w:t>
      </w:r>
      <w:bookmarkEnd w:id="18"/>
      <w:bookmarkEnd w:id="19"/>
      <w:bookmarkEnd w:id="20"/>
      <w:bookmarkEnd w:id="21"/>
      <w:r w:rsidR="00D728A8" w:rsidRPr="00D16196">
        <w:t>(</w:t>
      </w:r>
      <w:proofErr w:type="spellStart"/>
      <w:r w:rsidR="009A00B3" w:rsidRPr="00D16196">
        <w:t>AIHW</w:t>
      </w:r>
      <w:proofErr w:type="spellEnd"/>
      <w:r w:rsidR="009A00B3" w:rsidRPr="00D16196">
        <w:t xml:space="preserve"> </w:t>
      </w:r>
      <w:proofErr w:type="spellStart"/>
      <w:r w:rsidR="009A00B3" w:rsidRPr="00D16196">
        <w:t>201</w:t>
      </w:r>
      <w:r w:rsidR="00263D70" w:rsidRPr="00D16196">
        <w:t>5</w:t>
      </w:r>
      <w:r w:rsidR="00504AFB" w:rsidRPr="00D16196">
        <w:t>a</w:t>
      </w:r>
      <w:proofErr w:type="spellEnd"/>
      <w:r w:rsidR="007076D7" w:rsidRPr="00D16196">
        <w:t xml:space="preserve"> and earlier editions</w:t>
      </w:r>
      <w:r w:rsidR="00D728A8" w:rsidRPr="00D16196">
        <w:t>)</w:t>
      </w:r>
      <w:r w:rsidR="001A32EA" w:rsidRPr="00D16196">
        <w:t>.</w:t>
      </w:r>
      <w:bookmarkEnd w:id="22"/>
      <w:bookmarkEnd w:id="23"/>
    </w:p>
    <w:p w:rsidR="006842D6" w:rsidRPr="00D16196" w:rsidRDefault="00431066" w:rsidP="00D16196">
      <w:pPr>
        <w:pStyle w:val="BodyText"/>
      </w:pPr>
      <w:r w:rsidRPr="00D16196">
        <w:t>Figure</w:t>
      </w:r>
      <w:r w:rsidR="005211D6" w:rsidRPr="00D16196">
        <w:t xml:space="preserve"> 15.1 </w:t>
      </w:r>
      <w:r w:rsidRPr="00D16196">
        <w:t xml:space="preserve">is a </w:t>
      </w:r>
      <w:r w:rsidR="00414097" w:rsidRPr="00D16196">
        <w:t>simplified</w:t>
      </w:r>
      <w:r w:rsidRPr="00D16196">
        <w:t xml:space="preserve"> representation of the statutory child protection system. It depicts the common pathways through the </w:t>
      </w:r>
      <w:r w:rsidR="00CB4AF1" w:rsidRPr="00D16196">
        <w:t>statutory</w:t>
      </w:r>
      <w:r w:rsidRPr="00D16196">
        <w:t xml:space="preserve"> system</w:t>
      </w:r>
      <w:r w:rsidR="00CB4AF1" w:rsidRPr="00D16196">
        <w:t xml:space="preserve"> and referrals to support services, which can take place at any point along the statutory </w:t>
      </w:r>
      <w:r w:rsidR="003B5937" w:rsidRPr="00D16196">
        <w:t>service system</w:t>
      </w:r>
      <w:r w:rsidR="00CB4AF1" w:rsidRPr="00D16196">
        <w:t xml:space="preserve">. </w:t>
      </w:r>
      <w:r w:rsidR="00414097" w:rsidRPr="00D16196">
        <w:t xml:space="preserve">Children </w:t>
      </w:r>
      <w:r w:rsidR="00D3579E" w:rsidRPr="00D16196">
        <w:t>might or might not</w:t>
      </w:r>
      <w:r w:rsidR="00B61CFC" w:rsidRPr="00D16196">
        <w:t xml:space="preserve"> </w:t>
      </w:r>
      <w:r w:rsidR="00414097" w:rsidRPr="00D16196">
        <w:t xml:space="preserve">move sequentially along these </w:t>
      </w:r>
      <w:r w:rsidR="00B61CFC" w:rsidRPr="00D16196">
        <w:t xml:space="preserve">pathways </w:t>
      </w:r>
      <w:r w:rsidR="00414097" w:rsidRPr="00D16196">
        <w:t>and</w:t>
      </w:r>
      <w:r w:rsidR="00C91296" w:rsidRPr="00D16196">
        <w:t>,</w:t>
      </w:r>
      <w:r w:rsidR="00625BE7" w:rsidRPr="00D16196">
        <w:t xml:space="preserve"> in some instances</w:t>
      </w:r>
      <w:r w:rsidR="00C91296" w:rsidRPr="00D16196">
        <w:t>,</w:t>
      </w:r>
      <w:r w:rsidR="00414097" w:rsidRPr="00D16196">
        <w:t xml:space="preserve"> children might move through these </w:t>
      </w:r>
      <w:r w:rsidR="00B61CFC" w:rsidRPr="00D16196">
        <w:t xml:space="preserve">pathways </w:t>
      </w:r>
      <w:r w:rsidR="00414097" w:rsidRPr="00D16196">
        <w:t xml:space="preserve">quite rapidly (for example, on the same day). </w:t>
      </w:r>
      <w:r w:rsidR="00CB4AF1" w:rsidRPr="00D16196">
        <w:t xml:space="preserve">There are a range of other services and programs </w:t>
      </w:r>
      <w:r w:rsidR="007F2AA3" w:rsidRPr="00D16196">
        <w:t>which</w:t>
      </w:r>
      <w:r w:rsidR="00CB4AF1" w:rsidRPr="00D16196">
        <w:t xml:space="preserve"> work to meet the needs of children and families </w:t>
      </w:r>
      <w:r w:rsidR="00357A68" w:rsidRPr="00D16196">
        <w:t>that</w:t>
      </w:r>
      <w:r w:rsidR="00CB4AF1" w:rsidRPr="00D16196">
        <w:t xml:space="preserve"> are not depicted in this diagram, including health, education and early childhood services.</w:t>
      </w:r>
    </w:p>
    <w:p w:rsidR="00A81103" w:rsidRPr="00D16196" w:rsidRDefault="00A8110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81103" w:rsidRPr="00D16196" w:rsidTr="00C53381">
        <w:tc>
          <w:tcPr>
            <w:tcW w:w="8771" w:type="dxa"/>
            <w:tcBorders>
              <w:top w:val="single" w:sz="6" w:space="0" w:color="78A22F"/>
              <w:left w:val="nil"/>
              <w:bottom w:val="nil"/>
              <w:right w:val="nil"/>
            </w:tcBorders>
            <w:shd w:val="clear" w:color="auto" w:fill="auto"/>
          </w:tcPr>
          <w:p w:rsidR="00A81103" w:rsidRPr="00D16196" w:rsidRDefault="00A81103" w:rsidP="00D16196">
            <w:pPr>
              <w:pStyle w:val="FigureTitle"/>
            </w:pPr>
            <w:r w:rsidRPr="00D16196">
              <w:rPr>
                <w:b w:val="0"/>
              </w:rPr>
              <w:t xml:space="preserve">Figure </w:t>
            </w:r>
            <w:r w:rsidR="005211D6" w:rsidRPr="00D16196">
              <w:rPr>
                <w:b w:val="0"/>
              </w:rPr>
              <w:t>15.1</w:t>
            </w:r>
            <w:r w:rsidRPr="00D16196">
              <w:tab/>
              <w:t>The child protection service</w:t>
            </w:r>
            <w:r w:rsidR="00090D51" w:rsidRPr="00D16196">
              <w:t xml:space="preserve"> system</w:t>
            </w:r>
            <w:r w:rsidR="007F2AA3" w:rsidRPr="00D16196">
              <w:rPr>
                <w:rStyle w:val="NoteLabel"/>
                <w:b/>
              </w:rPr>
              <w:t>a, b, c, d</w:t>
            </w:r>
          </w:p>
        </w:tc>
      </w:tr>
      <w:tr w:rsidR="00A81103" w:rsidRPr="00D16196" w:rsidTr="00C53381">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A81103" w:rsidRPr="00D16196" w:rsidTr="00C53381">
              <w:tc>
                <w:tcPr>
                  <w:tcW w:w="5000" w:type="pct"/>
                  <w:tcBorders>
                    <w:top w:val="nil"/>
                    <w:bottom w:val="nil"/>
                  </w:tcBorders>
                </w:tcPr>
                <w:p w:rsidR="00A81103" w:rsidRPr="00D16196" w:rsidRDefault="00713880" w:rsidP="00D16196">
                  <w:pPr>
                    <w:pStyle w:val="Figure"/>
                    <w:spacing w:before="60" w:after="60"/>
                  </w:pPr>
                  <w:r w:rsidRPr="00D16196">
                    <w:rPr>
                      <w:noProof/>
                    </w:rPr>
                    <w:drawing>
                      <wp:inline distT="0" distB="0" distL="0" distR="0" wp14:anchorId="45E43FD4" wp14:editId="607177D0">
                        <wp:extent cx="5372100" cy="5958840"/>
                        <wp:effectExtent l="0" t="0" r="0" b="3810"/>
                        <wp:docPr id="8" name="Picture 8" descr="Figure 15.1 The child protection serv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5958840"/>
                                </a:xfrm>
                                <a:prstGeom prst="rect">
                                  <a:avLst/>
                                </a:prstGeom>
                                <a:noFill/>
                                <a:ln>
                                  <a:noFill/>
                                </a:ln>
                              </pic:spPr>
                            </pic:pic>
                          </a:graphicData>
                        </a:graphic>
                      </wp:inline>
                    </w:drawing>
                  </w:r>
                </w:p>
              </w:tc>
            </w:tr>
          </w:tbl>
          <w:p w:rsidR="00A81103" w:rsidRPr="00D16196" w:rsidRDefault="00A81103" w:rsidP="00D16196">
            <w:pPr>
              <w:pStyle w:val="Figure"/>
            </w:pPr>
          </w:p>
        </w:tc>
      </w:tr>
      <w:tr w:rsidR="00A81103" w:rsidRPr="00D16196" w:rsidTr="00C53381">
        <w:tc>
          <w:tcPr>
            <w:tcW w:w="8771" w:type="dxa"/>
            <w:tcBorders>
              <w:top w:val="nil"/>
              <w:left w:val="nil"/>
              <w:bottom w:val="nil"/>
              <w:right w:val="nil"/>
            </w:tcBorders>
            <w:shd w:val="clear" w:color="auto" w:fill="auto"/>
          </w:tcPr>
          <w:p w:rsidR="00A81103" w:rsidRPr="00D16196" w:rsidRDefault="00A81103" w:rsidP="00D16196">
            <w:pPr>
              <w:pStyle w:val="Note"/>
            </w:pPr>
            <w:r w:rsidRPr="00D16196">
              <w:rPr>
                <w:rStyle w:val="NoteLabel"/>
              </w:rPr>
              <w:t>a</w:t>
            </w:r>
            <w:r w:rsidRPr="00D16196">
              <w:t xml:space="preserve"> Dashed lines indicate that clients may or may not receive these services, depending on need, service availability, and client willingness to participate in voluntary services. </w:t>
            </w:r>
            <w:r w:rsidRPr="00D16196">
              <w:rPr>
                <w:rStyle w:val="NoteLabel"/>
              </w:rPr>
              <w:t>b</w:t>
            </w:r>
            <w:r w:rsidRPr="00D16196">
              <w:t xml:space="preserve"> Support services include family preservation and reunification services provided by government and other agencies. Children and families move in and out of these services and the child protection system, and might also be in the child protection system while receiving support services. </w:t>
            </w:r>
            <w:r w:rsidRPr="00D16196">
              <w:rPr>
                <w:rStyle w:val="NoteLabel"/>
              </w:rPr>
              <w:t>c</w:t>
            </w:r>
            <w:r w:rsidRPr="00D16196">
              <w:t xml:space="preserve"> Shading indicates data availability. </w:t>
            </w:r>
            <w:r w:rsidRPr="00D16196">
              <w:rPr>
                <w:rStyle w:val="NoteLabel"/>
              </w:rPr>
              <w:t>d</w:t>
            </w:r>
            <w:r w:rsidRPr="00D16196">
              <w:t xml:space="preserve"> AG = Activity Group.</w:t>
            </w:r>
            <w:r w:rsidR="007F2AA3" w:rsidRPr="00D16196">
              <w:t xml:space="preserve"> See box 15.20 and section 15.5 for detailed definitions.</w:t>
            </w:r>
          </w:p>
        </w:tc>
      </w:tr>
      <w:tr w:rsidR="00A81103" w:rsidRPr="00D16196" w:rsidTr="00C53381">
        <w:tc>
          <w:tcPr>
            <w:tcW w:w="8771" w:type="dxa"/>
            <w:tcBorders>
              <w:top w:val="nil"/>
              <w:left w:val="nil"/>
              <w:bottom w:val="nil"/>
              <w:right w:val="nil"/>
            </w:tcBorders>
            <w:shd w:val="clear" w:color="auto" w:fill="auto"/>
          </w:tcPr>
          <w:p w:rsidR="00A81103" w:rsidRPr="00D16196" w:rsidRDefault="00A81103" w:rsidP="00D16196">
            <w:pPr>
              <w:pStyle w:val="Source"/>
            </w:pPr>
            <w:r w:rsidRPr="00D16196">
              <w:rPr>
                <w:i/>
              </w:rPr>
              <w:t>Source</w:t>
            </w:r>
            <w:r w:rsidRPr="00D16196">
              <w:t>: State and Territory governments (unpublished).</w:t>
            </w:r>
          </w:p>
        </w:tc>
      </w:tr>
      <w:tr w:rsidR="00A81103" w:rsidRPr="00D16196" w:rsidTr="00C53381">
        <w:tc>
          <w:tcPr>
            <w:tcW w:w="8771" w:type="dxa"/>
            <w:tcBorders>
              <w:top w:val="nil"/>
              <w:left w:val="nil"/>
              <w:bottom w:val="single" w:sz="6" w:space="0" w:color="78A22F"/>
              <w:right w:val="nil"/>
            </w:tcBorders>
            <w:shd w:val="clear" w:color="auto" w:fill="auto"/>
          </w:tcPr>
          <w:p w:rsidR="00A81103" w:rsidRPr="00D16196" w:rsidRDefault="00A81103" w:rsidP="00D16196">
            <w:pPr>
              <w:pStyle w:val="Figurespace"/>
            </w:pPr>
          </w:p>
        </w:tc>
      </w:tr>
      <w:tr w:rsidR="00A81103" w:rsidRPr="00D16196" w:rsidTr="00C53381">
        <w:tc>
          <w:tcPr>
            <w:tcW w:w="8771" w:type="dxa"/>
            <w:tcBorders>
              <w:top w:val="single" w:sz="6" w:space="0" w:color="78A22F"/>
              <w:left w:val="nil"/>
              <w:bottom w:val="nil"/>
              <w:right w:val="nil"/>
            </w:tcBorders>
          </w:tcPr>
          <w:p w:rsidR="00A81103" w:rsidRPr="00D16196" w:rsidRDefault="00A81103" w:rsidP="00D16196">
            <w:pPr>
              <w:pStyle w:val="BoxSpaceBelow"/>
            </w:pPr>
          </w:p>
        </w:tc>
      </w:tr>
    </w:tbl>
    <w:p w:rsidR="00A420E3" w:rsidRPr="00D16196" w:rsidRDefault="00A420E3" w:rsidP="00D16196">
      <w:pPr>
        <w:pStyle w:val="Heading4"/>
      </w:pPr>
      <w:r w:rsidRPr="00D16196">
        <w:lastRenderedPageBreak/>
        <w:t>Overview of child protection activity in 2014-15</w:t>
      </w:r>
    </w:p>
    <w:p w:rsidR="00B90244" w:rsidRPr="00D16196" w:rsidRDefault="00A420E3" w:rsidP="00D16196">
      <w:pPr>
        <w:pStyle w:val="BodyText"/>
      </w:pPr>
      <w:r w:rsidRPr="00D16196">
        <w:rPr>
          <w:i/>
        </w:rPr>
        <w:t>Notifications</w:t>
      </w:r>
      <w:r w:rsidRPr="00D16196">
        <w:t xml:space="preserve"> </w:t>
      </w:r>
      <w:r w:rsidR="00D52FB2" w:rsidRPr="00D16196">
        <w:t>—</w:t>
      </w:r>
      <w:r w:rsidRPr="00D16196">
        <w:t xml:space="preserve"> n</w:t>
      </w:r>
      <w:r w:rsidR="00B90244" w:rsidRPr="00D16196">
        <w:t xml:space="preserve">ationally, </w:t>
      </w:r>
      <w:r w:rsidR="00FD1D58">
        <w:t>208 111</w:t>
      </w:r>
      <w:r w:rsidR="00687D85" w:rsidRPr="00D16196">
        <w:t xml:space="preserve"> </w:t>
      </w:r>
      <w:r w:rsidR="00B90244" w:rsidRPr="00D16196">
        <w:t xml:space="preserve">children aged 0–17 years were the subject of child protection notifications in 2014-15. This was equivalent to </w:t>
      </w:r>
      <w:r w:rsidR="00687D85" w:rsidRPr="00D16196">
        <w:t>39.2</w:t>
      </w:r>
      <w:r w:rsidR="00B90244" w:rsidRPr="00D16196">
        <w:t xml:space="preserve"> notifications per 1000 children in the population aged 0–17 years</w:t>
      </w:r>
      <w:r w:rsidR="00D52FB2" w:rsidRPr="00D16196">
        <w:t xml:space="preserve">, compared with </w:t>
      </w:r>
      <w:r w:rsidR="006A2F24">
        <w:t>143.1</w:t>
      </w:r>
      <w:r w:rsidR="00687D85" w:rsidRPr="00D16196">
        <w:t xml:space="preserve"> per 1000 children aged 0</w:t>
      </w:r>
      <w:r w:rsidR="00B97330" w:rsidRPr="00D16196">
        <w:t>–</w:t>
      </w:r>
      <w:r w:rsidR="00687D85" w:rsidRPr="00D16196">
        <w:t xml:space="preserve">17 years in the Aboriginal and Torres Strait Islander population </w:t>
      </w:r>
      <w:r w:rsidR="00B90244" w:rsidRPr="00D16196">
        <w:t>(table</w:t>
      </w:r>
      <w:r w:rsidR="00A47117" w:rsidRPr="00D16196">
        <w:t xml:space="preserve"> </w:t>
      </w:r>
      <w:proofErr w:type="spellStart"/>
      <w:r w:rsidR="00A47117" w:rsidRPr="00D16196">
        <w:t>15A.8</w:t>
      </w:r>
      <w:proofErr w:type="spellEnd"/>
      <w:r w:rsidR="00A47117" w:rsidRPr="00D16196">
        <w:t>)</w:t>
      </w:r>
      <w:r w:rsidR="00B90244" w:rsidRPr="00D16196">
        <w:t>. The total number of notifications for each jurisdiction for 2014-15 (including cases where a child was the subject of more than one child protection notification)</w:t>
      </w:r>
      <w:r w:rsidR="007F2AA3" w:rsidRPr="00D16196">
        <w:t>,</w:t>
      </w:r>
      <w:r w:rsidR="00B90244" w:rsidRPr="00D16196">
        <w:t xml:space="preserve"> by Indigenous status</w:t>
      </w:r>
      <w:r w:rsidR="007F2AA3" w:rsidRPr="00D16196">
        <w:t>,</w:t>
      </w:r>
      <w:r w:rsidR="00B90244" w:rsidRPr="00D16196">
        <w:t xml:space="preserve"> is reported in table</w:t>
      </w:r>
      <w:r w:rsidR="00313A1C" w:rsidRPr="00D16196">
        <w:t xml:space="preserve"> </w:t>
      </w:r>
      <w:proofErr w:type="spellStart"/>
      <w:r w:rsidR="00313A1C" w:rsidRPr="00D16196">
        <w:t>15A.5</w:t>
      </w:r>
      <w:proofErr w:type="spellEnd"/>
      <w:r w:rsidR="00B90244" w:rsidRPr="00D16196">
        <w:t>.</w:t>
      </w:r>
    </w:p>
    <w:p w:rsidR="00041B71" w:rsidRPr="00D16196" w:rsidRDefault="00A420E3" w:rsidP="00D16196">
      <w:pPr>
        <w:pStyle w:val="BodyText"/>
      </w:pPr>
      <w:r w:rsidRPr="00D16196">
        <w:rPr>
          <w:i/>
        </w:rPr>
        <w:t>Investigations</w:t>
      </w:r>
      <w:r w:rsidRPr="00D16196">
        <w:t xml:space="preserve"> </w:t>
      </w:r>
      <w:r w:rsidR="00D52FB2" w:rsidRPr="00D16196">
        <w:t>—</w:t>
      </w:r>
      <w:r w:rsidRPr="00D16196">
        <w:t xml:space="preserve"> na</w:t>
      </w:r>
      <w:r w:rsidR="00041B71" w:rsidRPr="00D16196">
        <w:t xml:space="preserve">tionally, </w:t>
      </w:r>
      <w:r w:rsidR="00B038B4" w:rsidRPr="00D16196">
        <w:t>100 99</w:t>
      </w:r>
      <w:r w:rsidR="00FD1D58">
        <w:t>4</w:t>
      </w:r>
      <w:r w:rsidR="00B038B4" w:rsidRPr="00D16196">
        <w:t xml:space="preserve"> </w:t>
      </w:r>
      <w:r w:rsidR="00041B71" w:rsidRPr="00D16196">
        <w:t>children aged 0</w:t>
      </w:r>
      <w:r w:rsidR="000F370E" w:rsidRPr="00D16196">
        <w:t>–</w:t>
      </w:r>
      <w:r w:rsidR="00041B71" w:rsidRPr="00D16196">
        <w:t xml:space="preserve">17 years who were the subject of a notification in </w:t>
      </w:r>
      <w:r w:rsidR="00DD7BCC" w:rsidRPr="00D16196">
        <w:t>201</w:t>
      </w:r>
      <w:r w:rsidR="00E56915" w:rsidRPr="00D16196">
        <w:t>4</w:t>
      </w:r>
      <w:r w:rsidR="00DD7BCC" w:rsidRPr="00D16196">
        <w:t>-1</w:t>
      </w:r>
      <w:r w:rsidR="00E56915" w:rsidRPr="00D16196">
        <w:t>5</w:t>
      </w:r>
      <w:r w:rsidR="00041B71" w:rsidRPr="00D16196">
        <w:t xml:space="preserve"> were subsequently the subject of a</w:t>
      </w:r>
      <w:r w:rsidR="00017C08" w:rsidRPr="00D16196">
        <w:t xml:space="preserve"> finalised </w:t>
      </w:r>
      <w:r w:rsidR="00041B71" w:rsidRPr="00D16196">
        <w:t xml:space="preserve">investigation in </w:t>
      </w:r>
      <w:r w:rsidR="00DD7BCC" w:rsidRPr="00D16196">
        <w:t>201</w:t>
      </w:r>
      <w:r w:rsidR="00E56915" w:rsidRPr="00D16196">
        <w:t>4</w:t>
      </w:r>
      <w:r w:rsidR="00B038B4" w:rsidRPr="00D16196">
        <w:noBreakHyphen/>
      </w:r>
      <w:r w:rsidR="00DD7BCC" w:rsidRPr="00D16196">
        <w:t>1</w:t>
      </w:r>
      <w:r w:rsidR="00E56915" w:rsidRPr="00D16196">
        <w:t>5</w:t>
      </w:r>
      <w:r w:rsidR="00041B71" w:rsidRPr="00D16196">
        <w:t xml:space="preserve">. </w:t>
      </w:r>
      <w:r w:rsidR="0089419E" w:rsidRPr="00D16196">
        <w:t xml:space="preserve">This was equivalent to </w:t>
      </w:r>
      <w:r w:rsidR="00B038B4" w:rsidRPr="00D16196">
        <w:t xml:space="preserve">19.0 </w:t>
      </w:r>
      <w:r w:rsidR="000C3E37" w:rsidRPr="00D16196">
        <w:t xml:space="preserve">finalised investigations </w:t>
      </w:r>
      <w:r w:rsidR="00041B71" w:rsidRPr="00D16196">
        <w:t xml:space="preserve">per 1000 children in the population </w:t>
      </w:r>
      <w:r w:rsidR="00D52FB2" w:rsidRPr="00D16196">
        <w:t>aged 0</w:t>
      </w:r>
      <w:r w:rsidR="00B97330" w:rsidRPr="00D16196">
        <w:t>–</w:t>
      </w:r>
      <w:r w:rsidR="00D52FB2" w:rsidRPr="00D16196">
        <w:t xml:space="preserve">17 years, compared with </w:t>
      </w:r>
      <w:r w:rsidR="006A2F24">
        <w:t>88.7</w:t>
      </w:r>
      <w:r w:rsidR="00D52FB2" w:rsidRPr="00D16196">
        <w:t xml:space="preserve"> </w:t>
      </w:r>
      <w:r w:rsidR="00B038B4" w:rsidRPr="00D16196">
        <w:t xml:space="preserve">finalised investigations per </w:t>
      </w:r>
      <w:r w:rsidR="00643B61" w:rsidRPr="00D16196">
        <w:t>1000 </w:t>
      </w:r>
      <w:r w:rsidR="007C75CE" w:rsidRPr="00D16196">
        <w:t>Aboriginal and Torres Strait Islander</w:t>
      </w:r>
      <w:r w:rsidR="00AA6E6E" w:rsidRPr="00D16196">
        <w:t xml:space="preserve"> ch</w:t>
      </w:r>
      <w:r w:rsidR="009907C1" w:rsidRPr="00D16196">
        <w:t>ildren</w:t>
      </w:r>
      <w:r w:rsidR="00D52FB2" w:rsidRPr="00D16196">
        <w:t xml:space="preserve"> aged 0-17 years</w:t>
      </w:r>
      <w:r w:rsidR="009907C1" w:rsidRPr="00D16196">
        <w:t xml:space="preserve"> in the population</w:t>
      </w:r>
      <w:r w:rsidR="00D52FB2" w:rsidRPr="00D16196">
        <w:t xml:space="preserve"> (table</w:t>
      </w:r>
      <w:r w:rsidR="00313A1C" w:rsidRPr="00D16196">
        <w:t xml:space="preserve"> </w:t>
      </w:r>
      <w:proofErr w:type="spellStart"/>
      <w:r w:rsidR="00313A1C" w:rsidRPr="00D16196">
        <w:t>15A.8</w:t>
      </w:r>
      <w:proofErr w:type="spellEnd"/>
      <w:r w:rsidR="00D52FB2" w:rsidRPr="00D16196">
        <w:t>).</w:t>
      </w:r>
      <w:r w:rsidR="00AA6E6E" w:rsidRPr="00D16196">
        <w:t xml:space="preserve"> </w:t>
      </w:r>
      <w:r w:rsidR="00041B71" w:rsidRPr="00D16196">
        <w:t xml:space="preserve">The total number of notifications investigated for each jurisdiction in </w:t>
      </w:r>
      <w:r w:rsidR="00DD7BCC" w:rsidRPr="00D16196">
        <w:t>201</w:t>
      </w:r>
      <w:r w:rsidR="00E56915" w:rsidRPr="00D16196">
        <w:t>4</w:t>
      </w:r>
      <w:r w:rsidR="00D52FB2" w:rsidRPr="00D16196">
        <w:noBreakHyphen/>
      </w:r>
      <w:r w:rsidR="00DD7BCC" w:rsidRPr="00D16196">
        <w:t>1</w:t>
      </w:r>
      <w:r w:rsidR="00E56915" w:rsidRPr="00D16196">
        <w:t>5</w:t>
      </w:r>
      <w:r w:rsidR="00041B71" w:rsidRPr="00D16196">
        <w:t xml:space="preserve">, by </w:t>
      </w:r>
      <w:r w:rsidR="007F0D6A" w:rsidRPr="00D16196">
        <w:t>Indigenous</w:t>
      </w:r>
      <w:r w:rsidR="00041B71" w:rsidRPr="00D16196">
        <w:t xml:space="preserve"> status, is reported in table</w:t>
      </w:r>
      <w:r w:rsidR="00313A1C" w:rsidRPr="00D16196">
        <w:t xml:space="preserve"> </w:t>
      </w:r>
      <w:proofErr w:type="spellStart"/>
      <w:r w:rsidR="00313A1C" w:rsidRPr="00D16196">
        <w:t>15A.5</w:t>
      </w:r>
      <w:proofErr w:type="spellEnd"/>
      <w:r w:rsidR="00041B71" w:rsidRPr="00D16196">
        <w:t>.</w:t>
      </w:r>
    </w:p>
    <w:p w:rsidR="006842D6" w:rsidRPr="00D16196" w:rsidRDefault="00A420E3" w:rsidP="00D16196">
      <w:pPr>
        <w:pStyle w:val="BodyText"/>
      </w:pPr>
      <w:r w:rsidRPr="00D16196">
        <w:rPr>
          <w:i/>
        </w:rPr>
        <w:t>Substantiation</w:t>
      </w:r>
      <w:r w:rsidR="00772CAF" w:rsidRPr="00D16196">
        <w:rPr>
          <w:i/>
        </w:rPr>
        <w:t>s</w:t>
      </w:r>
      <w:r w:rsidRPr="00D16196">
        <w:t xml:space="preserve"> </w:t>
      </w:r>
      <w:r w:rsidR="00D52FB2" w:rsidRPr="00D16196">
        <w:t>—</w:t>
      </w:r>
      <w:r w:rsidRPr="00D16196">
        <w:t xml:space="preserve"> </w:t>
      </w:r>
      <w:r w:rsidR="00B038B4" w:rsidRPr="00D16196">
        <w:t>n</w:t>
      </w:r>
      <w:r w:rsidR="006842D6" w:rsidRPr="00D16196">
        <w:t>ationally,</w:t>
      </w:r>
      <w:r w:rsidR="00313A1C" w:rsidRPr="00D16196">
        <w:t xml:space="preserve"> 42 45</w:t>
      </w:r>
      <w:r w:rsidR="00A309BE" w:rsidRPr="00D16196">
        <w:t>7</w:t>
      </w:r>
      <w:r w:rsidR="00B038B4" w:rsidRPr="00D16196">
        <w:t xml:space="preserve"> </w:t>
      </w:r>
      <w:r w:rsidR="006842D6" w:rsidRPr="00D16196">
        <w:t>children aged 0–1</w:t>
      </w:r>
      <w:r w:rsidR="007B63BA" w:rsidRPr="00D16196">
        <w:t>7</w:t>
      </w:r>
      <w:r w:rsidR="006842D6" w:rsidRPr="00D16196">
        <w:t xml:space="preserve"> years were the subject of a substantiation in </w:t>
      </w:r>
      <w:r w:rsidR="00DD7BCC" w:rsidRPr="00D16196">
        <w:t>201</w:t>
      </w:r>
      <w:r w:rsidR="00E56915" w:rsidRPr="00D16196">
        <w:t>4</w:t>
      </w:r>
      <w:r w:rsidR="007579E8" w:rsidRPr="00D16196">
        <w:noBreakHyphen/>
      </w:r>
      <w:r w:rsidR="00DD7BCC" w:rsidRPr="00D16196">
        <w:t>1</w:t>
      </w:r>
      <w:r w:rsidR="00E56915" w:rsidRPr="00D16196">
        <w:t>5</w:t>
      </w:r>
      <w:r w:rsidR="006842D6" w:rsidRPr="00D16196">
        <w:t>. Th</w:t>
      </w:r>
      <w:r w:rsidR="00761FC5" w:rsidRPr="00D16196">
        <w:t>is was equivalent to</w:t>
      </w:r>
      <w:r w:rsidR="00B038B4" w:rsidRPr="00D16196">
        <w:t xml:space="preserve"> 8.0</w:t>
      </w:r>
      <w:r w:rsidR="006842D6" w:rsidRPr="00D16196">
        <w:t xml:space="preserve"> </w:t>
      </w:r>
      <w:r w:rsidR="00E209F0" w:rsidRPr="00D16196">
        <w:t>substantiation</w:t>
      </w:r>
      <w:r w:rsidR="00761FC5" w:rsidRPr="00D16196">
        <w:t>s</w:t>
      </w:r>
      <w:r w:rsidR="00E209F0" w:rsidRPr="00D16196">
        <w:t xml:space="preserve"> per 1000 </w:t>
      </w:r>
      <w:r w:rsidR="006842D6" w:rsidRPr="00D16196">
        <w:t>children in the population aged 0–1</w:t>
      </w:r>
      <w:r w:rsidR="007B63BA" w:rsidRPr="00D16196">
        <w:t>7</w:t>
      </w:r>
      <w:r w:rsidR="006842D6" w:rsidRPr="00D16196">
        <w:t xml:space="preserve"> years</w:t>
      </w:r>
      <w:r w:rsidR="00D52FB2" w:rsidRPr="00D16196">
        <w:t xml:space="preserve">, compared with </w:t>
      </w:r>
      <w:r w:rsidR="006A2F24">
        <w:t>39.8</w:t>
      </w:r>
      <w:r w:rsidR="00B038B4" w:rsidRPr="00D16196">
        <w:t xml:space="preserve"> per 1000 Aboriginal and Torres Strait Islander children </w:t>
      </w:r>
      <w:r w:rsidR="00D52FB2" w:rsidRPr="00D16196">
        <w:t xml:space="preserve">aged 0-17 years </w:t>
      </w:r>
      <w:r w:rsidR="00B038B4" w:rsidRPr="00D16196">
        <w:t>in the population</w:t>
      </w:r>
      <w:r w:rsidR="007F2AA3" w:rsidRPr="00D16196">
        <w:t>. These rates have increased over the past five years</w:t>
      </w:r>
      <w:r w:rsidR="00D33395" w:rsidRPr="00D16196">
        <w:t>, as have the rates of notifications and investigations</w:t>
      </w:r>
      <w:r w:rsidR="00B038B4" w:rsidRPr="00D16196">
        <w:t xml:space="preserve"> </w:t>
      </w:r>
      <w:r w:rsidR="007579E8" w:rsidRPr="00D16196">
        <w:t>(table</w:t>
      </w:r>
      <w:r w:rsidR="00313A1C" w:rsidRPr="00D16196">
        <w:t xml:space="preserve"> </w:t>
      </w:r>
      <w:proofErr w:type="spellStart"/>
      <w:r w:rsidR="00313A1C" w:rsidRPr="00D16196">
        <w:t>15A.8</w:t>
      </w:r>
      <w:proofErr w:type="spellEnd"/>
      <w:r w:rsidR="006842D6" w:rsidRPr="00D16196">
        <w:t>).</w:t>
      </w:r>
      <w:r w:rsidR="00B038B4" w:rsidRPr="00D16196">
        <w:t xml:space="preserve"> </w:t>
      </w:r>
    </w:p>
    <w:p w:rsidR="006842D6" w:rsidRPr="00D16196" w:rsidRDefault="00687D85" w:rsidP="00D16196">
      <w:pPr>
        <w:pStyle w:val="BodyText"/>
      </w:pPr>
      <w:r w:rsidRPr="00D16196">
        <w:rPr>
          <w:i/>
        </w:rPr>
        <w:t>Care and protection orders</w:t>
      </w:r>
      <w:r w:rsidRPr="00D16196">
        <w:t xml:space="preserve"> </w:t>
      </w:r>
      <w:r w:rsidR="00D52FB2" w:rsidRPr="00D16196">
        <w:t>—</w:t>
      </w:r>
      <w:r w:rsidRPr="00D16196">
        <w:t xml:space="preserve"> n</w:t>
      </w:r>
      <w:r w:rsidR="006842D6" w:rsidRPr="00D16196">
        <w:t>ationally,</w:t>
      </w:r>
      <w:r w:rsidR="00B038B4" w:rsidRPr="00D16196">
        <w:t xml:space="preserve"> 48 730 </w:t>
      </w:r>
      <w:r w:rsidR="006842D6" w:rsidRPr="00D16196">
        <w:t>children aged 0–17 years were on care and p</w:t>
      </w:r>
      <w:r w:rsidR="00F71095" w:rsidRPr="00D16196">
        <w:t xml:space="preserve">rotection orders at 30 June </w:t>
      </w:r>
      <w:r w:rsidR="007B63BA" w:rsidRPr="00D16196">
        <w:t>201</w:t>
      </w:r>
      <w:r w:rsidR="002159E2" w:rsidRPr="00D16196">
        <w:t>5</w:t>
      </w:r>
      <w:r w:rsidR="006842D6" w:rsidRPr="00D16196">
        <w:t>. Th</w:t>
      </w:r>
      <w:r w:rsidR="004339C8" w:rsidRPr="00D16196">
        <w:t>is was equivalent to</w:t>
      </w:r>
      <w:r w:rsidR="00B038B4" w:rsidRPr="00D16196">
        <w:t xml:space="preserve"> 9.2 </w:t>
      </w:r>
      <w:r w:rsidR="004339C8" w:rsidRPr="00D16196">
        <w:t xml:space="preserve">children on care and protection orders </w:t>
      </w:r>
      <w:r w:rsidR="006842D6" w:rsidRPr="00D16196">
        <w:t>per 1000 children in the population</w:t>
      </w:r>
      <w:r w:rsidR="00655A37" w:rsidRPr="00D16196">
        <w:t xml:space="preserve"> a</w:t>
      </w:r>
      <w:r w:rsidR="006A2F24">
        <w:t>ged 0-17 years, compared with 57</w:t>
      </w:r>
      <w:r w:rsidR="00655A37" w:rsidRPr="00D16196">
        <w:t>.5 </w:t>
      </w:r>
      <w:r w:rsidR="00B038B4" w:rsidRPr="00D16196">
        <w:t xml:space="preserve">per 1000 </w:t>
      </w:r>
      <w:r w:rsidR="00655A37" w:rsidRPr="00D16196">
        <w:t xml:space="preserve">Aboriginal and Torres Strait Islander </w:t>
      </w:r>
      <w:r w:rsidR="00B038B4" w:rsidRPr="00D16196">
        <w:t>children in the population</w:t>
      </w:r>
      <w:r w:rsidR="00655A37" w:rsidRPr="00D16196">
        <w:t xml:space="preserve"> aged 0</w:t>
      </w:r>
      <w:r w:rsidR="00FD1D58">
        <w:noBreakHyphen/>
      </w:r>
      <w:r w:rsidR="00655A37" w:rsidRPr="00D16196">
        <w:t>17 years</w:t>
      </w:r>
      <w:r w:rsidR="004E19D1" w:rsidRPr="00D16196">
        <w:t>.</w:t>
      </w:r>
      <w:r w:rsidRPr="00D16196">
        <w:t xml:space="preserve"> </w:t>
      </w:r>
      <w:r w:rsidR="00B038B4" w:rsidRPr="00D16196">
        <w:t>The rate of children on a care and protection order has increased over the past five years (table</w:t>
      </w:r>
      <w:r w:rsidR="00313A1C" w:rsidRPr="00D16196">
        <w:t xml:space="preserve"> </w:t>
      </w:r>
      <w:proofErr w:type="spellStart"/>
      <w:r w:rsidR="00313A1C" w:rsidRPr="00D16196">
        <w:t>15A.8</w:t>
      </w:r>
      <w:proofErr w:type="spellEnd"/>
      <w:r w:rsidR="00B038B4" w:rsidRPr="00D16196">
        <w:t xml:space="preserve">). </w:t>
      </w:r>
      <w:r w:rsidR="006842D6" w:rsidRPr="00D16196">
        <w:t>Table</w:t>
      </w:r>
      <w:r w:rsidR="00313A1C" w:rsidRPr="00D16196">
        <w:t xml:space="preserve"> </w:t>
      </w:r>
      <w:proofErr w:type="spellStart"/>
      <w:r w:rsidR="00313A1C" w:rsidRPr="00D16196">
        <w:t>15A.6</w:t>
      </w:r>
      <w:proofErr w:type="spellEnd"/>
      <w:r w:rsidR="006842D6" w:rsidRPr="00D16196">
        <w:t xml:space="preserve"> identifies the number of children admitted to and discharged from care and protection </w:t>
      </w:r>
      <w:r w:rsidR="00B27EC2" w:rsidRPr="00D16196">
        <w:t xml:space="preserve">orders by </w:t>
      </w:r>
      <w:r w:rsidR="007F0D6A" w:rsidRPr="00D16196">
        <w:t>Indigenous status</w:t>
      </w:r>
      <w:r w:rsidR="002C6FF7" w:rsidRPr="00D16196">
        <w:t xml:space="preserve"> </w:t>
      </w:r>
      <w:r w:rsidR="00B038B4" w:rsidRPr="00D16196">
        <w:t>over the past ten years, while t</w:t>
      </w:r>
      <w:r w:rsidR="006842D6" w:rsidRPr="00D16196">
        <w:t>able</w:t>
      </w:r>
      <w:r w:rsidR="00313A1C" w:rsidRPr="00D16196">
        <w:t xml:space="preserve"> </w:t>
      </w:r>
      <w:proofErr w:type="spellStart"/>
      <w:r w:rsidR="00313A1C" w:rsidRPr="00D16196">
        <w:t>15A.7</w:t>
      </w:r>
      <w:proofErr w:type="spellEnd"/>
      <w:r w:rsidR="006842D6" w:rsidRPr="00D16196">
        <w:t xml:space="preserve"> identifies the number of children on care and protection orders by type of order and </w:t>
      </w:r>
      <w:r w:rsidR="007F0D6A" w:rsidRPr="00D16196">
        <w:t>Indigenous status</w:t>
      </w:r>
      <w:r w:rsidR="006842D6" w:rsidRPr="00D16196">
        <w:t xml:space="preserve"> </w:t>
      </w:r>
      <w:r w:rsidR="00B038B4" w:rsidRPr="00D16196">
        <w:t>for the past ten years</w:t>
      </w:r>
      <w:r w:rsidR="006842D6" w:rsidRPr="00D16196">
        <w:t>.</w:t>
      </w:r>
    </w:p>
    <w:p w:rsidR="006842D6" w:rsidRPr="00D16196" w:rsidRDefault="00687D85" w:rsidP="00D16196">
      <w:pPr>
        <w:pStyle w:val="BodyText"/>
      </w:pPr>
      <w:r w:rsidRPr="00D16196">
        <w:rPr>
          <w:i/>
        </w:rPr>
        <w:t>Out-of-home care</w:t>
      </w:r>
      <w:r w:rsidRPr="00D16196">
        <w:t xml:space="preserve"> </w:t>
      </w:r>
      <w:r w:rsidR="00D52FB2" w:rsidRPr="00D16196">
        <w:t>—</w:t>
      </w:r>
      <w:r w:rsidRPr="00D16196">
        <w:t xml:space="preserve"> n</w:t>
      </w:r>
      <w:r w:rsidR="006842D6" w:rsidRPr="00D16196">
        <w:t>ationally,</w:t>
      </w:r>
      <w:r w:rsidR="00B038B4" w:rsidRPr="00D16196">
        <w:t xml:space="preserve"> 43 399 </w:t>
      </w:r>
      <w:r w:rsidR="006842D6" w:rsidRPr="00D16196">
        <w:t xml:space="preserve">children were in </w:t>
      </w:r>
      <w:r w:rsidR="00F71095" w:rsidRPr="00D16196">
        <w:t>out-of-home care at 30 June 20</w:t>
      </w:r>
      <w:r w:rsidR="007B63BA" w:rsidRPr="00D16196">
        <w:t>1</w:t>
      </w:r>
      <w:r w:rsidR="00F64CF9" w:rsidRPr="00D16196">
        <w:t>5</w:t>
      </w:r>
      <w:r w:rsidR="006842D6" w:rsidRPr="00D16196">
        <w:t>. Th</w:t>
      </w:r>
      <w:r w:rsidR="004339C8" w:rsidRPr="00D16196">
        <w:t>is was equivalen</w:t>
      </w:r>
      <w:r w:rsidR="00B038B4" w:rsidRPr="00D16196">
        <w:t xml:space="preserve">t </w:t>
      </w:r>
      <w:r w:rsidR="004339C8" w:rsidRPr="00D16196">
        <w:t>to</w:t>
      </w:r>
      <w:r w:rsidR="00B038B4" w:rsidRPr="00D16196">
        <w:t xml:space="preserve"> 8.2</w:t>
      </w:r>
      <w:r w:rsidR="004339C8" w:rsidRPr="00D16196">
        <w:t xml:space="preserve"> </w:t>
      </w:r>
      <w:r w:rsidR="006842D6" w:rsidRPr="00D16196">
        <w:t>children in out-of-home care per 1000 children in</w:t>
      </w:r>
      <w:r w:rsidR="00B07C21" w:rsidRPr="00D16196">
        <w:t xml:space="preserve"> the population</w:t>
      </w:r>
      <w:r w:rsidR="00655A37" w:rsidRPr="00D16196">
        <w:t xml:space="preserve"> aged 0</w:t>
      </w:r>
      <w:r w:rsidR="00B97330" w:rsidRPr="00D16196">
        <w:t>–</w:t>
      </w:r>
      <w:r w:rsidR="00655A37" w:rsidRPr="00D16196">
        <w:t xml:space="preserve">17 years, compared with </w:t>
      </w:r>
      <w:r w:rsidR="006A2F24">
        <w:t>52.5</w:t>
      </w:r>
      <w:r w:rsidR="00B07C21" w:rsidRPr="00D16196">
        <w:t xml:space="preserve"> per 1000 </w:t>
      </w:r>
      <w:r w:rsidR="00655A37" w:rsidRPr="00D16196">
        <w:t xml:space="preserve">Aboriginal and Torres Strait Islander </w:t>
      </w:r>
      <w:r w:rsidR="00B07C21" w:rsidRPr="00D16196">
        <w:t xml:space="preserve">children in the population </w:t>
      </w:r>
      <w:r w:rsidR="00655A37" w:rsidRPr="00D16196">
        <w:t>aged 0</w:t>
      </w:r>
      <w:r w:rsidR="0088688D" w:rsidRPr="00D16196">
        <w:t>–</w:t>
      </w:r>
      <w:r w:rsidR="00655A37" w:rsidRPr="00D16196">
        <w:t xml:space="preserve">17 years </w:t>
      </w:r>
      <w:r w:rsidR="007579E8" w:rsidRPr="00D16196">
        <w:t>(table</w:t>
      </w:r>
      <w:r w:rsidR="00313A1C" w:rsidRPr="00D16196">
        <w:t xml:space="preserve"> </w:t>
      </w:r>
      <w:proofErr w:type="spellStart"/>
      <w:r w:rsidR="00313A1C" w:rsidRPr="00D16196">
        <w:t>15A.18</w:t>
      </w:r>
      <w:proofErr w:type="spellEnd"/>
      <w:r w:rsidR="006842D6" w:rsidRPr="00D16196">
        <w:t>).</w:t>
      </w:r>
      <w:r w:rsidR="00B07C21" w:rsidRPr="00D16196">
        <w:t xml:space="preserve"> </w:t>
      </w:r>
      <w:r w:rsidR="006842D6" w:rsidRPr="00D16196">
        <w:t>Table</w:t>
      </w:r>
      <w:r w:rsidR="00B07C21" w:rsidRPr="00D16196">
        <w:t>s</w:t>
      </w:r>
      <w:r w:rsidR="00313A1C" w:rsidRPr="00D16196">
        <w:t xml:space="preserve"> </w:t>
      </w:r>
      <w:proofErr w:type="spellStart"/>
      <w:r w:rsidR="00313A1C" w:rsidRPr="00D16196">
        <w:t>15A.19</w:t>
      </w:r>
      <w:proofErr w:type="spellEnd"/>
      <w:r w:rsidR="00655A37" w:rsidRPr="00D16196">
        <w:t>–</w:t>
      </w:r>
      <w:r w:rsidR="00B07C21" w:rsidRPr="00D16196">
        <w:t>22</w:t>
      </w:r>
      <w:r w:rsidR="006842D6" w:rsidRPr="00D16196">
        <w:t xml:space="preserve"> </w:t>
      </w:r>
      <w:r w:rsidR="00B07C21" w:rsidRPr="00D16196">
        <w:t>provide further information on out-of-home care</w:t>
      </w:r>
      <w:r w:rsidR="007F2AA3" w:rsidRPr="00D16196">
        <w:t xml:space="preserve"> for a ten year time series,</w:t>
      </w:r>
      <w:r w:rsidR="00B07C21" w:rsidRPr="00D16196">
        <w:t xml:space="preserve"> including </w:t>
      </w:r>
      <w:r w:rsidR="006842D6" w:rsidRPr="00D16196">
        <w:t xml:space="preserve">the number of children in out-of-home care by </w:t>
      </w:r>
      <w:r w:rsidR="007F0D6A" w:rsidRPr="00D16196">
        <w:t>Indigenous</w:t>
      </w:r>
      <w:r w:rsidR="00B07C21" w:rsidRPr="00D16196">
        <w:t xml:space="preserve"> status, </w:t>
      </w:r>
      <w:r w:rsidR="006842D6" w:rsidRPr="00D16196">
        <w:t>placement type</w:t>
      </w:r>
      <w:r w:rsidR="00B07C21" w:rsidRPr="00D16196">
        <w:t xml:space="preserve">s, </w:t>
      </w:r>
      <w:r w:rsidR="006842D6" w:rsidRPr="00D16196">
        <w:t xml:space="preserve">whether </w:t>
      </w:r>
      <w:r w:rsidR="00B07C21" w:rsidRPr="00D16196">
        <w:t xml:space="preserve">children </w:t>
      </w:r>
      <w:r w:rsidR="007A532D" w:rsidRPr="00D16196">
        <w:t xml:space="preserve">were </w:t>
      </w:r>
      <w:r w:rsidR="006842D6" w:rsidRPr="00D16196">
        <w:t xml:space="preserve">on a </w:t>
      </w:r>
      <w:r w:rsidR="00643B61" w:rsidRPr="00D16196">
        <w:t>care and protection order</w:t>
      </w:r>
      <w:r w:rsidR="00B07C21" w:rsidRPr="00D16196">
        <w:t xml:space="preserve">, </w:t>
      </w:r>
      <w:r w:rsidR="006842D6" w:rsidRPr="00D16196">
        <w:t>l</w:t>
      </w:r>
      <w:r w:rsidR="00F95031" w:rsidRPr="00D16196">
        <w:t>ength of time in continuous out-of-</w:t>
      </w:r>
      <w:r w:rsidR="007F0D6A" w:rsidRPr="00D16196">
        <w:t>home care</w:t>
      </w:r>
      <w:r w:rsidR="00B07C21" w:rsidRPr="00D16196">
        <w:t>,</w:t>
      </w:r>
      <w:r w:rsidR="007F0D6A" w:rsidRPr="00D16196">
        <w:t xml:space="preserve"> </w:t>
      </w:r>
      <w:r w:rsidR="00B07C21" w:rsidRPr="00D16196">
        <w:t xml:space="preserve">and the number of </w:t>
      </w:r>
      <w:r w:rsidR="006842D6" w:rsidRPr="00D16196">
        <w:t>children who exited c</w:t>
      </w:r>
      <w:r w:rsidR="007E7FE9" w:rsidRPr="00D16196">
        <w:t xml:space="preserve">are </w:t>
      </w:r>
      <w:r w:rsidR="006842D6" w:rsidRPr="00D16196">
        <w:t>and length of time spent in care.</w:t>
      </w:r>
    </w:p>
    <w:p w:rsidR="00B97330" w:rsidRPr="00D16196" w:rsidRDefault="00B97330" w:rsidP="00D16196">
      <w:pPr>
        <w:pStyle w:val="BodyText"/>
      </w:pPr>
      <w:r w:rsidRPr="00D16196">
        <w:t>Definitions for the key terms above are available in section 15.5.</w:t>
      </w:r>
    </w:p>
    <w:p w:rsidR="006842D6" w:rsidRPr="00D16196" w:rsidRDefault="0090622D" w:rsidP="00D16196">
      <w:pPr>
        <w:pStyle w:val="Heading3"/>
      </w:pPr>
      <w:r w:rsidRPr="00D16196">
        <w:lastRenderedPageBreak/>
        <w:t>Funding</w:t>
      </w:r>
    </w:p>
    <w:p w:rsidR="00C50E67" w:rsidRPr="00D16196" w:rsidRDefault="00C50E67" w:rsidP="00D16196">
      <w:pPr>
        <w:pStyle w:val="BodyText"/>
      </w:pPr>
      <w:r w:rsidRPr="00D16196">
        <w:t xml:space="preserve">Total recurrent expenditure on child protection, out-of-home care, family support services and intensive family support services was $4.3 billion nationally in 2014-15 </w:t>
      </w:r>
      <w:r w:rsidR="00CC4639" w:rsidRPr="00D16196">
        <w:t>(</w:t>
      </w:r>
      <w:r w:rsidRPr="00D16196">
        <w:t>a real increase of $239.2 million (5.8 per cent) from 2013-14</w:t>
      </w:r>
      <w:r w:rsidR="00CC4639" w:rsidRPr="00D16196">
        <w:t>)</w:t>
      </w:r>
      <w:r w:rsidR="00655A37" w:rsidRPr="00D16196">
        <w:t xml:space="preserve"> of which </w:t>
      </w:r>
      <w:r w:rsidRPr="00D16196">
        <w:t>out-of-home care services accounted for the majority (56.2 per cent, or $2.4 billion).</w:t>
      </w:r>
      <w:r w:rsidRPr="00D16196" w:rsidDel="00256192">
        <w:t xml:space="preserve"> </w:t>
      </w:r>
      <w:r w:rsidRPr="00D16196">
        <w:t xml:space="preserve">Nationally, annual real expenditure on </w:t>
      </w:r>
      <w:r w:rsidR="00655A37" w:rsidRPr="00D16196">
        <w:t xml:space="preserve">these </w:t>
      </w:r>
      <w:r w:rsidRPr="00D16196">
        <w:t>services has increased by $472.5 million since 2011-12 (the period when expenditure on family support services was first reported), an average increase of 3.9 per cent per year for the past four years (table</w:t>
      </w:r>
      <w:r w:rsidR="00313A1C" w:rsidRPr="00D16196">
        <w:t xml:space="preserve"> </w:t>
      </w:r>
      <w:proofErr w:type="spellStart"/>
      <w:r w:rsidR="00313A1C" w:rsidRPr="00D16196">
        <w:t>15A.1</w:t>
      </w:r>
      <w:proofErr w:type="spellEnd"/>
      <w:r w:rsidR="00655A37" w:rsidRPr="00D16196">
        <w:t>).</w:t>
      </w:r>
    </w:p>
    <w:p w:rsidR="00FA6804" w:rsidRPr="00D16196" w:rsidRDefault="000B62AD" w:rsidP="00D16196">
      <w:pPr>
        <w:pStyle w:val="BodyText"/>
      </w:pPr>
      <w:r w:rsidRPr="00D16196">
        <w:t xml:space="preserve">In </w:t>
      </w:r>
      <w:r w:rsidR="00F07848" w:rsidRPr="00D16196">
        <w:t>201</w:t>
      </w:r>
      <w:r w:rsidR="00F64CF9" w:rsidRPr="00D16196">
        <w:t>4</w:t>
      </w:r>
      <w:r w:rsidR="00F07848" w:rsidRPr="00D16196">
        <w:t>-1</w:t>
      </w:r>
      <w:r w:rsidR="00F64CF9" w:rsidRPr="00D16196">
        <w:t>5</w:t>
      </w:r>
      <w:r w:rsidRPr="00D16196">
        <w:t>, real recurrent expenditure on child protection, out-of-home care</w:t>
      </w:r>
      <w:r w:rsidR="00A56E3D" w:rsidRPr="00D16196">
        <w:t>,</w:t>
      </w:r>
      <w:r w:rsidRPr="00D16196">
        <w:t xml:space="preserve"> </w:t>
      </w:r>
      <w:r w:rsidR="0074223A" w:rsidRPr="00D16196">
        <w:t xml:space="preserve">family support services and </w:t>
      </w:r>
      <w:r w:rsidRPr="00D16196">
        <w:t xml:space="preserve">intensive family support services </w:t>
      </w:r>
      <w:r w:rsidR="009D2EA5" w:rsidRPr="00D16196">
        <w:t>per child aged 0</w:t>
      </w:r>
      <w:r w:rsidR="00036FFF" w:rsidRPr="00D16196">
        <w:t>–</w:t>
      </w:r>
      <w:r w:rsidRPr="00D16196">
        <w:t>1</w:t>
      </w:r>
      <w:r w:rsidR="00A56E3D" w:rsidRPr="00D16196">
        <w:t>7</w:t>
      </w:r>
      <w:r w:rsidR="009D2EA5" w:rsidRPr="00D16196">
        <w:t> </w:t>
      </w:r>
      <w:r w:rsidR="00A56E3D" w:rsidRPr="00D16196">
        <w:t xml:space="preserve">years in the population was </w:t>
      </w:r>
      <w:r w:rsidR="0074223A" w:rsidRPr="00D16196">
        <w:t>$8</w:t>
      </w:r>
      <w:r w:rsidR="00F04192" w:rsidRPr="00D16196">
        <w:t xml:space="preserve">15 </w:t>
      </w:r>
      <w:r w:rsidRPr="00D16196">
        <w:t>nationally</w:t>
      </w:r>
      <w:r w:rsidR="00FA6804" w:rsidRPr="00D16196">
        <w:t>.</w:t>
      </w:r>
      <w:r w:rsidRPr="00D16196">
        <w:t xml:space="preserve"> </w:t>
      </w:r>
      <w:r w:rsidR="0074223A" w:rsidRPr="00D16196">
        <w:t xml:space="preserve">This figure has increased </w:t>
      </w:r>
      <w:r w:rsidR="00655A37" w:rsidRPr="00D16196">
        <w:t>from 2011-12 ($752 nationally) (figure 15.2)</w:t>
      </w:r>
      <w:r w:rsidRPr="00D16196">
        <w:t xml:space="preserve">. </w:t>
      </w:r>
    </w:p>
    <w:p w:rsidR="008779D0" w:rsidRPr="00D16196" w:rsidRDefault="008779D0"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79D0" w:rsidRPr="00D16196" w:rsidTr="003E4FCA">
        <w:tc>
          <w:tcPr>
            <w:tcW w:w="8771" w:type="dxa"/>
            <w:tcBorders>
              <w:top w:val="single" w:sz="6" w:space="0" w:color="78A22F"/>
              <w:left w:val="nil"/>
              <w:bottom w:val="nil"/>
              <w:right w:val="nil"/>
            </w:tcBorders>
            <w:shd w:val="clear" w:color="auto" w:fill="auto"/>
          </w:tcPr>
          <w:p w:rsidR="008779D0" w:rsidRPr="00D16196" w:rsidRDefault="008779D0" w:rsidP="00D16196">
            <w:pPr>
              <w:pStyle w:val="FigureTitle"/>
            </w:pPr>
            <w:r w:rsidRPr="00D16196">
              <w:rPr>
                <w:b w:val="0"/>
              </w:rPr>
              <w:t>Figure</w:t>
            </w:r>
            <w:r w:rsidR="00313A1C" w:rsidRPr="00D16196">
              <w:rPr>
                <w:b w:val="0"/>
              </w:rPr>
              <w:t xml:space="preserve"> 15.2</w:t>
            </w:r>
            <w:r w:rsidRPr="00D16196">
              <w:tab/>
            </w:r>
            <w:r w:rsidR="0074223A" w:rsidRPr="00D16196">
              <w:t>Total r</w:t>
            </w:r>
            <w:r w:rsidRPr="00D16196">
              <w:t xml:space="preserve">eal recurrent expenditure on </w:t>
            </w:r>
            <w:r w:rsidR="0074223A" w:rsidRPr="00D16196">
              <w:t xml:space="preserve">all </w:t>
            </w:r>
            <w:r w:rsidRPr="00D16196">
              <w:t>child protection</w:t>
            </w:r>
            <w:r w:rsidR="0074223A" w:rsidRPr="00D16196">
              <w:t xml:space="preserve"> services, </w:t>
            </w:r>
            <w:r w:rsidRPr="00D16196">
              <w:t>per child (201</w:t>
            </w:r>
            <w:r w:rsidR="0011798E" w:rsidRPr="00D16196">
              <w:t>4</w:t>
            </w:r>
            <w:r w:rsidRPr="00D16196">
              <w:t>-1</w:t>
            </w:r>
            <w:r w:rsidR="0011798E" w:rsidRPr="00D16196">
              <w:t>5</w:t>
            </w:r>
            <w:r w:rsidRPr="00D16196">
              <w:t xml:space="preserve"> dollars)</w:t>
            </w:r>
            <w:r w:rsidRPr="00D16196">
              <w:rPr>
                <w:rStyle w:val="NoteLabel"/>
                <w:b/>
              </w:rPr>
              <w:t>a</w:t>
            </w:r>
          </w:p>
        </w:tc>
      </w:tr>
      <w:tr w:rsidR="008779D0" w:rsidRPr="00D16196"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D0E6AA" w:themeFill="accent3" w:themeFillTint="99"/>
              <w:tblLayout w:type="fixed"/>
              <w:tblCellMar>
                <w:top w:w="28" w:type="dxa"/>
              </w:tblCellMar>
              <w:tblLook w:val="0000" w:firstRow="0" w:lastRow="0" w:firstColumn="0" w:lastColumn="0" w:noHBand="0" w:noVBand="0"/>
            </w:tblPr>
            <w:tblGrid>
              <w:gridCol w:w="8487"/>
            </w:tblGrid>
            <w:tr w:rsidR="008779D0" w:rsidRPr="00D16196" w:rsidTr="00F04192">
              <w:tc>
                <w:tcPr>
                  <w:tcW w:w="8487" w:type="dxa"/>
                  <w:tcBorders>
                    <w:top w:val="nil"/>
                    <w:bottom w:val="nil"/>
                  </w:tcBorders>
                  <w:shd w:val="clear" w:color="auto" w:fill="auto"/>
                </w:tcPr>
                <w:p w:rsidR="008779D0" w:rsidRPr="00D16196" w:rsidRDefault="00F04192" w:rsidP="00D16196">
                  <w:pPr>
                    <w:pStyle w:val="Figure"/>
                  </w:pPr>
                  <w:r w:rsidRPr="00D16196">
                    <w:rPr>
                      <w:noProof/>
                    </w:rPr>
                    <w:drawing>
                      <wp:inline distT="0" distB="0" distL="0" distR="0" wp14:anchorId="7C0E518F" wp14:editId="4C5BC379">
                        <wp:extent cx="5400000" cy="2700000"/>
                        <wp:effectExtent l="0" t="0" r="0" b="5715"/>
                        <wp:docPr id="30" name="Chart 30" descr="Figure 15.2 Total real recurrent expenditure on all child protection services, per child (2014-15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8779D0" w:rsidRPr="00D16196" w:rsidRDefault="008779D0" w:rsidP="00D16196">
            <w:pPr>
              <w:pStyle w:val="Figure"/>
            </w:pPr>
          </w:p>
        </w:tc>
      </w:tr>
      <w:tr w:rsidR="008779D0" w:rsidRPr="00D16196" w:rsidTr="003E4FCA">
        <w:tc>
          <w:tcPr>
            <w:tcW w:w="8771" w:type="dxa"/>
            <w:tcBorders>
              <w:top w:val="nil"/>
              <w:left w:val="nil"/>
              <w:bottom w:val="nil"/>
              <w:right w:val="nil"/>
            </w:tcBorders>
            <w:shd w:val="clear" w:color="auto" w:fill="auto"/>
          </w:tcPr>
          <w:p w:rsidR="008779D0" w:rsidRPr="00D16196" w:rsidRDefault="008779D0" w:rsidP="00D16196">
            <w:pPr>
              <w:pStyle w:val="Note"/>
            </w:pPr>
            <w:r w:rsidRPr="00D16196">
              <w:rPr>
                <w:rStyle w:val="NoteLabel"/>
              </w:rPr>
              <w:t>a</w:t>
            </w:r>
            <w:r w:rsidRPr="00D16196">
              <w:t xml:space="preserve"> Refer to table</w:t>
            </w:r>
            <w:r w:rsidR="0074223A" w:rsidRPr="00D16196">
              <w:t xml:space="preserve"> </w:t>
            </w:r>
            <w:proofErr w:type="spellStart"/>
            <w:r w:rsidR="0074223A" w:rsidRPr="00D16196">
              <w:t>15A.1</w:t>
            </w:r>
            <w:proofErr w:type="spellEnd"/>
            <w:r w:rsidR="0074223A" w:rsidRPr="00D16196">
              <w:t xml:space="preserve"> </w:t>
            </w:r>
            <w:r w:rsidRPr="00D16196">
              <w:t xml:space="preserve">for detailed footnotes and </w:t>
            </w:r>
            <w:r w:rsidR="0074223A" w:rsidRPr="00D16196">
              <w:t xml:space="preserve">caveats. </w:t>
            </w:r>
          </w:p>
        </w:tc>
      </w:tr>
      <w:tr w:rsidR="008779D0" w:rsidRPr="00D16196" w:rsidTr="003E4FCA">
        <w:tc>
          <w:tcPr>
            <w:tcW w:w="8771" w:type="dxa"/>
            <w:tcBorders>
              <w:top w:val="nil"/>
              <w:left w:val="nil"/>
              <w:bottom w:val="nil"/>
              <w:right w:val="nil"/>
            </w:tcBorders>
            <w:shd w:val="clear" w:color="auto" w:fill="auto"/>
          </w:tcPr>
          <w:p w:rsidR="008779D0" w:rsidRPr="00D16196" w:rsidRDefault="008779D0" w:rsidP="00D16196">
            <w:pPr>
              <w:pStyle w:val="Source"/>
            </w:pPr>
            <w:r w:rsidRPr="00D16196">
              <w:rPr>
                <w:i/>
              </w:rPr>
              <w:t>Source</w:t>
            </w:r>
            <w:r w:rsidRPr="00D16196">
              <w:t>: State and Territory governments (unpublished); table</w:t>
            </w:r>
            <w:r w:rsidR="0074223A" w:rsidRPr="00D16196">
              <w:t xml:space="preserve"> </w:t>
            </w:r>
            <w:proofErr w:type="spellStart"/>
            <w:r w:rsidR="0074223A" w:rsidRPr="00D16196">
              <w:t>15A.1</w:t>
            </w:r>
            <w:proofErr w:type="spellEnd"/>
            <w:r w:rsidRPr="00D16196">
              <w:t>.</w:t>
            </w:r>
          </w:p>
        </w:tc>
      </w:tr>
      <w:tr w:rsidR="008779D0" w:rsidRPr="00D16196" w:rsidTr="003E4FCA">
        <w:tc>
          <w:tcPr>
            <w:tcW w:w="8771" w:type="dxa"/>
            <w:tcBorders>
              <w:top w:val="nil"/>
              <w:left w:val="nil"/>
              <w:bottom w:val="single" w:sz="6" w:space="0" w:color="78A22F"/>
              <w:right w:val="nil"/>
            </w:tcBorders>
            <w:shd w:val="clear" w:color="auto" w:fill="auto"/>
          </w:tcPr>
          <w:p w:rsidR="008779D0" w:rsidRPr="00D16196" w:rsidRDefault="008779D0" w:rsidP="00D16196">
            <w:pPr>
              <w:pStyle w:val="Figurespace"/>
            </w:pPr>
          </w:p>
        </w:tc>
      </w:tr>
      <w:tr w:rsidR="008779D0" w:rsidRPr="00D16196" w:rsidTr="003E4FCA">
        <w:tc>
          <w:tcPr>
            <w:tcW w:w="8771" w:type="dxa"/>
            <w:tcBorders>
              <w:top w:val="single" w:sz="6" w:space="0" w:color="78A22F"/>
              <w:left w:val="nil"/>
              <w:bottom w:val="nil"/>
              <w:right w:val="nil"/>
            </w:tcBorders>
          </w:tcPr>
          <w:p w:rsidR="008779D0" w:rsidRPr="00D16196" w:rsidRDefault="008779D0" w:rsidP="00D16196">
            <w:pPr>
              <w:pStyle w:val="BoxSpaceBelow"/>
            </w:pPr>
          </w:p>
        </w:tc>
      </w:tr>
    </w:tbl>
    <w:p w:rsidR="000027A3" w:rsidRPr="00D16196" w:rsidRDefault="000027A3" w:rsidP="00D16196">
      <w:pPr>
        <w:pStyle w:val="BodyText"/>
      </w:pPr>
      <w:r w:rsidRPr="00D16196">
        <w:t>Ideally, the full range of costs to government would be determined on a comparable basis across jurisdictions. Where full costs cannot be calculated, costs should be estimated on a consistent basis across jurisdictions. However, in the area of child protection, there are differences across jurisdictions in the calculation of expenditure.</w:t>
      </w:r>
      <w:r w:rsidR="00D54678" w:rsidRPr="00D16196">
        <w:t xml:space="preserve"> </w:t>
      </w:r>
      <w:r w:rsidRPr="00D16196">
        <w:t>Table</w:t>
      </w:r>
      <w:r w:rsidR="00D54678" w:rsidRPr="00D16196">
        <w:t xml:space="preserve"> </w:t>
      </w:r>
      <w:proofErr w:type="spellStart"/>
      <w:r w:rsidR="00D54678" w:rsidRPr="00D16196">
        <w:t>15A.4</w:t>
      </w:r>
      <w:proofErr w:type="spellEnd"/>
      <w:r w:rsidR="00D54678" w:rsidRPr="00D16196">
        <w:t xml:space="preserve"> </w:t>
      </w:r>
      <w:r w:rsidRPr="00D16196">
        <w:t xml:space="preserve">identifies the level of consistency across jurisdictions for a number of expenditure items. </w:t>
      </w:r>
    </w:p>
    <w:p w:rsidR="006842D6" w:rsidRPr="00D16196" w:rsidRDefault="006842D6" w:rsidP="00D16196">
      <w:pPr>
        <w:pStyle w:val="Heading2"/>
      </w:pPr>
      <w:bookmarkStart w:id="24" w:name="_Toc369851911"/>
      <w:bookmarkStart w:id="25" w:name="_Toc432581225"/>
      <w:r w:rsidRPr="00D16196">
        <w:lastRenderedPageBreak/>
        <w:t>15.2</w:t>
      </w:r>
      <w:r w:rsidRPr="00D16196">
        <w:tab/>
        <w:t>Framework of performance indicators</w:t>
      </w:r>
      <w:bookmarkEnd w:id="24"/>
      <w:bookmarkEnd w:id="25"/>
    </w:p>
    <w:p w:rsidR="006842D6" w:rsidRPr="00D16196" w:rsidRDefault="006842D6" w:rsidP="00D16196">
      <w:pPr>
        <w:pStyle w:val="BodyText"/>
      </w:pPr>
      <w:r w:rsidRPr="00D16196">
        <w:t>The framework of performance indicators for child protection services is based on shared government objectives (box</w:t>
      </w:r>
      <w:r w:rsidR="00313A1C" w:rsidRPr="00D16196">
        <w:t xml:space="preserve"> 15.2</w:t>
      </w:r>
      <w:r w:rsidRPr="00D16196">
        <w:t>).</w:t>
      </w:r>
    </w:p>
    <w:p w:rsidR="00023DD4" w:rsidRPr="00D16196" w:rsidRDefault="00023DD4"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3DD4" w:rsidRPr="00D16196" w:rsidTr="003E4FCA">
        <w:tc>
          <w:tcPr>
            <w:tcW w:w="8771" w:type="dxa"/>
            <w:tcBorders>
              <w:top w:val="single" w:sz="6" w:space="0" w:color="78A22F"/>
              <w:left w:val="nil"/>
              <w:bottom w:val="nil"/>
              <w:right w:val="nil"/>
            </w:tcBorders>
            <w:shd w:val="clear" w:color="auto" w:fill="F2F2F2" w:themeFill="background1" w:themeFillShade="F2"/>
          </w:tcPr>
          <w:p w:rsidR="00023DD4" w:rsidRPr="00D16196" w:rsidRDefault="00023DD4" w:rsidP="00D16196">
            <w:pPr>
              <w:pStyle w:val="BoxTitle"/>
            </w:pPr>
            <w:r w:rsidRPr="00D16196">
              <w:rPr>
                <w:b w:val="0"/>
              </w:rPr>
              <w:t>Box</w:t>
            </w:r>
            <w:r w:rsidR="00313A1C" w:rsidRPr="00D16196">
              <w:rPr>
                <w:b w:val="0"/>
              </w:rPr>
              <w:t xml:space="preserve"> 15.2</w:t>
            </w:r>
            <w:r w:rsidR="00313A1C" w:rsidRPr="00D16196">
              <w:tab/>
            </w:r>
            <w:r w:rsidRPr="00D16196">
              <w:t>Objectives for child protection services</w:t>
            </w:r>
          </w:p>
        </w:tc>
      </w:tr>
      <w:tr w:rsidR="00023DD4" w:rsidRPr="00D16196" w:rsidTr="003E4FCA">
        <w:trPr>
          <w:cantSplit/>
        </w:trPr>
        <w:tc>
          <w:tcPr>
            <w:tcW w:w="8771" w:type="dxa"/>
            <w:tcBorders>
              <w:top w:val="nil"/>
              <w:left w:val="nil"/>
              <w:bottom w:val="nil"/>
              <w:right w:val="nil"/>
            </w:tcBorders>
            <w:shd w:val="clear" w:color="auto" w:fill="F2F2F2" w:themeFill="background1" w:themeFillShade="F2"/>
          </w:tcPr>
          <w:p w:rsidR="00023DD4" w:rsidRPr="00D16196" w:rsidRDefault="00023DD4" w:rsidP="00D16196">
            <w:pPr>
              <w:pStyle w:val="Box"/>
            </w:pPr>
            <w:r w:rsidRPr="00D16196">
              <w:t>The aims of child protection services are to:</w:t>
            </w:r>
          </w:p>
          <w:p w:rsidR="00D54678" w:rsidRPr="00D16196" w:rsidRDefault="00D54678" w:rsidP="00D16196">
            <w:pPr>
              <w:pStyle w:val="BoxListBullet"/>
            </w:pPr>
            <w:r w:rsidRPr="00D16196">
              <w:t>assist families to protect children and young people</w:t>
            </w:r>
          </w:p>
          <w:p w:rsidR="00D54678" w:rsidRPr="00D16196" w:rsidRDefault="00023DD4" w:rsidP="00D16196">
            <w:pPr>
              <w:pStyle w:val="BoxListBullet"/>
            </w:pPr>
            <w:r w:rsidRPr="00D16196">
              <w:t xml:space="preserve">protect children and young people who are at risk of </w:t>
            </w:r>
            <w:r w:rsidR="001B6D13" w:rsidRPr="00D16196">
              <w:t>abuse and neglect</w:t>
            </w:r>
            <w:r w:rsidRPr="00D16196">
              <w:t xml:space="preserve"> within their families or whose families do not have the capacity to provide care and protection</w:t>
            </w:r>
          </w:p>
          <w:p w:rsidR="00023DD4" w:rsidRPr="00D16196" w:rsidRDefault="00023DD4" w:rsidP="00D16196">
            <w:pPr>
              <w:pStyle w:val="BoxListBullet"/>
            </w:pPr>
            <w:r w:rsidRPr="00D16196">
              <w:t xml:space="preserve">provide quality care for children and young people aged 0–17 years who cannot live with their parents for reasons of safety or family crisis. </w:t>
            </w:r>
          </w:p>
          <w:p w:rsidR="00023DD4" w:rsidRPr="00D16196" w:rsidRDefault="00023DD4" w:rsidP="00D16196">
            <w:pPr>
              <w:pStyle w:val="Box"/>
            </w:pPr>
            <w:r w:rsidRPr="00D16196">
              <w:t>Child protection services should be provided in an efficient and effective manner.</w:t>
            </w:r>
          </w:p>
        </w:tc>
      </w:tr>
      <w:tr w:rsidR="00023DD4"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023DD4" w:rsidRPr="00D16196" w:rsidRDefault="00023DD4" w:rsidP="00D16196">
            <w:pPr>
              <w:pStyle w:val="Box"/>
              <w:spacing w:before="0" w:line="120" w:lineRule="exact"/>
            </w:pPr>
          </w:p>
        </w:tc>
      </w:tr>
      <w:tr w:rsidR="00023DD4" w:rsidRPr="00D16196" w:rsidTr="003E4FCA">
        <w:tc>
          <w:tcPr>
            <w:tcW w:w="8771" w:type="dxa"/>
            <w:tcBorders>
              <w:top w:val="single" w:sz="6" w:space="0" w:color="78A22F"/>
              <w:left w:val="nil"/>
              <w:bottom w:val="nil"/>
              <w:right w:val="nil"/>
            </w:tcBorders>
          </w:tcPr>
          <w:p w:rsidR="00023DD4" w:rsidRPr="00D16196" w:rsidRDefault="00023DD4" w:rsidP="00D16196">
            <w:pPr>
              <w:pStyle w:val="BoxSpaceBelow"/>
            </w:pPr>
          </w:p>
        </w:tc>
      </w:tr>
    </w:tbl>
    <w:p w:rsidR="005C3A11" w:rsidRPr="00D16196" w:rsidRDefault="00452A78" w:rsidP="00D16196">
      <w:pPr>
        <w:pStyle w:val="BodyText"/>
      </w:pPr>
      <w:r w:rsidRPr="00D16196">
        <w:t>The performance indicator framework provides information on equity, efficiency and effectiveness, and distinguishes the outputs and outcomes of child protection services (figure</w:t>
      </w:r>
      <w:r w:rsidR="00313A1C" w:rsidRPr="00D16196">
        <w:t xml:space="preserve"> 15.3</w:t>
      </w:r>
      <w:r w:rsidRPr="00D16196">
        <w:t>). The performance indicator framework shows which data are comparable in the 201</w:t>
      </w:r>
      <w:r w:rsidR="0011798E" w:rsidRPr="00D16196">
        <w:t>6</w:t>
      </w:r>
      <w:r w:rsidRPr="00D16196">
        <w:t xml:space="preserve"> Report. For data that are not considered directly comparable, the text includes relevant caveats and</w:t>
      </w:r>
      <w:r w:rsidR="00734176" w:rsidRPr="00D16196">
        <w:t xml:space="preserve"> supporting commentary. Chapter </w:t>
      </w:r>
      <w:r w:rsidRPr="00D16196">
        <w:t xml:space="preserve">1 discusses data comparability </w:t>
      </w:r>
      <w:r w:rsidR="00A81103" w:rsidRPr="00D16196">
        <w:t xml:space="preserve">and data completeness </w:t>
      </w:r>
      <w:r w:rsidRPr="00D16196">
        <w:t>from a Report-wide perspective (see section 1.6).</w:t>
      </w:r>
    </w:p>
    <w:p w:rsidR="00D54678" w:rsidRPr="00D16196" w:rsidRDefault="00D54678" w:rsidP="00D16196">
      <w:pPr>
        <w:pStyle w:val="BodyText"/>
        <w:rPr>
          <w:szCs w:val="26"/>
        </w:rPr>
      </w:pPr>
      <w:r w:rsidRPr="00D16196">
        <w:rPr>
          <w:szCs w:val="26"/>
        </w:rPr>
        <w:t xml:space="preserve">In addition to section 15.1, the Report’s statistical context chapter contains data that may assist in interpreting the performance indicators presented in this chapter. </w:t>
      </w:r>
      <w:r w:rsidRPr="00D16196">
        <w:t>These data cover a range of demographic and geographic characteristics</w:t>
      </w:r>
      <w:r w:rsidRPr="00D16196">
        <w:rPr>
          <w:szCs w:val="26"/>
        </w:rPr>
        <w:t xml:space="preserve"> (chapter 2).</w:t>
      </w:r>
    </w:p>
    <w:p w:rsidR="009176D2" w:rsidRPr="00D16196" w:rsidRDefault="009176D2" w:rsidP="00D16196">
      <w:pPr>
        <w:pStyle w:val="BodyText"/>
      </w:pPr>
      <w:r w:rsidRPr="00D16196">
        <w:t>Prior to the 2014 R</w:t>
      </w:r>
      <w:r w:rsidR="00713880" w:rsidRPr="00D16196">
        <w:t>eport</w:t>
      </w:r>
      <w:r w:rsidRPr="00D16196">
        <w:t xml:space="preserve">, child protection data were sourced from the </w:t>
      </w:r>
      <w:proofErr w:type="spellStart"/>
      <w:r w:rsidRPr="00D16196">
        <w:t>AIHW</w:t>
      </w:r>
      <w:r w:rsidR="00D54678" w:rsidRPr="00D16196">
        <w:t>’s</w:t>
      </w:r>
      <w:proofErr w:type="spellEnd"/>
      <w:r w:rsidRPr="00D16196">
        <w:t xml:space="preserve"> national child protection aggregate data collection (with data having been supplied to the </w:t>
      </w:r>
      <w:proofErr w:type="spellStart"/>
      <w:r w:rsidRPr="00D16196">
        <w:t>AIHW</w:t>
      </w:r>
      <w:proofErr w:type="spellEnd"/>
      <w:r w:rsidRPr="00D16196">
        <w:t xml:space="preserve"> by State and Territory governments). In 2013, the </w:t>
      </w:r>
      <w:proofErr w:type="spellStart"/>
      <w:r w:rsidRPr="00D16196">
        <w:t>AIHW</w:t>
      </w:r>
      <w:proofErr w:type="spellEnd"/>
      <w:r w:rsidRPr="00D16196">
        <w:t xml:space="preserve"> began implementing a child-based unit record collection for child protection services. </w:t>
      </w:r>
      <w:r w:rsidR="0011798E" w:rsidRPr="00D16196">
        <w:t xml:space="preserve">Data for this Report were derived from the </w:t>
      </w:r>
      <w:proofErr w:type="spellStart"/>
      <w:r w:rsidR="0011798E" w:rsidRPr="00D16196">
        <w:t>AIHW’s</w:t>
      </w:r>
      <w:proofErr w:type="spellEnd"/>
      <w:r w:rsidR="0011798E" w:rsidRPr="00D16196">
        <w:t xml:space="preserve"> new child-based unit record collection for all jurisdictions except NSW. Data for NSW were sourced directly from the NSW </w:t>
      </w:r>
      <w:r w:rsidR="00655A37" w:rsidRPr="00D16196">
        <w:t>G</w:t>
      </w:r>
      <w:r w:rsidR="0011798E" w:rsidRPr="00D16196">
        <w:t xml:space="preserve">overnment. </w:t>
      </w:r>
      <w:r w:rsidRPr="00D16196">
        <w:t xml:space="preserve">The move from the aggregate </w:t>
      </w:r>
      <w:r w:rsidR="0011798E" w:rsidRPr="00D16196">
        <w:t xml:space="preserve">data </w:t>
      </w:r>
      <w:r w:rsidRPr="00D16196">
        <w:t xml:space="preserve">collection to the unit record </w:t>
      </w:r>
      <w:r w:rsidR="0011798E" w:rsidRPr="00D16196">
        <w:t xml:space="preserve">data </w:t>
      </w:r>
      <w:r w:rsidRPr="00D16196">
        <w:t>collection has not affected the comparability of child protection data over time.</w:t>
      </w:r>
    </w:p>
    <w:p w:rsidR="00023DD4" w:rsidRPr="00D16196" w:rsidRDefault="00023DD4"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3DD4" w:rsidRPr="00D16196" w:rsidTr="003E4FCA">
        <w:tc>
          <w:tcPr>
            <w:tcW w:w="8771" w:type="dxa"/>
            <w:tcBorders>
              <w:top w:val="single" w:sz="6" w:space="0" w:color="78A22F"/>
              <w:left w:val="nil"/>
              <w:bottom w:val="nil"/>
              <w:right w:val="nil"/>
            </w:tcBorders>
            <w:shd w:val="clear" w:color="auto" w:fill="auto"/>
          </w:tcPr>
          <w:p w:rsidR="00023DD4" w:rsidRPr="00D16196" w:rsidRDefault="00023DD4" w:rsidP="00D16196">
            <w:pPr>
              <w:pStyle w:val="FigureTitle"/>
            </w:pPr>
            <w:r w:rsidRPr="00D16196">
              <w:rPr>
                <w:b w:val="0"/>
              </w:rPr>
              <w:t>Figure</w:t>
            </w:r>
            <w:r w:rsidR="00313A1C" w:rsidRPr="00D16196">
              <w:rPr>
                <w:b w:val="0"/>
              </w:rPr>
              <w:t xml:space="preserve"> 15.3</w:t>
            </w:r>
            <w:r w:rsidRPr="00D16196">
              <w:tab/>
              <w:t>Child protection services performance indicator framework</w:t>
            </w:r>
          </w:p>
        </w:tc>
      </w:tr>
      <w:tr w:rsidR="00023DD4" w:rsidRPr="00D16196"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23DD4" w:rsidRPr="00D16196" w:rsidTr="00172430">
              <w:trPr>
                <w:trHeight w:val="9650"/>
              </w:trPr>
              <w:tc>
                <w:tcPr>
                  <w:tcW w:w="5000" w:type="pct"/>
                  <w:tcBorders>
                    <w:top w:val="nil"/>
                    <w:bottom w:val="nil"/>
                  </w:tcBorders>
                </w:tcPr>
                <w:p w:rsidR="00023DD4" w:rsidRPr="00D16196" w:rsidRDefault="000754DD" w:rsidP="00D16196">
                  <w:pPr>
                    <w:pStyle w:val="Figure"/>
                  </w:pPr>
                  <w:r w:rsidRPr="00D16196">
                    <w:rPr>
                      <w:noProof/>
                    </w:rPr>
                    <w:drawing>
                      <wp:inline distT="0" distB="0" distL="0" distR="0" wp14:anchorId="7766E1C7" wp14:editId="40F093EB">
                        <wp:extent cx="5502209" cy="6305107"/>
                        <wp:effectExtent l="0" t="0" r="0" b="635"/>
                        <wp:docPr id="37" name="Picture 37" descr="Figure 15.3 Child protection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1000" cy="6303722"/>
                                </a:xfrm>
                                <a:prstGeom prst="rect">
                                  <a:avLst/>
                                </a:prstGeom>
                                <a:noFill/>
                                <a:ln>
                                  <a:noFill/>
                                </a:ln>
                              </pic:spPr>
                            </pic:pic>
                          </a:graphicData>
                        </a:graphic>
                      </wp:inline>
                    </w:drawing>
                  </w:r>
                </w:p>
              </w:tc>
            </w:tr>
          </w:tbl>
          <w:p w:rsidR="00023DD4" w:rsidRPr="00D16196" w:rsidRDefault="00023DD4" w:rsidP="00D16196">
            <w:pPr>
              <w:pStyle w:val="Figure"/>
            </w:pPr>
          </w:p>
        </w:tc>
      </w:tr>
      <w:tr w:rsidR="00023DD4" w:rsidRPr="00D16196" w:rsidTr="00CA3396">
        <w:trPr>
          <w:trHeight w:val="68"/>
        </w:trPr>
        <w:tc>
          <w:tcPr>
            <w:tcW w:w="8771" w:type="dxa"/>
            <w:tcBorders>
              <w:top w:val="nil"/>
              <w:left w:val="nil"/>
              <w:bottom w:val="single" w:sz="6" w:space="0" w:color="78A22F"/>
              <w:right w:val="nil"/>
            </w:tcBorders>
            <w:shd w:val="clear" w:color="auto" w:fill="auto"/>
          </w:tcPr>
          <w:p w:rsidR="00023DD4" w:rsidRPr="00D16196" w:rsidRDefault="00023DD4" w:rsidP="00D16196">
            <w:pPr>
              <w:pStyle w:val="Figurespace"/>
            </w:pPr>
          </w:p>
        </w:tc>
      </w:tr>
      <w:tr w:rsidR="00023DD4" w:rsidRPr="00D16196" w:rsidTr="003E4FCA">
        <w:tc>
          <w:tcPr>
            <w:tcW w:w="8771" w:type="dxa"/>
            <w:tcBorders>
              <w:top w:val="single" w:sz="6" w:space="0" w:color="78A22F"/>
              <w:left w:val="nil"/>
              <w:bottom w:val="nil"/>
              <w:right w:val="nil"/>
            </w:tcBorders>
          </w:tcPr>
          <w:p w:rsidR="00023DD4" w:rsidRPr="00D16196" w:rsidRDefault="00023DD4" w:rsidP="00D16196">
            <w:pPr>
              <w:pStyle w:val="BoxSpaceBelow"/>
            </w:pPr>
          </w:p>
        </w:tc>
      </w:tr>
    </w:tbl>
    <w:p w:rsidR="00D54678" w:rsidRPr="00D16196" w:rsidRDefault="00D54678" w:rsidP="00D16196">
      <w:pPr>
        <w:pStyle w:val="Heading2"/>
      </w:pPr>
      <w:bookmarkStart w:id="26" w:name="_Toc369851912"/>
    </w:p>
    <w:p w:rsidR="00D54678" w:rsidRPr="00D16196" w:rsidRDefault="00D54678" w:rsidP="00D16196">
      <w:pPr>
        <w:pStyle w:val="BodyText"/>
        <w:rPr>
          <w:rFonts w:ascii="Arial" w:hAnsi="Arial"/>
          <w:sz w:val="32"/>
        </w:rPr>
      </w:pPr>
      <w:r w:rsidRPr="00D16196">
        <w:br w:type="page"/>
      </w:r>
    </w:p>
    <w:p w:rsidR="00323C50" w:rsidRPr="00D16196" w:rsidRDefault="00323C50" w:rsidP="00D16196">
      <w:pPr>
        <w:pStyle w:val="Heading2"/>
      </w:pPr>
      <w:bookmarkStart w:id="27" w:name="_Toc432581226"/>
      <w:r w:rsidRPr="00D16196">
        <w:lastRenderedPageBreak/>
        <w:t>15.3</w:t>
      </w:r>
      <w:r w:rsidRPr="00D16196">
        <w:tab/>
        <w:t>Key performance indicator results</w:t>
      </w:r>
      <w:bookmarkEnd w:id="26"/>
      <w:bookmarkEnd w:id="27"/>
    </w:p>
    <w:p w:rsidR="00323C50" w:rsidRPr="00D16196" w:rsidRDefault="00323C50" w:rsidP="00D16196">
      <w:pPr>
        <w:pStyle w:val="BodyText"/>
      </w:pPr>
      <w:r w:rsidRPr="00D16196">
        <w:t>Different delivery contexts, locations an</w:t>
      </w:r>
      <w:r w:rsidR="004362DA" w:rsidRPr="00D16196">
        <w:t>d clients can affect the equity</w:t>
      </w:r>
      <w:r w:rsidRPr="00D16196">
        <w:t>, effectiveness and efficiency of child protection services.</w:t>
      </w:r>
    </w:p>
    <w:p w:rsidR="00D54678" w:rsidRPr="00D16196" w:rsidRDefault="00D54678" w:rsidP="00D16196">
      <w:pPr>
        <w:pStyle w:val="BodyText"/>
        <w:rPr>
          <w:rFonts w:eastAsia="Calibri"/>
          <w:color w:val="000000" w:themeColor="text1"/>
          <w:lang w:eastAsia="en-US"/>
        </w:rPr>
      </w:pPr>
      <w:r w:rsidRPr="00D16196">
        <w:rPr>
          <w:rFonts w:eastAsia="Calibri"/>
          <w:color w:val="000000" w:themeColor="text1"/>
          <w:lang w:eastAsia="en-US"/>
        </w:rPr>
        <w:t>Data quality information (</w:t>
      </w:r>
      <w:proofErr w:type="spellStart"/>
      <w:r w:rsidRPr="00D16196">
        <w:rPr>
          <w:rFonts w:eastAsia="Calibri"/>
          <w:color w:val="000000" w:themeColor="text1"/>
          <w:lang w:eastAsia="en-US"/>
        </w:rPr>
        <w:t>DQI</w:t>
      </w:r>
      <w:proofErr w:type="spellEnd"/>
      <w:r w:rsidRPr="00D16196">
        <w:rPr>
          <w:rFonts w:eastAsia="Calibri"/>
          <w:color w:val="000000" w:themeColor="text1"/>
          <w:lang w:eastAsia="en-US"/>
        </w:rPr>
        <w:t xml:space="preserve">) is included where available for performance indicators in this Report. The purpose of </w:t>
      </w:r>
      <w:proofErr w:type="spellStart"/>
      <w:r w:rsidRPr="00D16196">
        <w:rPr>
          <w:rFonts w:eastAsia="Calibri"/>
          <w:color w:val="000000" w:themeColor="text1"/>
          <w:lang w:eastAsia="en-US"/>
        </w:rPr>
        <w:t>DQI</w:t>
      </w:r>
      <w:proofErr w:type="spellEnd"/>
      <w:r w:rsidRPr="00D16196">
        <w:rPr>
          <w:rFonts w:eastAsia="Calibri"/>
          <w:color w:val="000000" w:themeColor="text1"/>
          <w:lang w:eastAsia="en-US"/>
        </w:rPr>
        <w:t xml:space="preserve"> is to provide structured and consistent information about quality aspects of data used to report on performance indicators, in addition to material in the chapter or sector overview and attachment tables. All </w:t>
      </w:r>
      <w:proofErr w:type="spellStart"/>
      <w:r w:rsidRPr="00D16196">
        <w:rPr>
          <w:rFonts w:eastAsia="Calibri"/>
          <w:color w:val="000000" w:themeColor="text1"/>
          <w:lang w:eastAsia="en-US"/>
        </w:rPr>
        <w:t>DQI</w:t>
      </w:r>
      <w:proofErr w:type="spellEnd"/>
      <w:r w:rsidRPr="00D16196">
        <w:rPr>
          <w:rFonts w:eastAsia="Calibri"/>
          <w:color w:val="000000" w:themeColor="text1"/>
          <w:lang w:eastAsia="en-US"/>
        </w:rPr>
        <w:t xml:space="preserve"> for the 2016 Report can be found at </w:t>
      </w:r>
      <w:proofErr w:type="spellStart"/>
      <w:r w:rsidR="001D0DF0" w:rsidRPr="00D16196">
        <w:rPr>
          <w:rFonts w:eastAsia="Calibri"/>
        </w:rPr>
        <w:t>www.pc.gov.au</w:t>
      </w:r>
      <w:proofErr w:type="spellEnd"/>
      <w:r w:rsidR="001D0DF0" w:rsidRPr="00D16196">
        <w:rPr>
          <w:rFonts w:eastAsia="Calibri"/>
        </w:rPr>
        <w:t>/</w:t>
      </w:r>
      <w:proofErr w:type="spellStart"/>
      <w:r w:rsidR="001D0DF0" w:rsidRPr="00D16196">
        <w:rPr>
          <w:rFonts w:eastAsia="Calibri"/>
        </w:rPr>
        <w:t>rogs</w:t>
      </w:r>
      <w:proofErr w:type="spellEnd"/>
      <w:r w:rsidR="001D0DF0" w:rsidRPr="00D16196">
        <w:rPr>
          <w:rFonts w:eastAsia="Calibri"/>
        </w:rPr>
        <w:t>/2016</w:t>
      </w:r>
      <w:r w:rsidRPr="00D16196">
        <w:rPr>
          <w:rFonts w:eastAsia="Calibri"/>
          <w:color w:val="000000" w:themeColor="text1"/>
          <w:lang w:eastAsia="en-US"/>
        </w:rPr>
        <w:t>.</w:t>
      </w:r>
    </w:p>
    <w:p w:rsidR="00BD7094" w:rsidRPr="00D16196" w:rsidRDefault="00BD7094" w:rsidP="00D16196">
      <w:pPr>
        <w:pStyle w:val="BodyText"/>
        <w:rPr>
          <w:szCs w:val="26"/>
        </w:rPr>
      </w:pPr>
      <w:r w:rsidRPr="00D16196">
        <w:rPr>
          <w:szCs w:val="26"/>
        </w:rPr>
        <w:t>Performance indicator results may differ from similar data included in some jurisdictions’ annual reports due to different counting rules applied for these jurisdictional reports.</w:t>
      </w:r>
    </w:p>
    <w:p w:rsidR="006842D6" w:rsidRPr="00D16196" w:rsidRDefault="006842D6" w:rsidP="00D16196">
      <w:pPr>
        <w:pStyle w:val="Heading3"/>
      </w:pPr>
      <w:r w:rsidRPr="00D16196">
        <w:t>Outputs</w:t>
      </w:r>
    </w:p>
    <w:p w:rsidR="002F36E4" w:rsidRPr="00D16196" w:rsidRDefault="00D54678" w:rsidP="00D16196">
      <w:pPr>
        <w:pStyle w:val="BodyText"/>
      </w:pPr>
      <w:r w:rsidRPr="00D16196">
        <w:t>Outputs are the services delivered (while outcomes are the impact of these services on the status of an individual or group) (see chapter 1, section 1.5). Output information is also critical for equitable, efficient and effective management of government services.</w:t>
      </w:r>
    </w:p>
    <w:p w:rsidR="006842D6" w:rsidRPr="00D16196" w:rsidRDefault="00D54678" w:rsidP="00D16196">
      <w:pPr>
        <w:pStyle w:val="Heading3"/>
      </w:pPr>
      <w:r w:rsidRPr="00D16196">
        <w:t>Equity</w:t>
      </w:r>
    </w:p>
    <w:p w:rsidR="008167AC" w:rsidRPr="00D16196" w:rsidRDefault="00D54678" w:rsidP="00D16196">
      <w:pPr>
        <w:pStyle w:val="BodyText"/>
      </w:pPr>
      <w:r w:rsidRPr="00D16196">
        <w:t xml:space="preserve">Equity indicators </w:t>
      </w:r>
      <w:r w:rsidR="004362DA" w:rsidRPr="00D16196">
        <w:t xml:space="preserve">for child protection services is </w:t>
      </w:r>
      <w:r w:rsidRPr="00D16196">
        <w:t xml:space="preserve">a key area for development in future reports. These will be indicators of governments’ objective to ensure that all clients have fair and equitable access to services on the basis of relative need and available resources. </w:t>
      </w:r>
    </w:p>
    <w:p w:rsidR="006842D6" w:rsidRPr="00D16196" w:rsidRDefault="006842D6" w:rsidP="00D16196">
      <w:pPr>
        <w:pStyle w:val="Heading4"/>
      </w:pPr>
      <w:r w:rsidRPr="00D16196">
        <w:rPr>
          <w:b/>
          <w:sz w:val="26"/>
        </w:rPr>
        <w:t>Effectiveness</w:t>
      </w:r>
    </w:p>
    <w:p w:rsidR="006842D6" w:rsidRPr="00D16196" w:rsidRDefault="006842D6" w:rsidP="00D16196">
      <w:pPr>
        <w:pStyle w:val="Heading4"/>
      </w:pPr>
      <w:r w:rsidRPr="00D16196">
        <w:t>Child protection services — continuity of case worker</w:t>
      </w:r>
    </w:p>
    <w:p w:rsidR="006842D6" w:rsidRPr="00D16196" w:rsidRDefault="006842D6" w:rsidP="00D16196">
      <w:pPr>
        <w:pStyle w:val="BodyText"/>
      </w:pPr>
      <w:r w:rsidRPr="00D16196">
        <w:t xml:space="preserve">‘Continuity of case worker’ </w:t>
      </w:r>
      <w:r w:rsidR="00B42FDB" w:rsidRPr="00D16196">
        <w:t>is an indicator of governments’ objective to ensure child protection services are delivered in an effective manner</w:t>
      </w:r>
      <w:r w:rsidRPr="00D16196">
        <w:t xml:space="preserve"> (box</w:t>
      </w:r>
      <w:r w:rsidR="00313A1C" w:rsidRPr="00D16196">
        <w:t xml:space="preserve"> 15.2</w:t>
      </w:r>
      <w:r w:rsidRPr="00D16196">
        <w:t>).</w:t>
      </w:r>
    </w:p>
    <w:p w:rsidR="00EF6F03" w:rsidRPr="00D16196" w:rsidRDefault="00EF6F0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6F03" w:rsidRPr="00D16196" w:rsidTr="003E4FCA">
        <w:tc>
          <w:tcPr>
            <w:tcW w:w="8771" w:type="dxa"/>
            <w:tcBorders>
              <w:top w:val="single" w:sz="6" w:space="0" w:color="78A22F"/>
              <w:left w:val="nil"/>
              <w:bottom w:val="nil"/>
              <w:right w:val="nil"/>
            </w:tcBorders>
            <w:shd w:val="clear" w:color="auto" w:fill="F2F2F2" w:themeFill="background1" w:themeFillShade="F2"/>
          </w:tcPr>
          <w:p w:rsidR="00EF6F03" w:rsidRPr="00D16196" w:rsidRDefault="00EF6F03" w:rsidP="00D16196">
            <w:pPr>
              <w:pStyle w:val="BoxTitle"/>
            </w:pPr>
            <w:r w:rsidRPr="00D16196">
              <w:rPr>
                <w:b w:val="0"/>
              </w:rPr>
              <w:t>Box</w:t>
            </w:r>
            <w:r w:rsidR="00313A1C" w:rsidRPr="00D16196">
              <w:rPr>
                <w:b w:val="0"/>
              </w:rPr>
              <w:t xml:space="preserve"> 15.2</w:t>
            </w:r>
            <w:r w:rsidRPr="00D16196">
              <w:tab/>
              <w:t>Continuity of case worker</w:t>
            </w:r>
          </w:p>
        </w:tc>
      </w:tr>
      <w:tr w:rsidR="00EF6F03" w:rsidRPr="00D16196" w:rsidTr="003E4FCA">
        <w:trPr>
          <w:cantSplit/>
        </w:trPr>
        <w:tc>
          <w:tcPr>
            <w:tcW w:w="8771" w:type="dxa"/>
            <w:tcBorders>
              <w:top w:val="nil"/>
              <w:left w:val="nil"/>
              <w:bottom w:val="nil"/>
              <w:right w:val="nil"/>
            </w:tcBorders>
            <w:shd w:val="clear" w:color="auto" w:fill="F2F2F2" w:themeFill="background1" w:themeFillShade="F2"/>
          </w:tcPr>
          <w:p w:rsidR="00EF6F03" w:rsidRPr="00D16196" w:rsidRDefault="00EF6F03" w:rsidP="00D16196">
            <w:pPr>
              <w:pStyle w:val="Box"/>
            </w:pPr>
            <w:r w:rsidRPr="00D16196">
              <w:t>‘Continuity of case worker’ is yet to be defined.</w:t>
            </w:r>
          </w:p>
          <w:p w:rsidR="00EF6F03" w:rsidRPr="00D16196" w:rsidRDefault="00EF6F03" w:rsidP="00D16196">
            <w:pPr>
              <w:pStyle w:val="Box"/>
            </w:pPr>
            <w:r w:rsidRPr="00D16196">
              <w:t xml:space="preserve">The turnover of workers is a frequent criticism of the quality of child protection services. Effective intervention requires a productive working relationship between the </w:t>
            </w:r>
            <w:r w:rsidR="00796D7D" w:rsidRPr="00D16196">
              <w:t xml:space="preserve">case </w:t>
            </w:r>
            <w:r w:rsidRPr="00D16196">
              <w:t>worker and the child and family.</w:t>
            </w:r>
          </w:p>
          <w:p w:rsidR="00EF6F03" w:rsidRPr="00D16196" w:rsidRDefault="00EF6F03" w:rsidP="00D16196">
            <w:pPr>
              <w:pStyle w:val="Box"/>
            </w:pPr>
            <w:r w:rsidRPr="00D16196">
              <w:t>This indicator has been identified for development and reporting in future.</w:t>
            </w:r>
          </w:p>
        </w:tc>
      </w:tr>
      <w:tr w:rsidR="00EF6F03"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EF6F03" w:rsidRPr="00D16196" w:rsidRDefault="00EF6F03" w:rsidP="00D16196">
            <w:pPr>
              <w:pStyle w:val="Box"/>
              <w:spacing w:before="0" w:line="120" w:lineRule="exact"/>
            </w:pPr>
          </w:p>
        </w:tc>
      </w:tr>
      <w:tr w:rsidR="00EF6F03" w:rsidRPr="00D16196" w:rsidTr="003E4FCA">
        <w:tc>
          <w:tcPr>
            <w:tcW w:w="8771" w:type="dxa"/>
            <w:tcBorders>
              <w:top w:val="single" w:sz="6" w:space="0" w:color="78A22F"/>
              <w:left w:val="nil"/>
              <w:bottom w:val="nil"/>
              <w:right w:val="nil"/>
            </w:tcBorders>
          </w:tcPr>
          <w:p w:rsidR="00EF6F03" w:rsidRPr="00D16196" w:rsidRDefault="00EF6F03" w:rsidP="00D16196">
            <w:pPr>
              <w:pStyle w:val="BoxSpaceBelow"/>
            </w:pPr>
          </w:p>
        </w:tc>
      </w:tr>
    </w:tbl>
    <w:p w:rsidR="006842D6" w:rsidRPr="00D16196" w:rsidRDefault="006842D6" w:rsidP="00D16196">
      <w:pPr>
        <w:pStyle w:val="Heading4"/>
      </w:pPr>
      <w:r w:rsidRPr="00D16196">
        <w:lastRenderedPageBreak/>
        <w:t>Child protection services — client satisfaction</w:t>
      </w:r>
    </w:p>
    <w:p w:rsidR="006842D6" w:rsidRPr="00D16196" w:rsidRDefault="006842D6" w:rsidP="00D16196">
      <w:pPr>
        <w:pStyle w:val="BodyText"/>
      </w:pPr>
      <w:r w:rsidRPr="00D16196">
        <w:t xml:space="preserve">‘Client satisfaction’ </w:t>
      </w:r>
      <w:r w:rsidR="00310F75" w:rsidRPr="00D16196">
        <w:t xml:space="preserve">is an indicator of governments’ objective to provide high quality services that meet the needs of recipients </w:t>
      </w:r>
      <w:r w:rsidRPr="00D16196">
        <w:t>(box</w:t>
      </w:r>
      <w:r w:rsidR="00BB42EE" w:rsidRPr="00D16196">
        <w:t xml:space="preserve"> 15.3</w:t>
      </w:r>
      <w:r w:rsidR="001D6205" w:rsidRPr="00D16196">
        <w:t>).</w:t>
      </w:r>
    </w:p>
    <w:p w:rsidR="00EF6F03" w:rsidRPr="00D16196" w:rsidRDefault="00EF6F0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6F03" w:rsidRPr="00D16196" w:rsidTr="003E4FCA">
        <w:tc>
          <w:tcPr>
            <w:tcW w:w="8771" w:type="dxa"/>
            <w:tcBorders>
              <w:top w:val="single" w:sz="6" w:space="0" w:color="78A22F"/>
              <w:left w:val="nil"/>
              <w:bottom w:val="nil"/>
              <w:right w:val="nil"/>
            </w:tcBorders>
            <w:shd w:val="clear" w:color="auto" w:fill="F2F2F2" w:themeFill="background1" w:themeFillShade="F2"/>
          </w:tcPr>
          <w:p w:rsidR="00EF6F03" w:rsidRPr="00D16196" w:rsidRDefault="00EF6F03" w:rsidP="00D16196">
            <w:pPr>
              <w:pStyle w:val="BoxTitle"/>
            </w:pPr>
            <w:r w:rsidRPr="00D16196">
              <w:rPr>
                <w:b w:val="0"/>
              </w:rPr>
              <w:t>Box</w:t>
            </w:r>
            <w:r w:rsidR="00BB42EE" w:rsidRPr="00D16196">
              <w:rPr>
                <w:b w:val="0"/>
              </w:rPr>
              <w:t xml:space="preserve"> 15.3</w:t>
            </w:r>
            <w:r w:rsidRPr="00D16196">
              <w:tab/>
              <w:t>Client satisfaction</w:t>
            </w:r>
          </w:p>
        </w:tc>
      </w:tr>
      <w:tr w:rsidR="00EF6F03" w:rsidRPr="00D16196" w:rsidTr="003E4FCA">
        <w:trPr>
          <w:cantSplit/>
        </w:trPr>
        <w:tc>
          <w:tcPr>
            <w:tcW w:w="8771" w:type="dxa"/>
            <w:tcBorders>
              <w:top w:val="nil"/>
              <w:left w:val="nil"/>
              <w:bottom w:val="nil"/>
              <w:right w:val="nil"/>
            </w:tcBorders>
            <w:shd w:val="clear" w:color="auto" w:fill="F2F2F2" w:themeFill="background1" w:themeFillShade="F2"/>
          </w:tcPr>
          <w:p w:rsidR="00EF6F03" w:rsidRPr="00D16196" w:rsidRDefault="00EF6F03" w:rsidP="00D16196">
            <w:pPr>
              <w:pStyle w:val="Box"/>
            </w:pPr>
            <w:r w:rsidRPr="00D16196">
              <w:t>‘Client satisfaction’ is yet to be defined. It is intended that this indicator will measure client satisfaction with the statutory child protection system.</w:t>
            </w:r>
          </w:p>
          <w:p w:rsidR="00EF6F03" w:rsidRPr="00D16196" w:rsidRDefault="00EF6F03" w:rsidP="00D16196">
            <w:pPr>
              <w:pStyle w:val="Box"/>
            </w:pPr>
            <w:r w:rsidRPr="00D16196">
              <w:t>This indicator has been identified for development and reporting in future.</w:t>
            </w:r>
          </w:p>
        </w:tc>
      </w:tr>
      <w:tr w:rsidR="00EF6F03"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EF6F03" w:rsidRPr="00D16196" w:rsidRDefault="00EF6F03" w:rsidP="00D16196">
            <w:pPr>
              <w:pStyle w:val="Box"/>
              <w:spacing w:before="0" w:line="120" w:lineRule="exact"/>
            </w:pPr>
          </w:p>
        </w:tc>
      </w:tr>
      <w:tr w:rsidR="00EF6F03" w:rsidRPr="00D16196" w:rsidTr="003E4FCA">
        <w:tc>
          <w:tcPr>
            <w:tcW w:w="8771" w:type="dxa"/>
            <w:tcBorders>
              <w:top w:val="single" w:sz="6" w:space="0" w:color="78A22F"/>
              <w:left w:val="nil"/>
              <w:bottom w:val="nil"/>
              <w:right w:val="nil"/>
            </w:tcBorders>
          </w:tcPr>
          <w:p w:rsidR="00EF6F03" w:rsidRPr="00D16196" w:rsidRDefault="00EF6F03" w:rsidP="00D16196">
            <w:pPr>
              <w:pStyle w:val="BoxSpaceBelow"/>
            </w:pPr>
          </w:p>
        </w:tc>
      </w:tr>
    </w:tbl>
    <w:p w:rsidR="006842D6" w:rsidRPr="00D16196" w:rsidRDefault="00655A37" w:rsidP="00D16196">
      <w:pPr>
        <w:pStyle w:val="BodyText"/>
        <w:widowControl w:val="0"/>
      </w:pPr>
      <w:r w:rsidRPr="00D16196">
        <w:t>T</w:t>
      </w:r>
      <w:r w:rsidR="004362DA" w:rsidRPr="00D16196">
        <w:t xml:space="preserve">able </w:t>
      </w:r>
      <w:proofErr w:type="spellStart"/>
      <w:r w:rsidR="004362DA" w:rsidRPr="00D16196">
        <w:t>15A.37</w:t>
      </w:r>
      <w:proofErr w:type="spellEnd"/>
      <w:r w:rsidR="004362DA" w:rsidRPr="00D16196">
        <w:t xml:space="preserve"> provides </w:t>
      </w:r>
      <w:r w:rsidR="006842D6" w:rsidRPr="00D16196">
        <w:t xml:space="preserve">examples of steps taken </w:t>
      </w:r>
      <w:r w:rsidR="004C2FF5" w:rsidRPr="00D16196">
        <w:t xml:space="preserve">nationally </w:t>
      </w:r>
      <w:r w:rsidR="006842D6" w:rsidRPr="00D16196">
        <w:t xml:space="preserve">to monitor, assess and promote client satisfaction </w:t>
      </w:r>
      <w:r w:rsidR="00807858" w:rsidRPr="00D16196">
        <w:t>with</w:t>
      </w:r>
      <w:r w:rsidR="006842D6" w:rsidRPr="00D16196">
        <w:t xml:space="preserve"> child protection </w:t>
      </w:r>
      <w:r w:rsidR="00807858" w:rsidRPr="00D16196">
        <w:t>services</w:t>
      </w:r>
      <w:r w:rsidR="006842D6" w:rsidRPr="00D16196">
        <w:t>.</w:t>
      </w:r>
      <w:r w:rsidR="00F27BD8" w:rsidRPr="00D16196">
        <w:t xml:space="preserve"> </w:t>
      </w:r>
    </w:p>
    <w:p w:rsidR="006842D6" w:rsidRPr="00D16196" w:rsidRDefault="006842D6" w:rsidP="00D16196">
      <w:pPr>
        <w:pStyle w:val="Heading4"/>
      </w:pPr>
      <w:r w:rsidRPr="00D16196">
        <w:t>Child protection services — response time</w:t>
      </w:r>
      <w:r w:rsidR="00B80162" w:rsidRPr="00D16196">
        <w:t>s</w:t>
      </w:r>
    </w:p>
    <w:p w:rsidR="006842D6" w:rsidRPr="00D16196" w:rsidRDefault="006842D6" w:rsidP="00D16196">
      <w:pPr>
        <w:pStyle w:val="BodyText"/>
        <w:widowControl w:val="0"/>
      </w:pPr>
      <w:r w:rsidRPr="00D16196">
        <w:t>‘Response time</w:t>
      </w:r>
      <w:r w:rsidR="00B80162" w:rsidRPr="00D16196">
        <w:t>s</w:t>
      </w:r>
      <w:r w:rsidRPr="00D16196">
        <w:t xml:space="preserve">’ </w:t>
      </w:r>
      <w:r w:rsidR="0055216E" w:rsidRPr="00D16196">
        <w:t xml:space="preserve">is an indicator of governments’ objective to minimise the risk of </w:t>
      </w:r>
      <w:r w:rsidR="001B6D13" w:rsidRPr="00D16196">
        <w:t>abuse and neglect</w:t>
      </w:r>
      <w:r w:rsidR="0055216E" w:rsidRPr="00D16196">
        <w:t xml:space="preserve"> to </w:t>
      </w:r>
      <w:r w:rsidR="00622630" w:rsidRPr="00D16196">
        <w:t>children</w:t>
      </w:r>
      <w:r w:rsidR="0055216E" w:rsidRPr="00D16196">
        <w:t xml:space="preserve"> by responding to notifications of possible child protection incidents and </w:t>
      </w:r>
      <w:r w:rsidR="00B80162" w:rsidRPr="00D16196">
        <w:t xml:space="preserve">completing investigations </w:t>
      </w:r>
      <w:r w:rsidR="0055216E" w:rsidRPr="00D16196">
        <w:t xml:space="preserve">in a timely manner </w:t>
      </w:r>
      <w:r w:rsidRPr="00D16196">
        <w:t>(box</w:t>
      </w:r>
      <w:r w:rsidR="00BB42EE" w:rsidRPr="00D16196">
        <w:t xml:space="preserve"> 15.4</w:t>
      </w:r>
      <w:r w:rsidR="00AD1810" w:rsidRPr="00D16196">
        <w:t>).</w:t>
      </w:r>
      <w:r w:rsidR="00F26E78" w:rsidRPr="00D16196">
        <w:t xml:space="preserve"> </w:t>
      </w:r>
    </w:p>
    <w:p w:rsidR="00796D7D" w:rsidRPr="00D16196" w:rsidRDefault="00796D7D"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6D7D" w:rsidRPr="00D16196" w:rsidTr="00DC29F0">
        <w:tc>
          <w:tcPr>
            <w:tcW w:w="8771" w:type="dxa"/>
            <w:tcBorders>
              <w:top w:val="single" w:sz="6" w:space="0" w:color="78A22F"/>
              <w:left w:val="nil"/>
              <w:bottom w:val="nil"/>
              <w:right w:val="nil"/>
            </w:tcBorders>
            <w:shd w:val="clear" w:color="auto" w:fill="F2F2F2" w:themeFill="background1" w:themeFillShade="F2"/>
          </w:tcPr>
          <w:p w:rsidR="00796D7D" w:rsidRPr="00D16196" w:rsidRDefault="00796D7D" w:rsidP="00D16196">
            <w:pPr>
              <w:pStyle w:val="BoxTitle"/>
            </w:pPr>
            <w:r w:rsidRPr="00D16196">
              <w:rPr>
                <w:b w:val="0"/>
              </w:rPr>
              <w:t>Box</w:t>
            </w:r>
            <w:r w:rsidR="00BB42EE" w:rsidRPr="00D16196">
              <w:rPr>
                <w:b w:val="0"/>
              </w:rPr>
              <w:t xml:space="preserve"> 15.4</w:t>
            </w:r>
            <w:r w:rsidRPr="00D16196">
              <w:tab/>
              <w:t>Response times</w:t>
            </w:r>
          </w:p>
        </w:tc>
      </w:tr>
      <w:tr w:rsidR="00796D7D" w:rsidRPr="00D16196" w:rsidTr="00DC29F0">
        <w:trPr>
          <w:cantSplit/>
        </w:trPr>
        <w:tc>
          <w:tcPr>
            <w:tcW w:w="8771" w:type="dxa"/>
            <w:tcBorders>
              <w:top w:val="nil"/>
              <w:left w:val="nil"/>
              <w:bottom w:val="nil"/>
              <w:right w:val="nil"/>
            </w:tcBorders>
            <w:shd w:val="clear" w:color="auto" w:fill="F2F2F2" w:themeFill="background1" w:themeFillShade="F2"/>
          </w:tcPr>
          <w:p w:rsidR="00796D7D" w:rsidRPr="00D16196" w:rsidRDefault="00796D7D" w:rsidP="00D16196">
            <w:pPr>
              <w:pStyle w:val="Box"/>
            </w:pPr>
            <w:r w:rsidRPr="00D16196">
              <w:t xml:space="preserve">‘Response times’ is defined by two measures: </w:t>
            </w:r>
          </w:p>
          <w:p w:rsidR="00796D7D" w:rsidRPr="00D16196" w:rsidRDefault="00796D7D" w:rsidP="00D16196">
            <w:pPr>
              <w:pStyle w:val="BoxListBullet"/>
            </w:pPr>
            <w:r w:rsidRPr="00D16196">
              <w:t>response time to commence investigations, defined as the length of time (measured in days) between the date a child protection department records a notification and the date an investigation is subsequently commenced</w:t>
            </w:r>
          </w:p>
          <w:p w:rsidR="00796D7D" w:rsidRPr="00D16196" w:rsidRDefault="00796D7D" w:rsidP="00D16196">
            <w:pPr>
              <w:pStyle w:val="BoxListBullet"/>
            </w:pPr>
            <w:r w:rsidRPr="00D16196">
              <w:t>response time to complete investigations, defined as the length of time (measured in days) between the date a child protection department records a notification and the date an investigation is completed (that is, the date an investigation outcome is determined by a department).</w:t>
            </w:r>
          </w:p>
          <w:p w:rsidR="00796D7D" w:rsidRPr="00D16196" w:rsidRDefault="00796D7D" w:rsidP="00D16196">
            <w:pPr>
              <w:pStyle w:val="Box"/>
            </w:pPr>
            <w:r w:rsidRPr="00D16196">
              <w:t xml:space="preserve">A short or decreasing length of time between recording a notification and commencing an investigation, and between recording a notification and completing an investigation, is desirable. </w:t>
            </w:r>
          </w:p>
          <w:p w:rsidR="008F4BBC" w:rsidRPr="00D16196" w:rsidRDefault="00796D7D" w:rsidP="00D16196">
            <w:pPr>
              <w:pStyle w:val="Box"/>
            </w:pPr>
            <w:r w:rsidRPr="00D16196">
              <w:t>The length of time between recording a notification and commencing an investigation indicates a department’s promptness in responding to child protection concerns. The length of time between recording a notification and completing an investigation indicates a department’s effectiveness in conducting investigations in a timely manner.</w:t>
            </w:r>
          </w:p>
          <w:p w:rsidR="00796D7D" w:rsidRPr="00D16196" w:rsidRDefault="00796D7D" w:rsidP="00D16196">
            <w:pPr>
              <w:pStyle w:val="Box"/>
              <w:jc w:val="right"/>
              <w:rPr>
                <w:sz w:val="18"/>
                <w:szCs w:val="18"/>
              </w:rPr>
            </w:pPr>
            <w:r w:rsidRPr="00D16196">
              <w:rPr>
                <w:sz w:val="18"/>
                <w:szCs w:val="18"/>
              </w:rPr>
              <w:t>(continued</w:t>
            </w:r>
            <w:r w:rsidR="001D0DF0" w:rsidRPr="00D16196">
              <w:rPr>
                <w:sz w:val="18"/>
                <w:szCs w:val="18"/>
              </w:rPr>
              <w:t xml:space="preserve"> next page</w:t>
            </w:r>
            <w:r w:rsidRPr="00D16196">
              <w:rPr>
                <w:sz w:val="18"/>
                <w:szCs w:val="18"/>
              </w:rPr>
              <w:t>)</w:t>
            </w:r>
          </w:p>
        </w:tc>
      </w:tr>
      <w:tr w:rsidR="00796D7D" w:rsidRPr="00D16196" w:rsidTr="00DC29F0">
        <w:trPr>
          <w:cantSplit/>
        </w:trPr>
        <w:tc>
          <w:tcPr>
            <w:tcW w:w="8771" w:type="dxa"/>
            <w:tcBorders>
              <w:top w:val="nil"/>
              <w:left w:val="nil"/>
              <w:bottom w:val="single" w:sz="6" w:space="0" w:color="78A22F"/>
              <w:right w:val="nil"/>
            </w:tcBorders>
            <w:shd w:val="clear" w:color="auto" w:fill="F2F2F2" w:themeFill="background1" w:themeFillShade="F2"/>
          </w:tcPr>
          <w:p w:rsidR="00796D7D" w:rsidRPr="00D16196" w:rsidRDefault="00796D7D" w:rsidP="00D16196">
            <w:pPr>
              <w:pStyle w:val="Box"/>
              <w:spacing w:before="0" w:line="120" w:lineRule="exact"/>
            </w:pPr>
          </w:p>
        </w:tc>
      </w:tr>
      <w:tr w:rsidR="00796D7D" w:rsidRPr="00D16196" w:rsidTr="00DC29F0">
        <w:tc>
          <w:tcPr>
            <w:tcW w:w="8771" w:type="dxa"/>
            <w:tcBorders>
              <w:top w:val="single" w:sz="6" w:space="0" w:color="78A22F"/>
              <w:left w:val="nil"/>
              <w:bottom w:val="nil"/>
              <w:right w:val="nil"/>
            </w:tcBorders>
          </w:tcPr>
          <w:p w:rsidR="00796D7D" w:rsidRPr="00D16196" w:rsidRDefault="00796D7D" w:rsidP="00D16196">
            <w:pPr>
              <w:pStyle w:val="BoxSpaceBelow"/>
            </w:pPr>
          </w:p>
        </w:tc>
      </w:tr>
    </w:tbl>
    <w:p w:rsidR="00715C10" w:rsidRPr="00D16196" w:rsidRDefault="00715C10"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C10" w:rsidRPr="00D16196" w:rsidTr="003E4FCA">
        <w:tc>
          <w:tcPr>
            <w:tcW w:w="8771" w:type="dxa"/>
            <w:tcBorders>
              <w:top w:val="single" w:sz="6" w:space="0" w:color="78A22F"/>
              <w:left w:val="nil"/>
              <w:bottom w:val="nil"/>
              <w:right w:val="nil"/>
            </w:tcBorders>
            <w:shd w:val="clear" w:color="auto" w:fill="F2F2F2" w:themeFill="background1" w:themeFillShade="F2"/>
          </w:tcPr>
          <w:p w:rsidR="00715C10" w:rsidRPr="00D16196" w:rsidRDefault="00715C10" w:rsidP="00D16196">
            <w:pPr>
              <w:pStyle w:val="BoxTitle"/>
            </w:pPr>
            <w:r w:rsidRPr="00D16196">
              <w:rPr>
                <w:b w:val="0"/>
              </w:rPr>
              <w:t xml:space="preserve">Box </w:t>
            </w:r>
            <w:bookmarkStart w:id="28" w:name="OLE_LINK67"/>
            <w:r w:rsidR="00BB42EE" w:rsidRPr="00D16196">
              <w:rPr>
                <w:b w:val="0"/>
              </w:rPr>
              <w:t>15.4</w:t>
            </w:r>
            <w:bookmarkEnd w:id="28"/>
            <w:r w:rsidRPr="00D16196">
              <w:tab/>
            </w:r>
            <w:r w:rsidR="00796D7D" w:rsidRPr="00D16196">
              <w:rPr>
                <w:b w:val="0"/>
                <w:sz w:val="18"/>
                <w:szCs w:val="18"/>
              </w:rPr>
              <w:t>(continued)</w:t>
            </w:r>
          </w:p>
        </w:tc>
      </w:tr>
      <w:tr w:rsidR="00715C10" w:rsidRPr="00D16196" w:rsidTr="003E4FCA">
        <w:trPr>
          <w:cantSplit/>
        </w:trPr>
        <w:tc>
          <w:tcPr>
            <w:tcW w:w="8771" w:type="dxa"/>
            <w:tcBorders>
              <w:top w:val="nil"/>
              <w:left w:val="nil"/>
              <w:bottom w:val="nil"/>
              <w:right w:val="nil"/>
            </w:tcBorders>
            <w:shd w:val="clear" w:color="auto" w:fill="F2F2F2" w:themeFill="background1" w:themeFillShade="F2"/>
          </w:tcPr>
          <w:p w:rsidR="000D73CC" w:rsidRPr="00D16196" w:rsidRDefault="000D73CC" w:rsidP="00D16196">
            <w:pPr>
              <w:pStyle w:val="Box"/>
            </w:pPr>
            <w:r w:rsidRPr="00D16196">
              <w:t>Data reported for these measures are:</w:t>
            </w:r>
          </w:p>
          <w:p w:rsidR="000D73CC" w:rsidRPr="00D16196" w:rsidRDefault="000D73CC" w:rsidP="00D16196">
            <w:pPr>
              <w:pStyle w:val="BoxListBullet"/>
            </w:pPr>
            <w:r w:rsidRPr="00D16196">
              <w:t>comparable (subject to caveats) within some jurisdictions over time, but are not comparable across jurisdictions (see caveats in attachment tables for specific jurisdictions)</w:t>
            </w:r>
          </w:p>
          <w:p w:rsidR="000D73CC" w:rsidRPr="00D16196" w:rsidRDefault="000D73CC" w:rsidP="00D16196">
            <w:pPr>
              <w:pStyle w:val="BoxListBullet"/>
            </w:pPr>
            <w:r w:rsidRPr="00D16196">
              <w:t xml:space="preserve">complete (subject to caveats) for the current reporting period. All required </w:t>
            </w:r>
            <w:r w:rsidR="006E6A9F" w:rsidRPr="00D16196">
              <w:t>201</w:t>
            </w:r>
            <w:r w:rsidR="00572487" w:rsidRPr="00D16196">
              <w:t>4</w:t>
            </w:r>
            <w:r w:rsidR="006E6A9F" w:rsidRPr="00D16196">
              <w:t>-1</w:t>
            </w:r>
            <w:r w:rsidR="00572487" w:rsidRPr="00D16196">
              <w:t>5</w:t>
            </w:r>
            <w:r w:rsidR="006E6A9F" w:rsidRPr="00D16196">
              <w:t xml:space="preserve"> </w:t>
            </w:r>
            <w:r w:rsidRPr="00D16196">
              <w:t>data are available for all jurisdictions.</w:t>
            </w:r>
          </w:p>
          <w:p w:rsidR="00715C10" w:rsidRPr="00D16196" w:rsidRDefault="000D73CC" w:rsidP="00D16196">
            <w:pPr>
              <w:pStyle w:val="Box"/>
            </w:pPr>
            <w:r w:rsidRPr="00D16196">
              <w:t>Data quality information for this indicator</w:t>
            </w:r>
            <w:r w:rsidR="00EE00CE" w:rsidRPr="00D16196">
              <w:t xml:space="preserve"> is at </w:t>
            </w:r>
            <w:proofErr w:type="spellStart"/>
            <w:r w:rsidR="00981CD7" w:rsidRPr="00D16196">
              <w:t>www.pc.gov.au</w:t>
            </w:r>
            <w:proofErr w:type="spellEnd"/>
            <w:r w:rsidR="00981CD7" w:rsidRPr="00D16196">
              <w:t>/</w:t>
            </w:r>
            <w:proofErr w:type="spellStart"/>
            <w:r w:rsidR="00981CD7" w:rsidRPr="00D16196">
              <w:t>rogs</w:t>
            </w:r>
            <w:proofErr w:type="spellEnd"/>
            <w:r w:rsidR="00981CD7" w:rsidRPr="00D16196">
              <w:t>/2016</w:t>
            </w:r>
            <w:r w:rsidRPr="00D16196">
              <w:t>.</w:t>
            </w:r>
          </w:p>
        </w:tc>
      </w:tr>
      <w:tr w:rsidR="00715C10"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715C10" w:rsidRPr="00D16196" w:rsidRDefault="00715C10" w:rsidP="00D16196">
            <w:pPr>
              <w:pStyle w:val="Box"/>
              <w:spacing w:before="0" w:line="120" w:lineRule="exact"/>
            </w:pPr>
          </w:p>
        </w:tc>
      </w:tr>
      <w:tr w:rsidR="00715C10" w:rsidRPr="00D16196" w:rsidTr="003E4FCA">
        <w:tc>
          <w:tcPr>
            <w:tcW w:w="8771" w:type="dxa"/>
            <w:tcBorders>
              <w:top w:val="single" w:sz="6" w:space="0" w:color="78A22F"/>
              <w:left w:val="nil"/>
              <w:bottom w:val="nil"/>
              <w:right w:val="nil"/>
            </w:tcBorders>
          </w:tcPr>
          <w:p w:rsidR="00715C10" w:rsidRPr="00D16196" w:rsidRDefault="00715C10" w:rsidP="00D16196">
            <w:pPr>
              <w:pStyle w:val="BoxSpaceBelow"/>
            </w:pPr>
          </w:p>
        </w:tc>
      </w:tr>
    </w:tbl>
    <w:p w:rsidR="00F26E78" w:rsidRPr="00D16196" w:rsidRDefault="00BC3C44" w:rsidP="00D16196">
      <w:pPr>
        <w:pStyle w:val="BodyText"/>
      </w:pPr>
      <w:r w:rsidRPr="00D16196">
        <w:t xml:space="preserve">For </w:t>
      </w:r>
      <w:r w:rsidR="00C639A5" w:rsidRPr="00D16196">
        <w:t>most</w:t>
      </w:r>
      <w:r w:rsidRPr="00D16196">
        <w:t xml:space="preserve"> jurisdictions</w:t>
      </w:r>
      <w:r w:rsidR="00E24ACF" w:rsidRPr="00D16196">
        <w:t>, and nationally</w:t>
      </w:r>
      <w:r w:rsidRPr="00D16196">
        <w:t>, the majority of investigations were commenced within seven days of n</w:t>
      </w:r>
      <w:r w:rsidR="00A42679" w:rsidRPr="00D16196">
        <w:t>otification</w:t>
      </w:r>
      <w:r w:rsidR="0074322E" w:rsidRPr="00D16196">
        <w:t xml:space="preserve"> in </w:t>
      </w:r>
      <w:r w:rsidR="00BE2E58" w:rsidRPr="00D16196">
        <w:t>201</w:t>
      </w:r>
      <w:r w:rsidR="001A0561" w:rsidRPr="00D16196">
        <w:t>4</w:t>
      </w:r>
      <w:r w:rsidR="00BE2E58" w:rsidRPr="00D16196">
        <w:t>-1</w:t>
      </w:r>
      <w:r w:rsidR="001A0561" w:rsidRPr="00D16196">
        <w:t>5</w:t>
      </w:r>
      <w:r w:rsidR="0074322E" w:rsidRPr="00D16196">
        <w:t xml:space="preserve"> (figure</w:t>
      </w:r>
      <w:r w:rsidR="004028C8" w:rsidRPr="00D16196">
        <w:t> </w:t>
      </w:r>
      <w:r w:rsidR="009E5608" w:rsidRPr="00D16196">
        <w:t>15.5(a)</w:t>
      </w:r>
      <w:r w:rsidR="0074322E" w:rsidRPr="00D16196">
        <w:t>)</w:t>
      </w:r>
      <w:r w:rsidRPr="00D16196">
        <w:t>.</w:t>
      </w:r>
      <w:r w:rsidR="00F26E78" w:rsidRPr="00D16196">
        <w:t xml:space="preserve"> Response times to complete investigations varied across jurisdictions in </w:t>
      </w:r>
      <w:r w:rsidR="00BE2E58" w:rsidRPr="00D16196">
        <w:t>201</w:t>
      </w:r>
      <w:r w:rsidR="001A0561" w:rsidRPr="00D16196">
        <w:t>4</w:t>
      </w:r>
      <w:r w:rsidR="00BE2E58" w:rsidRPr="00D16196">
        <w:t>-</w:t>
      </w:r>
      <w:r w:rsidR="001A0561" w:rsidRPr="00D16196">
        <w:t>15</w:t>
      </w:r>
      <w:r w:rsidR="00F26E78" w:rsidRPr="00D16196">
        <w:t xml:space="preserve">. Nationally, </w:t>
      </w:r>
      <w:r w:rsidR="00796D7D" w:rsidRPr="00D16196">
        <w:t xml:space="preserve">38.2 </w:t>
      </w:r>
      <w:r w:rsidR="00F26E78" w:rsidRPr="00D16196">
        <w:t xml:space="preserve">per cent of investigations were completed in 28 days or less, </w:t>
      </w:r>
      <w:r w:rsidR="00796D7D" w:rsidRPr="00D16196">
        <w:t>25.8</w:t>
      </w:r>
      <w:r w:rsidR="00F26E78" w:rsidRPr="00D16196">
        <w:t xml:space="preserve"> per </w:t>
      </w:r>
      <w:r w:rsidR="00D01E24" w:rsidRPr="00D16196">
        <w:t>cent were completed in 29 to 62 </w:t>
      </w:r>
      <w:r w:rsidR="00F26E78" w:rsidRPr="00D16196">
        <w:t xml:space="preserve">days, </w:t>
      </w:r>
      <w:r w:rsidR="00796D7D" w:rsidRPr="00D16196">
        <w:t>13.5 p</w:t>
      </w:r>
      <w:r w:rsidR="00F26E78" w:rsidRPr="00D16196">
        <w:t>er cent were completed in 63</w:t>
      </w:r>
      <w:r w:rsidR="000E14BA" w:rsidRPr="00D16196">
        <w:t xml:space="preserve"> </w:t>
      </w:r>
      <w:r w:rsidR="00F26E78" w:rsidRPr="00D16196">
        <w:t>to 90 days</w:t>
      </w:r>
      <w:r w:rsidR="006E4229" w:rsidRPr="00D16196">
        <w:t>, and</w:t>
      </w:r>
      <w:r w:rsidR="00F26E78" w:rsidRPr="00D16196">
        <w:t xml:space="preserve"> </w:t>
      </w:r>
      <w:r w:rsidR="00796D7D" w:rsidRPr="00D16196">
        <w:t xml:space="preserve">22.5 </w:t>
      </w:r>
      <w:r w:rsidR="006E4229" w:rsidRPr="00D16196">
        <w:t xml:space="preserve">per cent were completed in more than 90 days </w:t>
      </w:r>
      <w:r w:rsidR="00F26E78" w:rsidRPr="00D16196">
        <w:t>(figure </w:t>
      </w:r>
      <w:r w:rsidR="009E5608" w:rsidRPr="00D16196">
        <w:t>15.5(b)</w:t>
      </w:r>
      <w:r w:rsidR="00F26E78" w:rsidRPr="00D16196">
        <w:t>).</w:t>
      </w:r>
      <w:r w:rsidR="00855970" w:rsidRPr="00D16196">
        <w:t xml:space="preserve"> These patterns are consistent with available time series data (tables </w:t>
      </w:r>
      <w:proofErr w:type="spellStart"/>
      <w:r w:rsidR="00855970" w:rsidRPr="00D16196">
        <w:t>15A.15</w:t>
      </w:r>
      <w:proofErr w:type="spellEnd"/>
      <w:r w:rsidR="00855970" w:rsidRPr="00D16196">
        <w:t>-16).</w:t>
      </w:r>
    </w:p>
    <w:p w:rsidR="000D73CC" w:rsidRPr="00D16196" w:rsidRDefault="000D73CC"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73CC" w:rsidRPr="00D16196" w:rsidTr="003E4FCA">
        <w:tc>
          <w:tcPr>
            <w:tcW w:w="8771" w:type="dxa"/>
            <w:tcBorders>
              <w:top w:val="single" w:sz="6" w:space="0" w:color="78A22F"/>
              <w:left w:val="nil"/>
              <w:bottom w:val="nil"/>
              <w:right w:val="nil"/>
            </w:tcBorders>
            <w:shd w:val="clear" w:color="auto" w:fill="auto"/>
          </w:tcPr>
          <w:p w:rsidR="000D73CC" w:rsidRPr="00D16196" w:rsidRDefault="000D73CC" w:rsidP="00D16196">
            <w:pPr>
              <w:pStyle w:val="FigureTitle"/>
            </w:pPr>
            <w:r w:rsidRPr="00D16196">
              <w:rPr>
                <w:b w:val="0"/>
              </w:rPr>
              <w:t xml:space="preserve">Figure </w:t>
            </w:r>
            <w:bookmarkStart w:id="29" w:name="OLE_LINK68"/>
            <w:r w:rsidR="009E5608" w:rsidRPr="00D16196">
              <w:rPr>
                <w:b w:val="0"/>
              </w:rPr>
              <w:t>15.</w:t>
            </w:r>
            <w:bookmarkEnd w:id="29"/>
            <w:r w:rsidR="004362DA" w:rsidRPr="00D16196">
              <w:rPr>
                <w:b w:val="0"/>
              </w:rPr>
              <w:t>4</w:t>
            </w:r>
            <w:r w:rsidRPr="00D16196">
              <w:tab/>
              <w:t>Proportion of investigations commenced an</w:t>
            </w:r>
            <w:r w:rsidR="001A0561" w:rsidRPr="00D16196">
              <w:t>d completed, by time taken, 2014</w:t>
            </w:r>
            <w:r w:rsidRPr="00D16196">
              <w:t>-1</w:t>
            </w:r>
            <w:r w:rsidR="001A0561" w:rsidRPr="00D16196">
              <w:t>5</w:t>
            </w:r>
            <w:r w:rsidRPr="00D16196">
              <w:rPr>
                <w:rStyle w:val="NoteLabel"/>
                <w:b/>
              </w:rPr>
              <w:t>a</w:t>
            </w:r>
          </w:p>
        </w:tc>
      </w:tr>
      <w:tr w:rsidR="000D73CC" w:rsidRPr="00D16196" w:rsidTr="003E4FCA">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9F2B08" w:rsidRPr="00D16196" w:rsidTr="008B4271">
              <w:tc>
                <w:tcPr>
                  <w:tcW w:w="8487" w:type="dxa"/>
                  <w:tcBorders>
                    <w:top w:val="nil"/>
                    <w:bottom w:val="nil"/>
                  </w:tcBorders>
                </w:tcPr>
                <w:p w:rsidR="009F2B08" w:rsidRPr="00D16196" w:rsidRDefault="009F2B08" w:rsidP="00D16196">
                  <w:pPr>
                    <w:pStyle w:val="BoxListNumber2"/>
                    <w:numPr>
                      <w:ilvl w:val="0"/>
                      <w:numId w:val="0"/>
                    </w:numPr>
                    <w:spacing w:before="0"/>
                    <w:ind w:left="284"/>
                    <w:jc w:val="center"/>
                    <w:rPr>
                      <w:b/>
                      <w:sz w:val="18"/>
                      <w:szCs w:val="18"/>
                    </w:rPr>
                  </w:pPr>
                  <w:bookmarkStart w:id="30" w:name="OLE_LINK70"/>
                  <w:r w:rsidRPr="00D16196">
                    <w:rPr>
                      <w:b/>
                      <w:sz w:val="18"/>
                      <w:szCs w:val="18"/>
                    </w:rPr>
                    <w:t>(a)</w:t>
                  </w:r>
                  <w:bookmarkEnd w:id="30"/>
                  <w:r w:rsidRPr="00D16196">
                    <w:rPr>
                      <w:b/>
                      <w:sz w:val="18"/>
                      <w:szCs w:val="18"/>
                    </w:rPr>
                    <w:t xml:space="preserve"> Response time to commence investigations</w:t>
                  </w:r>
                </w:p>
              </w:tc>
            </w:tr>
            <w:tr w:rsidR="000D73CC" w:rsidRPr="00D16196" w:rsidTr="007D2723">
              <w:tc>
                <w:tcPr>
                  <w:tcW w:w="8487" w:type="dxa"/>
                  <w:tcBorders>
                    <w:top w:val="nil"/>
                    <w:bottom w:val="nil"/>
                  </w:tcBorders>
                  <w:shd w:val="clear" w:color="auto" w:fill="auto"/>
                </w:tcPr>
                <w:p w:rsidR="000D73CC" w:rsidRPr="00D16196" w:rsidRDefault="007D2723" w:rsidP="00D16196">
                  <w:pPr>
                    <w:pStyle w:val="Figure"/>
                  </w:pPr>
                  <w:r w:rsidRPr="00D16196">
                    <w:rPr>
                      <w:noProof/>
                    </w:rPr>
                    <w:drawing>
                      <wp:inline distT="0" distB="0" distL="0" distR="0" wp14:anchorId="6867652D" wp14:editId="61A16223">
                        <wp:extent cx="5400000" cy="2700000"/>
                        <wp:effectExtent l="0" t="0" r="0" b="5715"/>
                        <wp:docPr id="5" name="Chart 5" descr="Figure 15.4 Proportion of investigations commenced and completed, by time taken, 2014-15&#10;&#10;(a) Response time to commence investigatio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A444C7" w:rsidRPr="00D16196" w:rsidTr="008B4271">
              <w:tc>
                <w:tcPr>
                  <w:tcW w:w="8487" w:type="dxa"/>
                  <w:tcBorders>
                    <w:top w:val="nil"/>
                    <w:bottom w:val="nil"/>
                  </w:tcBorders>
                </w:tcPr>
                <w:p w:rsidR="00A444C7" w:rsidRPr="00D16196" w:rsidRDefault="009F2B08" w:rsidP="00D16196">
                  <w:pPr>
                    <w:pStyle w:val="BoxListNumber2"/>
                    <w:numPr>
                      <w:ilvl w:val="0"/>
                      <w:numId w:val="0"/>
                    </w:numPr>
                    <w:spacing w:before="0"/>
                    <w:ind w:left="284"/>
                    <w:jc w:val="center"/>
                    <w:rPr>
                      <w:b/>
                      <w:sz w:val="18"/>
                      <w:szCs w:val="18"/>
                    </w:rPr>
                  </w:pPr>
                  <w:bookmarkStart w:id="31" w:name="OLE_LINK69"/>
                  <w:r w:rsidRPr="00D16196">
                    <w:rPr>
                      <w:b/>
                      <w:sz w:val="18"/>
                      <w:szCs w:val="18"/>
                    </w:rPr>
                    <w:t>(b)</w:t>
                  </w:r>
                  <w:bookmarkEnd w:id="31"/>
                  <w:r w:rsidRPr="00D16196">
                    <w:rPr>
                      <w:b/>
                      <w:sz w:val="18"/>
                      <w:szCs w:val="18"/>
                    </w:rPr>
                    <w:t xml:space="preserve"> Response time to complete investigations</w:t>
                  </w:r>
                </w:p>
              </w:tc>
            </w:tr>
            <w:tr w:rsidR="00A444C7" w:rsidRPr="00D16196" w:rsidTr="00796D7D">
              <w:tc>
                <w:tcPr>
                  <w:tcW w:w="8487" w:type="dxa"/>
                  <w:tcBorders>
                    <w:top w:val="nil"/>
                    <w:bottom w:val="nil"/>
                  </w:tcBorders>
                  <w:shd w:val="clear" w:color="auto" w:fill="auto"/>
                </w:tcPr>
                <w:p w:rsidR="00A444C7" w:rsidRPr="00D16196" w:rsidRDefault="00796D7D" w:rsidP="00D16196">
                  <w:pPr>
                    <w:pStyle w:val="Figure"/>
                  </w:pPr>
                  <w:r w:rsidRPr="00D16196">
                    <w:rPr>
                      <w:noProof/>
                    </w:rPr>
                    <w:drawing>
                      <wp:inline distT="0" distB="0" distL="0" distR="0" wp14:anchorId="073EBD0C" wp14:editId="0CE73128">
                        <wp:extent cx="5400000" cy="2700000"/>
                        <wp:effectExtent l="0" t="0" r="0" b="5715"/>
                        <wp:docPr id="11" name="Chart 11" descr="Figure 15.4 Proportion of investigations commenced and completed, by time taken, 2014-15&#10;&#10;(b) Response time to complete investigatio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0D73CC" w:rsidRPr="00D16196" w:rsidRDefault="000D73CC" w:rsidP="00D16196">
            <w:pPr>
              <w:pStyle w:val="Figure"/>
            </w:pPr>
          </w:p>
        </w:tc>
      </w:tr>
      <w:tr w:rsidR="000D73CC" w:rsidRPr="00D16196" w:rsidTr="003E4FCA">
        <w:tc>
          <w:tcPr>
            <w:tcW w:w="8771" w:type="dxa"/>
            <w:tcBorders>
              <w:top w:val="nil"/>
              <w:left w:val="nil"/>
              <w:bottom w:val="nil"/>
              <w:right w:val="nil"/>
            </w:tcBorders>
            <w:shd w:val="clear" w:color="auto" w:fill="auto"/>
          </w:tcPr>
          <w:p w:rsidR="000D73CC" w:rsidRPr="00D16196" w:rsidRDefault="00EE53E0" w:rsidP="005C2D7C">
            <w:pPr>
              <w:pStyle w:val="Note"/>
            </w:pPr>
            <w:r w:rsidRPr="00D16196">
              <w:rPr>
                <w:rStyle w:val="NoteLabel"/>
              </w:rPr>
              <w:t>a</w:t>
            </w:r>
            <w:r w:rsidR="00796D7D" w:rsidRPr="00D16196">
              <w:rPr>
                <w:rStyle w:val="NoteLabel"/>
              </w:rPr>
              <w:t xml:space="preserve"> </w:t>
            </w:r>
            <w:r w:rsidR="00796D7D" w:rsidRPr="00D16196">
              <w:t>See box 15.</w:t>
            </w:r>
            <w:r w:rsidR="005C2D7C">
              <w:t>4</w:t>
            </w:r>
            <w:r w:rsidR="00796D7D" w:rsidRPr="00D16196">
              <w:t xml:space="preserve"> and tables </w:t>
            </w:r>
            <w:proofErr w:type="spellStart"/>
            <w:r w:rsidR="00796D7D" w:rsidRPr="00D16196">
              <w:t>15A.15</w:t>
            </w:r>
            <w:proofErr w:type="spellEnd"/>
            <w:r w:rsidR="00796D7D" w:rsidRPr="00D16196">
              <w:t xml:space="preserve"> and </w:t>
            </w:r>
            <w:proofErr w:type="spellStart"/>
            <w:r w:rsidR="00796D7D" w:rsidRPr="00D16196">
              <w:t>15A.16</w:t>
            </w:r>
            <w:proofErr w:type="spellEnd"/>
            <w:r w:rsidR="00796D7D" w:rsidRPr="00D16196">
              <w:t xml:space="preserve"> for detailed definitions, footnotes and caveats</w:t>
            </w:r>
            <w:r w:rsidR="00B87C50" w:rsidRPr="00D16196">
              <w:t>.</w:t>
            </w:r>
            <w:r w:rsidR="0048693B" w:rsidRPr="00D16196">
              <w:t xml:space="preserve"> </w:t>
            </w:r>
          </w:p>
        </w:tc>
      </w:tr>
      <w:tr w:rsidR="000D73CC" w:rsidRPr="00D16196" w:rsidTr="003E4FCA">
        <w:tc>
          <w:tcPr>
            <w:tcW w:w="8771" w:type="dxa"/>
            <w:tcBorders>
              <w:top w:val="nil"/>
              <w:left w:val="nil"/>
              <w:bottom w:val="nil"/>
              <w:right w:val="nil"/>
            </w:tcBorders>
            <w:shd w:val="clear" w:color="auto" w:fill="auto"/>
          </w:tcPr>
          <w:p w:rsidR="000D73CC" w:rsidRPr="00D16196" w:rsidRDefault="000D73CC" w:rsidP="00D16196">
            <w:pPr>
              <w:pStyle w:val="Source"/>
            </w:pPr>
            <w:r w:rsidRPr="00D16196">
              <w:rPr>
                <w:i/>
              </w:rPr>
              <w:t>Source</w:t>
            </w:r>
            <w:r w:rsidRPr="00D16196">
              <w:t xml:space="preserve">: </w:t>
            </w:r>
            <w:r w:rsidR="00EB2091" w:rsidRPr="00D16196">
              <w:t>Australian Institute of Health and Welfare (</w:t>
            </w:r>
            <w:proofErr w:type="spellStart"/>
            <w:r w:rsidRPr="00D16196">
              <w:t>AIHW</w:t>
            </w:r>
            <w:proofErr w:type="spellEnd"/>
            <w:r w:rsidR="00EB2091" w:rsidRPr="00D16196">
              <w:t>)</w:t>
            </w:r>
            <w:r w:rsidRPr="00D16196">
              <w:t xml:space="preserve"> data collection (unpublished); tables </w:t>
            </w:r>
            <w:proofErr w:type="spellStart"/>
            <w:r w:rsidR="009E5608" w:rsidRPr="00D16196">
              <w:t>15A.15</w:t>
            </w:r>
            <w:proofErr w:type="spellEnd"/>
            <w:r w:rsidRPr="00D16196">
              <w:t xml:space="preserve"> and </w:t>
            </w:r>
            <w:proofErr w:type="spellStart"/>
            <w:r w:rsidR="009E5608" w:rsidRPr="00D16196">
              <w:t>15A.16</w:t>
            </w:r>
            <w:proofErr w:type="spellEnd"/>
            <w:r w:rsidRPr="00D16196">
              <w:t>.</w:t>
            </w:r>
          </w:p>
        </w:tc>
      </w:tr>
      <w:tr w:rsidR="000D73CC" w:rsidRPr="00D16196" w:rsidTr="003E4FCA">
        <w:tc>
          <w:tcPr>
            <w:tcW w:w="8771" w:type="dxa"/>
            <w:tcBorders>
              <w:top w:val="nil"/>
              <w:left w:val="nil"/>
              <w:bottom w:val="single" w:sz="6" w:space="0" w:color="78A22F"/>
              <w:right w:val="nil"/>
            </w:tcBorders>
            <w:shd w:val="clear" w:color="auto" w:fill="auto"/>
          </w:tcPr>
          <w:p w:rsidR="000D73CC" w:rsidRPr="00D16196" w:rsidRDefault="000D73CC" w:rsidP="00D16196">
            <w:pPr>
              <w:pStyle w:val="Figurespace"/>
            </w:pPr>
          </w:p>
        </w:tc>
      </w:tr>
      <w:tr w:rsidR="000D73CC" w:rsidRPr="00D16196" w:rsidTr="003E4FCA">
        <w:tc>
          <w:tcPr>
            <w:tcW w:w="8771" w:type="dxa"/>
            <w:tcBorders>
              <w:top w:val="single" w:sz="6" w:space="0" w:color="78A22F"/>
              <w:left w:val="nil"/>
              <w:bottom w:val="nil"/>
              <w:right w:val="nil"/>
            </w:tcBorders>
          </w:tcPr>
          <w:p w:rsidR="000D73CC" w:rsidRPr="00D16196" w:rsidRDefault="000D73CC" w:rsidP="00D16196">
            <w:pPr>
              <w:pStyle w:val="BoxSpaceBelow"/>
            </w:pPr>
          </w:p>
        </w:tc>
      </w:tr>
    </w:tbl>
    <w:p w:rsidR="00850EE7" w:rsidRPr="00D16196" w:rsidRDefault="00850EE7" w:rsidP="00D16196">
      <w:pPr>
        <w:pStyle w:val="Heading4"/>
      </w:pPr>
    </w:p>
    <w:p w:rsidR="00850EE7" w:rsidRPr="00D16196" w:rsidRDefault="00850EE7" w:rsidP="00D16196">
      <w:pPr>
        <w:pStyle w:val="BodyText"/>
        <w:rPr>
          <w:rFonts w:ascii="Arial" w:hAnsi="Arial"/>
        </w:rPr>
      </w:pPr>
      <w:r w:rsidRPr="00D16196">
        <w:br w:type="page"/>
      </w:r>
    </w:p>
    <w:p w:rsidR="006842D6" w:rsidRPr="00D16196" w:rsidRDefault="006842D6" w:rsidP="00D16196">
      <w:pPr>
        <w:pStyle w:val="Heading4"/>
      </w:pPr>
      <w:r w:rsidRPr="00D16196">
        <w:lastRenderedPageBreak/>
        <w:t>Child protection services — substantiation rate</w:t>
      </w:r>
    </w:p>
    <w:p w:rsidR="006842D6" w:rsidRPr="00D16196" w:rsidRDefault="006842D6" w:rsidP="00D16196">
      <w:pPr>
        <w:pStyle w:val="BodyText"/>
        <w:widowControl w:val="0"/>
      </w:pPr>
      <w:r w:rsidRPr="00D16196">
        <w:t xml:space="preserve">‘Substantiation rate’ </w:t>
      </w:r>
      <w:r w:rsidR="0054188A" w:rsidRPr="00D16196">
        <w:t xml:space="preserve">is an indicator of governments’ objective to target investigations to those notifications where a substantive child abuse/neglect incident has occurred </w:t>
      </w:r>
      <w:r w:rsidR="00622630" w:rsidRPr="00D16196">
        <w:t xml:space="preserve">or is at risk of occurring </w:t>
      </w:r>
      <w:r w:rsidRPr="00D16196">
        <w:t>(box</w:t>
      </w:r>
      <w:r w:rsidR="00BB42EE" w:rsidRPr="00D16196">
        <w:t xml:space="preserve"> 15.5</w:t>
      </w:r>
      <w:r w:rsidRPr="00D16196">
        <w:t>).</w:t>
      </w:r>
    </w:p>
    <w:p w:rsidR="000D73CC" w:rsidRPr="00D16196" w:rsidRDefault="000D73CC"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73CC" w:rsidRPr="00D16196" w:rsidTr="003E4FCA">
        <w:tc>
          <w:tcPr>
            <w:tcW w:w="8771" w:type="dxa"/>
            <w:tcBorders>
              <w:top w:val="single" w:sz="6" w:space="0" w:color="78A22F"/>
              <w:left w:val="nil"/>
              <w:bottom w:val="nil"/>
              <w:right w:val="nil"/>
            </w:tcBorders>
            <w:shd w:val="clear" w:color="auto" w:fill="F2F2F2" w:themeFill="background1" w:themeFillShade="F2"/>
          </w:tcPr>
          <w:p w:rsidR="000D73CC" w:rsidRPr="00D16196" w:rsidRDefault="000D73CC" w:rsidP="00D16196">
            <w:pPr>
              <w:pStyle w:val="BoxTitle"/>
            </w:pPr>
            <w:r w:rsidRPr="00D16196">
              <w:rPr>
                <w:b w:val="0"/>
              </w:rPr>
              <w:t>Box</w:t>
            </w:r>
            <w:r w:rsidR="00BB42EE" w:rsidRPr="00D16196">
              <w:rPr>
                <w:b w:val="0"/>
              </w:rPr>
              <w:t xml:space="preserve"> 15.5</w:t>
            </w:r>
            <w:r w:rsidRPr="00D16196">
              <w:tab/>
              <w:t>Substantiation rate</w:t>
            </w:r>
          </w:p>
        </w:tc>
      </w:tr>
      <w:tr w:rsidR="000D73CC" w:rsidRPr="00D16196" w:rsidTr="003E4FCA">
        <w:trPr>
          <w:cantSplit/>
        </w:trPr>
        <w:tc>
          <w:tcPr>
            <w:tcW w:w="8771" w:type="dxa"/>
            <w:tcBorders>
              <w:top w:val="nil"/>
              <w:left w:val="nil"/>
              <w:bottom w:val="nil"/>
              <w:right w:val="nil"/>
            </w:tcBorders>
            <w:shd w:val="clear" w:color="auto" w:fill="F2F2F2" w:themeFill="background1" w:themeFillShade="F2"/>
          </w:tcPr>
          <w:p w:rsidR="000D73CC" w:rsidRPr="00D16196" w:rsidRDefault="000D73CC" w:rsidP="00D16196">
            <w:pPr>
              <w:pStyle w:val="Box"/>
            </w:pPr>
            <w:r w:rsidRPr="00D16196">
              <w:t xml:space="preserve">‘Substantiation rate’ is defined as the proportion of finalised investigations where </w:t>
            </w:r>
            <w:r w:rsidR="001B6D13" w:rsidRPr="00D16196">
              <w:t>abuse or neglect</w:t>
            </w:r>
            <w:r w:rsidRPr="00D16196">
              <w:t xml:space="preserve"> or risk of </w:t>
            </w:r>
            <w:r w:rsidR="001B6D13" w:rsidRPr="00D16196">
              <w:t xml:space="preserve">abuse or neglect </w:t>
            </w:r>
            <w:r w:rsidRPr="00D16196">
              <w:t>was confirmed.</w:t>
            </w:r>
          </w:p>
          <w:p w:rsidR="000D73CC" w:rsidRPr="00D16196" w:rsidRDefault="000D73CC" w:rsidP="00D16196">
            <w:pPr>
              <w:pStyle w:val="Box"/>
            </w:pPr>
            <w:r w:rsidRPr="00D16196">
              <w:t xml:space="preserve">The substantiation rate provides an indication of the extent to which government avoided the human and financial costs of an investigation where no </w:t>
            </w:r>
            <w:r w:rsidR="001B6D13" w:rsidRPr="00D16196">
              <w:t xml:space="preserve">abuse or neglect </w:t>
            </w:r>
            <w:r w:rsidRPr="00D16196">
              <w:t>had occurred or was at risk of occurring. Neither a very high nor very low substantiation rate is desirable. A very low substantiation rate might indicate that notifications and investigations are not accurately targeted to appropriate cases, with the undesirable consequence of distress to families and undermining the likelihood that families will voluntarily seek support. It might also reflect a greater propensity to substantiate abuse incidents rather than situations of risk. A very high substantiation rate might indicate that the criteria for substantiation are unnecessarily bringing ‘lower risk’ families into the statutory system.</w:t>
            </w:r>
          </w:p>
          <w:p w:rsidR="000D73CC" w:rsidRPr="00D16196" w:rsidRDefault="000D73CC" w:rsidP="00D16196">
            <w:pPr>
              <w:pStyle w:val="Box"/>
            </w:pPr>
            <w:r w:rsidRPr="00D16196">
              <w:t>The rate of finalised investigations that were substantiated is influenced by a range of factors and might fluctuate because of policy, funding and practice changes, such as better targeting of investigative resources, the impact of mandatory reporting or factors such as increased community awareness and willingness to notify suspected instances of child abuse, neglect or harm.</w:t>
            </w:r>
          </w:p>
          <w:p w:rsidR="004A551E" w:rsidRPr="00D16196" w:rsidRDefault="004A551E" w:rsidP="00D16196">
            <w:pPr>
              <w:pStyle w:val="Box"/>
            </w:pPr>
            <w:r w:rsidRPr="00D16196">
              <w:t>Comparability issues affecting substantiations data, including varying thresholds for recording a substantiation across jurisdictions, should also be considered when interpreting data for this indicator (see section 15.5).</w:t>
            </w:r>
          </w:p>
          <w:p w:rsidR="000D73CC" w:rsidRPr="00D16196" w:rsidRDefault="000D73CC" w:rsidP="00D16196">
            <w:pPr>
              <w:pStyle w:val="Box"/>
            </w:pPr>
            <w:r w:rsidRPr="00D16196">
              <w:t>Data reported for this indicator are:</w:t>
            </w:r>
          </w:p>
          <w:p w:rsidR="000D73CC" w:rsidRPr="00D16196" w:rsidRDefault="000D73CC" w:rsidP="00D16196">
            <w:pPr>
              <w:pStyle w:val="BoxListBullet"/>
            </w:pPr>
            <w:r w:rsidRPr="00D16196">
              <w:t>comparable (subject to caveats) within some jurisdictions over time, but are not comparable across jurisdictions (see caveats in attachment tables for specific jurisdictions)</w:t>
            </w:r>
          </w:p>
          <w:p w:rsidR="000D73CC" w:rsidRPr="00D16196" w:rsidRDefault="000D73CC" w:rsidP="00D16196">
            <w:pPr>
              <w:pStyle w:val="BoxListBullet"/>
            </w:pPr>
            <w:r w:rsidRPr="00D16196">
              <w:t xml:space="preserve">complete (subject to caveats) for the current reporting period. All required </w:t>
            </w:r>
            <w:r w:rsidR="006E6A9F" w:rsidRPr="00D16196">
              <w:t>201</w:t>
            </w:r>
            <w:r w:rsidR="001A0561" w:rsidRPr="00D16196">
              <w:t>4</w:t>
            </w:r>
            <w:r w:rsidR="006E6A9F" w:rsidRPr="00D16196">
              <w:t>-1</w:t>
            </w:r>
            <w:r w:rsidR="001A0561" w:rsidRPr="00D16196">
              <w:t>5</w:t>
            </w:r>
            <w:r w:rsidR="006E6A9F" w:rsidRPr="00D16196">
              <w:t xml:space="preserve"> </w:t>
            </w:r>
            <w:r w:rsidRPr="00D16196">
              <w:t>data are available for all jurisdictions.</w:t>
            </w:r>
          </w:p>
          <w:p w:rsidR="000D73CC" w:rsidRPr="00D16196" w:rsidRDefault="000D73CC" w:rsidP="00D16196">
            <w:pPr>
              <w:pStyle w:val="Box"/>
            </w:pPr>
            <w:r w:rsidRPr="00D16196">
              <w:t xml:space="preserve">Data quality information for this indicator is at </w:t>
            </w:r>
            <w:proofErr w:type="spellStart"/>
            <w:r w:rsidRPr="00D16196">
              <w:t>www</w:t>
            </w:r>
            <w:r w:rsidR="00EE00CE" w:rsidRPr="00D16196">
              <w:t>.pc.gov.au</w:t>
            </w:r>
            <w:proofErr w:type="spellEnd"/>
            <w:r w:rsidR="001A0561" w:rsidRPr="00D16196">
              <w:t>/</w:t>
            </w:r>
            <w:proofErr w:type="spellStart"/>
            <w:r w:rsidR="001A0561" w:rsidRPr="00D16196">
              <w:t>rogs</w:t>
            </w:r>
            <w:proofErr w:type="spellEnd"/>
            <w:r w:rsidR="001A0561" w:rsidRPr="00D16196">
              <w:t>/2016</w:t>
            </w:r>
            <w:r w:rsidRPr="00D16196">
              <w:t>.</w:t>
            </w:r>
          </w:p>
        </w:tc>
      </w:tr>
      <w:tr w:rsidR="000D73CC"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0D73CC" w:rsidRPr="00D16196" w:rsidRDefault="000D73CC" w:rsidP="00D16196">
            <w:pPr>
              <w:pStyle w:val="Box"/>
              <w:spacing w:before="0" w:line="120" w:lineRule="exact"/>
            </w:pPr>
          </w:p>
        </w:tc>
      </w:tr>
      <w:tr w:rsidR="000D73CC" w:rsidRPr="00D16196" w:rsidTr="003E4FCA">
        <w:tc>
          <w:tcPr>
            <w:tcW w:w="8771" w:type="dxa"/>
            <w:tcBorders>
              <w:top w:val="single" w:sz="6" w:space="0" w:color="78A22F"/>
              <w:left w:val="nil"/>
              <w:bottom w:val="nil"/>
              <w:right w:val="nil"/>
            </w:tcBorders>
          </w:tcPr>
          <w:p w:rsidR="000D73CC" w:rsidRPr="00D16196" w:rsidRDefault="000D73CC" w:rsidP="00D16196">
            <w:pPr>
              <w:pStyle w:val="BoxSpaceBelow"/>
            </w:pPr>
          </w:p>
        </w:tc>
      </w:tr>
    </w:tbl>
    <w:p w:rsidR="00A73245" w:rsidRPr="00D16196" w:rsidRDefault="00DF5ACA" w:rsidP="00D16196">
      <w:pPr>
        <w:pStyle w:val="BodyText"/>
      </w:pPr>
      <w:r w:rsidRPr="00D16196">
        <w:t>The proportion of finalised child protection investigations that were substantiated varied across jurisdictions (</w:t>
      </w:r>
      <w:r w:rsidR="006842D6" w:rsidRPr="00D16196">
        <w:t xml:space="preserve">figure </w:t>
      </w:r>
      <w:r w:rsidR="009E5608" w:rsidRPr="00D16196">
        <w:t>15.6</w:t>
      </w:r>
      <w:r w:rsidRPr="00D16196">
        <w:t>)</w:t>
      </w:r>
      <w:r w:rsidR="006842D6" w:rsidRPr="00D16196">
        <w:t>.</w:t>
      </w:r>
    </w:p>
    <w:p w:rsidR="0078756F" w:rsidRPr="00D16196" w:rsidRDefault="0078756F"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385"/>
        <w:gridCol w:w="4386"/>
      </w:tblGrid>
      <w:tr w:rsidR="0078756F" w:rsidRPr="00D16196" w:rsidTr="003E4FCA">
        <w:tc>
          <w:tcPr>
            <w:tcW w:w="8771" w:type="dxa"/>
            <w:gridSpan w:val="2"/>
            <w:tcBorders>
              <w:top w:val="single" w:sz="6" w:space="0" w:color="78A22F"/>
              <w:left w:val="nil"/>
              <w:bottom w:val="nil"/>
              <w:right w:val="nil"/>
            </w:tcBorders>
            <w:shd w:val="clear" w:color="auto" w:fill="auto"/>
          </w:tcPr>
          <w:p w:rsidR="0078756F" w:rsidRPr="00D16196" w:rsidRDefault="0078756F" w:rsidP="00D16196">
            <w:pPr>
              <w:pStyle w:val="FigureTitle"/>
            </w:pPr>
            <w:r w:rsidRPr="00D16196">
              <w:rPr>
                <w:b w:val="0"/>
              </w:rPr>
              <w:t xml:space="preserve">Figure </w:t>
            </w:r>
            <w:bookmarkStart w:id="32" w:name="OLE_LINK74"/>
            <w:r w:rsidR="009E5608" w:rsidRPr="00D16196">
              <w:rPr>
                <w:b w:val="0"/>
              </w:rPr>
              <w:t>15.</w:t>
            </w:r>
            <w:bookmarkEnd w:id="32"/>
            <w:r w:rsidR="004362DA" w:rsidRPr="00D16196">
              <w:rPr>
                <w:b w:val="0"/>
              </w:rPr>
              <w:t>5</w:t>
            </w:r>
            <w:r w:rsidRPr="00D16196">
              <w:tab/>
              <w:t xml:space="preserve">Proportion of finalised child protection investigations that were </w:t>
            </w:r>
            <w:r w:rsidR="00A73245" w:rsidRPr="00D16196">
              <w:t>substantiated</w:t>
            </w:r>
            <w:r w:rsidR="009461BA" w:rsidRPr="00D16196">
              <w:rPr>
                <w:rStyle w:val="NoteLabel"/>
                <w:b/>
              </w:rPr>
              <w:t>a</w:t>
            </w:r>
          </w:p>
        </w:tc>
      </w:tr>
      <w:tr w:rsidR="00054FA3" w:rsidRPr="00D16196" w:rsidTr="00054FA3">
        <w:tblPrEx>
          <w:tblCellMar>
            <w:left w:w="108" w:type="dxa"/>
            <w:right w:w="108" w:type="dxa"/>
          </w:tblCellMar>
        </w:tblPrEx>
        <w:tc>
          <w:tcPr>
            <w:tcW w:w="4385" w:type="dxa"/>
            <w:tcBorders>
              <w:top w:val="nil"/>
              <w:left w:val="nil"/>
              <w:bottom w:val="nil"/>
              <w:right w:val="nil"/>
            </w:tcBorders>
            <w:shd w:val="clear" w:color="auto" w:fill="auto"/>
          </w:tcPr>
          <w:p w:rsidR="00AC28B6" w:rsidRPr="00D16196" w:rsidRDefault="00AC28B6" w:rsidP="00D16196">
            <w:pPr>
              <w:pStyle w:val="Figure"/>
            </w:pPr>
            <w:r w:rsidRPr="00D16196">
              <w:rPr>
                <w:noProof/>
              </w:rPr>
              <mc:AlternateContent>
                <mc:Choice Requires="wpg">
                  <w:drawing>
                    <wp:anchor distT="0" distB="0" distL="114300" distR="114300" simplePos="0" relativeHeight="251659264" behindDoc="0" locked="0" layoutInCell="1" allowOverlap="1" wp14:anchorId="1C557D10" wp14:editId="16AB84C4">
                      <wp:simplePos x="0" y="0"/>
                      <wp:positionH relativeFrom="column">
                        <wp:posOffset>-144349</wp:posOffset>
                      </wp:positionH>
                      <wp:positionV relativeFrom="paragraph">
                        <wp:posOffset>118390</wp:posOffset>
                      </wp:positionV>
                      <wp:extent cx="5585460" cy="5637530"/>
                      <wp:effectExtent l="0" t="0" r="0" b="1270"/>
                      <wp:wrapNone/>
                      <wp:docPr id="19" name="Group 2" descr="Figure 15.5 Proportion of finalised child protection investigations that were substantiated&#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585460" cy="5637530"/>
                                <a:chOff x="0" y="0"/>
                                <a:chExt cx="5586075" cy="5637648"/>
                              </a:xfrm>
                            </wpg:grpSpPr>
                            <wpg:graphicFrame>
                              <wpg:cNvPr id="20" name="1"/>
                              <wpg:cNvFrPr>
                                <a:graphicFrameLocks/>
                              </wpg:cNvFrPr>
                              <wpg:xfrm>
                                <a:off x="38100" y="0"/>
                                <a:ext cx="2700000" cy="1219995"/>
                              </wpg:xfrm>
                              <a:graphic>
                                <a:graphicData uri="http://schemas.openxmlformats.org/drawingml/2006/chart">
                                  <c:chart xmlns:c="http://schemas.openxmlformats.org/drawingml/2006/chart" xmlns:r="http://schemas.openxmlformats.org/officeDocument/2006/relationships" r:id="rId14"/>
                                </a:graphicData>
                              </a:graphic>
                            </wpg:graphicFrame>
                            <wpg:graphicFrame>
                              <wpg:cNvPr id="21" name="2"/>
                              <wpg:cNvFrPr>
                                <a:graphicFrameLocks/>
                              </wpg:cNvFrPr>
                              <wpg:xfrm>
                                <a:off x="2886075" y="19050"/>
                                <a:ext cx="2700000" cy="1219995"/>
                              </wpg:xfrm>
                              <a:graphic>
                                <a:graphicData uri="http://schemas.openxmlformats.org/drawingml/2006/chart">
                                  <c:chart xmlns:c="http://schemas.openxmlformats.org/drawingml/2006/chart" xmlns:r="http://schemas.openxmlformats.org/officeDocument/2006/relationships" r:id="rId15"/>
                                </a:graphicData>
                              </a:graphic>
                            </wpg:graphicFrame>
                            <wpg:graphicFrame>
                              <wpg:cNvPr id="22" name="3"/>
                              <wpg:cNvFrPr>
                                <a:graphicFrameLocks/>
                              </wpg:cNvFrPr>
                              <wpg:xfrm>
                                <a:off x="38100" y="1578637"/>
                                <a:ext cx="2700000" cy="1219995"/>
                              </wpg:xfrm>
                              <a:graphic>
                                <a:graphicData uri="http://schemas.openxmlformats.org/drawingml/2006/chart">
                                  <c:chart xmlns:c="http://schemas.openxmlformats.org/drawingml/2006/chart" xmlns:r="http://schemas.openxmlformats.org/officeDocument/2006/relationships" r:id="rId16"/>
                                </a:graphicData>
                              </a:graphic>
                            </wpg:graphicFrame>
                            <wpg:graphicFrame>
                              <wpg:cNvPr id="23" name="4"/>
                              <wpg:cNvFrPr>
                                <a:graphicFrameLocks/>
                              </wpg:cNvFrPr>
                              <wpg:xfrm>
                                <a:off x="2860591" y="1543050"/>
                                <a:ext cx="2700000" cy="1219995"/>
                              </wpg:xfrm>
                              <a:graphic>
                                <a:graphicData uri="http://schemas.openxmlformats.org/drawingml/2006/chart">
                                  <c:chart xmlns:c="http://schemas.openxmlformats.org/drawingml/2006/chart" xmlns:r="http://schemas.openxmlformats.org/officeDocument/2006/relationships" r:id="rId17"/>
                                </a:graphicData>
                              </a:graphic>
                            </wpg:graphicFrame>
                            <wpg:graphicFrame>
                              <wpg:cNvPr id="24" name="5"/>
                              <wpg:cNvFrPr>
                                <a:graphicFrameLocks/>
                              </wpg:cNvFrPr>
                              <wpg:xfrm>
                                <a:off x="38100" y="2999526"/>
                                <a:ext cx="2700000" cy="1220400"/>
                              </wpg:xfrm>
                              <a:graphic>
                                <a:graphicData uri="http://schemas.openxmlformats.org/drawingml/2006/chart">
                                  <c:chart xmlns:c="http://schemas.openxmlformats.org/drawingml/2006/chart" xmlns:r="http://schemas.openxmlformats.org/officeDocument/2006/relationships" r:id="rId18"/>
                                </a:graphicData>
                              </a:graphic>
                            </wpg:graphicFrame>
                            <wpg:graphicFrame>
                              <wpg:cNvPr id="25" name="6"/>
                              <wpg:cNvFrPr>
                                <a:graphicFrameLocks/>
                              </wpg:cNvFrPr>
                              <wpg:xfrm>
                                <a:off x="2831098" y="2990274"/>
                                <a:ext cx="2700000" cy="1220400"/>
                              </wpg:xfrm>
                              <a:graphic>
                                <a:graphicData uri="http://schemas.openxmlformats.org/drawingml/2006/chart">
                                  <c:chart xmlns:c="http://schemas.openxmlformats.org/drawingml/2006/chart" xmlns:r="http://schemas.openxmlformats.org/officeDocument/2006/relationships" r:id="rId19"/>
                                </a:graphicData>
                              </a:graphic>
                            </wpg:graphicFrame>
                            <wpg:graphicFrame>
                              <wpg:cNvPr id="26" name="7"/>
                              <wpg:cNvFrPr>
                                <a:graphicFrameLocks/>
                              </wpg:cNvFrPr>
                              <wpg:xfrm>
                                <a:off x="0" y="4417248"/>
                                <a:ext cx="2700000" cy="1220400"/>
                              </wpg:xfrm>
                              <a:graphic>
                                <a:graphicData uri="http://schemas.openxmlformats.org/drawingml/2006/chart">
                                  <c:chart xmlns:c="http://schemas.openxmlformats.org/drawingml/2006/chart" xmlns:r="http://schemas.openxmlformats.org/officeDocument/2006/relationships" r:id="rId20"/>
                                </a:graphicData>
                              </a:graphic>
                            </wpg:graphicFrame>
                            <wpg:graphicFrame>
                              <wpg:cNvPr id="27" name="8"/>
                              <wpg:cNvFrPr>
                                <a:graphicFrameLocks/>
                              </wpg:cNvFrPr>
                              <wpg:xfrm>
                                <a:off x="2805382" y="4404502"/>
                                <a:ext cx="2700000" cy="1220400"/>
                              </wpg:xfrm>
                              <a:graphic>
                                <a:graphicData uri="http://schemas.openxmlformats.org/drawingml/2006/chart">
                                  <c:chart xmlns:c="http://schemas.openxmlformats.org/drawingml/2006/chart" xmlns:r="http://schemas.openxmlformats.org/officeDocument/2006/relationships" r:id="rId21"/>
                                </a:graphicData>
                              </a:graphic>
                            </wpg:graphicFrame>
                          </wpg:wgp>
                        </a:graphicData>
                      </a:graphic>
                    </wp:anchor>
                  </w:drawing>
                </mc:Choice>
                <mc:Fallback>
                  <w:pict>
                    <v:group id="Group 2" o:spid="_x0000_s1026" alt="Figure 15.5 Proportion of finalised child protection investigations that were substantiated&#10;&#10;More details can be found within the text surrounding this image." style="position:absolute;margin-left:-11.35pt;margin-top:9.3pt;width:439.8pt;height:443.9pt;z-index:251659264" coordsize="55860,56376"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N0VwMAAGwSAAAOAAAAZHJzL2Uyb0RvYy54bWzsmN1umzAUx+8n7R0sJu1uAQwkhDWpJnWt&#10;Ju0j0rYHcI0Ba4CR7TTp2+/YfCRN2qXruFtyQWpcDuec3//42Lm43FYlumNScVEvHH/iOYjVVKS8&#10;zhfOzx/X72IHKU3qlJSiZgvnninncvn61cWmSRgWhShTJhEYqVWyaRZOoXWTuK6iBauImoiG1TCZ&#10;CVkRDUOZu6kkG7BelS72vKm7ETJtpKBMKbh71U46S2s/yxjV37JMMY3KhQO+aXuV9nprru7ygiS5&#10;JE3BaecGeYEXFeE1vHQwdUU0QWvJj0xVnEqhRKYnVFSuyDJOmY0BovG9g2hupFg3NpY82eTNkCZI&#10;7UGeXmyWfr1bScRTYDd3UE0qYGRfi7CDUqYo5Oqa52vJkB9NIrSSohFSA20kMpTxmpRcsRTRgpcp&#10;AhAaUm5meX3HlOY5MSOFdEE02jAwo9a3RhCaE83St2+2H97byxcBcynThJcKUVKjW4Yysa5TtOG6&#10;4DVYYEizrQYDEvJSG4nBTa4Qr0jOJgblpskTiOhGNt+blexu5O3I0NlmsjLfkHe0tSK4H0RgTFO4&#10;GUVxFE5BKxTmomkwi4JOJrQALR09R4uPuyen3izaPTkNY+OV27/YNf4N7rQDq7xrCYkf3O+AYPCh&#10;BeLvxXYtV3JPaPbJz4L+UuZFXfzt/5jBQcBB7Htg9ThoPPPMp3Xdx/58Po+s6/tGujLZe/uTMj9d&#10;t7QgUoO2aWL/6rRNj5T9XEudAZDrQWk8YqAtuytB1xWrdbuOSFa2Ui14oxwkE1MT8lNqcw8Eu+BN&#10;xJbokIwO6iHHbv5xsn5PFo9FFsdxqz1g68+9qJNsL+oz36f4WgJj84W1s63cYCy+u8r1o1kMq5Ix&#10;TJIz31P1awmMzTfo+YZj8cVQvtEc1gVTv1EYnCsYNkbPW6Etg7EJhz1h2wYf9NWhF7y092LTXfH0&#10;jxWMvRDacd/T+zY+NJ3Bh/+gA7cbkQcR/3sHhl1au0JbDGPwxXHge3M47kAFA2EPz6wwn1yjz4SH&#10;PZZlMHYFT3vCtlWOQbjdOYehP8Ptxv7M9vT+2WZ/bLaznq09X43BFsdeFMSwb4PqDUMvjDy7MTwT&#10;Pk24P+P+zQnJHprgJ439hfzRo9XuR6LlbwAAAP//AwBQSwMEFAAGAAgAAAAhAHSb5bJiAQAAnQIA&#10;ACAAAABkcnMvY2hhcnRzL19yZWxzL2NoYXJ0MS54bWwucmVsc6xS30vDMBB+F/wfSkDfbNoqQ3Td&#10;kE1lD2MyJr4EJLbXNluahOQm63/vzTJ0MPDFl/uR7/Ld5csNx7tWR5/gg7ImZ2mcsAhMYUtl6py9&#10;rp6ublkUUJpSamsgZx0ENh6dnw2XoCXSpdAoFyJiMSFnDaK74zwUDbQyxNaBIaSyvpVIqa+5k8VG&#10;1sCzJBlw/5uDjY44o1mZMz8rMxatOked/+a2VaUKmNpi24LBEy241bD4WEOBRCp9DZizSmmgkbkQ&#10;Lej3VNTebl0Qc2sUWi+Sm4ssebN+Q4JQ9NyjaUbxpFG6JO+8RaIkLSi5lK27J9/ZLTbk19uANJTI&#10;YkqW4KxHcb2PpxJlHz0YqbugAh2GBgCDyJJ08FN+sk/RSE+VkxeqK4mKHH0S2R6Idzq0h0fObUn6&#10;Pe4QPLVi/LTQ6X8KjbQAsKC98qqEwxw5i2P+jfT2gKcxLcl+LH60VKMvAAAA//8DAFBLAwQUAAYA&#10;CAAAACEA4BlKQusAAADFBAAAGQAAAGRycy9fcmVscy9lMm9Eb2MueG1sLnJlbHO81E1qwzAQBeB9&#10;oXcQs69lO4kTSuRsQiHbkh5gkMc/1JaERinN7StaCg0EdaflaNB732r2h89lFh/kebJGQVWUIMho&#10;201mUPB2fnnageCApsPZGlJwJYZD+/iwf6UZQ/zE4+RYxBTDCsYQ3LOUrEdakAvryMRNb/2CIY5+&#10;kA71Ow4k67JspP+bAe1Npjh1Cvypi/3nq4vN/2fbvp80Ha2+LGTCnQqpR/QhBqIfKCj4HvnndVdE&#10;Kcj7iFUmxCqF2GZCbFOIOhOiTiGqTIgqhWgyIZoUYpMJsUkh1pkQ61+EvDk+7RcAAAD//wMAUEsD&#10;BBQABgAIAAAAIQC3GMqq4QAAAAoBAAAPAAAAZHJzL2Rvd25yZXYueG1sTI9BT4NAEIXvJv6HzZh4&#10;axfQIqUsTdOop8bE1sT0NoUpkLK7hN0C/feOJz1O3pf3vsnWk27FQL1rrFEQzgMQZApbNqZS8HV4&#10;myUgnEdTYmsNKbiRg3V+f5dhWtrRfNKw95XgEuNSVFB736VSuqImjW5uOzKcnW2v0fPZV7LsceRy&#10;3cooCGKpsTG8UGNH25qKy/6qFbyPOG6ewtdhdzlvb8fD4uN7F5JSjw/TZgXC0+T/YPjVZ3XI2elk&#10;r6Z0olUwi6IXRjlIYhAMJIt4CeKkYBnEzyDzTP5/If8BAAD//wMAUEsDBBQABgAIAAAAIQAWswEn&#10;7QcAAJwXAAAVAAAAZHJzL2NoYXJ0cy9jaGFydDgueG1s1Fjfc9u4EX7vTP8HHpuZe5LEnxKpiXQj&#10;y9U1VzvxxPZ1pm8QCUmsQYIFIFlKp/97dwGQohQ5cXLTh9xlZHCxWADfLnY/4O0v+5I5OypkwauJ&#10;6/c916FVxvOiWk/cx4dFL3EdqUiVE8YrOnEPVLq/TP/8p7fZONsQoe5rklEHjFRynE3cjVL1eDCQ&#10;2YaWRPZ5TSvoW3FREgWfYj3IBXkG4yUbBJ43HGgjrjVAvsNASYqqGS9eM56vVkVGr3m2LWmlzCoE&#10;ZUQBAnJT1NKdwuZyoqifepGzI2zieu4AhYxUayOgVW/2aISCb6uc5nMuKoCxo19m4xlTVFRgas4r&#10;BbPZfZavQqok4mlb9zJe1rC4ZcEKddDLhQWC7fmGwz6cj/Tf20JQOXEzP2qAgOZnUJRFJrjkK9UH&#10;iwODQuMNNDsaJIPA+gM260djqQ6Mmg35XoC7HbTz6iUsCGNLkj0hNh3lVvXYjwPPwcBRGRO3pP6w&#10;E85y7U9cpnzXUXto5U/QWq4DlAUog1b+BC2SZQAkaNhGI4F+I2l1wkYSNjoAitEBoEwjbiRxIxk2&#10;kqHrbFhRPQGQ+Md1Vpz9zQialgkAHcK4GVUoRnVjj7+iyDbTt2S85PnhTgB6ZMykukdQ9UeNkvpO&#10;4J+crj7eCUd+mripB2dwCWfRdQqMPD0OAqBy1KGmKzhuE3cmCsK0Q5qh4JvWmLYowBzG68Q1sfpd&#10;tsEITq+m7x/QvtKzgAjngt9mj9BQesuMHPhW6bPCIanAZ+c8oFaDENkq/oAf15RRRfOOWjauGVcz&#10;QQmCaCxiqyTVlrAbPcOx54GINVVmeFHBCTQ+2d/y3IYuzdfUCA+XhHs7dd+PkyD0k7j9Zwc1/YE/&#10;SvwoicM0CtM0iHzT/9z0j9IwDIM4bf+Z/k3TPwQDHqSUeJRGgZ8EMfYDJqf7AsFxy0si5phkcbvQ&#10;vi6EMZZx7fxsvIbkU0M2tWK2lZBvaG5m3hFxmHPGT5ISHFQKDszGRd7s3GhzkVNr3mY741KpxEe6&#10;whGr6c/32yUWA1XobOkIyGw///SXj39d/IQ70VqgPyeQ/nFEreaQHK13LF61cmBqE9jZeDdtR+80&#10;GjXGGGaTxor50EuApl2TPTWSsyJfFIxhkEqxXs6Z3cIomQXBQiMMPV01VmnlruhVIyHkcSguR88O&#10;CFYQ4urd6j1dAxw7G24WvIxor30dvTdXb8Ix/Iy+jqCOGET1FMHA872e7+P4I4ZHNd9FV+ymoOb3&#10;/OAlteCoFvT88CW18KgW9vzoJbXoqBb1/PhUzbjURon5aPxrYYOii4uutuVXYu/Nb4jebx30YEwb&#10;f4Z3zCEVTL2+h4voSM7j8wV0Y7+fpKMYjrY3TELffxmaBugo6cejOEqT5jc53f7RNQ3mUdQP41Hg&#10;B2kcJqNhGKUvjWjgj4Z9Lw29JNGTxEmow+eS+xtPhEl/5I8wCIZDP/FG8dkIAOcInflonKK9gX4y&#10;mSO/WTKJ7pEb/nxD17TK/067id70/E6AWHbIE2rPiXpPytOTgvJ7Ki7K76jAav+ZnavtcsnoffGp&#10;awpW2C5tTep/FLmyydeP7akk+3e21ATgIcj4XmKy31nHKIwinTx03m1zMETnTNe5M/WjHZkRoAhr&#10;RIeLApZuEqXGoSyqW7K3ZjuKuS6BJ3sk+ztuqeTSLBB8sygVcBBk0hjRE/dXCuUOaIAj+RZgugGS&#10;QnPkDbr+luRfXDwU2dMt0EhjvAIGbzuL6uVOBYPAxe0KKrpXD9wMNLnPpMKzxHqSRa8W+D+OgbzZ&#10;yb+fZ1G1NxzjG1lSYlkScKWvsyQypuQSeyLjTF6SwyoNIdPLt8UGwvyOCII0reVVj/d2i4YNmb0A&#10;qwWiLWe2vupIawLK9lHrXKRB/6TCgotfxlPWh2zJZmxdGVmmLLcB6YfVSjasxwcktMcrfrtlqrjZ&#10;MfBeJ5zgXLSBC4F4MYKP6+sE5hciGGmL3Z+dH/PDMfi/HNOWvegQ/VUUORwZajKKxZpVzjMw4RhI&#10;kpOReuKu4H4GzbKGAJfVGsg64AJXHsAEy3nFkQUACsBLhVTXRNqTr0MP4SFjfU8zAWk4AF2taKZu&#10;JPJViJA9Nm3L2QqIqv+kfhB5V0HaWwyTUS9aRHEvHXlJD2jcVTr0ojS6XvwXFwCXpU2R57SCQ9jc&#10;hkH4rXcw3xuY6+w3bb5zvOCsHWRLguCenfPnB9iZCyErFXQA79L/adTgTmFT6ygGqYFJbkjDnNOO&#10;lCggzzY4vUaOZ1vPd37MX+WGE9C0BVhp81f7AmNKRwQ0Pg+W9jJhSOHpdcsRXE3cXhyZ7eITB3xv&#10;uPhktvnamxgGBL4NdG9fpLl9neWVjvwkr7Tyi3lF4BTntzUdkmoK9c/BAnjh8qVvYPBz8f74/1/1&#10;pWxoXkRgk3/sbnih1EGWPy1yNuVdKHJw/zTpEMrtD17jmpeAH6TGHVmQrn+Xa5zuuqLqmVJb15bm&#10;wzoNWctjVdi8FGg/w+lv61ZDQDoZ32TzjuAHyvR4UL8rf5tCdjL0uO1vy6zd5xZs/17IDxWzhN4y&#10;kbyQ9RXQnic5s9QFGLZxGfL3a2Ac8gPkWCC4Z8yjeb9oHHfmLcgWZ9fq7yCESyIpcogvP5c5daGy&#10;zYKUBTtM3BDeAPHlDngUDjN4/iHWB9ULH3vZNVHEEfDAMnHFu9zc8ZDaPdb4qHwKT3cMlD5gau2j&#10;+vR/AAAA//8DAFBLAwQUAAYACAAAACEAabEhYmwGAABXGwAAHAAAAGRycy90aGVtZS90aGVtZU92&#10;ZXJyaWRlOC54bWzsWU+PGzUUvyPxHay5t0l2k3SzarbaZJMutNuuNmlRj87EmXHjGY9sZ7e5ofaI&#10;hIQoiAsSNw4IqNRKXMqnWSiCIvUr8GzPTMabCbvbrkCU5pDM2D+//+/52bl67UHE0CERkvK47dUu&#10;Vz1EYp+PaRy0vTvD/qUND0mF4zFmPCZtb06kd23r/feu4k0VkojchrWCjgkCOrHcxG0vVCrZrFSk&#10;D9NYXuYJiWFuwkWEFbyKoDIW+AjoR6yyVq02KxGmsbcFBH0mBnoVQTGOgNftyYT6xEyNpzWNkHPZ&#10;ZQIdYtb2gMSYHw3JA+UhhqWCibZXNR+vsnW1gjfTRUytWFtY1zefdF26YDxdMzxFMMqZ1vr11pWd&#10;nL4BMLWM6/V63V4tp2cA2PdJnMpSpFnvb9Q6Gc0CyD4u0+5WG9W6iy/QX1+SudXpdBqtVBZL1IDs&#10;Y30Jv1Ft1rfXHLwBWXxjCV/vbHe7TQdvQBbfXML3r7SadRdvQCGj8XQJrR3a76fUc8iEs91S+AbA&#10;N6opfIGCaMijS7OY8FitirUI3+eiDwANZFjRGKl5QibYh5js4mgkKNYM8CbBhRk75MulIc0LSV/Q&#10;RLW9DxMcewXIq+ffv3r+FL16/uT44bPjhz8dP3p0/PBHS8tZuIvjoLjw5bef/fn1x+iPp9+8fPxF&#10;OV4W8b/+8MkvP39eDoQMWmj44ssnvz178uKrT3//7nEJfFvgURE+pBGR6BY5Qgc8At2MYVzJyUic&#10;b8UwxNRZgUOgXUK6p0IHeGuOWRmuQ1zj3RVQPMqA12f3HVkHoZgpWsL5Rhg5wD3OWYeLUgPc0LwK&#10;Fh7O4qCcuZgVcQcYH5bx7uLYcW1vlkDVzILSsX03JI6Y+wzHCgckJgrpOT4lpES7e5Q6dt2jvuCS&#10;TxS6R1EH01KTDOnICaTFol0agV/mZTqDqx3b7N1FHc7KtN4hhy4SEgKzEuGHhDlmvI5nCkdlJIc4&#10;YkWD38QqLBNyMBd+EdeTCjwdEMZRb0ykLFtzW4C+BaffwFCvSt2+x+aRixSKTsto3sScF5E7fNoN&#10;cZSUYQc0DovYD+QUQhSjfa7K4HvczRD9Dn7A8Up336XEcffpheAODRyRFgGiZ2aixJfXCXfidzBn&#10;E0xMlYGS7lTqiMZ/V7YZhbptObwr221vGzaxsuTZPVGsV+H+gyV6B8/ifQJZsbxFvavQ7yq099ZX&#10;6FW5fPF1eVGKoUrrhsT22qbzjlY23hPK2EDNGbkpTe8tYQMa92FQrzPnSZIfxJIQHnUmAwMHFwhs&#10;1iDB1UdUhYMQJ9C31zxNJJAp6UCihEs4L5rhUtoaD72/sqfNhj6H2MohsdrjYzu8roez40ZOxkgV&#10;SMvRMlrXBM7KbP1KShR0ex1mNS3UmbnVjGimKDrccpW1ic25HEyeqwaDuTWhs0HQD4GVm3Ci16zh&#10;vIMZGWu7Wx9lbjE2uUgXyRDD7YO5EWhovZd9VDNOymJlSRGth/WRPjueYrUCt5Ym+wbczuKkIrv6&#10;CnaZ997ES1kEL7wE1E6mI4uLyclidNT2Wo21hod8nLS9CRyV4TFKwOtSN5OYBXCl5Cthw/7UZNah&#10;UVQ4U8xNghrcfli7Lyns1IFESLWDZWhDw0ylIcBizcnKv9YAs16UAiXV6GxSrG9AMPxrUoAdXdeS&#10;yYT4qujswoi2nX1NSymfKSIG4fgIjdhMHGBwvw5V0GdMJdx4mIqgX+B6TlvbTLnFOU264qWYwdlx&#10;zJIQp+VWp2iWyRZuClIug3kriAe6lcpulDu/KiblL0iVYhj/z1TR+wlcQayPtQd8uOsVGOlMaXtc&#10;qJBDFUpC6vcFNA6mdkC0wBUvTENQwTW0+RXkUP/anLM0TFrDSVId0AAJCvuRCgUh+1CWTPSdQqyW&#10;7l2WJEsJmYgqiCsTK/aIHBI21DWwqfd2D4UQ6qaapGXA4E7Gn/ueZtAo0E1OMd+cSpbvvTYH/unO&#10;xyYzKOXWYdPQZPbPRczbg8Wuateb5dneW1RETyzarHqWFe5W0ErT/jVFOOdWayvWksZrjUw48OKy&#10;xjCYN0QJXCQh/QX7HxU+s39i6A11yA+gtiL4/0ITg7CBqL5kGw+kC6QdHEHjZAdtMGlS1rRp66St&#10;lm3WF9zp5nxPGFtLdhZ/n9PYeXPmsnNy8SKNnVrYsbUdW2lq8OzJFIWhSXaQMY5x/gzb+gsAAP//&#10;AwBQSwMEFAAGAAgAAAAhAFwy++piAQAAnQIAACAAAABkcnMvY2hhcnRzL19yZWxzL2NoYXJ0Mi54&#10;bWwucmVsc6xS30vDMBB+F/wfSkDfbNoqQ3TdkE1lD2MyJr4EJLbXNluahOQm63/vzTJ0MPDFl/uR&#10;7/Ld5csNx7tWR5/gg7ImZ2mcsAhMYUtl6py9rp6ublkUUJpSamsgZx0ENh6dnw2XoCXSpdAoFyJi&#10;MSFnDaK74zwUDbQyxNaBIaSyvpVIqa+5k8VG1sCzJBlw/5uDjY44o1mZMz8rMxatOked/+a2VaUK&#10;mNpi24LBEy241bD4WEOBRCp9DZizSmmgkbkQLej3VNTebl0Qc2sUWi+Sm4ssebN+Q4JQ9NyjaUbx&#10;pFG6JO+8RaIkLSi5lK27J9/ZLTbk19uANJTIYkqW4KxHcb2PpxJlHz0YqbugAh2GBgCDyJJ08FN+&#10;sk/RSE+VkxeqK4mKHH0S2R6Idzq0h0fObUn6Pe4QPLVi/LTQ6X8KjbQAsKC98qqEwxw5i2P+jfT2&#10;gGcxLcl+LH60VKMvAAAA//8DAFBLAwQUAAYACAAAACEADGDGWmIBAACdAgAAIAAAAGRycy9jaGFy&#10;dHMvX3JlbHMvY2hhcnQ0LnhtbC5yZWxzrFLfS8MwEH4X/B9KQN9s2jqG6Lohm8oexmQovgQkttc2&#10;W5qE5Crbf+/NMnQw8MWX+5Hv8t3ly40m21ZHn+CDsiZnaZywCExhS2XqnL2+PF7dsCigNKXU1kDO&#10;dhDYZHx+NlqBlkiXQqNciIjFhJw1iO6W81A00MoQWweGkMr6ViKlvuZOFhtZA8+SZMj9bw42PuKM&#10;5mXO/LzMWPSyc9T5b25bVaqAmS26FgyeaMGthuXHGgokUulrwJxVSgONzIVoQb+nova2c0EsrFFo&#10;vUgGF1nyZv2GBKHoqUfTjOJpo3RJ3nmLRElaUHIpW3dHfmc7bMivu4A0lMhiSlbgrEdxvY9nEmUf&#10;3Rupd0EFOgwNAAaRJenwp/xkn6KRniqnz1RXEhU5+iSyPRBvdWgPj1zYkvR72CJ4asX4aaHT/xQa&#10;aQFgSXvlVQmHOXIWx/wb6e0BH8S0JPux+NFSjb8AAAD//wMAUEsDBBQABgAIAAAAIQDtws3hYgEA&#10;AJ0CAAAgAAAAZHJzL2NoYXJ0cy9fcmVscy9jaGFydDgueG1sLnJlbHOsUt9LwzAQfhf8H0pA32za&#10;KjJ03ZBNZQ9jMia+BCS21zZbmoTkKtt/780ydDDwxZf7ke/y3eXLDcfbVkef4IOyJmdpnLAITGFL&#10;Zeqcva6ergYsCihNKbU1kLMdBDYenZ8Nl6Al0qXQKBciYjEhZw2iu+M8FA20MsTWgSGksr6VSKmv&#10;uZPFRtbAsyS55f43BxsdcUazMmd+VmYsWu0cdf6b21aVKmBqi64FgydacKth8bGGAolU+howZ5XS&#10;QCNzIVrQ76move1cEHNrFFovkpuLLHmzfkOCUPTco2lG8aRRuiTvvEWiJC0ouZStuye/sx025Ndd&#10;QBpKZDElS3DWo7jex1OJso8ejNS7oAIdhgYAg8iS9Pan/GSfopGeKicvVFcSFTn6JLI9EG91aA+P&#10;nNuS9HvcInhqxfhpodP/FBppAWBBe+VVCYc5chbH/Bvp7QEfxLQk+7H40VKNvgAAAP//AwBQSwME&#10;FAAGAAgAAAAhACTJ2AJiAQAAnQIAACAAAABkcnMvY2hhcnRzL19yZWxzL2NoYXJ0Ny54bWwucmVs&#10;c6xS30vDMBB+F/wfSkDfbNoqKrpuyKayhzEZE18CEttrmy1NQnKT9b/3Zhk6GPjiy/3Id/nu8uUG&#10;o22ro0/wQVmTszROWASmsKUydc5el08XtywKKE0ptTWQsw4CGw1PTwYL0BLpUmiUCxGxmJCzBtHd&#10;cR6KBloZYuvAEFJZ30qk1NfcyWIta+BZklxz/5uDDQ84o2mZMz8tMxYtO0ed/+a2VaUKmNhi04LB&#10;Iy241TD/WEGBRCp9DZizSmmgkbkQLej3VNTeblwQM2sUWi+Sq7MsebN+TYJQ9NyjaUbxuFG6JO+8&#10;RaIkLSg5l627J9/ZDTbkV5uANJTIYkoW4KxHcbmLJxJlHz0YqbugAh2GBgCDyJL0+qf8aJ+ikZ4q&#10;xy9UVxIVOfoksj0Qb3Vo94+c2ZL0e9wieGrF+HGh0/8UGmkBYE575VUJ+zlyFsf8G+ntHr+JaUl2&#10;Y/GDpRp+AQAA//8DAFBLAwQUAAYACAAAACEAA6z9g2IBAACdAgAAIAAAAGRycy9jaGFydHMvX3Jl&#10;bHMvY2hhcnQ2LnhtbC5yZWxzrFLfS8MwEH4X/B9KQN9s2ipDdN2QTWUPYzImvgQkttc2W5qE5Cbr&#10;f+/NMnQw8MWX+5Hv8t3lyw3Hu1ZHn+CDsiZnaZywCExhS2XqnL2unq5uWRRQmlJqayBnHQQ2Hp2f&#10;DZegJdKl0CgXImIxIWcNorvjPBQNtDLE1oEhpLK+lUipr7mTxUbWwLMkGXD/m4ONjjijWZkzPysz&#10;Fq06R53/5rZVpQqY2mLbgsETLbjVsPhYQ4FEKn0NmLNKaaCRuRAt6PdU1N5uXRBzaxRaL5Kbiyx5&#10;s35DglD03KNpRvGkUbok77xFoiQtKLmUrbsn39ktNuTX24A0lMhiSpbgrEdxvY+nEmUfPRipu6AC&#10;HYYGAIPIknTwU36yT9FIT5WTF6oriYocfRLZHoh3OrSHR85tSfo97hA8tWL8tNDpfwqNtACwoL3y&#10;qoTDHDmLY/6N9PaAD2Jakv1Y/GipRl8AAAD//wMAUEsDBBQABgAIAAAAIQArBePbYgEAAJ0CAAAg&#10;AAAAZHJzL2NoYXJ0cy9fcmVscy9jaGFydDUueG1sLnJlbHOsUt9LwzAQfhf8H0pA32zaqkN03ZBN&#10;ZQ8yGRNfAhLba5stTUJyk/W/92YZOhj44sv9yHf57vLlhuNtq6NP8EFZk7M0TlgEprClMnXOXpeP&#10;FzcsCihNKbU1kLMOAhuPTk+GC9AS6VJolAsRsZiQswbR3XIeigZaGWLrwBBSWd9KpNTX3MliLWvg&#10;WZIMuP/NwUYHnNGszJmflRmLlp2jzn9z26pSBUxtsWnB4JEW3GqYf6ygQCKVvgbMWaU00MhciBb0&#10;eypqbzcuiGdrFFovkquzLHmzfk2CUPTUo2lG8aRRuiTvvEWiJC0oOZetuyPf2Q025FebgDSUyGJK&#10;FuCsR3G5i6cSZR/dG6m7oAIdhgYAg8iSdPBTfrRP0UhPlZMXqiuJihx9EtkeiLc6tPtHPtuS9HvY&#10;InhqxfhxodP/FBppAWBOe+VVCfs5chbH/Bvp7R6/jmlJdmPxg6UafQEAAP//AwBQSwMEFAAGAAgA&#10;AAAhAHtX3mtiAQAAnQIAACAAAABkcnMvY2hhcnRzL19yZWxzL2NoYXJ0My54bWwucmVsc6xS30vD&#10;MBB+F/wfSkDfbNpOhui6IZvKHsZkKL4EJLbXNluahOQq23/vzTJ0MPDFl/uR7/Ld5cuNJttWR5/g&#10;g7ImZ2mcsAhMYUtl6py9vjxe3bAooDSl1NZAznYQ2GR8fjZagZZIl0KjXIiIxYScNYjulvNQNNDK&#10;EFsHhpDK+lYipb7mThYbWQPPkmTI/W8ONj7ijOZlzvy8zFj0snPU+W9uW1WqgJktuhYMnmjBrYbl&#10;xxoKJFLpa8CcVUoDjcyFaEG/p6L2tnNBLKxRaL1Iri+y5M36DQlC0VOPphnF00bpkrzzFomStKDk&#10;UrbujvzOdtiQX3cBaSiRxZSswFmPYrCPZxJlH90bqXdBBToMDQAGkSXp8Kf8ZJ+ikZ4qp89UVxIV&#10;Ofoksj0Qb3VoD49c2JL0e9gieGrF+Gmh0/8UGmkBYEl75VUJhzlyFsf8G+ntAR/EtCT7sfjRUo2/&#10;AAAA//8DAFBLAwQUAAYACAAAACEAabEhYmwGAABXGwAAHAAAAGRycy90aGVtZS90aGVtZU92ZXJy&#10;aWRlNy54bWzsWU+PGzUUvyPxHay5t0l2k3SzarbaZJMutNuuNmlRj87EmXHjGY9sZ7e5ofaIhIQo&#10;iAsSNw4IqNRKXMqnWSiCIvUr8GzPTMabCbvbrkCU5pDM2D+//+/52bl67UHE0CERkvK47dUuVz1E&#10;Yp+PaRy0vTvD/qUND0mF4zFmPCZtb06kd23r/feu4k0VkojchrWCjgkCOrHcxG0vVCrZrFSkD9NY&#10;XuYJiWFuwkWEFbyKoDIW+AjoR6yyVq02KxGmsbcFBH0mBnoVQTGOgNftyYT6xEyNpzWNkHPZZQId&#10;Ytb2gMSYHw3JA+UhhqWCibZXNR+vsnW1gjfTRUytWFtY1zefdF26YDxdMzxFMMqZ1vr11pWdnL4B&#10;MLWM6/V63V4tp2cA2PdJnMpSpFnvb9Q6Gc0CyD4u0+5WG9W6iy/QX1+SudXpdBqtVBZL1IDsY30J&#10;v1Ft1rfXHLwBWXxjCV/vbHe7TQdvQBbfXML3r7SadRdvQCGj8XQJrR3a76fUc8iEs91S+AbAN6op&#10;fIGCaMijS7OY8FitirUI3+eiDwANZFjRGKl5QibYh5js4mgkKNYM8CbBhRk75MulIc0LSV/QRLW9&#10;DxMcewXIq+ffv3r+FL16/uT44bPjhz8dP3p0/PBHS8tZuIvjoLjw5bef/fn1x+iPp9+8fPxFOV4W&#10;8b/+8MkvP39eDoQMWmj44ssnvz178uKrT3//7nEJfFvgURE+pBGR6BY5Qgc8At2MYVzJyUicb8Uw&#10;xNRZgUOgXUK6p0IHeGuOWRmuQ1zj3RVQPMqA12f3HVkHoZgpWsL5Rhg5wD3OWYeLUgPc0LwKFh7O&#10;4qCcuZgVcQcYH5bx7uLYcW1vlkDVzILSsX03JI6Y+wzHCgckJgrpOT4lpES7e5Q6dt2jvuCSTxS6&#10;R1EH01KTDOnICaTFol0agV/mZTqDqx3b7N1FHc7KtN4hhy4SEgKzEuGHhDlmvI5nCkdlJIc4YkWD&#10;38QqLBNyMBd+EdeTCjwdEMZRb0ykLFtzW4C+BaffwFCvSt2+x+aRixSKTsto3sScF5E7fNoNcZSU&#10;YQc0DovYD+QUQhSjfa7K4HvczRD9Dn7A8Up336XEcffpheAODRyRFgGiZ2aixJfXCXfidzBnE0xM&#10;lYGS7lTqiMZ/V7YZhbptObwr221vGzaxsuTZPVGsV+H+gyV6B8/ifQJZsbxFvavQ7yq099ZX6FW5&#10;fPF1eVGKoUrrhsT22qbzjlY23hPK2EDNGbkpTe8tYQMa92FQrzPnSZIfxJIQHnUmAwMHFwhs1iDB&#10;1UdUhYMQJ9C31zxNJJAp6UCihEs4L5rhUtoaD72/sqfNhj6H2MohsdrjYzu8roez40ZOxkgVSMvR&#10;MlrXBM7KbP1KShR0ex1mNS3UmbnVjGimKDrccpW1ic25HEyeqwaDuTWhs0HQD4GVm3Ci16zhvIMZ&#10;GWu7Wx9lbjE2uUgXyRDD7YO5EWhovZd9VDNOymJlSRGth/WRPjueYrUCt5Ym+wbczuKkIrv6CnaZ&#10;997ES1kEL7wE1E6mI4uLyclidNT2Wo21hod8nLS9CRyV4TFKwOtSN5OYBXCl5Cthw/7UZNahUVQ4&#10;U8xNghrcfli7Lyns1IFESLWDZWhDw0ylIcBizcnKv9YAs16UAiXV6GxSrG9AMPxrUoAdXdeSyYT4&#10;qujswoi2nX1NSymfKSIG4fgIjdhMHGBwvw5V0GdMJdx4mIqgX+B6TlvbTLnFOU264qWYwdlxzJIQ&#10;p+VWp2iWyRZuClIug3kriAe6lcpulDu/KiblL0iVYhj/z1TR+wlcQayPtQd8uOsVGOlMaXtcqJBD&#10;FUpC6vcFNA6mdkC0wBUvTENQwTW0+RXkUP/anLM0TFrDSVId0AAJCvuRCgUh+1CWTPSdQqyW7l2W&#10;JEsJmYgqiCsTK/aIHBI21DWwqfd2D4UQ6qaapGXA4E7Gn/ueZtAo0E1OMd+cSpbvvTYH/unOxyYz&#10;KOXWYdPQZPbPRczbg8Wuateb5dneW1RETyzarHqWFe5W0ErT/jVFOOdWayvWksZrjUw48OKyxjCY&#10;N0QJXCQh/QX7HxU+s39i6A11yA+gtiL4/0ITg7CBqL5kGw+kC6QdHEHjZAdtMGlS1rRp66Stlm3W&#10;F9zp5nxPGFtLdhZ/n9PYeXPmsnNy8SKNnVrYsbUdW2lq8OzJFIWhSXaQMY5x/gzb+gsAAP//AwBQ&#10;SwMEFAAGAAgAAAAhAGmxIWJsBgAAVxsAABwAAABkcnMvdGhlbWUvdGhlbWVPdmVycmlkZTYueG1s&#10;7FlPjxs1FL8j8R2subdJdpN0s2q22mSTLrTbrjZpUY/OxJlx4xmPbGe3uaH2iISEKIgLEjcOCKjU&#10;SlzKp1kogiL1K/Bsz0zGmwm7265AlOaQzNg/v//v+dm5eu1BxNAhEZLyuO3VLlc9RGKfj2kctL07&#10;w/6lDQ9JheMxZjwmbW9OpHdt6/33ruJNFZKI3Ia1go4JAjqx3MRtL1Qq2axUpA/TWF7mCYlhbsJF&#10;hBW8iqAyFvgI6EesslatNisRprG3BQR9JgZ6FUExjoDX7cmE+sRMjac1jZBz2WUCHWLW9oDEmB8N&#10;yQPlIYalgom2VzUfr7J1tYI300VMrVhbWNc3n3RdumA8XTM8RTDKmdb69daVnZy+ATC1jOv1et1e&#10;LadnANj3SZzKUqRZ72/UOhnNAsg+LtPuVhvVuosv0F9fkrnV6XQarVQWS9SA7GN9Cb9Rbda31xy8&#10;AVl8Ywlf72x3u00Hb0AW31zC96+0mnUXb0Aho/F0Ca0d2u+n1HPIhLPdUvgGwDeqKXyBgmjIo0uz&#10;mPBYrYq1CN/nog8ADWRY0RipeUIm2IeY7OJoJCjWDPAmwYUZO+TLpSHNC0lf0ES1vQ8THHsFyKvn&#10;3796/hS9ev7k+OGz44c/HT96dPzwR0vLWbiL46C48OW3n/359cfoj6ffvHz8RTleFvG//vDJLz9/&#10;Xg6EDFpo+OLLJ789e/Liq09//+5xCXxb4FERPqQRkegWOUIHPALdjGFcyclInG/FMMTUWYFDoF1C&#10;uqdCB3hrjlkZrkNc490VUDzKgNdn9x1ZB6GYKVrC+UYYOcA9zlmHi1ID3NC8ChYezuKgnLmYFXEH&#10;GB+W8e7i2HFtb5ZA1cyC0rF9NySOmPsMxwoHJCYK6Tk+JaREu3uUOnbdo77gkk8UukdRB9NSkwzp&#10;yAmkxaJdGoFf5mU6g6sd2+zdRR3OyrTeIYcuEhICsxLhh4Q5ZryOZwpHZSSHOGJFg9/EKiwTcjAX&#10;fhHXkwo8HRDGUW9MpCxbc1uAvgWn38BQr0rdvsfmkYsUik7LaN7EnBeRO3zaDXGUlGEHNA6L2A/k&#10;FEIUo32uyuB73M0Q/Q5+wPFKd9+lxHH36YXgDg0ckRYBomdmosSX1wl34ncwZxNMTJWBku5U6ojG&#10;f1e2GYW6bTm8K9ttbxs2sbLk2T1RrFfh/oMlegfP4n0CWbG8Rb2r0O8qtPfWV+hVuXzxdXlRiqFK&#10;64bE9tqm845WNt4TythAzRm5KU3vLWEDGvdhUK8z50mSH8SSEB51JgMDBxcIbNYgwdVHVIWDECfQ&#10;t9c8TSSQKelAooRLOC+a4VLaGg+9v7KnzYY+h9jKIbHa42M7vK6Hs+NGTsZIFUjL0TJa1wTOymz9&#10;SkoUdHsdZjUt1Jm51Yxopig63HKVtYnNuRxMnqsGg7k1obNB0A+BlZtwotes4byDGRlru1sfZW4x&#10;NrlIF8kQw+2DuRFoaL2XfVQzTspiZUkRrYf1kT47nmK1AreWJvsG3M7ipCK7+gp2mffexEtZBC+8&#10;BNROpiOLi8nJYnTU9lqNtYaHfJy0vQkcleExSsDrUjeTmAVwpeQrYcP+1GTWoVFUOFPMTYIa3H5Y&#10;uy8p7NSBREi1g2VoQ8NMpSHAYs3Jyr/WALNelAIl1ehsUqxvQDD8a1KAHV3XksmE+Kro7MKItp19&#10;TUspnykiBuH4CI3YTBxgcL8OVdBnTCXceJiKoF/gek5b20y5xTlNuuKlmMHZccySEKflVqdolskW&#10;bgpSLoN5K4gHupXKbpQ7vyom5S9IlWIY/89U0fsJXEGsj7UHfLjrFRjpTGl7XKiQQxVKQur3BTQO&#10;pnZAtMAVL0xDUME1tPkV5FD/2pyzNExaw0lSHdAACQr7kQoFIftQlkz0nUKslu5dliRLCZmIKogr&#10;Eyv2iBwSNtQ1sKn3dg+FEOqmmqRlwOBOxp/7nmbQKNBNTjHfnEqW7702B/7pzscmMyjl1mHT0GT2&#10;z0XM24PFrmrXm+XZ3ltURE8s2qx6lhXuVtBK0/41RTjnVmsr1pLGa41MOPDissYwmDdECVwkIf0F&#10;+x8VPrN/YugNdcgPoLYi+P9CE4Owgai+ZBsPpAukHRxB42QHbTBpUta0aeukrZZt1hfc6eZ8Txhb&#10;S3YWf5/T2Hlz5rJzcvEijZ1a2LG1HVtpavDsyRSFoUl2kDGOcf4M2/oLAAD//wMAUEsDBBQABgAI&#10;AAAAIQBpsSFibAYAAFcbAAAcAAAAZHJzL3RoZW1lL3RoZW1lT3ZlcnJpZGUyLnhtbOxZT48bNRS/&#10;I/EdrLm3SXaTdLNqttpkky602642aVGPzsSZceMZj2xnt7mh9oiEhCiICxI3Dgio1EpcyqdZKIIi&#10;9SvwbM9MxpsJu9uuQJTmkMzYP7//7/nZuXrtQcTQIRGS8rjt1S5XPURin49pHLS9O8P+pQ0PSYXj&#10;MWY8Jm1vTqR3bev9967iTRWSiNyGtYKOCQI6sdzEbS9UKtmsVKQP01he5gmJYW7CRYQVvIqgMhb4&#10;COhHrLJWrTYrEaaxtwUEfSYGehVBMY6A1+3JhPrETI2nNY2Qc9llAh1i1vaAxJgfDckD5SGGpYKJ&#10;tlc1H6+ydbWCN9NFTK1YW1jXN590XbpgPF0zPEUwypnW+vXWlZ2cvgEwtYzr9XrdXi2nZwDY90mc&#10;ylKkWe9v1DoZzQLIPi7T7lYb1bqLL9BfX5K51el0Gq1UFkvUgOxjfQm/UW3Wt9ccvAFZfGMJX+9s&#10;d7tNB29AFt9cwvevtJp1F29AIaPxdAmtHdrvp9RzyISz3VL4BsA3qil8gYJoyKNLs5jwWK2KtQjf&#10;56IPAA1kWNEYqXlCJtiHmOziaCQo1gzwJsGFGTvky6UhzQtJX9BEtb0PExx7Bcir59+/ev4UvXr+&#10;5Pjhs+OHPx0/enT88EdLy1m4i+OguPDlt5/9+fXH6I+n37x8/EU5Xhbxv/7wyS8/f14OhAxaaPji&#10;yye/PXvy4qtPf//ucQl8W+BRET6kEZHoFjlCBzwC3YxhXMnJSJxvxTDE1FmBQ6BdQrqnQgd4a45Z&#10;Ga5DXOPdFVA8yoDXZ/cdWQehmClawvlGGDnAPc5Zh4tSA9zQvAoWHs7ioJy5mBVxBxgflvHu4thx&#10;bW+WQNXMgtKxfTckjpj7DMcKByQmCuk5PiWkRLt7lDp23aO+4JJPFLpHUQfTUpMM6cgJpMWiXRqB&#10;X+ZlOoOrHdvs3UUdzsq03iGHLhISArMS4YeEOWa8jmcKR2UkhzhiRYPfxCosE3IwF34R15MKPB0Q&#10;xlFvTKQsW3NbgL4Fp9/AUK9K3b7H5pGLFIpOy2jexJwXkTt82g1xlJRhBzQOi9gP5BRCFKN9rsrg&#10;e9zNEP0OfsDxSnffpcRx9+mF4A4NHJEWAaJnZqLEl9cJd+J3MGcTTEyVgZLuVOqIxn9XthmFum05&#10;vCvbbW8bNrGy5Nk9UaxX4f6DJXoHz+J9AlmxvEW9q9DvKrT31lfoVbl88XV5UYqhSuuGxPbapvOO&#10;VjbeE8rYQM0ZuSlN7y1hAxr3YVCvM+dJkh/EkhAedSYDAwcXCGzWIMHVR1SFgxAn0LfXPE0kkCnp&#10;QKKESzgvmuFS2hoPvb+yp82GPofYyiGx2uNjO7yuh7PjRk7GSBVIy9EyWtcEzsps/UpKFHR7HWY1&#10;LdSZudWMaKYoOtxylbWJzbkcTJ6rBoO5NaGzQdAPgZWbcKLXrOG8gxkZa7tbH2VuMTa5SBfJEMPt&#10;g7kRaGi9l31UM07KYmVJEa2H9ZE+O55itQK3lib7BtzO4qQiu/oKdpn33sRLWQQvvATUTqYji4vJ&#10;yWJ01PZajbWGh3yctL0JHJXhMUrA61I3k5gFcKXkK2HD/tRk1qFRVDhTzE2CGtx+WLsvKezUgURI&#10;tYNlaEPDTKUhwGLNycq/1gCzXpQCJdXobFKsb0Aw/GtSgB1d15LJhPiq6OzCiLadfU1LKZ8pIgbh&#10;+AiN2EwcYHC/DlXQZ0wl3HiYiqBf4HpOW9tMucU5TbripZjB2XHMkhCn5VanaJbJFm4KUi6DeSuI&#10;B7qVym6UO78qJuUvSJViGP/PVNH7CVxBrI+1B3y46xUY6Uxpe1yokEMVSkLq9wU0DqZ2QLTAFS9M&#10;Q1DBNbT5FeRQ/9qcszRMWsNJUh3QAAkK+5EKBSH7UJZM9J1CrJbuXZYkSwmZiCqIKxMr9ogcEjbU&#10;NbCp93YPhRDqppqkZcDgTsaf+55m0CjQTU4x35xKlu+9Ngf+6c7HJjMo5dZh09Bk9s9FzNuDxa5q&#10;15vl2d5bVERPLNqsepYV7lbQStP+NUU451ZrK9aSxmuNTDjw4rLGMJg3RAlcJCH9BfsfFT6zf2Lo&#10;DXXID6C2Ivj/QhODsIGovmQbD6QLpB0cQeNkB20waVLWtGnrpK2WbdYX3OnmfE8YW0t2Fn+f09h5&#10;c+ayc3LxIo2dWtixtR1baWrw7MkUhaFJdpAxjnH+DNv6CwAA//8DAFBLAwQUAAYACAAAACEAM8Pb&#10;8OIHAACbFwAAFQAAAGRycy9jaGFydHMvY2hhcnQyLnhtbNRY32/juBF+L9D/QacucE+OJVm2JWPt&#10;Q+LU10WT22CTbIG+0RJtq6F+lKIde4v+7/2GpGzZ69wme+jDJkBCDckh55vhzEe+/2WbC2fDZZ2V&#10;xdj1LzzX4UVSplmxHLuPD7NO5Dq1YkXKRFnwsbvjtfvL5M9/ep+MkhWT6r5iCXegpKhHydhdKVWN&#10;ut06WfGc1RdlxQv0LUqZM4VPueymkj1DeS66gecNulqJaxWw71CQs6xo5svXzC8Xiyzh12Wyznmh&#10;zC4kF0wBgXqVVbU7gXEpU9yPvdDZMDF2PbdLQsGKpRHwonP5aISyXBcpT6elLABja3yejC6F4rKA&#10;qmlZKKxm7cxfhVTO5NO66iRlXmFz80xkaqe3iw1C93RVwg7nE//3OpO8HruJHzZAoPkVFHmWyLIu&#10;F+oCGrsGhcYbpHbYjbqB9QeM9cNRrXaCG4N8LyBru/t19RZmTIg5S54Im9bg/dBDP008BYNmJULe&#10;surjRjrzpT92hfJdR23RSp/Qmi8DkgUkQyt9QoslCYDECNtoJOg3kv2YXiPpNWMAihkDoEyj30j6&#10;jWTQSAausxJZ8QQg6Z/rLErxNyNoWiYAdAiTMSpTguvGlv7KLFlN3rPRvEx3dxLosZGo1T2Bqj8q&#10;klR3kv6lfPHpTjr1l7EbeziDc5xF18ko8vQ8BEDhqF3FFzhuY/dSZkxohzRT4Zu9Mq1RQh3F69g1&#10;sfpduqGElleTz1lCCyi9DGS0GP42RqKhtM2C7cq10oelRFbBZ+tA0KgGIrZW5QN9XHPBFU9bw5JR&#10;JUp1KTkjFI1GauWsWDNxo1c49DwwueTKTM8KHEHjlO1tmdrY5emSG+HunHBrl77wwygKwsNP305q&#10;+gN/GGFMvxeHvTgOQt/0Pzf9kRcMQ+/wY/tXTf8ACjzklP4wDgM/CrR+YHJsFwQHk+dMTinLkrlo&#10;X2fSKEtK7f1ktET2qZBOrVisayQcnpqdbZjcTUtRHmUlnFQOByajLG0sN6NLmXKr3qY749JayU98&#10;QTMWk5/v13OqBirT6dKRSG0///SXT3+d/UTBoEdh/JQh/9OMSk2RHa13LB6VcrC0iexktJnsZ290&#10;QFUUY5ROGi3mQ28BTbsne2zqUmTpLBOCorSWy/lUWBOG0WUQzMgyhOrRMFHowW+eCT00lbajVweC&#10;BUJcfVj8xpeAY2PDzYKXMO21b6P37updb4Q/w28jaCPyFMHA872O79P8A4YEvgHad8kVmwmG+R0/&#10;eGlYcBgWdPzeS8N6h2G9jh++NCw8DAs7fv94mHGpjRLz0fjXwoaqS5su1vk3Yu/dNaF33UIPc/bx&#10;Z4jHFKlg4l14tImW5DQ+X0C3H11E0TDs9frhIIwjP37R5gbogXeB8x0jW3jm/7H1B880kGOJIA6H&#10;vcjzB1HfH4YneB1mNOj344thH9kk8MO4Fwf9F93V+EFb0Rv0fW8Y9aJBbxgfbwrQHIAzH41LtC/I&#10;SyZvpDdzUZNz6lX5fMOXvEj/zttp3vR8ZuCVLe5Eo6dM/cby43NC8nsuz8rvuKRi/5Weq/V8Lvh9&#10;9qWtCjvcb23Jqn9kqbKp1+/bM8m2H2yhQaZGOvaj0OS+k45gGOgZUNnOwIjNS13lToYf9NQJA0NY&#10;EjqlzLB1kyY1DnlW3LKtzkhA6DAw1QXwyEa2vSstk5ybDcI3s1yBghCRpngeu79yFDuwAKcu14Dp&#10;BhyFp0QbdPXN2b9K+ZAlT7dgkUZ5AQJvO7Pi5U6FSXDxfgcF36qH0kw0mc8kwpO0epR9r2b0S3OO&#10;s+/XOVRtDcV4I0mKLEkCVfo2SWIjzs6RJzZK6nNy7NLwMb19W2oQ5ndMMmJpe1r1eG9NNFzI2AJS&#10;C55dX9rqqiOtCSjbx61ziQT9k0sLLn0ZT1kfirm4FMvCyBJlmQ2kHxeLuuE8PpDQHi/K27VQ2c1G&#10;wHutcEIQ7wMXgXg2gg/7awXm70QwkRZrn12f8sNrY9pyFx2iv8osxZHhJqNYrEXhPIMI90GRnIRV&#10;Y3eB6xmaeYUAr4sluDpwwY0HmFAxL0riAEABrFTW6prV9uTrwk/wsJG+ppmANAyALxY8UTc1sVVE&#10;yJaatuWsJaLqP7EfhN5VEHdmg2jYCWdhvxMPvagDEncVD7wwDq9n/6UN4K60ytKUFziEzWUYwrde&#10;wXyva26zbzL+iNzUu3pPgXDNTsvnB1jmImRrhQ6wLv2jUcOVwqbWYR9SA1O9Yg1vjltSpkCdbXB6&#10;jZzOtl7v9Ji/yg1HoGkN2GnzX/uCYkpHBBpfB8v+KmEo4fFty5GlGrudvuHjLr1w4HtVyi/GTPHK&#10;ixgFBD0NtC9frLl8neSVlvwor+zlZ/OKpCVOL2s6JNUE9c+hAnjm6qXvX/hz9vr4/9/1uWxoHkRg&#10;5B+7GZ4pdcjyx0XOprwzRQ63T5MOUW5/8BrXPAT8IDXuwIJ0/Ttf43TXFVfPnNu6Njcf1mnEWh6L&#10;zOalPQvb162GgLQyvsnmLcEPlOnpoH5X/jaF7Gjqwey3Zdb2Ywu1P2f1x0JYQm+ZSJrV1RVoz1N9&#10;aakLGLZxGfH3azCO+iNyLAjuCfNoXi8ax514C9ni5FL9HYRwzmpOHOL3X8ucKlPJasbyTOzGbg9P&#10;gPRwBx5F0wyef4j1oXrRW6+4Zoo5Es8rY1d+SM0Vj6jdY0VvysfwtOeg9IGp7d/UJ/8DAAD//wMA&#10;UEsDBBQABgAIAAAAIQBpsSFibAYAAFcbAAAcAAAAZHJzL3RoZW1lL3RoZW1lT3ZlcnJpZGUxLnht&#10;bOxZT48bNRS/I/EdrLm3SXaTdLNqttpkky602642aVGPzsSZceMZj2xnt7mh9oiEhCiICxI3Dgio&#10;1EpcyqdZKIIi9SvwbM9MxpsJu9uuQJTmkMzYP7//7/nZuXrtQcTQIRGS8rjt1S5XPURin49pHLS9&#10;O8P+pQ0PSYXjMWY8Jm1vTqR3bev9967iTRWSiNyGtYKOCQI6sdzEbS9UKtmsVKQP01he5gmJYW7C&#10;RYQVvIqgMhb4COhHrLJWrTYrEaaxtwUEfSYGehVBMY6A1+3JhPrETI2nNY2Qc9llAh1i1vaAxJgf&#10;DckD5SGGpYKJtlc1H6+ydbWCN9NFTK1YW1jXN590XbpgPF0zPEUwypnW+vXWlZ2cvgEwtYzr9Xrd&#10;Xi2nZwDY90mcylKkWe9v1DoZzQLIPi7T7lYb1bqLL9BfX5K51el0Gq1UFkvUgOxjfQm/UW3Wt9cc&#10;vAFZfGMJX+9sd7tNB29AFt9cwvevtJp1F29AIaPxdAmtHdrvp9RzyISz3VL4BsA3qil8gYJoyKNL&#10;s5jwWK2KtQjf56IPAA1kWNEYqXlCJtiHmOziaCQo1gzwJsGFGTvky6UhzQtJX9BEtb0PExx7Bcir&#10;59+/ev4UvXr+5Pjhs+OHPx0/enT88EdLy1m4i+OguPDlt5/9+fXH6I+n37x8/EU5Xhbxv/7wyS8/&#10;f14OhAxaaPjiyye/PXvy4qtPf//ucQl8W+BRET6kEZHoFjlCBzwC3YxhXMnJSJxvxTDE1FmBQ6Bd&#10;QrqnQgd4a45ZGa5DXOPdFVA8yoDXZ/cdWQehmClawvlGGDnAPc5Zh4tSA9zQvAoWHs7ioJy5mBVx&#10;BxgflvHu4thxbW+WQNXMgtKxfTckjpj7DMcKByQmCuk5PiWkRLt7lDp23aO+4JJPFLpHUQfTUpMM&#10;6cgJpMWiXRqBX+ZlOoOrHdvs3UUdzsq03iGHLhISArMS4YeEOWa8jmcKR2UkhzhiRYPfxCosE3Iw&#10;F34R15MKPB0QxlFvTKQsW3NbgL4Fp9/AUK9K3b7H5pGLFIpOy2jexJwXkTt82g1xlJRhBzQOi9gP&#10;5BRCFKN9rsrge9zNEP0OfsDxSnffpcRx9+mF4A4NHJEWAaJnZqLEl9cJd+J3MGcTTEyVgZLuVOqI&#10;xn9XthmFum05vCvbbW8bNrGy5Nk9UaxX4f6DJXoHz+J9AlmxvEW9q9DvKrT31lfoVbl88XV5UYqh&#10;SuuGxPbapvOOVjbeE8rYQM0ZuSlN7y1hAxr3YVCvM+dJkh/EkhAedSYDAwcXCGzWIMHVR1SFgxAn&#10;0LfXPE0kkCnpQKKESzgvmuFS2hoPvb+yp82GPofYyiGx2uNjO7yuh7PjRk7GSBVIy9EyWtcEzsps&#10;/UpKFHR7HWY1LdSZudWMaKYoOtxylbWJzbkcTJ6rBoO5NaGzQdAPgZWbcKLXrOG8gxkZa7tbH2Vu&#10;MTa5SBfJEMPtg7kRaGi9l31UM07KYmVJEa2H9ZE+O55itQK3lib7BtzO4qQiu/oKdpn33sRLWQQv&#10;vATUTqYji4vJyWJ01PZajbWGh3yctL0JHJXhMUrA61I3k5gFcKXkK2HD/tRk1qFRVDhTzE2CGtx+&#10;WLsvKezUgURItYNlaEPDTKUhwGLNycq/1gCzXpQCJdXobFKsb0Aw/GtSgB1d15LJhPiq6OzCiLad&#10;fU1LKZ8pIgbh+AiN2EwcYHC/DlXQZ0wl3HiYiqBf4HpOW9tMucU5TbripZjB2XHMkhCn5VanaJbJ&#10;Fm4KUi6DeSuIB7qVym6UO78qJuUvSJViGP/PVNH7CVxBrI+1B3y46xUY6Uxpe1yokEMVSkLq9wU0&#10;DqZ2QLTAFS9MQ1DBNbT5FeRQ/9qcszRMWsNJUh3QAAkK+5EKBSH7UJZM9J1CrJbuXZYkSwmZiCqI&#10;KxMr9ogcEjbUNbCp93YPhRDqppqkZcDgTsaf+55m0CjQTU4x35xKlu+9Ngf+6c7HJjMo5dZh09Bk&#10;9s9FzNuDxa5q15vl2d5bVERPLNqsepYV7lbQStP+NUU451ZrK9aSxmuNTDjw4rLGMJg3RAlcJCH9&#10;BfsfFT6zf2LoDXXID6C2Ivj/QhODsIGovmQbD6QLpB0cQeNkB20waVLWtGnrpK2WbdYX3OnmfE8Y&#10;W0t2Fn+f09h5c+ayc3LxIo2dWtixtR1baWrw7MkUhaFJdpAxjnH+DNv6CwAA//8DAFBLAwQUAAYA&#10;CAAAACEAG3ig1+oHAACcFwAAFQAAAGRycy9jaGFydHMvY2hhcnQxLnhtbNRYbXPbNhL+fjP9Dywv&#10;M/0ki6+ipInUseVTm6mdeGK7nblvEAlJPEMkC0K2lJv7730WACVKlhMnnfuQNiODi8XLPrvYfYC3&#10;P29Wwnnkss7LYuT6Z57r8CIts7xYjNz7u2mn7zq1YkXGRFnwkbvltfvz+Id/vE2H6ZJJdVuxlDuY&#10;pKiH6chdKlUNu906XfIVq8/Kihfom5dyxRQ+5aKbSfaEyVeiG3her6snce0E7BsmWLG8aMbL14wv&#10;5/M85Zdlul7xQpldSC6YAgL1Mq9qdwzjMqa4P/Ai55GJkeu5XRIKViyMgBed83sjlOW6yHg2KWUB&#10;GFv6q3R4LhSXBaaalIXCatbO1auQWjH5sK46abmqsLlZLnK11dvFBjH3ZFnCDucj/3OdS16P3NSP&#10;GiDQfAbFKk9lWZdzdYYZuwaFxhs0bdLtdwPrDxjrR8NabQU3BvleQNZ2d+vqLUyZEDOWPhA2LeWd&#10;6r6fBh6DQaNSIa9Z9eFROrOFP3KF8l1HbdDKHtCaLQKSBSRDK3tAi6UpgISGbTQS9BvJTidsJGGj&#10;A1CMDoAyjbiRxI2k10h6rrMUefEAIOmP68xL8asRNC0TADqEyRiVK8F1Y0O/Mk+X47dsOCuz7Y0E&#10;emwoanVLoOqPiiTVjaQ/GZ9/vJFO/WnkDjycwRnOouvkFHl6HAKgcNS24nMct5F7LnMmtEOaofDN&#10;bjI9o8R0FK8j18TqN82NSWh5NX5/+wctoPQykNFi+G2MRENpmwXblmulD0uJrILP1oEgrQYitlbl&#10;HX1ccsEVz1pq6bASpTqXnBGKZkZqrVixZuJKr7DvuWNywZUZnhc4gsYpm+sys7HLswU3wu0p4cYu&#10;febH/SD0+/Hunx3U9Ad+0vejfhwOonAwCCLf9D81/ckgDMMgHuz+mf5l09/DBB5ySpwMosDvBzH1&#10;A5NDuyDYmzxjckJZlsxF+zKXZrK01N5Phwtknwrp1IrFukbC4ZlZ+ZHJ7aQU5UFWwknlcGA6zLPG&#10;cqNdyozb6W26My6tlfzI5zRiPv7pdj2jaqBynS4didT204///Piv6Y9kidaC/oQh/9OISk2QHa13&#10;LF6VcrC0iex0+DjejX7UaFQUY5ROmlnMh94CmnZP9tjUpcizaS4ERWktF7OJsCYk/fMgmGqE0dNW&#10;E4VWboteNRIhT0NpO3p1IFggxNW7+Xu+AByPNtwseCnTXvsyem8u3oRD/CRfRlBHDKF6iGDg+V7H&#10;92n8HsO9mu+SKx7HUPM7fvCSWrBXCzp++JJauFcLO370klq0V4s6fnyoZlxqo8R8NP61sKHq0qaL&#10;9eoLsfdmQuhNWuhhzC7+DPGYIBWMvTOPNtGSHMfnC+iG8Vno9zw/DHuDZNCLvP6hMc+BjnpnSZwk&#10;QRL2gyRJkFVeGtFgHvvIPqEfxr04GOC3/+IaDfyRd5b4WMLz+r0+clHvCOL9rhpPwI6+Fw68JMFK&#10;SRIdBQKw2SNnPhqfaGeQm0ziyK5moibv1Mvy6YoveJH9xtt53vT8zkAsW+SJtCdMvWerw4NC8lsu&#10;T8pvuKRq/2yei/VsJvht/qk9FXa429qCVX/kmbK514/toWSbd7bSBEkUIRkHJzvioN+LbHZup2AE&#10;57kucy/OU6cMFGFB6JQyx9ZNntQ4rPLimm3stC3FTFfAAxvZ5qa0VHJmsjN8M10pcBBi0hTQI/cX&#10;jmoHGuDU5RowXYGk8Ix4gy6/K/afUt7l6cM1aKSZvACDt5158XKnwiC4eLeDgm/UXWkGmtRnMuFR&#10;Xj1IohdT+p/GIG220u/zJKo2hmN8JUvqW5YErvRllsSGnJ1iT2yY1qfk2KUhZHr7ttYgzG+YZETT&#10;drzq/taaaMiQsQWsFkS7PrfllSJtF1C2j1vnEgv6N5cWXPoynrI+FDNxLhaFkaXKUhtIP8zndUN6&#10;fCChPV6U12uh8qtHAe+1wgnnYhe4CMRTEdzaXyswPxPBxFqsfXZ9yg/74P98TFvyokP0F5lnODLc&#10;ZBSLtSicJzDhGBzJSVk1cue4n6G5qhDgdbEAWQcuuPIAE6rmRUkkACiAlspaXbLannwdegQPG+p7&#10;mglIQwH4fM5TdVUTXUWEbKhpW85aIqr+O/CDyLsIBp1pr590omkUdwaJ1+8gcVwMel40iC6n/6MN&#10;4LK0zLOMFziEzW0Ywq+9g/le11xnv8r41vHCWdvWOw6Ee3ZWPt3BMhchWyt0gHbp/zRquFPY1JrE&#10;kBqY6iVriPOgJWUK3NkGp9fI6Wzr9Y6P+avccACangE7bf5qX1BM6YhA43mw7O4ShhMeXrccWaqR&#10;24kjYy49ceB7WcpPxszX3sQoIOhtoH37Ys3t6yivtOQHeWUnP5lXJC1xfFvTIanGqH8OFcATdy99&#10;AcPPyfvj/3/Xp7KheRGBkX/vanii1CHLHxY5m/JOFDlcP006RLn9zmtc8xLwfdS4FpvS9e90jdNd&#10;F1w9cW7r2sx8WKcRa7kvcpuXDD3D6d/VrYaAtDK+yeYtwXeU6emgflP+NoXsYOje7K/LrO3XFmr/&#10;ntcfCmEJvWUiWV5XF6A9D/W5pS5g2MZlxN8vwTjqD8ixILhHzKN5vmgcd+QtZIujW/U3EMIZqzlx&#10;iM8/lzlVrtLllK1ysR25Id4A6eUOPIqGGTz/FutD9aLHXnHJFHMk3ldGrnyXmSseUbv7ih6VD+Fp&#10;j0HpA1PbPaqP/wIAAP//AwBQSwMEFAAGAAgAAAAhALuMIc3tBwAAnRcAABUAAABkcnMvY2hhcnRz&#10;L2NoYXJ0My54bWzUWF1v2zgWfV9g/4NGW2CeHOvLtmTUHiROPVtsMs026Sywb7RE29pQH0vRid3F&#10;/Pc5l6RsOXGmaQf70ARIqMvvcy/PPeTbn7aFcB64bPKqnLj+mec6vEyrLC9XE/fT3bwXu06jWJkx&#10;UZV84u544/40/etf3qbjdM2kuq1Zyh0MUjbjdOKularH/X6TrnnBmrOq5iXqlpUsmMKnXPUzyR4x&#10;eCH6gecN+3oQ1w7AvmGAguVl21++pn+1XOYpv6zSTcFLZVYhuWAKCDTrvG7cKTaXMcX9xIucByYm&#10;ruf2yShYuTIGXvbOPxmjrDZlxrNZJUvA2GlfpONzobgsMdSsKhVms/ssXoVUweT9pu6lVVFjcYtc&#10;5Gqnl4sFYuzZusI+nI/8v5tc8mbipn7UAoHiMyiKPJVVUy3VGUbsGxRab9Cwo37cD6w/sFk/Gjdq&#10;J7jZkO8FtNv+fl69hDkTYsHSe8Km03jf9FBPHZ+CQb1SIa9Z/eFBOouVP3GF8l1HbVHK7lFarAKy&#10;BWRDKbtHiaUpgEQLW2gtqDeWfZuwtYRtG4Bi2gAoUxi0lkFrGbaWoeusRV7eA0j65zrLSvzdGNqS&#10;CQAdwrQZlSvBdWFLf2Werqdv2XhRZbsbCfTYWDTqlkDVHzVZ6htJ/zK+/HgjnebzxE08nMEFzqLr&#10;5BR5uh8CoHTUruZLHLeJey5zJrRD2q7wzX4wPaLEcBSvE9fE6jeNjUFoejX9p8hoAqWngY0mw992&#10;kygovWfBdtVG6cNSgVXw2TkQ1KqFiG1UdUcfl1xwxbNOs3Rci0qdS84IRTMilQpWbpi40jMcau6Y&#10;XHFluucljqBxyva6ymzs8mzFjXF3yri1U5/5wyAJB4efoe3U1gf+KPajeBAmUZgkQeSb+se2fhTH&#10;wyDe/yShqV+39UMM4IFTBqMkCvw4GFA9MDneFwyHLS+YnBHL0nZRvsylGSyttPfT8QrsU4NOrVls&#10;GhAOz8zMD0zuZpWojlgJJ5XDgek4z9qdm9aVzLgd3tKdcWmj5Ee+pB7L6Y+3mwVlA5VrunQkqO3H&#10;H/728d38B9qJboX2Mwb+px61moEdrXcsXrVyMLWJ7HT8MN33ftBo1BRjRCftKOZDLwFFuyZ7bJpK&#10;5Nk8F4KitJGrxUzYLYzi8yCYa4RR020mSt24a3pVT4Q8daXl6NmBYIkQV++Xv/AV4Hiw4WbBS5n2&#10;2pfRe3PxJhzjz+jLCOqIIVSPEQw83+v5PvU/YHho5rvkiocpmvk9P3ipWXBoFvT88KVm4aFZ2POj&#10;l5pFh2ZRzx8cNzMutVFiPlr/WtiQdWnR5ab4Quy9eUfoveughz77+DPCYwYqmHpnHi2iY3kany+g&#10;G8Zno4EXBF4QxlEUxX58vJnnQIfRWTwa+aMwHobDeJQMXuzRYh4Oz4bIwFEYJ4mPXOwnL83Rwo8e&#10;XhIPB9HIiwfw7OjFHq0nwvAsGgzDURIGcTAKwGPHcwCcA3Tmo3WK9gb5yTBHdrUQDbmnWVePV3zF&#10;y+wfvEv0puZXBmXZUU/UesbUL6w4Pilkv+XypP2GS0r3z8a52CwWgt/mn7tDYYX7pa1Y/a88U5Z8&#10;/YE9lWz73qaaYBQNweRxbNjvqGIEfBJN/xiyy8GIznOd546ad8dpUgaNsCJ0Kplj6YYoNQ5FXl6z&#10;reYkIHRomOkUeLRHtr2prJZcmAXCN/NCQYSQlKaInrg/c6Q76ACnqTaA6QoqhWckHHT+Ldh/KnmX&#10;p/fX0JFm8BIS3lbm5cuVCp3g4v0KSr5Vd5XpaLjPUOETYj1i0Ys5/VIf8GaHf5+zqNoakfGVMim2&#10;Mgli6csyiY05OyWf2DhtTtmxSqPI9PJtskGY3zDJSKfthdWnW7tFo4bMXiBrobSbc5tfEWmHgLJ1&#10;3DqXZNC/ubTg0pfxlPWhWIhzsSqNLVVW28D6YblsWtXjAwnt8bK63giVXz0IeK8TTgjifeAiEE9E&#10;cHd9ncD8gwgm2WL3Z+cnfnhtTFv1okP0Z5lnODLcMIrFWpTOI6TwACLJSVk9cZe4oKFY1AjwplxB&#10;rQMX3HmACaXzsiIVABSgS2WjLlljT74OPYKHjfVFzQSk0QB8ueSpumpIryJCtlS0JWcjEVX/AxlH&#10;3kWQ9Obg8V40jwa9BITbA0FfJEMvSqLL+W+0ANyW1nmW8RKHsL0Ow/i1lzDf65v77FdtvnO8cNZ2&#10;zV4E4aKdVY932JmLkG0UKqC79I9GDZcKS63IcCaKMMCatco56ViZgni2wem1djrber6nx/xVbjgC&#10;TY+Albb/tS8opnREoPA8WPaXCSMKj+9bjqzUxO0NIrNdeuPA97qSn000vPYqRgFBjwPd6xdrr19P&#10;eKVjP+KVvf0kr0ia4ul1TYekmiL/OZQAT1y+9A0Mf05eIP//qz7FhuZJBJv8c3fDE6kOLH+c5Czl&#10;nUhyuH8aOkS6/c5zXPsU8F3kuK4K0vnvdI7TVRdcPXJu89rCfFinkWr5VOaWlwLtZ5z+fd5qBUiH&#10;8Q2bdwzfEdPTQf0m/jaJ7KjrYdtfx6zd5xYq/5o3H0phBb1VIlne1BeQPffNuZUuUNjGZaTfL6E4&#10;mg/gWAjcJ8qjfb9oHffEW2CLJ9fqbxCEC9Zw0hB//F7m1LlK13NW5GI3cUM8AtLTHXQUdTN4/inV&#10;h+xFr73ikinmSDywTFz5PjN3PJJ2n2p6VT6Gp9sHqQ9Kbf+qPv0dAAD//wMAUEsDBBQABgAIAAAA&#10;IQBpsSFibAYAAFcbAAAcAAAAZHJzL3RoZW1lL3RoZW1lT3ZlcnJpZGUzLnhtbOxZT48bNRS/I/Ed&#10;rLm3SXaTdLNqttpkky602642aVGPzsSZceMZj2xnt7mh9oiEhCiICxI3Dgio1EpcyqdZKIIi9Svw&#10;bM9MxpsJu9uuQJTmkMzYP7//7/nZuXrtQcTQIRGS8rjt1S5XPURin49pHLS9O8P+pQ0PSYXjMWY8&#10;Jm1vTqR3bev9967iTRWSiNyGtYKOCQI6sdzEbS9UKtmsVKQP01he5gmJYW7CRYQVvIqgMhb4COhH&#10;rLJWrTYrEaaxtwUEfSYGehVBMY6A1+3JhPrETI2nNY2Qc9llAh1i1vaAxJgfDckD5SGGpYKJtlc1&#10;H6+ydbWCN9NFTK1YW1jXN590XbpgPF0zPEUwypnW+vXWlZ2cvgEwtYzr9XrdXi2nZwDY90mcylKk&#10;We9v1DoZzQLIPi7T7lYb1bqLL9BfX5K51el0Gq1UFkvUgOxjfQm/UW3Wt9ccvAFZfGMJX+9sd7tN&#10;B29AFt9cwvevtJp1F29AIaPxdAmtHdrvp9RzyISz3VL4BsA3qil8gYJoyKNLs5jwWK2KtQjf56IP&#10;AA1kWNEYqXlCJtiHmOziaCQo1gzwJsGFGTvky6UhzQtJX9BEtb0PExx7Bcir59+/ev4UvXr+5Pjh&#10;s+OHPx0/enT88EdLy1m4i+OguPDlt5/9+fXH6I+n37x8/EU5Xhbxv/7wyS8/f14OhAxaaPjiyye/&#10;PXvy4qtPf//ucQl8W+BRET6kEZHoFjlCBzwC3YxhXMnJSJxvxTDE1FmBQ6BdQrqnQgd4a45ZGa5D&#10;XOPdFVA8yoDXZ/cdWQehmClawvlGGDnAPc5Zh4tSA9zQvAoWHs7ioJy5mBVxBxgflvHu4thxbW+W&#10;QNXMgtKxfTckjpj7DMcKByQmCuk5PiWkRLt7lDp23aO+4JJPFLpHUQfTUpMM6cgJpMWiXRqBX+Zl&#10;OoOrHdvs3UUdzsq03iGHLhISArMS4YeEOWa8jmcKR2UkhzhiRYPfxCosE3IwF34R15MKPB0QxlFv&#10;TKQsW3NbgL4Fp9/AUK9K3b7H5pGLFIpOy2jexJwXkTt82g1xlJRhBzQOi9gP5BRCFKN9rsrge9zN&#10;EP0OfsDxSnffpcRx9+mF4A4NHJEWAaJnZqLEl9cJd+J3MGcTTEyVgZLuVOqIxn9XthmFum05vCvb&#10;bW8bNrGy5Nk9UaxX4f6DJXoHz+J9AlmxvEW9q9DvKrT31lfoVbl88XV5UYqhSuuGxPbapvOOVjbe&#10;E8rYQM0ZuSlN7y1hAxr3YVCvM+dJkh/EkhAedSYDAwcXCGzWIMHVR1SFgxAn0LfXPE0kkCnpQKKE&#10;SzgvmuFS2hoPvb+yp82GPofYyiGx2uNjO7yuh7PjRk7GSBVIy9EyWtcEzsps/UpKFHR7HWY1LdSZ&#10;udWMaKYoOtxylbWJzbkcTJ6rBoO5NaGzQdAPgZWbcKLXrOG8gxkZa7tbH2VuMTa5SBfJEMPtg7kR&#10;aGi9l31UM07KYmVJEa2H9ZE+O55itQK3lib7BtzO4qQiu/oKdpn33sRLWQQvvATUTqYji4vJyWJ0&#10;1PZajbWGh3yctL0JHJXhMUrA61I3k5gFcKXkK2HD/tRk1qFRVDhTzE2CGtx+WLsvKezUgURItYNl&#10;aEPDTKUhwGLNycq/1gCzXpQCJdXobFKsb0Aw/GtSgB1d15LJhPiq6OzCiLadfU1LKZ8pIgbh+AiN&#10;2EwcYHC/DlXQZ0wl3HiYiqBf4HpOW9tMucU5TbripZjB2XHMkhCn5VanaJbJFm4KUi6DeSuIB7qV&#10;ym6UO78qJuUvSJViGP/PVNH7CVxBrI+1B3y46xUY6Uxpe1yokEMVSkLq9wU0DqZ2QLTAFS9MQ1DB&#10;NbT5FeRQ/9qcszRMWsNJUh3QAAkK+5EKBSH7UJZM9J1CrJbuXZYkSwmZiCqIKxMr9ogcEjbUNbCp&#10;93YPhRDqppqkZcDgTsaf+55m0CjQTU4x35xKlu+9Ngf+6c7HJjMo5dZh09Bk9s9FzNuDxa5q15vl&#10;2d5bVERPLNqsepYV7lbQStP+NUU451ZrK9aSxmuNTDjw4rLGMJg3RAlcJCH9BfsfFT6zf2LoDXXI&#10;D6C2Ivj/QhODsIGovmQbD6QLpB0cQeNkB20waVLWtGnrpK2WbdYX3OnmfE8YW0t2Fn+f09h5c+ay&#10;c3LxIo2dWtixtR1baWrw7MkUhaFJdpAxjnH+DNv6CwAA//8DAFBLAwQUAAYACAAAACEAZ7MZJ+wH&#10;AACbFwAAFQAAAGRycy9jaGFydHMvY2hhcnQ0LnhtbNRYbW8bNxL+XuD+w3YboJ9k7Zu0khCpkOWq&#10;F5zdGLHdAveN2qWkrbkv5VK2lMP993uG5EorRW6cFPchiWFzh8Mh+cxw5iHf/rTNhfPEZZ2Vxdj1&#10;LzzX4UVSplmxGrsP9/POwHVqxYqUibLgY3fHa/enyT++e5uMkjWT6q5iCXdgpKhHydhdK1WNut06&#10;WfOc1RdlxQv0LUuZM4VPueqmkj3DeC66gef1u9qIaw2wrzCQs6xoxsvXjC+XyyzhV2WyyXmhzCok&#10;F0wBgXqdVbU7weZSprg/9CLniYmx67ldEgpWrIyAF53pgxHKclOkPJ2VsgCMLf08GU2F4rKAqVlZ&#10;KMxm95m/CqmcycdN1UnKvMLiFpnI1E4vFwuE7dm6xD6cD/zPTSZ5PXYTP2qAQPMTKPIskWVdLtUF&#10;LHYNCo03yGzcHXQD6w9s1o9GtdoJbjbkewHttrufVy9hzoRYsOSRsGkp71UP/TTwFAwalQh5w6r3&#10;T9JZrPyxK5TvOmqLVvqI1mIVkCwgGVrpI1osSQAkNGyjkaDfSPY6YSMJGx2AYnQAlGn0GkmvkfQb&#10;Sd911iIrHgEk/XGdZSn+aQRNywSADmHajMqU4Lqxpd8yS9aTt2y0KNPdrQR6bCRqdUeg6o+KJNWt&#10;pD8pX364lU79cewOPZzBBc6i62QUeXocAqBw1K7iSxy3sTuVGRPaIc1Q+GZvTFuUMEfxOnZNrH6V&#10;bRih6dXk9ynZV3oWiGgu/G72iIbSWxZsV26UPislkgo+W+eBtBqE2EaV9/RxxQVXPG2pJaNKlGoq&#10;OSMQjUVq5azYMHGtZzj03DO54soMzwqcQOOT7U2Z2tDl6Yob4e6ccGunvvB7gyD0B739jx3U9Ad+&#10;PPCjQS8cRuFwGES+6X9u+uNhGIZBb7j/Mf3rpr8PAx5SSi8eRoE/CHrUD0yO9wXBYcsLJmeUZGm7&#10;aF9l0hhLSu38ZLRC8qmQTa1YbGrkG56amZ+Y3M1KUR4lJRxUDgcmoyxtdm60S5lya95mO+PSWskP&#10;fEkjlpMf7zYLKgYq09nSkchsP37/w4ef59/TTrQW9GcM6Z9GVGqG5Gi9Y/GqlIOpTWAno6fJfvST&#10;RqOiGKNs0lgxH3oJaNo12VNTlyJL55kQFKS1XC1mwm4hHkyDYK4RRk9bTRRauS161UiEPA2l5ejZ&#10;gWCBEFfvlr/yFeB4suFmwUuY9trn0Xtz+SYc4Vf8eQR1xBCqxwgGnu91fJ/GHzA8qPkuueJpAjW/&#10;4wcvqQUHtaDjhy+phQe1sONHL6lFB7Wo4/eO1YxLbZSYj8a/FjYUXVp0sck/E3tv5oTevIUexuzj&#10;z/COGVLBxLvwaBEtyWl8voBuGFz0wtj3hrE3CCJv+DKCDdChfxEFYX/oBV4PmIfD490fPNNAjgEw&#10;Pxj0PA8zDQdR/6URDfohthPHyDdYUhj58ctzNI7ANmK/H8RBGA37UYxxx3MAmwNy5qPxiXYGuckk&#10;jvR6IWryTr0un6/5ihfpv3g7z5ue3xh4ZYs7kfaMqV9ZfnxQSH7H5Vn5LZdU7D+xc7lZLAS/yz62&#10;TWGF+6WtWPV7liqbe/2ePZRs+85WmiCO4l4Q9Pom+Z10hPHQcBiddvcpGME51WXuRP1gp04YGMKK&#10;0CllhqWbPKlxyLPihm11SgJCB8VUV8CjPbLtbWmZ5MIsEL6Z5woUhIg0BfTY/YWj2oEFOHW5AUzX&#10;4Cg8Jdqgy2/O/ijlfZY83oBFGuMFCLztzIqXOxUGwcX7FRR8q+5LM9CkPpMJT/LqURK9nNN/GoO0&#10;2Uq/nyZRtTUU4wtJ0sCSJFClz5MkNuLsHHlio6Q+J8cqDR/Ty7e1BmF+yyQjlranVQ93douGDJm9&#10;gNSCZ9dTW151pDUBZfu4dS6xoH9zacGlL+Mp60OxEFOxKowsUZbaQPp+uawb0uMDCe3xorzZCJVd&#10;Pwl4rxVOOBf7wEUgno3gw/pagfkXEUysxe7Pzk/54bUxbcmLDtFfZJbiyHCTUSzWonCeQYR74EhO&#10;wqqxu8T1DM28QoDXxQpcHbjgxgNMqJoXJZEAoABaKmt1xWp78nXoETxspK9pJiANBeDLJU/UdU10&#10;FRGypaZtORuJqPoPcn3kXQbDzrw/iDvRPOp1qAp0wOIuh30vGkZX8//SAnBXWmdpygscwuYyDOGX&#10;XsF8r2tus1+0+dbxwlnb1XsOhGt2Wj7fY2cuQrZW6ADt0v80arhS2NQao/LoKIKBNWuI87AlZQrc&#10;2QYnqprRprOt5zs95q9ywxFo2gJW2vzVvqCY0hGBxqfBsr9LGE54fNtyZKnGbqcXme3SCwe+16X8&#10;aKLhtRcxCgh6Gmhfvlhz+TrJKy35UV7Zy8/mFUlTnF7WdEiqCeqfQwXwzN1LX8Dw6+z18f+/6nPZ&#10;0DyIYJN/72p4ptQhyx8XOZvyzhQ5XD9NOkS5/cZrXPMQ8I3UuAML0vXvfI3TXZdcPXNu69rCfFin&#10;EWt5KDKblwLtZ5z+fd1qCEgr45ts3hJ8Q5meDupX5W9TyI6GHrb9ZZm1/dpC7d+y+n0hLKG3TCTN&#10;6uoStOexnlrqAoZtXEb8/QqMo36PHAuCe8I8mueLxnEn3kK2OLlVfwUhXLCaE4f469cyp8pUsp6z&#10;PBO7sRviCZAe7sCjaJjB82+xPlQveusVV0wxR+J9ZezKd6m54xG1e6joTfkYnvYYlD4wtf2b+uR/&#10;AAAA//8DAFBLAwQUAAYACAAAACEAwphwM+MHAACdFwAAFQAAAGRycy9jaGFydHMvY2hhcnQ2Lnht&#10;bNRYUW/juBF+L9D/oFMXuCfbkizbkrH2IXHq20WT22CTXIG+0RJtq6ElHUU79hb97/2GpGzZcTbZ&#10;PfRhEyChhsMh+c1w5iPf/7JdCWfDZZUV+cj1257r8Dwp0ixfjNyH+2krcp1KsTxlosj5yN3xyv1l&#10;/Ne/vE+GyZJJdVeyhDswklfDZOQulSqHnU6VLPmKVe2i5Dn65oVcMYVPueikkj3B+Ep0As/rd7QR&#10;1xpg32FgxbK8Hi/fMr6Yz7OEXxXJesVzZVYhuWAKCFTLrKzcMTaXMsX92AudDRMj13M7JBQsXxgB&#10;z1sXD0Yoi3We8nRSyBwwNvRXyfBCKC5zmJoUucJsdp+rNyG1YvJxXbaSYlVicbNMZGqnl4sFwvZk&#10;WWAfzmf+xzqTvBq5iR/WQKD5DIpVlsiiKuaqDYsdg0LtDTI76ESdwPoDm/XDYaV2gpsN+V5Au+3s&#10;59VLmDIhZix5JGwaynvVQz8NPAWDRiVC3rDy00Y6s4U/coXyXUdt0Uof0ZotApIFJEMrfUSLJQmA&#10;hIZt1BL0G8lep1tLurUOQDE6AMo0erWkV0v6taTvOkuR5Y8Akv65zrwQH4ygbpkA0CFMm1GZElw3&#10;tvRXZsly/J4NZ0W6u5VAjw1Fpe4IVP1RkqS8lfQv5fPPt9Kpvozc2MMZnOEsuk5GkafHIQByR+1K&#10;PsdxG7kXMmNCO6QeCt/sjWmLEuYoXkeuidXvsg0jNL0a37OKJlB6GshoMvytN4mG0nsWbFeslT4s&#10;BbIKPhsHgrRqiNhaFff0ccUFVzxtqCXDUhTqQnJGKBqL1FqxfM3EtZ7h0HPP5IIrMzzLcQSNU7Y3&#10;RWpjl6cLboS7c8Ktnbrt94O42zv89O2guj/wB5EfRr1uHHbjOAh90/9U9w+iqB9E+5+4a/qXdX8f&#10;BjzklN4gDgM/CnrUD0yO9wXBYcszJieUZWm7aF9l0hhLCu39ZLhA9imRTq1YrCskHJ6amTdM7iaF&#10;KI6yEk4qhwOTYZbWOzfahUy5NW/TnXFppeRnPqcR8/HPd+sZVQOV6XTpSKS2n3/62+e/T3+inWgt&#10;6E8Y8j+NKNUE2dF6x+JVKgdTm8hOhpvxfvRGo1FSjFE6qa2YD70ENO2a7LGpCpGl00wIitJKLmYT&#10;YbcwiC6CYKoRRk9TTeRauSl600iEPA2l5ejZgWCOEFcf57/xBeDY2HCz4CVMe+119N5dvusO8Wfw&#10;OoI6YgjVYwQDz/davk/jDxge1HyXXLEZQ81v+cFLasFBLWj53ZfUuge1bssPX1ILD2phy+8dqxmX&#10;2igxH7V/LWyourTofL16JfbefSD0PjTQw5h9/BniMUEqGHttjxbRkJzG5wvo9sN2MPAGQeghPURe&#10;7L0KdD9qd5s/QXy8/YNrasx7UTvw/XDQ7fV7kRcG/RdH1PD3vXY06Hf7cZcWh7T1qif6cbs7iLo9&#10;GhVgN/FzpxygA1I19mhqb5CfTOZIr2eiIvdUy+Lpmi94nv6DNxO96fmdgVk22BNpT5j6ja2OTwrJ&#10;77g8K7/lksr9MzuX69lM8LvsS9MUVrhf2oKV/8xSZZOv37Onkm0/2lITDHpeEPRiTVaS4UlH6AeR&#10;Tc/NHIzovNB17kT9YKdKGDjCgtApZIalm0SpcVhl+Q3bWrMNxVSXwKM9su1tYbnkzKRnuGO6UiAh&#10;RKUpokfurxzlDjzAqYo1YLoGS+EpEQddf1fs34W8z5LHG/BIYzwHhbedWf5yp8IguHi/gpxv1X1h&#10;BprcZ1LhSWI9yqKXU/qlMcibjfz7PIuqrSEZ30iTIkuTQJZep0lsyNk5+sSGSXVOjlUaRqaXb4sN&#10;wvyWSUY8bU+sHu7sFg0bMnsBrQXTri5sfdWRVgeU7ePWuUSD/sWlBZe+jKesD8VMXIhFbmSJstwG&#10;0k/zeVWzHh9IaI/nxc1aqOx6I+C9RjjhXOwDF4F4NoIP62sE5lcimGiL3Z+dn/LDIfi/HtOWvegQ&#10;/VVmKY4MNxnFYi1y5wlUuAeS5CSsHLlzXNDQXJUI8CpfgK0DF9x5gAmV87wgFgAUwEtlpa5YZU++&#10;Dj2Chw31Rc0EpOEAfD7nibquiK8iQrbUtC1nLRFV/4l9JMrLIG5N+9GgFU7DXiseeFELNO4y7nth&#10;HF5N/0sLwG1pmaUpz3EI6+swhN96CfO9jrnPftPmG8cLZ21X7UkQLtpp8XSPnbkI2UqhA7xL/2jU&#10;cKmwqRXJ0EQRDCxZzZzjhpQpkGcbnF4tp7Ot5zs95m9ywxFo2gJWWv/XvqCY0hGBxvNg2V8mDCk8&#10;vm85slAjt9ULzXbpjQPfy0J+MdHw1qsYBQQ9DjSvX6y+fp3klYb8KK/s5WfziqQpTq9rOiTVGPXP&#10;oQJ45vKlb2D4c/YC+f9f9blsaJ5EsMk/dzc8U+qQ5Y+LnE15Z4oc7p8mHaLc/uA1rn4K+EFq3IEF&#10;6fp3vsbprkuunji3dW1mPqzTiLU85JnNS4H2M07/vm7VBKSR8U02bwh+oExPB/W78rcpZEdDD9v+&#10;tszafG6h9u9Z9SkXltBbJpJmVXkJ2vNYXVjqAoZtXEb8/QqMo/qEHAuCe8I86veL2nEn3kK2OLlW&#10;fwchnLGKE4f4+nuZU2YqWU7ZKhO7kdvFIyA93YFH0TCD559ifahe9NorrphijsQDy8iVH1NzxyNq&#10;91DSq/IxPM0xKH1gavtX9fH/AAAA//8DAFBLAwQUAAYACAAAACEAabEhYmwGAABXGwAAHAAAAGRy&#10;cy90aGVtZS90aGVtZU92ZXJyaWRlNS54bWzsWU+PGzUUvyPxHay5t0l2k3SzarbaZJMutNuuNmlR&#10;j87EmXHjGY9sZ7e5ofaIhIQoiAsSNw4IqNRKXMqnWSiCIvUr8GzPTMabCbvbrkCU5pDM2D+//+/5&#10;2bl67UHE0CERkvK47dUuVz1EYp+PaRy0vTvD/qUND0mF4zFmPCZtb06kd23r/feu4k0VkojchrWC&#10;jgkCOrHcxG0vVCrZrFSkD9NYXuYJiWFuwkWEFbyKoDIW+AjoR6yyVq02KxGmsbcFBH0mBnoVQTGO&#10;gNftyYT6xEyNpzWNkHPZZQIdYtb2gMSYHw3JA+UhhqWCibZXNR+vsnW1gjfTRUytWFtY1zefdF26&#10;YDxdMzxFMMqZ1vr11pWdnL4BMLWM6/V63V4tp2cA2PdJnMpSpFnvb9Q6Gc0CyD4u0+5WG9W6iy/Q&#10;X1+SudXpdBqtVBZL1IDsY30Jv1Ft1rfXHLwBWXxjCV/vbHe7TQdvQBbfXML3r7SadRdvQCGj8XQJ&#10;rR3a76fUc8iEs91S+AbAN6opfIGCaMijS7OY8FitirUI3+eiDwANZFjRGKl5QibYh5js4mgkKNYM&#10;8CbBhRk75MulIc0LSV/QRLW9DxMcewXIq+ffv3r+FL16/uT44bPjhz8dP3p0/PBHS8tZuIvjoLjw&#10;5bef/fn1x+iPp9+8fPxFOV4W8b/+8MkvP39eDoQMWmj44ssnvz178uKrT3//7nEJfFvgURE+pBGR&#10;6BY5Qgc8At2MYVzJyUicb8UwxNRZgUOgXUK6p0IHeGuOWRmuQ1zj3RVQPMqA12f3HVkHoZgpWsL5&#10;Rhg5wD3OWYeLUgPc0LwKFh7O4qCcuZgVcQcYH5bx7uLYcW1vlkDVzILSsX03JI6Y+wzHCgckJgrp&#10;OT4lpES7e5Q6dt2jvuCSTxS6R1EH01KTDOnICaTFol0agV/mZTqDqx3b7N1FHc7KtN4hhy4SEgKz&#10;EuGHhDlmvI5nCkdlJIc4YkWD38QqLBNyMBd+EdeTCjwdEMZRb0ykLFtzW4C+BaffwFCvSt2+x+aR&#10;ixSKTsto3sScF5E7fNoNcZSUYQc0DovYD+QUQhSjfa7K4HvczRD9Dn7A8Up336XEcffpheAODRyR&#10;FgGiZ2aixJfXCXfidzBnE0xMlYGS7lTqiMZ/V7YZhbptObwr221vGzaxsuTZPVGsV+H+gyV6B8/i&#10;fQJZsbxFvavQ7yq099ZX6FW5fPF1eVGKoUrrhsT22qbzjlY23hPK2EDNGbkpTe8tYQMa92FQrzPn&#10;SZIfxJIQHnUmAwMHFwhs1iDB1UdUhYMQJ9C31zxNJJAp6UCihEs4L5rhUtoaD72/sqfNhj6H2Moh&#10;sdrjYzu8roez40ZOxkgVSMvRMlrXBM7KbP1KShR0ex1mNS3UmbnVjGimKDrccpW1ic25HEyeqwaD&#10;uTWhs0HQD4GVm3Ci16zhvIMZGWu7Wx9lbjE2uUgXyRDD7YO5EWhovZd9VDNOymJlSRGth/WRPjue&#10;YrUCt5Ym+wbczuKkIrv6CnaZ997ES1kEL7wE1E6mI4uLyclidNT2Wo21hod8nLS9CRyV4TFKwOtS&#10;N5OYBXCl5Cthw/7UZNahUVQ4U8xNghrcfli7Lyns1IFESLWDZWhDw0ylIcBizcnKv9YAs16UAiXV&#10;6GxSrG9AMPxrUoAdXdeSyYT4qujswoi2nX1NSymfKSIG4fgIjdhMHGBwvw5V0GdMJdx4mIqgX+B6&#10;TlvbTLnFOU264qWYwdlxzJIQp+VWp2iWyRZuClIug3kriAe6lcpulDu/KiblL0iVYhj/z1TR+wlc&#10;QayPtQd8uOsVGOlMaXtcqJBDFUpC6vcFNA6mdkC0wBUvTENQwTW0+RXkUP/anLM0TFrDSVId0AAJ&#10;CvuRCgUh+1CWTPSdQqyW7l2WJEsJmYgqiCsTK/aIHBI21DWwqfd2D4UQ6qaapGXA4E7Gn/ueZtAo&#10;0E1OMd+cSpbvvTYH/unOxyYzKOXWYdPQZPbPRczbg8Wuateb5dneW1RETyzarHqWFe5W0ErT/jVF&#10;OOdWayvWksZrjUw48OKyxjCYN0QJXCQh/QX7HxU+s39i6A11yA+gtiL4/0ITg7CBqL5kGw+kC6Qd&#10;HEHjZAdtMGlS1rRp66Stlm3WF9zp5nxPGFtLdhZ/n9PYeXPmsnNy8SKNnVrYsbUdW2lq8OzJFIWh&#10;SXaQMY5x/gzb+gsAAP//AwBQSwMEFAAGAAgAAAAhAC/9Oo3tBwAAphcAABUAAABkcnMvY2hhcnRz&#10;L2NoYXJ0NS54bWzUWFFv2zgSfj/g/oNWV2CfbEuyZFlG7YXjnHvFJdugSfeAe6Ml2taFlnQUndg9&#10;7H/fb0jKllOnSbu4h7ZBQg2HQ/Kb4cxHvv1ltxHOA5d1XhZj1+96rsOLtMzyYjV2P93NO0PXqRUr&#10;MibKgo/dPa/dXyZ//cvbdJSumVS3FUu5AyNFPUrH7lqpatTr1emab1jdLSteoG9Zyg1T+JSrXibZ&#10;I4xvRC/wvEFPG3GtAfYdBjYsL5rx8jXjy+UyT/llmW43vFBmFZILpoBAvc6r2p1gcxlT3E+80Hlg&#10;Yux6bo+EghUrI+BFZ/rJCGW5LTKezUpZAMaW/iYdTYXisoCpWVkozGb3uXkVUhsm77dVJy03FRa3&#10;yEWu9nq5WCBsz9Yl9uF85P/d5pLXYzf1wwYINL+AYpOnsqzLperCYs+g0HiDzMa9YS+w/sBm/XBU&#10;q73gZkO+F9Bue4d59RLmTIgFS+8Jm5byQfXYTwOfgkGjUiGvWfXhQTqLlT92hfJdR+3Qyu7RWqwC&#10;kgUkQyu7R4ulKYCEhm00EvQbyUGn30j6jQ5AMToAyjSiRhI1kkEjGbjOWuTFPYCkP66zLMU/jKBp&#10;mQDQIUybUbkSXDd29Fvm6Xrylo0WZba/kUCPjUStbglU/VGRpLqR9Cfjy4830qk/j93Ewxlc4Cy6&#10;Tk6Rp8chAApH7Su+xHEbu1OZM6Ed0gyFbw7GtEUJcxSvY9fE6nfZhhGaXk1up2Rf6Vkgornwu9kj&#10;GkpvWbB9uVX6rJRIKvhsnQfSahBiW1Xe0cclF1zxrKWWjipRqqnkjEA0Fqm1YcWWiSs9w7HnjskV&#10;V2Z4XuAEGp/srsvMhi7PVtwI9+eEOzt11x/Eg34SRM1PbAc1/YEfD/1wGPWTsJ8kQeib/semPx7S&#10;aH/Y/Njx66Z/AAMeUkoUJ2HgD4OIxgOT031BcNzygskZJVnaLtqXuTTG0lI7Px2tkHwqZFMrFtsa&#10;+YZnZmUPTO5npShPkhIOKocD01GeNTs32qXMuDVvs51xaa3kR76kEcvJz7fbBRUDlets6Uhktp9/&#10;+tvHv89/op1oLejPGNI/jajUDMnResfiVSkHU5vATkcPk8PoB41GRTFG2aSxYj70EtC0a7Knpi5F&#10;ns1zIShIa7lazITdQjycBsFcI4yetpootHJb9KqRCHkaSsvRswPBAiGu3i9/5SvA8WDDzYKXMu21&#10;l9F7c/GmP8Kv+GUEdcQQqqcIBp7vdXyfxh8xPKr5LrniYQI1v+MHz6kFR7Wg4/efU+sf1fodP3xO&#10;LTyqhR0/OlUzLrVRYj4a/1rYUHRp0cV280LsvXlH6L1roYcxh/gzvGOGVDDxuh4toiV5Gp/PoBsO&#10;u/2gj6Qch56XRHH8LDQN0JHXDcOh7/cDL47C2H9+RIN5GHfjMEi8QRAPhkgS0fAUsKMzG/jDQTfu&#10;e6E39KJh3O+/7Igw6QaxP0g8ZK9BP8LSTqcANkfkzEfjE+0McpNJHNnVQtTknXpdPl7xFS+yf/J2&#10;njc9vzHwyhZ3Iu0ZU7+yzelBIfktl2flN1xSsf/CzsV2sRD8Nv/cNoUVHpa2YtW/8kzZ3OtH9lCy&#10;3XtbaYI4jONwEA1M8jvtSAZJMNS5Q6fdQwpGcE51mTtVb9mpUwaGsCJ0Splj6SZPahw2eXHNdtZs&#10;SzHTFfBkj2x3U1omuTALhG/mGwUKQkSaAnrsvuOodmABTl1uAdMVOArPiDbo8rth/ynlXZ7eX4NF&#10;GuMFCLztzIvnOxUGwcWHFRR8p+5KM9CkPpMJn+TVkyR6Maf/NAZps5V+v0yiamcoxjeSpKElSaBK&#10;L5MkNuLsHHlio7Q+J8cqDR/Ty7e1BmF+wyQjlnagVZ9u7RYNGTJ7AakFz66ntrxSpB0CyvZx61xi&#10;Qf/m0oJLX8ZT1odiIaZiVRhZqiy1gfTDclk3pMcHEtrjRXm9FSq/ehDwXiuccC4OgYtAPBfBrfW1&#10;AvMrEUysxe7Pzk/54Rj8X49pS150iL6TeYYjw01GsViLwnkEEY7AkZyUVWN3iesZmpsKAV4XK3B1&#10;4IIbDzChal6URAKAAmiprNUlq+3J16FH8LCRvqaZgDQUgC+XPFVXNdFVRMiOmrblbCWi6n+JH4Te&#10;RZB05sjKnXAeRp0k9oYdsLiLZOCFSXg5/50WgLvSOs8yXuAQNpdhCL/1CuZ7PXOb/abNt44Xztq+&#10;PnAgXLOz8vEOO3MRsrVCB2iX/qdRw5XCptY4gtTAVK9ZQ5yTlpQpcGcbnF4jp7Ot53t6zF/lhhPQ&#10;tAWstPmrfUExpSMCjS+D5XCXMJzw9LblyFKN3U6Emk1boxcOfK9L+dls87UXMQoIehpoX75Yc/l6&#10;klda8pO8cpCfzSuSpnh6WdMhqSaofw4VwDN3L30Bw6+z18f//6rPZUPzIIJN/rmr4ZlSBweeFjmb&#10;8s4UOVw/TTpEuf3Ba1zzEPBj1LgWC9L173yN010XXD1ybuvawnxYpxFr+VTkNi8F2s84/Ye61RCQ&#10;VsY32bwl+IEyPR3U78rfppCdDD1u+9sya/u1hdq/5fWHQlhCb5lIltfVBWjPfT211AUM27iM+Psl&#10;GEf9ATkWBPcJ82ieL152HBLHkwv2d3DDBas50YmvP5w5Va7S9ZxtcrEfu328BtIbHigVDTPQ/ikC&#10;iEJGz77ikinmSDy1jF35PjO3PWJ5nyp6Xj5Fqj0GVRCk7fC8PvkDAAD//wMAUEsDBBQABgAIAAAA&#10;IQBpsSFibAYAAFcbAAAcAAAAZHJzL3RoZW1lL3RoZW1lT3ZlcnJpZGU0LnhtbOxZT48bNRS/I/Ed&#10;rLm3SXaTdLNqttpkky602642aVGPzsSZceMZj2xnt7mh9oiEhCiICxI3Dgio1EpcyqdZKIIi9Svw&#10;bM9MxpsJu9uuQJTmkMzYP7//7/nZuXrtQcTQIRGS8rjt1S5XPURin49pHLS9O8P+pQ0PSYXjMWY8&#10;Jm1vTqR3bev9967iTRWSiNyGtYKOCQI6sdzEbS9UKtmsVKQP01he5gmJYW7CRYQVvIqgMhb4COhH&#10;rLJWrTYrEaaxtwUEfSYGehVBMY6A1+3JhPrETI2nNY2Qc9llAh1i1vaAxJgfDckD5SGGpYKJtlc1&#10;H6+ydbWCN9NFTK1YW1jXN590XbpgPF0zPEUwypnW+vXWlZ2cvgEwtYzr9XrdXi2nZwDY90mcylKk&#10;We9v1DoZzQLIPi7T7lYb1bqLL9BfX5K51el0Gq1UFkvUgOxjfQm/UW3Wt9ccvAFZfGMJX+9sd7tN&#10;B29AFt9cwvevtJp1F29AIaPxdAmtHdrvp9RzyISz3VL4BsA3qil8gYJoyKNLs5jwWK2KtQjf56IP&#10;AA1kWNEYqXlCJtiHmOziaCQo1gzwJsGFGTvky6UhzQtJX9BEtb0PExx7Bcir59+/ev4UvXr+5Pjh&#10;s+OHPx0/enT88EdLy1m4i+OguPDlt5/9+fXH6I+n37x8/EU5Xhbxv/7wyS8/f14OhAxaaPjiyye/&#10;PXvy4qtPf//ucQl8W+BRET6kEZHoFjlCBzwC3YxhXMnJSJxvxTDE1FmBQ6BdQrqnQgd4a45ZGa5D&#10;XOPdFVA8yoDXZ/cdWQehmClawvlGGDnAPc5Zh4tSA9zQvAoWHs7ioJy5mBVxBxgflvHu4thxbW+W&#10;QNXMgtKxfTckjpj7DMcKByQmCuk5PiWkRLt7lDp23aO+4JJPFLpHUQfTUpMM6cgJpMWiXRqBX+Zl&#10;OoOrHdvs3UUdzsq03iGHLhISArMS4YeEOWa8jmcKR2UkhzhiRYPfxCosE3IwF34R15MKPB0QxlFv&#10;TKQsW3NbgL4Fp9/AUK9K3b7H5pGLFIpOy2jexJwXkTt82g1xlJRhBzQOi9gP5BRCFKN9rsrge9zN&#10;EP0OfsDxSnffpcRx9+mF4A4NHJEWAaJnZqLEl9cJd+J3MGcTTEyVgZLuVOqIxn9XthmFum05vCvb&#10;bW8bNrGy5Nk9UaxX4f6DJXoHz+J9AlmxvEW9q9DvKrT31lfoVbl88XV5UYqhSuuGxPbapvOOVjbe&#10;E8rYQM0ZuSlN7y1hAxr3YVCvM+dJkh/EkhAedSYDAwcXCGzWIMHVR1SFgxAn0LfXPE0kkCnpQKKE&#10;SzgvmuFS2hoPvb+yp82GPofYyiGx2uNjO7yuh7PjRk7GSBVIy9EyWtcEzsps/UpKFHR7HWY1LdSZ&#10;udWMaKYoOtxylbWJzbkcTJ6rBoO5NaGzQdAPgZWbcKLXrOG8gxkZa7tbH2VuMTa5SBfJEMPtg7kR&#10;aGi9l31UM07KYmVJEa2H9ZE+O55itQK3lib7BtzO4qQiu/oKdpn33sRLWQQvvATUTqYji4vJyWJ0&#10;1PZajbWGh3yctL0JHJXhMUrA61I3k5gFcKXkK2HD/tRk1qFRVDhTzE2CGtx+WLsvKezUgURItYNl&#10;aEPDTKUhwGLNycq/1gCzXpQCJdXobFKsb0Aw/GtSgB1d15LJhPiq6OzCiLadfU1LKZ8pIgbh+AiN&#10;2EwcYHC/DlXQZ0wl3HiYiqBf4HpOW9tMucU5TbripZjB2XHMkhCn5VanaJbJFm4KUi6DeSuIB7qV&#10;ym6UO78qJuUvSJViGP/PVNH7CVxBrI+1B3y46xUY6Uxpe1yokEMVSkLq9wU0DqZ2QLTAFS9MQ1DB&#10;NbT5FeRQ/9qcszRMWsNJUh3QAAkK+5EKBSH7UJZM9J1CrJbuXZYkSwmZiCqIKxMr9ogcEjbUNbCp&#10;93YPhRDqppqkZcDgTsaf+55m0CjQTU4x35xKlu+9Ngf+6c7HJjMo5dZh09Bk9s9FzNuDxa5q15vl&#10;2d5bVERPLNqsepYV7lbQStP+NUU451ZrK9aSxmuNTDjw4rLGMJg3RAlcJCH9BfsfFT6zf2LoDXXI&#10;D6C2Ivj/QhODsIGovmQbD6QLpB0cQeNkB20waVLWtGnrpK2WbdYX3OnmfE8YW0t2Fn+f09h5c+ay&#10;c3LxIo2dWtixtR1baWrw7MkUhaFJdpAxjnH+DNv6CwAA//8DAFBLAwQUAAYACAAAACEABlsQWPEH&#10;AACdFwAAFQAAAGRycy9jaGFydHMvY2hhcnQ3LnhtbNRYbW/bOBL+fsD9B62uwH5yLMmSLRu1F45z&#10;3gsu2QZNugfcN1qibV2ol6PoxO5h//s+Q1K27DjbtIv70DZIqOHwZZ4Zzjzk+5+2uXCeuKyzshi7&#10;/oXnOrxIyjQrVmP308O8E7tOrViRMlEWfOzueO3+NPnrX94no2TNpLqvWMIdTFLUo2TsrpWqRt1u&#10;nax5zuqLsuIF+palzJnCp1x1U8meMXkuuoHn9bt6EtdOwL5hgpxlRTNevmV8uVxmCb8qk03OC2V2&#10;IblgCgjU66yq3QmMS5ni/tALnScmxq7ndkkoWLEyAl50pp+MUJabIuXprJQFYGzp58loKhSXBaaa&#10;lYXCatbO/E1I5Uw+bqpOUuYVNrfIRKZ2ervYIOaerUvY4Xzk/91kktdjN/HDBgg0X0CRZ4ks63Kp&#10;LjBj16DQeIOmHXTjbmD9AWP9cFSrneDGIN8LyNrufl29hTkTYsGSR8KmpbxXPfTTwFMwaFQi5C2r&#10;PjxJZ7Hyx65QvuuoLVrpI1qLVUCygGRopY9osSQBkNCwjUaCfiPZ6/QaSa/RAShGB0CZRtRIokbS&#10;byR911mLrHgEkPTHdZal+IcRNC0TADqEyRiVKcF1Y0u/ZZasJ+/ZaFGmuzsJ9NhI1OqeQNUfFUmq&#10;O0l/Ur78eCed+vPYHXo4gwucRdfJKPL0OARA4ahdxZc4bmN3KjMmtEOaofDNfjI9o8R0FK9j18Tq&#10;N82NSWh5NZnOHmgBpZeBjBbD78ZINJS2WbBduVH6sJTIKvhsHQjSaiBiG1U+0McVF1zxtKWWjCpR&#10;qqnkjFA0M1IrZ8WGiRu9wqHngckVV2Z4VuAIGqdsb8vUxi5PV9wId+eEW7v0hd8f9HvDIGp+BnZQ&#10;0x/4g9gP46g3DHvDYRD6pv+56R/ENNqPmx87ft309zGBh5wSDYZh4MdBROOBybFdEBxMXjA5oyxL&#10;5qJ9lUkzWVJq7yejFbJPhXRqxWJTI+Hw1OzsicndrBTlUVbCSeVwYDLK0sZyo13KlNvpbbozLq2V&#10;/MiXNGI5+fF+s6BqoDKdLh2J1PbjD3/7+Pf5D2SJ1oL+jCH/04hKzZAdrXcsXpVysLSJ7GT0NNmP&#10;ftJoVBRjlE6aWcyH3gKadk/22NSlyNJ5JgRFaS1Xi5mwJgziaRDMNcLoaauJQiu3RW8aiZCnobQd&#10;vToQLBDi6nr5C18Bjicbbha8hGmvfRm9d5fveiP8GnwZQR0xhOoxgoHnex3fp/EHDA9qvkuueJpA&#10;ze/4wWtqwUEt6Pi919R6B7Vexw9fUwsPamHHj47VjEttlJiPxr8WNlRd2nSxyb8Qe++uCb3rFnoY&#10;s48/QzxmSAUT78KjTbQkp/H5Crph7yIMg34QDCMv9of9fnxszEugQ/+iH4XRwI/DHhKCF7+KUoN5&#10;b3AReMOeF0A/iv3eUAfDOWc28Pfii57vRbEXeOEAeSk6gfiwq8YT2BUIV+AFfT+O414UnNgBcA7Q&#10;mY/GKdob5CeTOdKbhajJPfW6fL7hK16k/+TtRG96fmVgli32RNozpn5h+fFJIfk9l2fld1xSuX8x&#10;z+VmsRD8Pvvcngo73G9txap/ZamyydeP7Klk22tbaoJB1Atjb9g32e+4A7jGegSmbOdgROdU17lj&#10;9dY8dcLAEVaETikzbN0kSo1DnhW3bKtzEhA6KKa6BB7ZyLZ3peWSC7NB+GaeK5AQotIU0WP3Z45y&#10;Bx7g1OUGMN2ApfCUiIOuvzn7TykfsuTxFjzSTF6AwtvOrHi9U2EQXLzfQcG36qE0A03uM6nwJLEe&#10;ZdHLOf2nMcibrfz7MouqrSEZX0mTYkuTQJa+TJPYiLNz9ImNkvqcHLs0jExv3xYbhPkdk4x42p5Y&#10;fbq3Jho2ZGwBrQXTrqe2vlKk7QPK9nHrXKJB/+bSgktfxlPWh2IhpmJVGFmiLLeB9MNyWTesxwcS&#10;2uNFebsRKrt5EvBeK5wQxPvARSCei+DW/lqB+QcRTLTF2mfXp/zw1pi27EWH6M8yS3FkuMkoFmtR&#10;OM+gwhFIkpOwauwucUFDM68Q4HWxAlsHLrjzABMq50VJLAAogJfKWl2x2p58HXoEDxvpi5oJSMMB&#10;+HLJE3VTE19FhGypaVvORiKq/jf0g9C7DIadeT8edMJ5GHWGAy/ugMZdDvteOAyv5r/RBnBbWmdp&#10;ygscwuY6DOHXXsJ8r2vus19lfOt44azt6j0JwkU7LZ8fYJmLkK0VOsC79D+NGi4VNrUOIkgNTPWa&#10;NcwZFW8vZQrk2Qan18jpbOv1To/5m9xwBJqeATtt/mpfUEzpiEDjZbDsLxOGFB7ftxxZqrHbiUJj&#10;Lr1x4Htdys/GzLdexSgg6HGgff1izfXrJK+05Ed5ZS8/m1ckLXF6XdMhqSaofw4VwDOXL30Dw6+z&#10;F8j//67PZUPzJAIj/9zd8EypQ5Y/LnI25Z0pcrh/mnSIcvud17jmKeD7qHEtFqTr3/kap7suuXrm&#10;3Na1hfmwTiPW8qnIbF4KGha2r1sNAWllfJPNW4LvKNPTQf2m/G0K2dHQg9lfl1nbzy3U/jWrPxTC&#10;EnrLRNKsri5Bex7rqaUuYNjGZcTfr8A46g/IsSC4J8yjeb9oHHfiLWSLk2v1NxDCBas5cYg/fi9z&#10;qkwl6znLM7Ebuz08AtLTHXgUDTN4/inWh+pFr73iiinmSDywjF15nZo7HlG7TxW9Kh/D0x6D0gem&#10;tn9Vn/wOAAD//wMAUEsBAi0AFAAGAAgAAAAhAGBToU9wAQAA2QkAABMAAAAAAAAAAAAAAAAAAAAA&#10;AFtDb250ZW50X1R5cGVzXS54bWxQSwECLQAUAAYACAAAACEAOP0h/9YAAACUAQAACwAAAAAAAAAA&#10;AAAAAAChAQAAX3JlbHMvLnJlbHNQSwECLQAUAAYACAAAACEA2p2zdFcDAABsEgAADgAAAAAAAAAA&#10;AAAAAACgAgAAZHJzL2Uyb0RvYy54bWxQSwECLQAUAAYACAAAACEAdJvlsmIBAACdAgAAIAAAAAAA&#10;AAAAAAAAAAAjBgAAZHJzL2NoYXJ0cy9fcmVscy9jaGFydDEueG1sLnJlbHNQSwECLQAUAAYACAAA&#10;ACEA4BlKQusAAADFBAAAGQAAAAAAAAAAAAAAAADDBwAAZHJzL19yZWxzL2Uyb0RvYy54bWwucmVs&#10;c1BLAQItABQABgAIAAAAIQC3GMqq4QAAAAoBAAAPAAAAAAAAAAAAAAAAAOUIAABkcnMvZG93bnJl&#10;di54bWxQSwECLQAUAAYACAAAACEAFrMBJ+0HAACcFwAAFQAAAAAAAAAAAAAAAADzCQAAZHJzL2No&#10;YXJ0cy9jaGFydDgueG1sUEsBAi0AFAAGAAgAAAAhAGmxIWJsBgAAVxsAABwAAAAAAAAAAAAAAAAA&#10;ExIAAGRycy90aGVtZS90aGVtZU92ZXJyaWRlOC54bWxQSwECLQAUAAYACAAAACEAXDL76mIBAACd&#10;AgAAIAAAAAAAAAAAAAAAAAC5GAAAZHJzL2NoYXJ0cy9fcmVscy9jaGFydDIueG1sLnJlbHNQSwEC&#10;LQAUAAYACAAAACEADGDGWmIBAACdAgAAIAAAAAAAAAAAAAAAAABZGgAAZHJzL2NoYXJ0cy9fcmVs&#10;cy9jaGFydDQueG1sLnJlbHNQSwECLQAUAAYACAAAACEA7cLN4WIBAACdAgAAIAAAAAAAAAAAAAAA&#10;AAD5GwAAZHJzL2NoYXJ0cy9fcmVscy9jaGFydDgueG1sLnJlbHNQSwECLQAUAAYACAAAACEAJMnY&#10;AmIBAACdAgAAIAAAAAAAAAAAAAAAAACZHQAAZHJzL2NoYXJ0cy9fcmVscy9jaGFydDcueG1sLnJl&#10;bHNQSwECLQAUAAYACAAAACEAA6z9g2IBAACdAgAAIAAAAAAAAAAAAAAAAAA5HwAAZHJzL2NoYXJ0&#10;cy9fcmVscy9jaGFydDYueG1sLnJlbHNQSwECLQAUAAYACAAAACEAKwXj22IBAACdAgAAIAAAAAAA&#10;AAAAAAAAAADZIAAAZHJzL2NoYXJ0cy9fcmVscy9jaGFydDUueG1sLnJlbHNQSwECLQAUAAYACAAA&#10;ACEAe1fea2IBAACdAgAAIAAAAAAAAAAAAAAAAAB5IgAAZHJzL2NoYXJ0cy9fcmVscy9jaGFydDMu&#10;eG1sLnJlbHNQSwECLQAUAAYACAAAACEAabEhYmwGAABXGwAAHAAAAAAAAAAAAAAAAAAZJAAAZHJz&#10;L3RoZW1lL3RoZW1lT3ZlcnJpZGU3LnhtbFBLAQItABQABgAIAAAAIQBpsSFibAYAAFcbAAAcAAAA&#10;AAAAAAAAAAAAAL8qAABkcnMvdGhlbWUvdGhlbWVPdmVycmlkZTYueG1sUEsBAi0AFAAGAAgAAAAh&#10;AGmxIWJsBgAAVxsAABwAAAAAAAAAAAAAAAAAZTEAAGRycy90aGVtZS90aGVtZU92ZXJyaWRlMi54&#10;bWxQSwECLQAUAAYACAAAACEAM8Pb8OIHAACbFwAAFQAAAAAAAAAAAAAAAAALOAAAZHJzL2NoYXJ0&#10;cy9jaGFydDIueG1sUEsBAi0AFAAGAAgAAAAhAGmxIWJsBgAAVxsAABwAAAAAAAAAAAAAAAAAIEAA&#10;AGRycy90aGVtZS90aGVtZU92ZXJyaWRlMS54bWxQSwECLQAUAAYACAAAACEAG3ig1+oHAACcFwAA&#10;FQAAAAAAAAAAAAAAAADGRgAAZHJzL2NoYXJ0cy9jaGFydDEueG1sUEsBAi0AFAAGAAgAAAAhALuM&#10;Ic3tBwAAnRcAABUAAAAAAAAAAAAAAAAA404AAGRycy9jaGFydHMvY2hhcnQzLnhtbFBLAQItABQA&#10;BgAIAAAAIQBpsSFibAYAAFcbAAAcAAAAAAAAAAAAAAAAAANXAABkcnMvdGhlbWUvdGhlbWVPdmVy&#10;cmlkZTMueG1sUEsBAi0AFAAGAAgAAAAhAGezGSfsBwAAmxcAABUAAAAAAAAAAAAAAAAAqV0AAGRy&#10;cy9jaGFydHMvY2hhcnQ0LnhtbFBLAQItABQABgAIAAAAIQDCmHAz4wcAAJ0XAAAVAAAAAAAAAAAA&#10;AAAAAMhlAABkcnMvY2hhcnRzL2NoYXJ0Ni54bWxQSwECLQAUAAYACAAAACEAabEhYmwGAABXGwAA&#10;HAAAAAAAAAAAAAAAAADebQAAZHJzL3RoZW1lL3RoZW1lT3ZlcnJpZGU1LnhtbFBLAQItABQABgAI&#10;AAAAIQAv/TqN7QcAAKYXAAAVAAAAAAAAAAAAAAAAAIR0AABkcnMvY2hhcnRzL2NoYXJ0NS54bWxQ&#10;SwECLQAUAAYACAAAACEAabEhYmwGAABXGwAAHAAAAAAAAAAAAAAAAACkfAAAZHJzL3RoZW1lL3Ro&#10;ZW1lT3ZlcnJpZGU0LnhtbFBLAQItABQABgAIAAAAIQAGWxBY8QcAAJ0XAAAVAAAAAAAAAAAAAAAA&#10;AEqDAABkcnMvY2hhcnRzL2NoYXJ0Ny54bWxQSwUGAAAAAB0AHQASCAAAbo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o:spid="_x0000_s1027" type="#_x0000_t75" style="position:absolute;left:365;width:27009;height: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nDP&#10;9MIAAADbAAAADwAAAGRycy9kb3ducmV2LnhtbERPXWvCMBR9H/gfwhX2MmY6FXHVKEMYiiBop/P1&#10;0lzTYnNTmqjVX28eBns8nO/pvLWVuFLjS8cKPnoJCOLc6ZKNgv3P9/sYhA/IGivHpOBOHuazzssU&#10;U+1uvKNrFoyIIexTVFCEUKdS+rwgi77nauLInVxjMUTYGKkbvMVwW8l+koykxZJjQ4E1LQrKz9nF&#10;KtjKzHyO78PH2iRru/kdHN8Wh6VSr932awIiUBv+xX/ulVbQj+vjl/gD5OwJAAD//wMAUEsBAi0A&#10;FAAGAAgAAAAhALaDOJL+AAAA4QEAABMAAAAAAAAAAAAAAAAAAAAAAFtDb250ZW50X1R5cGVzXS54&#10;bWxQSwECLQAUAAYACAAAACEAOP0h/9YAAACUAQAACwAAAAAAAAAAAAAAAAAvAQAAX3JlbHMvLnJl&#10;bHNQSwECLQAUAAYACAAAACEAMy8FnkEAAAA5AAAADgAAAAAAAAAAAAAAAAAuAgAAZHJzL2Uyb0Rv&#10;Yy54bWxQSwECLQAUAAYACAAAACEAXnDP9MIAAADbAAAADwAAAAAAAAAAAAAAAACbAgAAZHJzL2Rv&#10;d25yZXYueG1sUEsFBgAAAAAEAAQA8wAAAIoDAAAAAA==&#10;">
                        <v:imagedata r:id="rId22" o:title=""/>
                        <o:lock v:ext="edit" aspectratio="f"/>
                      </v:shape>
                      <v:shape id="2" o:spid="_x0000_s1028" type="#_x0000_t75" style="position:absolute;left:28837;top:182;width:27008;height:121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R0GX&#10;3sIAAADbAAAADwAAAGRycy9kb3ducmV2LnhtbESPQWvCQBSE74L/YXmCN93E0Fqiq4gg2EtKVXp+&#10;ZJ/ZYPZtyK5J+u+7hUKPw8x8w2z3o21ET52vHStIlwkI4tLpmisFt+tp8QbCB2SNjWNS8E0e9rvp&#10;ZIu5dgN/Un8JlYgQ9jkqMCG0uZS+NGTRL11LHL276yyGKLtK6g6HCLeNXCXJq7RYc1ww2NLRUPm4&#10;PK2CzDzW5NOWuW5uRVa8fHy9P+9KzWfjYQMi0Bj+w3/ts1awSuH3S/wBcvcDAAD//wMAUEsBAi0A&#10;FAAGAAgAAAAhALaDOJL+AAAA4QEAABMAAAAAAAAAAAAAAAAAAAAAAFtDb250ZW50X1R5cGVzXS54&#10;bWxQSwECLQAUAAYACAAAACEAOP0h/9YAAACUAQAACwAAAAAAAAAAAAAAAAAvAQAAX3JlbHMvLnJl&#10;bHNQSwECLQAUAAYACAAAACEAMy8FnkEAAAA5AAAADgAAAAAAAAAAAAAAAAAuAgAAZHJzL2Uyb0Rv&#10;Yy54bWxQSwECLQAUAAYACAAAACEAR0GX3sIAAADbAAAADwAAAAAAAAAAAAAAAACbAgAAZHJzL2Rv&#10;d25yZXYueG1sUEsFBgAAAAAEAAQA8wAAAIoDAAAAAA==&#10;">
                        <v:imagedata r:id="rId23" o:title=""/>
                        <o:lock v:ext="edit" aspectratio="f"/>
                      </v:shape>
                      <v:shape id="3" o:spid="_x0000_s1029" type="#_x0000_t75" style="position:absolute;left:365;top:15788;width:27009;height:121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WUE+&#10;K8MAAADbAAAADwAAAGRycy9kb3ducmV2LnhtbESPQUsDMRSE7wX/Q3hCb23WpdSyNi0qCKW92NaD&#10;x+fmuVncvCzJc7v+e1MQPA4z8w2z3o6+UwPF1AY2cDcvQBHXwbbcGHg7v8xWoJIgW+wCk4EfSrDd&#10;3EzWWNlw4SMNJ2lUhnCq0IAT6SutU+3IY5qHnjh7nyF6lCxjo23ES4b7TpdFsdQeW84LDnt6dlR/&#10;nb69gfePQ6fvDyKvbjGc2/3TeIzkjJnejo8PoIRG+Q//tXfWQFnC9Uv+AXrzCwAA//8DAFBLAQIt&#10;ABQABgAIAAAAIQC2gziS/gAAAOEBAAATAAAAAAAAAAAAAAAAAAAAAABbQ29udGVudF9UeXBlc10u&#10;eG1sUEsBAi0AFAAGAAgAAAAhADj9If/WAAAAlAEAAAsAAAAAAAAAAAAAAAAALwEAAF9yZWxzLy5y&#10;ZWxzUEsBAi0AFAAGAAgAAAAhADMvBZ5BAAAAOQAAAA4AAAAAAAAAAAAAAAAALgIAAGRycy9lMm9E&#10;b2MueG1sUEsBAi0AFAAGAAgAAAAhAFlBPivDAAAA2wAAAA8AAAAAAAAAAAAAAAAAmwIAAGRycy9k&#10;b3ducmV2LnhtbFBLBQYAAAAABAAEAPMAAACLAwAAAAA=&#10;">
                        <v:imagedata r:id="rId24" o:title=""/>
                        <o:lock v:ext="edit" aspectratio="f"/>
                      </v:shape>
                      <v:shape id="4" o:spid="_x0000_s1030" type="#_x0000_t75" style="position:absolute;left:28593;top:15423;width:27008;height: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wJ6&#10;58MAAADbAAAADwAAAGRycy9kb3ducmV2LnhtbESPQYvCMBSE78L+h/AEb5qqVErXKO4uC+JJreL1&#10;0bxti81Lt4la/70RBI/DzHzDzJedqcWVWldZVjAeRSCIc6srLhQcst9hAsJ5ZI21ZVJwJwfLxUdv&#10;jqm2N97Rde8LESDsUlRQet+kUrq8JINuZBvi4P3Z1qAPsi2kbvEW4KaWkyiaSYMVh4USG/ouKT/v&#10;L0bBah3HPjmf4kt22G6O1TH7+f/KlBr0u9UnCE+df4df7bVWMJnC80v4AXLxAAAA//8DAFBLAQIt&#10;ABQABgAIAAAAIQC2gziS/gAAAOEBAAATAAAAAAAAAAAAAAAAAAAAAABbQ29udGVudF9UeXBlc10u&#10;eG1sUEsBAi0AFAAGAAgAAAAhADj9If/WAAAAlAEAAAsAAAAAAAAAAAAAAAAALwEAAF9yZWxzLy5y&#10;ZWxzUEsBAi0AFAAGAAgAAAAhADMvBZ5BAAAAOQAAAA4AAAAAAAAAAAAAAAAALgIAAGRycy9lMm9E&#10;b2MueG1sUEsBAi0AFAAGAAgAAAAhAJsCeufDAAAA2wAAAA8AAAAAAAAAAAAAAAAAmwIAAGRycy9k&#10;b3ducmV2LnhtbFBLBQYAAAAABAAEAPMAAACLAwAAAAA=&#10;">
                        <v:imagedata r:id="rId25" o:title=""/>
                        <o:lock v:ext="edit" aspectratio="f"/>
                      </v:shape>
                      <v:shape id="5" o:spid="_x0000_s1031" type="#_x0000_t75" style="position:absolute;left:731;top:31090;width:25057;height:107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lsBy&#10;x8UAAADbAAAADwAAAGRycy9kb3ducmV2LnhtbESPQWvCQBSE7wX/w/KE3nSjFVtTV7EFpZcKTb14&#10;e2Rfk5Ds27i7JvHfdwtCj8PMfMOst4NpREfOV5YVzKYJCOLc6ooLBafv/eQFhA/IGhvLpOBGHrab&#10;0cMaU217/qIuC4WIEPYpKihDaFMpfV6SQT+1LXH0fqwzGKJ0hdQO+wg3jZwnyVIarDgulNjSe0l5&#10;nV2NguXb86WbLYrVwX0+dYH7+nysT0o9jofdK4hAQ/gP39sfWsF8AX9f4g+Qm18AAAD//wMAUEsB&#10;Ai0AFAAGAAgAAAAhALaDOJL+AAAA4QEAABMAAAAAAAAAAAAAAAAAAAAAAFtDb250ZW50X1R5cGVz&#10;XS54bWxQSwECLQAUAAYACAAAACEAOP0h/9YAAACUAQAACwAAAAAAAAAAAAAAAAAvAQAAX3JlbHMv&#10;LnJlbHNQSwECLQAUAAYACAAAACEAMy8FnkEAAAA5AAAADgAAAAAAAAAAAAAAAAAuAgAAZHJzL2Uy&#10;b0RvYy54bWxQSwECLQAUAAYACAAAACEAlsByx8UAAADbAAAADwAAAAAAAAAAAAAAAACbAgAAZHJz&#10;L2Rvd25yZXYueG1sUEsFBgAAAAAEAAQA8wAAAI0DAAAAAA==&#10;">
                        <v:imagedata r:id="rId26" o:title=""/>
                        <o:lock v:ext="edit" aspectratio="f"/>
                      </v:shape>
                      <v:shape id="6" o:spid="_x0000_s1032" type="#_x0000_t75" style="position:absolute;left:28288;top:29931;width:27008;height:121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iXf&#10;ncIAAADbAAAADwAAAGRycy9kb3ducmV2LnhtbESPQWvCQBSE74L/YXmCN91EsJToKioUFE+1xfMz&#10;+0yi2bdp9qmxv75bKPQ4zMw3zHzZuVrdqQ2VZwPpOAFFnHtbcWHg8+Nt9AoqCLLF2jMZeFKA5aLf&#10;m2Nm/YPf6X6QQkUIhwwNlCJNpnXIS3IYxr4hjt7Ztw4lyrbQtsVHhLtaT5LkRTusOC6U2NCmpPx6&#10;uDkDu/R6vKy97uhLvoWf1emcHvfGDAfdagZKqJP/8F97aw1MpvD7Jf4AvfgBAAD//wMAUEsBAi0A&#10;FAAGAAgAAAAhALaDOJL+AAAA4QEAABMAAAAAAAAAAAAAAAAAAAAAAFtDb250ZW50X1R5cGVzXS54&#10;bWxQSwECLQAUAAYACAAAACEAOP0h/9YAAACUAQAACwAAAAAAAAAAAAAAAAAvAQAAX3JlbHMvLnJl&#10;bHNQSwECLQAUAAYACAAAACEAMy8FnkEAAAA5AAAADgAAAAAAAAAAAAAAAAAuAgAAZHJzL2Uyb0Rv&#10;Yy54bWxQSwECLQAUAAYACAAAACEA0iXfncIAAADbAAAADwAAAAAAAAAAAAAAAACbAgAAZHJzL2Rv&#10;d25yZXYueG1sUEsFBgAAAAAEAAQA8wAAAIoDAAAAAA==&#10;">
                        <v:imagedata r:id="rId27" o:title=""/>
                        <o:lock v:ext="edit" aspectratio="f"/>
                      </v:shape>
                      <v:shape id="7" o:spid="_x0000_s1033" type="#_x0000_t75" style="position:absolute;top:44196;width:27008;height:121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hxw&#10;MsQAAADbAAAADwAAAGRycy9kb3ducmV2LnhtbESPT4vCMBTE74LfITzBm6arINI1igjLquzBPz24&#10;t2fzbMM2L6WJ2v32RhA8DjPzG2a2aG0lbtR441jBxzABQZw7bbhQkB2/BlMQPiBrrByTgn/ysJh3&#10;OzNMtbvznm6HUIgIYZ+igjKEOpXS5yVZ9ENXE0fv4hqLIcqmkLrBe4TbSo6SZCItGo4LJda0Kin/&#10;O1ytgl123pyy7fd+ZxJbnOvx6vcnN0r1e+3yE0SgNrzDr/ZaKxhN4Pkl/gA5fwAAAP//AwBQSwEC&#10;LQAUAAYACAAAACEAtoM4kv4AAADhAQAAEwAAAAAAAAAAAAAAAAAAAAAAW0NvbnRlbnRfVHlwZXNd&#10;LnhtbFBLAQItABQABgAIAAAAIQA4/SH/1gAAAJQBAAALAAAAAAAAAAAAAAAAAC8BAABfcmVscy8u&#10;cmVsc1BLAQItABQABgAIAAAAIQAzLwWeQQAAADkAAAAOAAAAAAAAAAAAAAAAAC4CAABkcnMvZTJv&#10;RG9jLnhtbFBLAQItABQABgAIAAAAIQCiHHAyxAAAANsAAAAPAAAAAAAAAAAAAAAAAJsCAABkcnMv&#10;ZG93bnJldi54bWxQSwUGAAAAAAQABADzAAAAjAMAAAAA&#10;">
                        <v:imagedata r:id="rId28" o:title=""/>
                        <o:lock v:ext="edit" aspectratio="f"/>
                      </v:shape>
                      <v:shape id="8" o:spid="_x0000_s1034" type="#_x0000_t75" style="position:absolute;left:28044;top:44075;width:27008;height: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477i&#10;9MQAAADbAAAADwAAAGRycy9kb3ducmV2LnhtbESPT4vCMBTE74LfITxhb2uqh12pRhF1YT0t/kHw&#10;9myebbF5qU3U6Kc3woLHYWZ+w4wmwVTiSo0rLSvodRMQxJnVJecKtpufzwEI55E1VpZJwZ0cTMbt&#10;1ghTbW+8ouva5yJC2KWooPC+TqV0WUEGXdfWxNE72sagj7LJpW7wFuGmkv0k+ZIGS44LBdY0Kyg7&#10;rS9GwfmxD8nisBvM6yO5y+4sw3z5p9RHJ0yHIDwF/w7/t3+1gv43vL7EHyDHTwAAAP//AwBQSwEC&#10;LQAUAAYACAAAACEAtoM4kv4AAADhAQAAEwAAAAAAAAAAAAAAAAAAAAAAW0NvbnRlbnRfVHlwZXNd&#10;LnhtbFBLAQItABQABgAIAAAAIQA4/SH/1gAAAJQBAAALAAAAAAAAAAAAAAAAAC8BAABfcmVscy8u&#10;cmVsc1BLAQItABQABgAIAAAAIQAzLwWeQQAAADkAAAAOAAAAAAAAAAAAAAAAAC4CAABkcnMvZTJv&#10;RG9jLnhtbFBLAQItABQABgAIAAAAIQDjvuL0xAAAANsAAAAPAAAAAAAAAAAAAAAAAJsCAABkcnMv&#10;ZG93bnJldi54bWxQSwUGAAAAAAQABADzAAAAjAMAAAAA&#10;">
                        <v:imagedata r:id="rId29" o:title=""/>
                        <o:lock v:ext="edit" aspectratio="f"/>
                      </v:shape>
                    </v:group>
                  </w:pict>
                </mc:Fallback>
              </mc:AlternateContent>
            </w: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AC28B6" w:rsidRPr="00D16196" w:rsidRDefault="00AC28B6" w:rsidP="00D16196">
            <w:pPr>
              <w:pStyle w:val="Figure"/>
            </w:pPr>
          </w:p>
          <w:p w:rsidR="00054FA3" w:rsidRPr="00D16196" w:rsidRDefault="00054FA3" w:rsidP="00D16196">
            <w:pPr>
              <w:pStyle w:val="Figure"/>
            </w:pPr>
          </w:p>
        </w:tc>
        <w:tc>
          <w:tcPr>
            <w:tcW w:w="4386" w:type="dxa"/>
            <w:tcBorders>
              <w:top w:val="nil"/>
              <w:left w:val="nil"/>
              <w:bottom w:val="nil"/>
              <w:right w:val="nil"/>
            </w:tcBorders>
            <w:shd w:val="clear" w:color="auto" w:fill="auto"/>
          </w:tcPr>
          <w:p w:rsidR="00054FA3" w:rsidRPr="00D16196" w:rsidRDefault="00054FA3" w:rsidP="00D16196">
            <w:pPr>
              <w:pStyle w:val="Figure"/>
            </w:pPr>
          </w:p>
        </w:tc>
      </w:tr>
      <w:tr w:rsidR="0078756F" w:rsidRPr="00D16196" w:rsidTr="003E4FCA">
        <w:tc>
          <w:tcPr>
            <w:tcW w:w="8771" w:type="dxa"/>
            <w:gridSpan w:val="2"/>
            <w:tcBorders>
              <w:top w:val="nil"/>
              <w:left w:val="nil"/>
              <w:bottom w:val="nil"/>
              <w:right w:val="nil"/>
            </w:tcBorders>
            <w:shd w:val="clear" w:color="auto" w:fill="auto"/>
          </w:tcPr>
          <w:p w:rsidR="0078756F" w:rsidRPr="00D16196" w:rsidRDefault="0078756F" w:rsidP="00D16196">
            <w:pPr>
              <w:pStyle w:val="Note"/>
            </w:pPr>
            <w:r w:rsidRPr="00D16196">
              <w:rPr>
                <w:rStyle w:val="NoteLabel"/>
              </w:rPr>
              <w:t>a</w:t>
            </w:r>
            <w:r w:rsidRPr="00D16196">
              <w:t xml:space="preserve"> </w:t>
            </w:r>
            <w:r w:rsidR="00A73245" w:rsidRPr="00D16196">
              <w:t xml:space="preserve">See </w:t>
            </w:r>
            <w:r w:rsidR="005C2D7C">
              <w:t>box 15.5</w:t>
            </w:r>
            <w:r w:rsidR="00601546" w:rsidRPr="00D16196">
              <w:t xml:space="preserve"> and table </w:t>
            </w:r>
            <w:proofErr w:type="spellStart"/>
            <w:r w:rsidR="00601546" w:rsidRPr="00D16196">
              <w:t>15A.9</w:t>
            </w:r>
            <w:proofErr w:type="spellEnd"/>
            <w:r w:rsidR="00601546" w:rsidRPr="00D16196">
              <w:t xml:space="preserve"> for detailed definitions, </w:t>
            </w:r>
            <w:r w:rsidR="00A73245" w:rsidRPr="00D16196">
              <w:t>footnotes</w:t>
            </w:r>
            <w:r w:rsidR="00601546" w:rsidRPr="00D16196">
              <w:t xml:space="preserve"> and caveats</w:t>
            </w:r>
            <w:r w:rsidR="00A73245" w:rsidRPr="00D16196">
              <w:t>.</w:t>
            </w:r>
          </w:p>
        </w:tc>
      </w:tr>
      <w:tr w:rsidR="0078756F" w:rsidRPr="00D16196" w:rsidTr="003E4FCA">
        <w:tc>
          <w:tcPr>
            <w:tcW w:w="8771" w:type="dxa"/>
            <w:gridSpan w:val="2"/>
            <w:tcBorders>
              <w:top w:val="nil"/>
              <w:left w:val="nil"/>
              <w:bottom w:val="nil"/>
              <w:right w:val="nil"/>
            </w:tcBorders>
            <w:shd w:val="clear" w:color="auto" w:fill="auto"/>
          </w:tcPr>
          <w:p w:rsidR="0078756F" w:rsidRPr="00D16196" w:rsidRDefault="00A73245" w:rsidP="00D16196">
            <w:pPr>
              <w:pStyle w:val="Source"/>
            </w:pPr>
            <w:r w:rsidRPr="00D16196">
              <w:rPr>
                <w:i/>
              </w:rPr>
              <w:t>S</w:t>
            </w:r>
            <w:r w:rsidR="0078756F" w:rsidRPr="00D16196">
              <w:rPr>
                <w:i/>
              </w:rPr>
              <w:t>ource</w:t>
            </w:r>
            <w:r w:rsidR="0078756F" w:rsidRPr="00D16196">
              <w:t xml:space="preserve">: </w:t>
            </w:r>
            <w:proofErr w:type="spellStart"/>
            <w:r w:rsidRPr="00D16196">
              <w:t>AIHW</w:t>
            </w:r>
            <w:proofErr w:type="spellEnd"/>
            <w:r w:rsidRPr="00D16196">
              <w:t xml:space="preserve"> data collection (unpublished); table </w:t>
            </w:r>
            <w:proofErr w:type="spellStart"/>
            <w:r w:rsidR="009E5608" w:rsidRPr="00D16196">
              <w:t>15A.9</w:t>
            </w:r>
            <w:proofErr w:type="spellEnd"/>
            <w:r w:rsidRPr="00D16196">
              <w:t>.</w:t>
            </w:r>
          </w:p>
        </w:tc>
      </w:tr>
      <w:tr w:rsidR="0078756F" w:rsidRPr="00D16196" w:rsidTr="003E4FCA">
        <w:tc>
          <w:tcPr>
            <w:tcW w:w="8771" w:type="dxa"/>
            <w:gridSpan w:val="2"/>
            <w:tcBorders>
              <w:top w:val="nil"/>
              <w:left w:val="nil"/>
              <w:bottom w:val="single" w:sz="6" w:space="0" w:color="78A22F"/>
              <w:right w:val="nil"/>
            </w:tcBorders>
            <w:shd w:val="clear" w:color="auto" w:fill="auto"/>
          </w:tcPr>
          <w:p w:rsidR="0078756F" w:rsidRPr="00D16196" w:rsidRDefault="0078756F" w:rsidP="00D16196">
            <w:pPr>
              <w:pStyle w:val="Figurespace"/>
            </w:pPr>
          </w:p>
        </w:tc>
      </w:tr>
      <w:tr w:rsidR="0078756F" w:rsidRPr="00D16196" w:rsidTr="003E4FCA">
        <w:tc>
          <w:tcPr>
            <w:tcW w:w="8771" w:type="dxa"/>
            <w:gridSpan w:val="2"/>
            <w:tcBorders>
              <w:top w:val="single" w:sz="6" w:space="0" w:color="78A22F"/>
              <w:left w:val="nil"/>
              <w:bottom w:val="nil"/>
              <w:right w:val="nil"/>
            </w:tcBorders>
          </w:tcPr>
          <w:p w:rsidR="0078756F" w:rsidRPr="00D16196" w:rsidRDefault="0078756F" w:rsidP="00D16196">
            <w:pPr>
              <w:pStyle w:val="BoxSpaceBelow"/>
            </w:pPr>
          </w:p>
        </w:tc>
      </w:tr>
    </w:tbl>
    <w:p w:rsidR="006842D6" w:rsidRPr="00D16196" w:rsidRDefault="006842D6" w:rsidP="00D16196">
      <w:pPr>
        <w:pStyle w:val="Heading4"/>
      </w:pPr>
      <w:r w:rsidRPr="00D16196">
        <w:t>Out-of-home care — safety in out-of-home care</w:t>
      </w:r>
    </w:p>
    <w:p w:rsidR="006842D6" w:rsidRPr="00D16196" w:rsidRDefault="006842D6" w:rsidP="00D16196">
      <w:pPr>
        <w:pStyle w:val="BodyText"/>
      </w:pPr>
      <w:r w:rsidRPr="00D16196">
        <w:t xml:space="preserve">‘Safety in out-of-home care’ </w:t>
      </w:r>
      <w:r w:rsidR="0054188A" w:rsidRPr="00D16196">
        <w:t xml:space="preserve">is an indicator of governments’ objective to provide children who are under the care of the </w:t>
      </w:r>
      <w:r w:rsidR="003A557F" w:rsidRPr="00D16196">
        <w:t>s</w:t>
      </w:r>
      <w:r w:rsidR="0054188A" w:rsidRPr="00D16196">
        <w:t>ta</w:t>
      </w:r>
      <w:r w:rsidR="00310F75" w:rsidRPr="00D16196">
        <w:t xml:space="preserve">te with a safe home environment </w:t>
      </w:r>
      <w:r w:rsidRPr="00D16196">
        <w:t>(box</w:t>
      </w:r>
      <w:r w:rsidR="007A53F4" w:rsidRPr="00D16196">
        <w:t> </w:t>
      </w:r>
      <w:r w:rsidR="004362DA" w:rsidRPr="00D16196">
        <w:t>15.</w:t>
      </w:r>
      <w:r w:rsidR="00BB42EE" w:rsidRPr="00D16196">
        <w:t>6</w:t>
      </w:r>
      <w:r w:rsidR="00376EC9" w:rsidRPr="00D16196">
        <w:t>).</w:t>
      </w:r>
    </w:p>
    <w:p w:rsidR="00A73245" w:rsidRPr="00D16196" w:rsidRDefault="00A73245"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3245" w:rsidRPr="00D16196" w:rsidTr="003E4FCA">
        <w:tc>
          <w:tcPr>
            <w:tcW w:w="8771" w:type="dxa"/>
            <w:tcBorders>
              <w:top w:val="single" w:sz="6" w:space="0" w:color="78A22F"/>
              <w:left w:val="nil"/>
              <w:bottom w:val="nil"/>
              <w:right w:val="nil"/>
            </w:tcBorders>
            <w:shd w:val="clear" w:color="auto" w:fill="F2F2F2" w:themeFill="background1" w:themeFillShade="F2"/>
          </w:tcPr>
          <w:p w:rsidR="00A73245" w:rsidRPr="00D16196" w:rsidRDefault="00A73245" w:rsidP="00D16196">
            <w:pPr>
              <w:pStyle w:val="BoxTitle"/>
            </w:pPr>
            <w:r w:rsidRPr="00D16196">
              <w:rPr>
                <w:b w:val="0"/>
              </w:rPr>
              <w:t>Box</w:t>
            </w:r>
            <w:r w:rsidR="00BB42EE" w:rsidRPr="00D16196">
              <w:rPr>
                <w:b w:val="0"/>
              </w:rPr>
              <w:t xml:space="preserve"> 15.6</w:t>
            </w:r>
            <w:r w:rsidRPr="00D16196">
              <w:tab/>
              <w:t>Safety in out-of-home care</w:t>
            </w:r>
          </w:p>
        </w:tc>
      </w:tr>
      <w:tr w:rsidR="00A73245" w:rsidRPr="00D16196" w:rsidTr="003E4FCA">
        <w:trPr>
          <w:cantSplit/>
        </w:trPr>
        <w:tc>
          <w:tcPr>
            <w:tcW w:w="8771" w:type="dxa"/>
            <w:tcBorders>
              <w:top w:val="nil"/>
              <w:left w:val="nil"/>
              <w:bottom w:val="nil"/>
              <w:right w:val="nil"/>
            </w:tcBorders>
            <w:shd w:val="clear" w:color="auto" w:fill="F2F2F2" w:themeFill="background1" w:themeFillShade="F2"/>
          </w:tcPr>
          <w:p w:rsidR="003E4FCA" w:rsidRPr="00D16196" w:rsidRDefault="003E4FCA" w:rsidP="00D16196">
            <w:pPr>
              <w:pStyle w:val="Box"/>
            </w:pPr>
            <w:r w:rsidRPr="00D16196">
              <w:t xml:space="preserve">‘Safety in out-of-home care’ is defined by two measures: </w:t>
            </w:r>
          </w:p>
          <w:p w:rsidR="003E4FCA" w:rsidRPr="00D16196" w:rsidRDefault="003E4FCA" w:rsidP="00D16196">
            <w:pPr>
              <w:pStyle w:val="BoxListBullet"/>
            </w:pPr>
            <w:r w:rsidRPr="00D16196">
              <w:t>the proportion of children in out-of-home care who were the subject of a substantiation of sexual abuse, physical abuse, emotional abuse or neglect</w:t>
            </w:r>
          </w:p>
          <w:p w:rsidR="003E4FCA" w:rsidRPr="00D16196" w:rsidRDefault="003E4FCA" w:rsidP="00D16196">
            <w:pPr>
              <w:pStyle w:val="BoxListBullet"/>
            </w:pPr>
            <w:r w:rsidRPr="00D16196">
              <w:t>the proportion of children in out-of-home care who were the subject of a substantiation where the person responsible was living in the household providing out-of-home care.</w:t>
            </w:r>
          </w:p>
          <w:p w:rsidR="003E4FCA" w:rsidRPr="00D16196" w:rsidRDefault="003E4FCA" w:rsidP="00D16196">
            <w:pPr>
              <w:pStyle w:val="Box"/>
            </w:pPr>
            <w:r w:rsidRPr="00D16196">
              <w:t>The scope of these measures differs. For the first measure, the person responsible can be anyone who comes into contact with the child while the child is in out-of-home care</w:t>
            </w:r>
            <w:r w:rsidR="00437473" w:rsidRPr="00D16196">
              <w:t xml:space="preserve"> and is </w:t>
            </w:r>
            <w:r w:rsidR="00A72D60" w:rsidRPr="00D16196">
              <w:t>for notifications received within the period</w:t>
            </w:r>
            <w:r w:rsidRPr="00D16196">
              <w:t>. For the second measure, the person responsible is limited to someone in the household providing out-of-home care</w:t>
            </w:r>
            <w:r w:rsidR="00437473" w:rsidRPr="00D16196">
              <w:t xml:space="preserve"> and is</w:t>
            </w:r>
            <w:r w:rsidR="00A72D60" w:rsidRPr="00D16196">
              <w:t xml:space="preserve"> irrespective of the date of notification</w:t>
            </w:r>
            <w:r w:rsidRPr="00D16196">
              <w:t>.</w:t>
            </w:r>
          </w:p>
          <w:p w:rsidR="003E4FCA" w:rsidRPr="00D16196" w:rsidRDefault="003E4FCA" w:rsidP="00D16196">
            <w:pPr>
              <w:pStyle w:val="Box"/>
            </w:pPr>
            <w:r w:rsidRPr="00D16196">
              <w:t>A low or decreasing proportion of substantiations for both measures is desirable.</w:t>
            </w:r>
          </w:p>
          <w:p w:rsidR="003E4FCA" w:rsidRPr="00D16196" w:rsidRDefault="003E4FCA" w:rsidP="00D16196">
            <w:pPr>
              <w:pStyle w:val="Box"/>
            </w:pPr>
            <w:r w:rsidRPr="00D16196">
              <w:t xml:space="preserve">The proportion of children in out-of-home care who were the subject of a substantiation of sexual abuse, physical abuse, emotional abuse or neglect, assesses the overall safety of children in care. </w:t>
            </w:r>
            <w:r w:rsidR="001846EE" w:rsidRPr="00D16196">
              <w:t xml:space="preserve">This may include events that occur outside of the child’s placement arrangements. </w:t>
            </w:r>
            <w:r w:rsidRPr="00D16196">
              <w:t xml:space="preserve">The proportion of children in out-of-home care who were the subject of a substantiation where the person responsible was living in the household providing out-of-home care assesses the extent to which authorised carers provide safe care to children in care. </w:t>
            </w:r>
          </w:p>
          <w:p w:rsidR="003E4FCA" w:rsidRPr="00D16196" w:rsidRDefault="003E4FCA" w:rsidP="00D16196">
            <w:pPr>
              <w:pStyle w:val="Box"/>
            </w:pPr>
            <w:r w:rsidRPr="00D16196">
              <w:t xml:space="preserve">Care should be taken when interpreting this indicator as the threshold for substantiating </w:t>
            </w:r>
            <w:r w:rsidR="001B6D13" w:rsidRPr="00D16196">
              <w:t>abuse or neglect</w:t>
            </w:r>
            <w:r w:rsidRPr="00D16196">
              <w:t xml:space="preserve"> or risk involving children in care is generally lower than that for substantiating </w:t>
            </w:r>
            <w:r w:rsidR="001B6D13" w:rsidRPr="00D16196">
              <w:t xml:space="preserve">abuse or neglect </w:t>
            </w:r>
            <w:r w:rsidRPr="00D16196">
              <w:t xml:space="preserve">or risk involving a child in the care of his or her own parents. This is because governments assume a duty of care for children removed from the care of their </w:t>
            </w:r>
            <w:r w:rsidR="005C2D7C">
              <w:t>parents for protective reasons.</w:t>
            </w:r>
          </w:p>
          <w:p w:rsidR="003E4FCA" w:rsidRPr="00D16196" w:rsidRDefault="003E4FCA" w:rsidP="00D16196">
            <w:pPr>
              <w:pStyle w:val="Box"/>
            </w:pPr>
            <w:r w:rsidRPr="00D16196">
              <w:t>Data reported for these measures are:</w:t>
            </w:r>
          </w:p>
          <w:p w:rsidR="003E4FCA" w:rsidRPr="00D16196" w:rsidRDefault="003E4FCA" w:rsidP="00D16196">
            <w:pPr>
              <w:pStyle w:val="BoxListBullet"/>
            </w:pPr>
            <w:r w:rsidRPr="00D16196">
              <w:t>comparable (subject to caveats) within some jurisdictions over time but are not comparable across jurisdictions (see caveats in attachment tables for specific jurisdictions)</w:t>
            </w:r>
          </w:p>
          <w:p w:rsidR="00A73245" w:rsidRPr="00D16196" w:rsidRDefault="003E4FCA" w:rsidP="00D16196">
            <w:pPr>
              <w:pStyle w:val="Box"/>
            </w:pPr>
            <w:r w:rsidRPr="00D16196">
              <w:t>incomplete for the current reporting period. All required 201</w:t>
            </w:r>
            <w:r w:rsidR="001A0561" w:rsidRPr="00D16196">
              <w:t>4</w:t>
            </w:r>
            <w:r w:rsidRPr="00D16196">
              <w:t>-1</w:t>
            </w:r>
            <w:r w:rsidR="001A0561" w:rsidRPr="00D16196">
              <w:t>5</w:t>
            </w:r>
            <w:r w:rsidRPr="00D16196">
              <w:t xml:space="preserve"> data were not available for </w:t>
            </w:r>
            <w:r w:rsidR="00C639A5" w:rsidRPr="00D16196">
              <w:t xml:space="preserve">NSW or </w:t>
            </w:r>
            <w:r w:rsidRPr="00D16196">
              <w:t xml:space="preserve">Victoria, which did not provide data for the number of children in out-of-home care who were the subject of a substantiation of sexual abuse, physical abuse, emotional abuse or neglect; and the NT, which did not provide data for the number of children in out-of-home care who were the subject of a substantiation where the person responsible was living in the household providing out-of-home </w:t>
            </w:r>
            <w:proofErr w:type="spellStart"/>
            <w:r w:rsidRPr="00D16196">
              <w:t>care.Data</w:t>
            </w:r>
            <w:proofErr w:type="spellEnd"/>
            <w:r w:rsidRPr="00D16196">
              <w:t xml:space="preserve">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1A0561" w:rsidRPr="00D16196">
              <w:t>6</w:t>
            </w:r>
            <w:r w:rsidRPr="00D16196">
              <w:t>.</w:t>
            </w:r>
          </w:p>
        </w:tc>
      </w:tr>
      <w:tr w:rsidR="00A73245" w:rsidRPr="00D16196" w:rsidTr="003E4FCA">
        <w:trPr>
          <w:cantSplit/>
        </w:trPr>
        <w:tc>
          <w:tcPr>
            <w:tcW w:w="8771" w:type="dxa"/>
            <w:tcBorders>
              <w:top w:val="nil"/>
              <w:left w:val="nil"/>
              <w:bottom w:val="single" w:sz="6" w:space="0" w:color="78A22F"/>
              <w:right w:val="nil"/>
            </w:tcBorders>
            <w:shd w:val="clear" w:color="auto" w:fill="F2F2F2" w:themeFill="background1" w:themeFillShade="F2"/>
          </w:tcPr>
          <w:p w:rsidR="00A73245" w:rsidRPr="00D16196" w:rsidRDefault="00A73245" w:rsidP="00D16196">
            <w:pPr>
              <w:pStyle w:val="Box"/>
              <w:spacing w:before="0" w:line="120" w:lineRule="exact"/>
            </w:pPr>
          </w:p>
        </w:tc>
      </w:tr>
      <w:tr w:rsidR="00A73245" w:rsidRPr="00D16196" w:rsidTr="003E4FCA">
        <w:tc>
          <w:tcPr>
            <w:tcW w:w="8771" w:type="dxa"/>
            <w:tcBorders>
              <w:top w:val="single" w:sz="6" w:space="0" w:color="78A22F"/>
              <w:left w:val="nil"/>
              <w:bottom w:val="nil"/>
              <w:right w:val="nil"/>
            </w:tcBorders>
          </w:tcPr>
          <w:p w:rsidR="00A73245" w:rsidRPr="00D16196" w:rsidRDefault="00A73245" w:rsidP="00D16196">
            <w:pPr>
              <w:pStyle w:val="BoxSpaceBelow"/>
            </w:pPr>
          </w:p>
        </w:tc>
      </w:tr>
    </w:tbl>
    <w:p w:rsidR="008F156E" w:rsidRPr="00D16196" w:rsidRDefault="005C5A20" w:rsidP="00D16196">
      <w:pPr>
        <w:pStyle w:val="BodyText"/>
      </w:pPr>
      <w:r w:rsidRPr="00D16196">
        <w:t xml:space="preserve">Data for the measure ‘proportion of children in out-of-home care who were the subject of a substantiation of sexual abuse, physical abuse, emotional abuse or neglect’ are experimental. These data </w:t>
      </w:r>
      <w:r w:rsidR="008F156E" w:rsidRPr="00D16196">
        <w:t>will be improved over time</w:t>
      </w:r>
      <w:r w:rsidRPr="00D16196">
        <w:t xml:space="preserve">, </w:t>
      </w:r>
      <w:r w:rsidR="008F156E" w:rsidRPr="00D16196">
        <w:t xml:space="preserve">but available data suggest the proportion of children in out-of-home care who were the subject of a </w:t>
      </w:r>
      <w:r w:rsidRPr="00D16196">
        <w:t xml:space="preserve">substantiation of sexual abuse, physical abuse, emotional abuse or neglect </w:t>
      </w:r>
      <w:r w:rsidR="008F156E" w:rsidRPr="00D16196">
        <w:t>varied across jurisdictions (table</w:t>
      </w:r>
      <w:r w:rsidR="00574AC8" w:rsidRPr="00D16196">
        <w:t> 15.1</w:t>
      </w:r>
      <w:r w:rsidR="008F156E" w:rsidRPr="00D16196">
        <w:t>).</w:t>
      </w:r>
    </w:p>
    <w:p w:rsidR="003E4FCA" w:rsidRPr="00D16196" w:rsidRDefault="003E4FCA" w:rsidP="00D1619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E4FCA" w:rsidRPr="00D16196" w:rsidTr="003E4FCA">
        <w:tc>
          <w:tcPr>
            <w:tcW w:w="8771" w:type="dxa"/>
            <w:tcBorders>
              <w:top w:val="single" w:sz="6" w:space="0" w:color="78A22F" w:themeColor="accent1"/>
              <w:left w:val="nil"/>
              <w:bottom w:val="nil"/>
              <w:right w:val="nil"/>
            </w:tcBorders>
            <w:shd w:val="clear" w:color="auto" w:fill="auto"/>
          </w:tcPr>
          <w:p w:rsidR="003E4FCA" w:rsidRPr="00D16196" w:rsidRDefault="003E4FCA" w:rsidP="00D16196">
            <w:pPr>
              <w:pStyle w:val="TableTitle"/>
            </w:pPr>
            <w:r w:rsidRPr="00D16196">
              <w:rPr>
                <w:b w:val="0"/>
              </w:rPr>
              <w:t xml:space="preserve">Table </w:t>
            </w:r>
            <w:r w:rsidR="00AD19CA" w:rsidRPr="00D16196">
              <w:rPr>
                <w:b w:val="0"/>
              </w:rPr>
              <w:t>15.1</w:t>
            </w:r>
            <w:r w:rsidRPr="00D16196">
              <w:tab/>
              <w:t xml:space="preserve">Proportion of children in out-of-home care who were the subject of a substantiation of sexual abuse, physical abuse, </w:t>
            </w:r>
            <w:r w:rsidR="001A0561" w:rsidRPr="00D16196">
              <w:t>emotional abuse or neglect, 2014</w:t>
            </w:r>
            <w:r w:rsidRPr="00D16196">
              <w:t>-1</w:t>
            </w:r>
            <w:r w:rsidR="001A0561" w:rsidRPr="00D16196">
              <w:t>5</w:t>
            </w:r>
            <w:r w:rsidRPr="00D16196">
              <w:rPr>
                <w:rStyle w:val="NoteLabel"/>
                <w:b/>
              </w:rPr>
              <w:t>a</w:t>
            </w:r>
          </w:p>
        </w:tc>
      </w:tr>
      <w:tr w:rsidR="003E4FCA" w:rsidRPr="00D16196" w:rsidTr="003E4FC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7"/>
              <w:gridCol w:w="693"/>
              <w:gridCol w:w="693"/>
              <w:gridCol w:w="694"/>
              <w:gridCol w:w="693"/>
              <w:gridCol w:w="693"/>
              <w:gridCol w:w="694"/>
              <w:gridCol w:w="693"/>
              <w:gridCol w:w="693"/>
              <w:gridCol w:w="694"/>
            </w:tblGrid>
            <w:tr w:rsidR="00CB2121" w:rsidRPr="00D16196" w:rsidTr="00246EE8">
              <w:tc>
                <w:tcPr>
                  <w:tcW w:w="1324" w:type="pct"/>
                  <w:tcBorders>
                    <w:top w:val="single" w:sz="4" w:space="0" w:color="BFBFBF"/>
                    <w:bottom w:val="single" w:sz="4" w:space="0" w:color="BFBFBF"/>
                  </w:tcBorders>
                  <w:vAlign w:val="bottom"/>
                </w:tcPr>
                <w:p w:rsidR="00CB2121" w:rsidRPr="00D16196" w:rsidRDefault="00CB2121" w:rsidP="00D16196">
                  <w:pPr>
                    <w:pStyle w:val="TableColumnHeading"/>
                  </w:pPr>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r w:rsidRPr="00D16196">
                    <w:t>Unit</w:t>
                  </w:r>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r w:rsidRPr="00D16196">
                    <w:t>NSW</w:t>
                  </w:r>
                </w:p>
              </w:tc>
              <w:tc>
                <w:tcPr>
                  <w:tcW w:w="409" w:type="pct"/>
                  <w:tcBorders>
                    <w:top w:val="single" w:sz="4" w:space="0" w:color="BFBFBF"/>
                    <w:bottom w:val="single" w:sz="4" w:space="0" w:color="BFBFBF"/>
                  </w:tcBorders>
                  <w:vAlign w:val="bottom"/>
                </w:tcPr>
                <w:p w:rsidR="00CB2121" w:rsidRPr="00D16196" w:rsidRDefault="00CB2121" w:rsidP="00D16196">
                  <w:pPr>
                    <w:pStyle w:val="TableColumnHeading"/>
                  </w:pPr>
                  <w:r w:rsidRPr="00D16196">
                    <w:t>Vic</w:t>
                  </w:r>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r w:rsidRPr="00D16196">
                    <w:t>Qld</w:t>
                  </w:r>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r w:rsidRPr="00D16196">
                    <w:t>WA</w:t>
                  </w:r>
                </w:p>
              </w:tc>
              <w:tc>
                <w:tcPr>
                  <w:tcW w:w="409" w:type="pct"/>
                  <w:tcBorders>
                    <w:top w:val="single" w:sz="4" w:space="0" w:color="BFBFBF"/>
                    <w:bottom w:val="single" w:sz="4" w:space="0" w:color="BFBFBF"/>
                  </w:tcBorders>
                  <w:shd w:val="clear" w:color="auto" w:fill="auto"/>
                  <w:vAlign w:val="bottom"/>
                </w:tcPr>
                <w:p w:rsidR="00CB2121" w:rsidRPr="00D16196" w:rsidRDefault="00CB2121" w:rsidP="00D16196">
                  <w:pPr>
                    <w:pStyle w:val="TableColumnHeading"/>
                  </w:pPr>
                  <w:r w:rsidRPr="00D16196">
                    <w:t>SA</w:t>
                  </w:r>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proofErr w:type="spellStart"/>
                  <w:r w:rsidRPr="00D16196">
                    <w:t>Tas</w:t>
                  </w:r>
                  <w:proofErr w:type="spellEnd"/>
                </w:p>
              </w:tc>
              <w:tc>
                <w:tcPr>
                  <w:tcW w:w="408" w:type="pct"/>
                  <w:tcBorders>
                    <w:top w:val="single" w:sz="4" w:space="0" w:color="BFBFBF"/>
                    <w:bottom w:val="single" w:sz="4" w:space="0" w:color="BFBFBF"/>
                  </w:tcBorders>
                  <w:vAlign w:val="bottom"/>
                </w:tcPr>
                <w:p w:rsidR="00CB2121" w:rsidRPr="00D16196" w:rsidRDefault="00CB2121" w:rsidP="00D16196">
                  <w:pPr>
                    <w:pStyle w:val="TableColumnHeading"/>
                  </w:pPr>
                  <w:r w:rsidRPr="00D16196">
                    <w:t>ACT</w:t>
                  </w:r>
                </w:p>
              </w:tc>
              <w:tc>
                <w:tcPr>
                  <w:tcW w:w="409" w:type="pct"/>
                  <w:tcBorders>
                    <w:top w:val="single" w:sz="4" w:space="0" w:color="BFBFBF"/>
                    <w:bottom w:val="single" w:sz="4" w:space="0" w:color="BFBFBF"/>
                  </w:tcBorders>
                  <w:vAlign w:val="bottom"/>
                </w:tcPr>
                <w:p w:rsidR="00CB2121" w:rsidRPr="00D16196" w:rsidRDefault="00CB2121" w:rsidP="00D16196">
                  <w:pPr>
                    <w:pStyle w:val="TableColumnHeading"/>
                  </w:pPr>
                  <w:r w:rsidRPr="00D16196">
                    <w:t>NT</w:t>
                  </w:r>
                </w:p>
              </w:tc>
            </w:tr>
            <w:tr w:rsidR="0051392B" w:rsidRPr="00D16196" w:rsidTr="00390321">
              <w:tc>
                <w:tcPr>
                  <w:tcW w:w="1324" w:type="pct"/>
                  <w:tcBorders>
                    <w:top w:val="single" w:sz="4" w:space="0" w:color="BFBFBF"/>
                  </w:tcBorders>
                </w:tcPr>
                <w:p w:rsidR="0051392B" w:rsidRPr="00D16196" w:rsidRDefault="0051392B" w:rsidP="00D16196">
                  <w:pPr>
                    <w:pStyle w:val="TableBodyText"/>
                    <w:jc w:val="left"/>
                  </w:pPr>
                  <w:r w:rsidRPr="00D16196">
                    <w:t>Children in care who were the subject of a notification, which was substantiated</w:t>
                  </w:r>
                </w:p>
              </w:tc>
              <w:tc>
                <w:tcPr>
                  <w:tcW w:w="408" w:type="pct"/>
                  <w:tcBorders>
                    <w:top w:val="single" w:sz="4" w:space="0" w:color="BFBFBF"/>
                  </w:tcBorders>
                  <w:vAlign w:val="center"/>
                </w:tcPr>
                <w:p w:rsidR="0051392B" w:rsidRPr="00D16196" w:rsidRDefault="0051392B" w:rsidP="00D16196">
                  <w:pPr>
                    <w:pStyle w:val="TableBodyText"/>
                  </w:pPr>
                  <w:r w:rsidRPr="00D16196">
                    <w:t>no.</w:t>
                  </w:r>
                </w:p>
              </w:tc>
              <w:tc>
                <w:tcPr>
                  <w:tcW w:w="408" w:type="pct"/>
                  <w:tcBorders>
                    <w:top w:val="single" w:sz="4" w:space="0" w:color="BFBFBF"/>
                  </w:tcBorders>
                  <w:shd w:val="clear" w:color="auto" w:fill="auto"/>
                  <w:vAlign w:val="center"/>
                </w:tcPr>
                <w:p w:rsidR="0051392B" w:rsidRPr="00D16196" w:rsidRDefault="00390321" w:rsidP="00D16196">
                  <w:pPr>
                    <w:pStyle w:val="TableBodyText"/>
                  </w:pPr>
                  <w:proofErr w:type="spellStart"/>
                  <w:r w:rsidRPr="00D16196">
                    <w:t>na</w:t>
                  </w:r>
                  <w:proofErr w:type="spellEnd"/>
                </w:p>
              </w:tc>
              <w:tc>
                <w:tcPr>
                  <w:tcW w:w="409" w:type="pct"/>
                  <w:tcBorders>
                    <w:top w:val="single" w:sz="4" w:space="0" w:color="BFBFBF"/>
                  </w:tcBorders>
                  <w:shd w:val="clear" w:color="auto" w:fill="auto"/>
                  <w:vAlign w:val="center"/>
                </w:tcPr>
                <w:p w:rsidR="0051392B" w:rsidRPr="00D16196" w:rsidRDefault="00390321" w:rsidP="00D16196">
                  <w:pPr>
                    <w:pStyle w:val="TableBodyText"/>
                  </w:pPr>
                  <w:proofErr w:type="spellStart"/>
                  <w:r w:rsidRPr="00D16196">
                    <w:t>na</w:t>
                  </w:r>
                  <w:proofErr w:type="spellEnd"/>
                </w:p>
              </w:tc>
              <w:tc>
                <w:tcPr>
                  <w:tcW w:w="408" w:type="pct"/>
                  <w:tcBorders>
                    <w:top w:val="single" w:sz="4" w:space="0" w:color="BFBFBF"/>
                  </w:tcBorders>
                  <w:shd w:val="clear" w:color="auto" w:fill="auto"/>
                  <w:vAlign w:val="center"/>
                </w:tcPr>
                <w:p w:rsidR="0051392B" w:rsidRPr="00D16196" w:rsidRDefault="00390321" w:rsidP="00D16196">
                  <w:pPr>
                    <w:pStyle w:val="TableBodyText"/>
                  </w:pPr>
                  <w:r w:rsidRPr="00D16196">
                    <w:t>144</w:t>
                  </w:r>
                </w:p>
              </w:tc>
              <w:tc>
                <w:tcPr>
                  <w:tcW w:w="408" w:type="pct"/>
                  <w:tcBorders>
                    <w:top w:val="single" w:sz="4" w:space="0" w:color="BFBFBF"/>
                  </w:tcBorders>
                  <w:shd w:val="clear" w:color="auto" w:fill="auto"/>
                  <w:vAlign w:val="center"/>
                </w:tcPr>
                <w:p w:rsidR="0051392B" w:rsidRPr="00D16196" w:rsidRDefault="00390321" w:rsidP="00D16196">
                  <w:pPr>
                    <w:pStyle w:val="TableBodyText"/>
                  </w:pPr>
                  <w:r w:rsidRPr="00D16196">
                    <w:t>87</w:t>
                  </w:r>
                </w:p>
              </w:tc>
              <w:tc>
                <w:tcPr>
                  <w:tcW w:w="409" w:type="pct"/>
                  <w:tcBorders>
                    <w:top w:val="single" w:sz="4" w:space="0" w:color="BFBFBF"/>
                  </w:tcBorders>
                  <w:shd w:val="clear" w:color="auto" w:fill="auto"/>
                  <w:vAlign w:val="center"/>
                </w:tcPr>
                <w:p w:rsidR="0051392B" w:rsidRPr="00D16196" w:rsidRDefault="00B9186B" w:rsidP="00D16196">
                  <w:pPr>
                    <w:pStyle w:val="TableBodyText"/>
                  </w:pPr>
                  <w:r w:rsidRPr="00D16196">
                    <w:t>80</w:t>
                  </w:r>
                </w:p>
              </w:tc>
              <w:tc>
                <w:tcPr>
                  <w:tcW w:w="408" w:type="pct"/>
                  <w:tcBorders>
                    <w:top w:val="single" w:sz="4" w:space="0" w:color="BFBFBF"/>
                  </w:tcBorders>
                  <w:shd w:val="clear" w:color="auto" w:fill="auto"/>
                  <w:vAlign w:val="center"/>
                </w:tcPr>
                <w:p w:rsidR="0051392B" w:rsidRPr="00D16196" w:rsidRDefault="00390321" w:rsidP="00D16196">
                  <w:pPr>
                    <w:pStyle w:val="TableBodyText"/>
                  </w:pPr>
                  <w:r w:rsidRPr="00D16196">
                    <w:t>8</w:t>
                  </w:r>
                </w:p>
              </w:tc>
              <w:tc>
                <w:tcPr>
                  <w:tcW w:w="408" w:type="pct"/>
                  <w:tcBorders>
                    <w:top w:val="single" w:sz="4" w:space="0" w:color="BFBFBF"/>
                  </w:tcBorders>
                  <w:shd w:val="clear" w:color="auto" w:fill="auto"/>
                  <w:vAlign w:val="center"/>
                </w:tcPr>
                <w:p w:rsidR="0051392B" w:rsidRPr="00D16196" w:rsidRDefault="00390321" w:rsidP="00D16196">
                  <w:pPr>
                    <w:pStyle w:val="TableBodyText"/>
                  </w:pPr>
                  <w:r w:rsidRPr="00D16196">
                    <w:t>11</w:t>
                  </w:r>
                </w:p>
              </w:tc>
              <w:tc>
                <w:tcPr>
                  <w:tcW w:w="409" w:type="pct"/>
                  <w:tcBorders>
                    <w:top w:val="single" w:sz="4" w:space="0" w:color="BFBFBF"/>
                  </w:tcBorders>
                  <w:shd w:val="clear" w:color="auto" w:fill="auto"/>
                  <w:vAlign w:val="center"/>
                </w:tcPr>
                <w:p w:rsidR="0051392B" w:rsidRPr="00D16196" w:rsidRDefault="00390321" w:rsidP="00D16196">
                  <w:pPr>
                    <w:pStyle w:val="TableBodyText"/>
                  </w:pPr>
                  <w:r w:rsidRPr="00D16196">
                    <w:t>108</w:t>
                  </w:r>
                </w:p>
              </w:tc>
            </w:tr>
            <w:tr w:rsidR="0051392B" w:rsidRPr="00D16196" w:rsidTr="00390321">
              <w:tc>
                <w:tcPr>
                  <w:tcW w:w="1324" w:type="pct"/>
                  <w:shd w:val="clear" w:color="auto" w:fill="auto"/>
                </w:tcPr>
                <w:p w:rsidR="0051392B" w:rsidRPr="00D16196" w:rsidRDefault="0051392B" w:rsidP="00D16196">
                  <w:pPr>
                    <w:pStyle w:val="TableBodyText"/>
                    <w:jc w:val="left"/>
                  </w:pPr>
                  <w:r w:rsidRPr="00D16196">
                    <w:t>Children aged 0-17 in at least one care placement during the year</w:t>
                  </w:r>
                </w:p>
              </w:tc>
              <w:tc>
                <w:tcPr>
                  <w:tcW w:w="408" w:type="pct"/>
                  <w:shd w:val="clear" w:color="auto" w:fill="auto"/>
                  <w:vAlign w:val="center"/>
                </w:tcPr>
                <w:p w:rsidR="0051392B" w:rsidRPr="00D16196" w:rsidRDefault="0051392B" w:rsidP="00D16196">
                  <w:pPr>
                    <w:pStyle w:val="TableBodyText"/>
                  </w:pPr>
                  <w:r w:rsidRPr="00D16196">
                    <w:t>no</w:t>
                  </w:r>
                </w:p>
              </w:tc>
              <w:tc>
                <w:tcPr>
                  <w:tcW w:w="408" w:type="pct"/>
                  <w:shd w:val="clear" w:color="auto" w:fill="auto"/>
                  <w:vAlign w:val="center"/>
                </w:tcPr>
                <w:p w:rsidR="0051392B" w:rsidRPr="00D16196" w:rsidRDefault="00390321" w:rsidP="00D16196">
                  <w:pPr>
                    <w:pStyle w:val="TableBodyText"/>
                  </w:pPr>
                  <w:r w:rsidRPr="00D16196">
                    <w:t>21 426</w:t>
                  </w:r>
                </w:p>
              </w:tc>
              <w:tc>
                <w:tcPr>
                  <w:tcW w:w="409" w:type="pct"/>
                  <w:shd w:val="clear" w:color="auto" w:fill="auto"/>
                  <w:vAlign w:val="center"/>
                </w:tcPr>
                <w:p w:rsidR="0051392B" w:rsidRPr="00D16196" w:rsidRDefault="00AD19CA" w:rsidP="00D16196">
                  <w:pPr>
                    <w:pStyle w:val="TableBodyText"/>
                  </w:pPr>
                  <w:r w:rsidRPr="00D16196">
                    <w:t>11 017</w:t>
                  </w:r>
                </w:p>
              </w:tc>
              <w:tc>
                <w:tcPr>
                  <w:tcW w:w="408" w:type="pct"/>
                  <w:shd w:val="clear" w:color="auto" w:fill="auto"/>
                  <w:vAlign w:val="center"/>
                </w:tcPr>
                <w:p w:rsidR="0051392B" w:rsidRPr="00D16196" w:rsidRDefault="00390321" w:rsidP="00D16196">
                  <w:pPr>
                    <w:pStyle w:val="TableBodyText"/>
                  </w:pPr>
                  <w:r w:rsidRPr="00D16196">
                    <w:t>8 400</w:t>
                  </w:r>
                </w:p>
              </w:tc>
              <w:tc>
                <w:tcPr>
                  <w:tcW w:w="408" w:type="pct"/>
                  <w:shd w:val="clear" w:color="auto" w:fill="auto"/>
                  <w:vAlign w:val="center"/>
                </w:tcPr>
                <w:p w:rsidR="0051392B" w:rsidRPr="00D16196" w:rsidRDefault="00390321" w:rsidP="00D16196">
                  <w:pPr>
                    <w:pStyle w:val="TableBodyText"/>
                  </w:pPr>
                  <w:r w:rsidRPr="00D16196">
                    <w:t>4 725</w:t>
                  </w:r>
                </w:p>
              </w:tc>
              <w:tc>
                <w:tcPr>
                  <w:tcW w:w="409" w:type="pct"/>
                  <w:shd w:val="clear" w:color="auto" w:fill="auto"/>
                  <w:vAlign w:val="center"/>
                </w:tcPr>
                <w:p w:rsidR="0051392B" w:rsidRPr="00D16196" w:rsidRDefault="00390321" w:rsidP="00D16196">
                  <w:pPr>
                    <w:pStyle w:val="TableBodyText"/>
                  </w:pPr>
                  <w:r w:rsidRPr="00D16196">
                    <w:t>3 273</w:t>
                  </w:r>
                </w:p>
              </w:tc>
              <w:tc>
                <w:tcPr>
                  <w:tcW w:w="408" w:type="pct"/>
                  <w:shd w:val="clear" w:color="auto" w:fill="auto"/>
                  <w:vAlign w:val="center"/>
                </w:tcPr>
                <w:p w:rsidR="0051392B" w:rsidRPr="00D16196" w:rsidRDefault="00390321" w:rsidP="00D16196">
                  <w:pPr>
                    <w:pStyle w:val="TableBodyText"/>
                  </w:pPr>
                  <w:r w:rsidRPr="00D16196">
                    <w:t>1 245</w:t>
                  </w:r>
                </w:p>
              </w:tc>
              <w:tc>
                <w:tcPr>
                  <w:tcW w:w="408" w:type="pct"/>
                  <w:shd w:val="clear" w:color="auto" w:fill="auto"/>
                  <w:vAlign w:val="center"/>
                </w:tcPr>
                <w:p w:rsidR="0051392B" w:rsidRPr="00D16196" w:rsidRDefault="00390321" w:rsidP="00D16196">
                  <w:pPr>
                    <w:pStyle w:val="TableBodyText"/>
                  </w:pPr>
                  <w:r w:rsidRPr="00D16196">
                    <w:t>831</w:t>
                  </w:r>
                </w:p>
              </w:tc>
              <w:tc>
                <w:tcPr>
                  <w:tcW w:w="409" w:type="pct"/>
                  <w:shd w:val="clear" w:color="auto" w:fill="auto"/>
                  <w:vAlign w:val="center"/>
                </w:tcPr>
                <w:p w:rsidR="0051392B" w:rsidRPr="00D16196" w:rsidRDefault="00390321" w:rsidP="00D16196">
                  <w:pPr>
                    <w:pStyle w:val="TableBodyText"/>
                  </w:pPr>
                  <w:r w:rsidRPr="00D16196">
                    <w:t>1 233</w:t>
                  </w:r>
                </w:p>
              </w:tc>
            </w:tr>
            <w:tr w:rsidR="00CB2121" w:rsidRPr="00D16196" w:rsidTr="00390321">
              <w:tc>
                <w:tcPr>
                  <w:tcW w:w="1324" w:type="pct"/>
                  <w:tcBorders>
                    <w:bottom w:val="single" w:sz="4" w:space="0" w:color="BFBFBF"/>
                  </w:tcBorders>
                  <w:shd w:val="clear" w:color="auto" w:fill="auto"/>
                </w:tcPr>
                <w:p w:rsidR="00CB2121" w:rsidRPr="00D16196" w:rsidRDefault="00CB2121" w:rsidP="00D16196">
                  <w:pPr>
                    <w:pStyle w:val="TableBodyText"/>
                    <w:jc w:val="left"/>
                  </w:pPr>
                  <w:r w:rsidRPr="00D16196">
                    <w:t>Proportion</w:t>
                  </w:r>
                </w:p>
              </w:tc>
              <w:tc>
                <w:tcPr>
                  <w:tcW w:w="408" w:type="pct"/>
                  <w:tcBorders>
                    <w:bottom w:val="single" w:sz="4" w:space="0" w:color="BFBFBF"/>
                  </w:tcBorders>
                  <w:shd w:val="clear" w:color="auto" w:fill="auto"/>
                  <w:vAlign w:val="center"/>
                </w:tcPr>
                <w:p w:rsidR="00CB2121" w:rsidRPr="00D16196" w:rsidRDefault="00CB2121" w:rsidP="00D16196">
                  <w:pPr>
                    <w:pStyle w:val="TableBodyText"/>
                  </w:pPr>
                  <w:r w:rsidRPr="00D16196">
                    <w:t>%</w:t>
                  </w:r>
                </w:p>
              </w:tc>
              <w:tc>
                <w:tcPr>
                  <w:tcW w:w="408" w:type="pct"/>
                  <w:tcBorders>
                    <w:bottom w:val="single" w:sz="4" w:space="0" w:color="BFBFBF"/>
                  </w:tcBorders>
                  <w:shd w:val="clear" w:color="auto" w:fill="auto"/>
                  <w:vAlign w:val="center"/>
                </w:tcPr>
                <w:p w:rsidR="00CB2121" w:rsidRPr="00D16196" w:rsidRDefault="00390321" w:rsidP="00D16196">
                  <w:pPr>
                    <w:pStyle w:val="TableBodyText"/>
                  </w:pPr>
                  <w:proofErr w:type="spellStart"/>
                  <w:r w:rsidRPr="00D16196">
                    <w:t>na</w:t>
                  </w:r>
                  <w:proofErr w:type="spellEnd"/>
                </w:p>
              </w:tc>
              <w:tc>
                <w:tcPr>
                  <w:tcW w:w="409" w:type="pct"/>
                  <w:tcBorders>
                    <w:bottom w:val="single" w:sz="4" w:space="0" w:color="BFBFBF"/>
                  </w:tcBorders>
                  <w:shd w:val="clear" w:color="auto" w:fill="auto"/>
                  <w:vAlign w:val="center"/>
                </w:tcPr>
                <w:p w:rsidR="00CB2121" w:rsidRPr="00D16196" w:rsidRDefault="00390321" w:rsidP="00D16196">
                  <w:pPr>
                    <w:pStyle w:val="TableBodyText"/>
                  </w:pPr>
                  <w:proofErr w:type="spellStart"/>
                  <w:r w:rsidRPr="00D16196">
                    <w:t>na</w:t>
                  </w:r>
                  <w:proofErr w:type="spellEnd"/>
                </w:p>
              </w:tc>
              <w:tc>
                <w:tcPr>
                  <w:tcW w:w="408" w:type="pct"/>
                  <w:tcBorders>
                    <w:bottom w:val="single" w:sz="4" w:space="0" w:color="BFBFBF"/>
                  </w:tcBorders>
                  <w:shd w:val="clear" w:color="auto" w:fill="auto"/>
                  <w:vAlign w:val="center"/>
                </w:tcPr>
                <w:p w:rsidR="00CB2121" w:rsidRPr="00D16196" w:rsidRDefault="00390321" w:rsidP="00D16196">
                  <w:pPr>
                    <w:pStyle w:val="TableBodyText"/>
                  </w:pPr>
                  <w:r w:rsidRPr="00D16196">
                    <w:t>1.7</w:t>
                  </w:r>
                </w:p>
              </w:tc>
              <w:tc>
                <w:tcPr>
                  <w:tcW w:w="408" w:type="pct"/>
                  <w:tcBorders>
                    <w:bottom w:val="single" w:sz="4" w:space="0" w:color="BFBFBF"/>
                  </w:tcBorders>
                  <w:shd w:val="clear" w:color="auto" w:fill="auto"/>
                  <w:vAlign w:val="center"/>
                </w:tcPr>
                <w:p w:rsidR="00CB2121" w:rsidRPr="00D16196" w:rsidRDefault="00390321" w:rsidP="00D16196">
                  <w:pPr>
                    <w:pStyle w:val="TableBodyText"/>
                  </w:pPr>
                  <w:r w:rsidRPr="00D16196">
                    <w:t>1.8</w:t>
                  </w:r>
                </w:p>
              </w:tc>
              <w:tc>
                <w:tcPr>
                  <w:tcW w:w="409" w:type="pct"/>
                  <w:tcBorders>
                    <w:bottom w:val="single" w:sz="4" w:space="0" w:color="BFBFBF"/>
                  </w:tcBorders>
                  <w:shd w:val="clear" w:color="auto" w:fill="auto"/>
                  <w:vAlign w:val="center"/>
                </w:tcPr>
                <w:p w:rsidR="00CB2121" w:rsidRPr="00D16196" w:rsidRDefault="00B9186B" w:rsidP="00D16196">
                  <w:pPr>
                    <w:pStyle w:val="TableBodyText"/>
                  </w:pPr>
                  <w:r w:rsidRPr="00D16196">
                    <w:t>2.4</w:t>
                  </w:r>
                </w:p>
              </w:tc>
              <w:tc>
                <w:tcPr>
                  <w:tcW w:w="408" w:type="pct"/>
                  <w:tcBorders>
                    <w:bottom w:val="single" w:sz="4" w:space="0" w:color="BFBFBF"/>
                  </w:tcBorders>
                  <w:shd w:val="clear" w:color="auto" w:fill="auto"/>
                  <w:vAlign w:val="center"/>
                </w:tcPr>
                <w:p w:rsidR="00CB2121" w:rsidRPr="00D16196" w:rsidRDefault="00390321" w:rsidP="00D16196">
                  <w:pPr>
                    <w:pStyle w:val="TableBodyText"/>
                  </w:pPr>
                  <w:r w:rsidRPr="00D16196">
                    <w:t>0.6</w:t>
                  </w:r>
                </w:p>
              </w:tc>
              <w:tc>
                <w:tcPr>
                  <w:tcW w:w="408" w:type="pct"/>
                  <w:tcBorders>
                    <w:bottom w:val="single" w:sz="4" w:space="0" w:color="BFBFBF"/>
                  </w:tcBorders>
                  <w:shd w:val="clear" w:color="auto" w:fill="auto"/>
                  <w:vAlign w:val="center"/>
                </w:tcPr>
                <w:p w:rsidR="00CB2121" w:rsidRPr="00D16196" w:rsidRDefault="00390321" w:rsidP="00D16196">
                  <w:pPr>
                    <w:pStyle w:val="TableBodyText"/>
                  </w:pPr>
                  <w:r w:rsidRPr="00D16196">
                    <w:t>1.3</w:t>
                  </w:r>
                </w:p>
              </w:tc>
              <w:tc>
                <w:tcPr>
                  <w:tcW w:w="409" w:type="pct"/>
                  <w:tcBorders>
                    <w:bottom w:val="single" w:sz="4" w:space="0" w:color="BFBFBF"/>
                  </w:tcBorders>
                  <w:shd w:val="clear" w:color="auto" w:fill="auto"/>
                  <w:vAlign w:val="center"/>
                </w:tcPr>
                <w:p w:rsidR="00CB2121" w:rsidRPr="00D16196" w:rsidRDefault="00390321" w:rsidP="00D16196">
                  <w:pPr>
                    <w:pStyle w:val="TableBodyText"/>
                  </w:pPr>
                  <w:r w:rsidRPr="00D16196">
                    <w:t>8.8</w:t>
                  </w:r>
                </w:p>
              </w:tc>
            </w:tr>
          </w:tbl>
          <w:p w:rsidR="003E4FCA" w:rsidRPr="00D16196" w:rsidRDefault="003E4FCA" w:rsidP="00D16196">
            <w:pPr>
              <w:pStyle w:val="Box"/>
              <w:rPr>
                <w:color w:val="600000" w:themeColor="accent6" w:themeShade="80"/>
              </w:rPr>
            </w:pPr>
          </w:p>
        </w:tc>
      </w:tr>
      <w:tr w:rsidR="003E4FCA" w:rsidRPr="00D16196" w:rsidTr="003E4FCA">
        <w:trPr>
          <w:cantSplit/>
        </w:trPr>
        <w:tc>
          <w:tcPr>
            <w:tcW w:w="8771" w:type="dxa"/>
            <w:tcBorders>
              <w:top w:val="nil"/>
              <w:left w:val="nil"/>
              <w:bottom w:val="nil"/>
              <w:right w:val="nil"/>
            </w:tcBorders>
            <w:shd w:val="clear" w:color="auto" w:fill="auto"/>
          </w:tcPr>
          <w:p w:rsidR="003E4FCA" w:rsidRPr="00D16196" w:rsidRDefault="003E4FCA" w:rsidP="005C2D7C">
            <w:pPr>
              <w:pStyle w:val="Note"/>
              <w:rPr>
                <w:i/>
              </w:rPr>
            </w:pPr>
            <w:r w:rsidRPr="00D16196">
              <w:rPr>
                <w:rStyle w:val="NoteLabel"/>
              </w:rPr>
              <w:t>a</w:t>
            </w:r>
            <w:r w:rsidRPr="00D16196">
              <w:t xml:space="preserve"> </w:t>
            </w:r>
            <w:r w:rsidR="00390321" w:rsidRPr="00D16196">
              <w:t xml:space="preserve">See box </w:t>
            </w:r>
            <w:r w:rsidR="00601546" w:rsidRPr="00D16196">
              <w:t>15.</w:t>
            </w:r>
            <w:r w:rsidR="005C2D7C">
              <w:t>6</w:t>
            </w:r>
            <w:r w:rsidR="00390321" w:rsidRPr="00D16196">
              <w:t xml:space="preserve"> and table </w:t>
            </w:r>
            <w:proofErr w:type="spellStart"/>
            <w:r w:rsidR="00390321" w:rsidRPr="00D16196">
              <w:t>15A.28</w:t>
            </w:r>
            <w:proofErr w:type="spellEnd"/>
            <w:r w:rsidR="00390321" w:rsidRPr="00D16196">
              <w:t xml:space="preserve"> for detailed definitions, footnotes and caveats. </w:t>
            </w:r>
            <w:proofErr w:type="spellStart"/>
            <w:r w:rsidR="00DB13AC" w:rsidRPr="00D16196">
              <w:rPr>
                <w:b/>
              </w:rPr>
              <w:t>na</w:t>
            </w:r>
            <w:proofErr w:type="spellEnd"/>
            <w:r w:rsidR="00DB13AC" w:rsidRPr="00D16196">
              <w:t xml:space="preserve"> Not available.</w:t>
            </w:r>
            <w:r w:rsidR="00465AF8" w:rsidRPr="00D16196">
              <w:t xml:space="preserve"> </w:t>
            </w:r>
          </w:p>
        </w:tc>
      </w:tr>
      <w:tr w:rsidR="003E4FCA" w:rsidRPr="00D16196" w:rsidTr="003E4FCA">
        <w:trPr>
          <w:cantSplit/>
        </w:trPr>
        <w:tc>
          <w:tcPr>
            <w:tcW w:w="8771" w:type="dxa"/>
            <w:tcBorders>
              <w:top w:val="nil"/>
              <w:left w:val="nil"/>
              <w:bottom w:val="nil"/>
              <w:right w:val="nil"/>
            </w:tcBorders>
            <w:shd w:val="clear" w:color="auto" w:fill="auto"/>
          </w:tcPr>
          <w:p w:rsidR="003E4FCA" w:rsidRPr="00D16196" w:rsidRDefault="00DB13AC" w:rsidP="00D16196">
            <w:pPr>
              <w:pStyle w:val="Source"/>
            </w:pPr>
            <w:r w:rsidRPr="00D16196">
              <w:rPr>
                <w:i/>
              </w:rPr>
              <w:t>Source</w:t>
            </w:r>
            <w:r w:rsidR="003E4FCA" w:rsidRPr="00D16196">
              <w:t xml:space="preserve">: </w:t>
            </w:r>
            <w:r w:rsidR="00243FB9" w:rsidRPr="00D16196">
              <w:t>State and Territory governments</w:t>
            </w:r>
            <w:r w:rsidRPr="00D16196">
              <w:t xml:space="preserve"> (unpublished); table </w:t>
            </w:r>
            <w:proofErr w:type="spellStart"/>
            <w:r w:rsidR="009E5608" w:rsidRPr="00D16196">
              <w:t>15A.28</w:t>
            </w:r>
            <w:proofErr w:type="spellEnd"/>
            <w:r w:rsidR="009A3B4F" w:rsidRPr="00D16196">
              <w:t>.</w:t>
            </w:r>
          </w:p>
        </w:tc>
      </w:tr>
      <w:tr w:rsidR="003E4FCA" w:rsidRPr="00D16196" w:rsidTr="003E4FCA">
        <w:trPr>
          <w:cantSplit/>
        </w:trPr>
        <w:tc>
          <w:tcPr>
            <w:tcW w:w="8771" w:type="dxa"/>
            <w:tcBorders>
              <w:top w:val="nil"/>
              <w:left w:val="nil"/>
              <w:bottom w:val="single" w:sz="6" w:space="0" w:color="78A22F" w:themeColor="accent1"/>
              <w:right w:val="nil"/>
            </w:tcBorders>
            <w:shd w:val="clear" w:color="auto" w:fill="auto"/>
          </w:tcPr>
          <w:p w:rsidR="003E4FCA" w:rsidRPr="00D16196" w:rsidRDefault="003E4FCA" w:rsidP="00D16196">
            <w:pPr>
              <w:pStyle w:val="Box"/>
              <w:spacing w:before="0" w:line="120" w:lineRule="exact"/>
            </w:pPr>
          </w:p>
        </w:tc>
      </w:tr>
      <w:tr w:rsidR="003E4FCA" w:rsidRPr="00D16196" w:rsidTr="003E4FCA">
        <w:trPr>
          <w:hidden/>
        </w:trPr>
        <w:tc>
          <w:tcPr>
            <w:tcW w:w="8771" w:type="dxa"/>
            <w:tcBorders>
              <w:top w:val="single" w:sz="6" w:space="0" w:color="78A22F" w:themeColor="accent1"/>
              <w:left w:val="nil"/>
              <w:bottom w:val="nil"/>
              <w:right w:val="nil"/>
            </w:tcBorders>
          </w:tcPr>
          <w:p w:rsidR="003E4FCA" w:rsidRPr="00D16196" w:rsidRDefault="003E4FCA" w:rsidP="00D16196">
            <w:pPr>
              <w:pStyle w:val="BoxSpaceBelow"/>
              <w:rPr>
                <w:rFonts w:ascii="Times New Roman" w:hAnsi="Times New Roman"/>
                <w:b/>
                <w:vanish/>
                <w:color w:val="FF00FF"/>
              </w:rPr>
            </w:pPr>
          </w:p>
        </w:tc>
      </w:tr>
    </w:tbl>
    <w:p w:rsidR="005C5A20" w:rsidRPr="00D16196" w:rsidRDefault="005C5A20" w:rsidP="00D16196">
      <w:pPr>
        <w:pStyle w:val="BodyText"/>
      </w:pPr>
      <w:r w:rsidRPr="00D16196">
        <w:t xml:space="preserve">The proportion of children in out-of-home care who were the subject of a substantiation where the person responsible was living in the household also varied across jurisdictions (table </w:t>
      </w:r>
      <w:r w:rsidR="009E5608" w:rsidRPr="00D16196">
        <w:t>15.2</w:t>
      </w:r>
      <w:r w:rsidRPr="00D16196">
        <w:t>).</w:t>
      </w:r>
    </w:p>
    <w:p w:rsidR="00E35B22" w:rsidRPr="00D16196" w:rsidRDefault="00E35B22" w:rsidP="00D1619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35B22" w:rsidRPr="00D16196" w:rsidTr="0010799F">
        <w:tc>
          <w:tcPr>
            <w:tcW w:w="8771" w:type="dxa"/>
            <w:tcBorders>
              <w:top w:val="single" w:sz="6" w:space="0" w:color="78A22F" w:themeColor="accent1"/>
              <w:left w:val="nil"/>
              <w:bottom w:val="nil"/>
              <w:right w:val="nil"/>
            </w:tcBorders>
            <w:shd w:val="clear" w:color="auto" w:fill="auto"/>
          </w:tcPr>
          <w:p w:rsidR="00E35B22" w:rsidRPr="00D16196" w:rsidRDefault="00E35B22" w:rsidP="00D16196">
            <w:pPr>
              <w:pStyle w:val="TableTitle"/>
            </w:pPr>
            <w:r w:rsidRPr="00D16196">
              <w:rPr>
                <w:b w:val="0"/>
              </w:rPr>
              <w:t xml:space="preserve">Table </w:t>
            </w:r>
            <w:r w:rsidR="00AD19CA" w:rsidRPr="00D16196">
              <w:rPr>
                <w:b w:val="0"/>
              </w:rPr>
              <w:t>15.2</w:t>
            </w:r>
            <w:r w:rsidRPr="00D16196">
              <w:tab/>
              <w:t>Proportion of children in out-of-home care who were the subject of a substantiation and the person responsible was living in the household, 201</w:t>
            </w:r>
            <w:r w:rsidR="001A0561" w:rsidRPr="00D16196">
              <w:t>4</w:t>
            </w:r>
            <w:r w:rsidRPr="00D16196">
              <w:t>-1</w:t>
            </w:r>
            <w:r w:rsidR="001A0561" w:rsidRPr="00D16196">
              <w:t>5</w:t>
            </w:r>
            <w:r w:rsidR="008F4BBC" w:rsidRPr="00D16196">
              <w:rPr>
                <w:rStyle w:val="NoteLabel"/>
                <w:b/>
              </w:rPr>
              <w:t>a</w:t>
            </w:r>
          </w:p>
        </w:tc>
      </w:tr>
      <w:tr w:rsidR="00E35B22" w:rsidRPr="00D16196" w:rsidTr="0010799F">
        <w:trPr>
          <w:cantSplit/>
        </w:trPr>
        <w:tc>
          <w:tcPr>
            <w:tcW w:w="8771"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2190"/>
              <w:gridCol w:w="699"/>
              <w:gridCol w:w="699"/>
              <w:gridCol w:w="699"/>
              <w:gridCol w:w="699"/>
              <w:gridCol w:w="699"/>
              <w:gridCol w:w="699"/>
              <w:gridCol w:w="699"/>
              <w:gridCol w:w="699"/>
              <w:gridCol w:w="701"/>
            </w:tblGrid>
            <w:tr w:rsidR="00520259" w:rsidRPr="00D16196" w:rsidTr="00C4747F">
              <w:tc>
                <w:tcPr>
                  <w:tcW w:w="1291" w:type="pct"/>
                  <w:tcBorders>
                    <w:top w:val="single" w:sz="4" w:space="0" w:color="BFBFBF"/>
                    <w:bottom w:val="single" w:sz="4" w:space="0" w:color="BFBFBF"/>
                  </w:tcBorders>
                </w:tcPr>
                <w:p w:rsidR="00520259" w:rsidRPr="00D16196" w:rsidRDefault="00520259" w:rsidP="00D16196">
                  <w:pPr>
                    <w:pStyle w:val="TableColumnHeading"/>
                  </w:pP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Unit</w:t>
                  </w: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NSW</w:t>
                  </w: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Vic</w:t>
                  </w: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Qld</w:t>
                  </w: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WA</w:t>
                  </w:r>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SA</w:t>
                  </w:r>
                </w:p>
              </w:tc>
              <w:tc>
                <w:tcPr>
                  <w:tcW w:w="412" w:type="pct"/>
                  <w:tcBorders>
                    <w:top w:val="single" w:sz="4" w:space="0" w:color="BFBFBF"/>
                    <w:bottom w:val="single" w:sz="4" w:space="0" w:color="BFBFBF"/>
                  </w:tcBorders>
                </w:tcPr>
                <w:p w:rsidR="00520259" w:rsidRPr="00D16196" w:rsidRDefault="00520259" w:rsidP="00D16196">
                  <w:pPr>
                    <w:pStyle w:val="TableColumnHeading"/>
                  </w:pPr>
                  <w:proofErr w:type="spellStart"/>
                  <w:r w:rsidRPr="00D16196">
                    <w:t>Tas</w:t>
                  </w:r>
                  <w:proofErr w:type="spellEnd"/>
                </w:p>
              </w:tc>
              <w:tc>
                <w:tcPr>
                  <w:tcW w:w="412" w:type="pct"/>
                  <w:tcBorders>
                    <w:top w:val="single" w:sz="4" w:space="0" w:color="BFBFBF"/>
                    <w:bottom w:val="single" w:sz="4" w:space="0" w:color="BFBFBF"/>
                  </w:tcBorders>
                </w:tcPr>
                <w:p w:rsidR="00520259" w:rsidRPr="00D16196" w:rsidRDefault="00520259" w:rsidP="00D16196">
                  <w:pPr>
                    <w:pStyle w:val="TableColumnHeading"/>
                  </w:pPr>
                  <w:r w:rsidRPr="00D16196">
                    <w:t>ACT</w:t>
                  </w:r>
                </w:p>
              </w:tc>
              <w:tc>
                <w:tcPr>
                  <w:tcW w:w="413" w:type="pct"/>
                  <w:tcBorders>
                    <w:top w:val="single" w:sz="4" w:space="0" w:color="BFBFBF"/>
                    <w:bottom w:val="single" w:sz="4" w:space="0" w:color="BFBFBF"/>
                  </w:tcBorders>
                </w:tcPr>
                <w:p w:rsidR="00520259" w:rsidRPr="00D16196" w:rsidRDefault="00520259" w:rsidP="00D16196">
                  <w:pPr>
                    <w:pStyle w:val="TableColumnHeading"/>
                  </w:pPr>
                  <w:r w:rsidRPr="00D16196">
                    <w:t>NT</w:t>
                  </w:r>
                </w:p>
              </w:tc>
            </w:tr>
            <w:tr w:rsidR="0016209C" w:rsidRPr="00D16196" w:rsidTr="00C53381">
              <w:tc>
                <w:tcPr>
                  <w:tcW w:w="1291" w:type="pct"/>
                  <w:tcBorders>
                    <w:top w:val="single" w:sz="4" w:space="0" w:color="BFBFBF"/>
                  </w:tcBorders>
                </w:tcPr>
                <w:p w:rsidR="0016209C" w:rsidRPr="00D16196" w:rsidRDefault="0016209C" w:rsidP="00D16196">
                  <w:pPr>
                    <w:pStyle w:val="TableBodyText"/>
                    <w:jc w:val="left"/>
                  </w:pPr>
                  <w:r w:rsidRPr="00D16196">
                    <w:t>Children in care who were the subject of a substantiation and the person responsible was in the household</w:t>
                  </w:r>
                </w:p>
              </w:tc>
              <w:tc>
                <w:tcPr>
                  <w:tcW w:w="412" w:type="pct"/>
                  <w:tcBorders>
                    <w:top w:val="single" w:sz="4" w:space="0" w:color="BFBFBF"/>
                  </w:tcBorders>
                  <w:vAlign w:val="center"/>
                </w:tcPr>
                <w:p w:rsidR="0016209C" w:rsidRPr="00D16196" w:rsidRDefault="0016209C" w:rsidP="00D16196">
                  <w:pPr>
                    <w:pStyle w:val="TableBodyText"/>
                  </w:pPr>
                  <w:r w:rsidRPr="00D16196">
                    <w:t>no.</w:t>
                  </w:r>
                </w:p>
              </w:tc>
              <w:tc>
                <w:tcPr>
                  <w:tcW w:w="412" w:type="pct"/>
                  <w:tcBorders>
                    <w:top w:val="single" w:sz="4" w:space="0" w:color="BFBFBF"/>
                  </w:tcBorders>
                  <w:vAlign w:val="center"/>
                </w:tcPr>
                <w:p w:rsidR="0016209C" w:rsidRPr="00D16196" w:rsidRDefault="00390321" w:rsidP="00D16196">
                  <w:pPr>
                    <w:pStyle w:val="TableBodyText"/>
                  </w:pPr>
                  <w:r w:rsidRPr="00D16196">
                    <w:t>147</w:t>
                  </w:r>
                </w:p>
              </w:tc>
              <w:tc>
                <w:tcPr>
                  <w:tcW w:w="412" w:type="pct"/>
                  <w:tcBorders>
                    <w:top w:val="single" w:sz="4" w:space="0" w:color="BFBFBF"/>
                  </w:tcBorders>
                  <w:vAlign w:val="center"/>
                </w:tcPr>
                <w:p w:rsidR="0016209C" w:rsidRPr="00D16196" w:rsidRDefault="00390321" w:rsidP="00D16196">
                  <w:pPr>
                    <w:pStyle w:val="TableBodyText"/>
                  </w:pPr>
                  <w:r w:rsidRPr="00D16196">
                    <w:t>69</w:t>
                  </w:r>
                </w:p>
              </w:tc>
              <w:tc>
                <w:tcPr>
                  <w:tcW w:w="412" w:type="pct"/>
                  <w:tcBorders>
                    <w:top w:val="single" w:sz="4" w:space="0" w:color="BFBFBF"/>
                  </w:tcBorders>
                  <w:vAlign w:val="center"/>
                </w:tcPr>
                <w:p w:rsidR="0016209C" w:rsidRPr="00D16196" w:rsidRDefault="00390321" w:rsidP="00D16196">
                  <w:pPr>
                    <w:pStyle w:val="TableBodyText"/>
                  </w:pPr>
                  <w:r w:rsidRPr="00D16196">
                    <w:t>144</w:t>
                  </w:r>
                </w:p>
              </w:tc>
              <w:tc>
                <w:tcPr>
                  <w:tcW w:w="412" w:type="pct"/>
                  <w:tcBorders>
                    <w:top w:val="single" w:sz="4" w:space="0" w:color="BFBFBF"/>
                  </w:tcBorders>
                  <w:vAlign w:val="center"/>
                </w:tcPr>
                <w:p w:rsidR="0016209C" w:rsidRPr="00D16196" w:rsidRDefault="00390321" w:rsidP="00D16196">
                  <w:pPr>
                    <w:pStyle w:val="TableBodyText"/>
                  </w:pPr>
                  <w:r w:rsidRPr="00D16196">
                    <w:t>7</w:t>
                  </w:r>
                </w:p>
              </w:tc>
              <w:tc>
                <w:tcPr>
                  <w:tcW w:w="412" w:type="pct"/>
                  <w:tcBorders>
                    <w:top w:val="single" w:sz="4" w:space="0" w:color="BFBFBF"/>
                  </w:tcBorders>
                  <w:shd w:val="clear" w:color="auto" w:fill="auto"/>
                  <w:vAlign w:val="center"/>
                </w:tcPr>
                <w:p w:rsidR="0016209C" w:rsidRPr="00D16196" w:rsidRDefault="00390321" w:rsidP="00D16196">
                  <w:pPr>
                    <w:pStyle w:val="TableBodyText"/>
                  </w:pPr>
                  <w:proofErr w:type="spellStart"/>
                  <w:r w:rsidRPr="00D16196">
                    <w:t>na</w:t>
                  </w:r>
                  <w:proofErr w:type="spellEnd"/>
                </w:p>
              </w:tc>
              <w:tc>
                <w:tcPr>
                  <w:tcW w:w="412" w:type="pct"/>
                  <w:tcBorders>
                    <w:top w:val="single" w:sz="4" w:space="0" w:color="BFBFBF"/>
                  </w:tcBorders>
                  <w:vAlign w:val="center"/>
                </w:tcPr>
                <w:p w:rsidR="0016209C" w:rsidRPr="00D16196" w:rsidRDefault="00390321" w:rsidP="00D16196">
                  <w:pPr>
                    <w:pStyle w:val="TableBodyText"/>
                  </w:pPr>
                  <w:r w:rsidRPr="00D16196">
                    <w:t>8</w:t>
                  </w:r>
                </w:p>
              </w:tc>
              <w:tc>
                <w:tcPr>
                  <w:tcW w:w="412" w:type="pct"/>
                  <w:tcBorders>
                    <w:top w:val="single" w:sz="4" w:space="0" w:color="BFBFBF"/>
                  </w:tcBorders>
                  <w:vAlign w:val="center"/>
                </w:tcPr>
                <w:p w:rsidR="0016209C" w:rsidRPr="00D16196" w:rsidRDefault="00390321" w:rsidP="00D16196">
                  <w:pPr>
                    <w:pStyle w:val="TableBodyText"/>
                  </w:pPr>
                  <w:r w:rsidRPr="00D16196">
                    <w:t>10</w:t>
                  </w:r>
                </w:p>
              </w:tc>
              <w:tc>
                <w:tcPr>
                  <w:tcW w:w="413" w:type="pct"/>
                  <w:tcBorders>
                    <w:top w:val="single" w:sz="4" w:space="0" w:color="BFBFBF"/>
                  </w:tcBorders>
                  <w:vAlign w:val="center"/>
                </w:tcPr>
                <w:p w:rsidR="0016209C" w:rsidRPr="00D16196" w:rsidRDefault="00390321" w:rsidP="00D16196">
                  <w:pPr>
                    <w:pStyle w:val="TableBodyText"/>
                  </w:pPr>
                  <w:proofErr w:type="spellStart"/>
                  <w:r w:rsidRPr="00D16196">
                    <w:t>na</w:t>
                  </w:r>
                  <w:proofErr w:type="spellEnd"/>
                </w:p>
              </w:tc>
            </w:tr>
            <w:tr w:rsidR="00390321" w:rsidRPr="00D16196" w:rsidTr="00C53381">
              <w:tc>
                <w:tcPr>
                  <w:tcW w:w="1291" w:type="pct"/>
                </w:tcPr>
                <w:p w:rsidR="00390321" w:rsidRPr="00D16196" w:rsidRDefault="00390321" w:rsidP="00D16196">
                  <w:pPr>
                    <w:pStyle w:val="TableBodyText"/>
                    <w:jc w:val="left"/>
                  </w:pPr>
                  <w:r w:rsidRPr="00D16196">
                    <w:t>Children aged 0–17 in at least one care placement during the year</w:t>
                  </w:r>
                </w:p>
              </w:tc>
              <w:tc>
                <w:tcPr>
                  <w:tcW w:w="412" w:type="pct"/>
                  <w:vAlign w:val="center"/>
                </w:tcPr>
                <w:p w:rsidR="00390321" w:rsidRPr="00D16196" w:rsidRDefault="00390321" w:rsidP="00D16196">
                  <w:pPr>
                    <w:pStyle w:val="TableBodyText"/>
                  </w:pPr>
                  <w:r w:rsidRPr="00D16196">
                    <w:t>no.</w:t>
                  </w:r>
                </w:p>
              </w:tc>
              <w:tc>
                <w:tcPr>
                  <w:tcW w:w="412" w:type="pct"/>
                  <w:vAlign w:val="center"/>
                </w:tcPr>
                <w:p w:rsidR="00390321" w:rsidRPr="00D16196" w:rsidRDefault="00390321" w:rsidP="00D16196">
                  <w:pPr>
                    <w:pStyle w:val="TableBodyText"/>
                  </w:pPr>
                  <w:r w:rsidRPr="00D16196">
                    <w:t>21 426</w:t>
                  </w:r>
                </w:p>
              </w:tc>
              <w:tc>
                <w:tcPr>
                  <w:tcW w:w="412" w:type="pct"/>
                  <w:shd w:val="clear" w:color="auto" w:fill="auto"/>
                  <w:vAlign w:val="center"/>
                </w:tcPr>
                <w:p w:rsidR="00390321" w:rsidRPr="00D16196" w:rsidRDefault="00AD19CA" w:rsidP="00D16196">
                  <w:pPr>
                    <w:pStyle w:val="TableBodyText"/>
                  </w:pPr>
                  <w:r w:rsidRPr="00D16196">
                    <w:t>11 017</w:t>
                  </w:r>
                </w:p>
              </w:tc>
              <w:tc>
                <w:tcPr>
                  <w:tcW w:w="412" w:type="pct"/>
                  <w:vAlign w:val="center"/>
                </w:tcPr>
                <w:p w:rsidR="00390321" w:rsidRPr="00D16196" w:rsidRDefault="00390321" w:rsidP="00D16196">
                  <w:pPr>
                    <w:pStyle w:val="TableBodyText"/>
                  </w:pPr>
                  <w:r w:rsidRPr="00D16196">
                    <w:t>8 400</w:t>
                  </w:r>
                </w:p>
              </w:tc>
              <w:tc>
                <w:tcPr>
                  <w:tcW w:w="412" w:type="pct"/>
                  <w:vAlign w:val="center"/>
                </w:tcPr>
                <w:p w:rsidR="00390321" w:rsidRPr="00D16196" w:rsidRDefault="00390321" w:rsidP="00D16196">
                  <w:pPr>
                    <w:pStyle w:val="TableBodyText"/>
                  </w:pPr>
                  <w:r w:rsidRPr="00D16196">
                    <w:t>4 725</w:t>
                  </w:r>
                </w:p>
              </w:tc>
              <w:tc>
                <w:tcPr>
                  <w:tcW w:w="412" w:type="pct"/>
                  <w:vAlign w:val="center"/>
                </w:tcPr>
                <w:p w:rsidR="00390321" w:rsidRPr="00D16196" w:rsidRDefault="00390321" w:rsidP="00D16196">
                  <w:pPr>
                    <w:pStyle w:val="TableBodyText"/>
                  </w:pPr>
                  <w:r w:rsidRPr="00D16196">
                    <w:t>3 273</w:t>
                  </w:r>
                </w:p>
              </w:tc>
              <w:tc>
                <w:tcPr>
                  <w:tcW w:w="412" w:type="pct"/>
                  <w:vAlign w:val="center"/>
                </w:tcPr>
                <w:p w:rsidR="00390321" w:rsidRPr="00D16196" w:rsidRDefault="00390321" w:rsidP="00D16196">
                  <w:pPr>
                    <w:pStyle w:val="TableBodyText"/>
                  </w:pPr>
                  <w:r w:rsidRPr="00D16196">
                    <w:t>1 245</w:t>
                  </w:r>
                </w:p>
              </w:tc>
              <w:tc>
                <w:tcPr>
                  <w:tcW w:w="412" w:type="pct"/>
                  <w:vAlign w:val="center"/>
                </w:tcPr>
                <w:p w:rsidR="00390321" w:rsidRPr="00D16196" w:rsidRDefault="00390321" w:rsidP="00D16196">
                  <w:pPr>
                    <w:pStyle w:val="TableBodyText"/>
                  </w:pPr>
                  <w:r w:rsidRPr="00D16196">
                    <w:t>831</w:t>
                  </w:r>
                </w:p>
              </w:tc>
              <w:tc>
                <w:tcPr>
                  <w:tcW w:w="413" w:type="pct"/>
                  <w:vAlign w:val="center"/>
                </w:tcPr>
                <w:p w:rsidR="00390321" w:rsidRPr="00D16196" w:rsidRDefault="00390321" w:rsidP="00D16196">
                  <w:pPr>
                    <w:pStyle w:val="TableBodyText"/>
                  </w:pPr>
                  <w:r w:rsidRPr="00D16196">
                    <w:t>1 233</w:t>
                  </w:r>
                </w:p>
              </w:tc>
            </w:tr>
            <w:tr w:rsidR="0016209C" w:rsidRPr="00D16196" w:rsidTr="00C53381">
              <w:tc>
                <w:tcPr>
                  <w:tcW w:w="1291" w:type="pct"/>
                  <w:tcBorders>
                    <w:bottom w:val="single" w:sz="4" w:space="0" w:color="BFBFBF"/>
                  </w:tcBorders>
                </w:tcPr>
                <w:p w:rsidR="0016209C" w:rsidRPr="00D16196" w:rsidRDefault="0016209C" w:rsidP="00D16196">
                  <w:pPr>
                    <w:pStyle w:val="TableBodyText"/>
                    <w:jc w:val="left"/>
                  </w:pPr>
                  <w:r w:rsidRPr="00D16196">
                    <w:t>Proportion</w:t>
                  </w:r>
                </w:p>
              </w:tc>
              <w:tc>
                <w:tcPr>
                  <w:tcW w:w="412" w:type="pct"/>
                  <w:tcBorders>
                    <w:bottom w:val="single" w:sz="4" w:space="0" w:color="BFBFBF"/>
                  </w:tcBorders>
                  <w:vAlign w:val="center"/>
                </w:tcPr>
                <w:p w:rsidR="0016209C" w:rsidRPr="00D16196" w:rsidRDefault="0016209C" w:rsidP="00D16196">
                  <w:pPr>
                    <w:pStyle w:val="TableBodyText"/>
                  </w:pPr>
                  <w:r w:rsidRPr="00D16196">
                    <w:t>%</w:t>
                  </w:r>
                </w:p>
              </w:tc>
              <w:tc>
                <w:tcPr>
                  <w:tcW w:w="412" w:type="pct"/>
                  <w:tcBorders>
                    <w:bottom w:val="single" w:sz="4" w:space="0" w:color="BFBFBF"/>
                  </w:tcBorders>
                  <w:vAlign w:val="center"/>
                </w:tcPr>
                <w:p w:rsidR="0016209C" w:rsidRPr="00D16196" w:rsidRDefault="00390321" w:rsidP="00D16196">
                  <w:pPr>
                    <w:pStyle w:val="TableBodyText"/>
                  </w:pPr>
                  <w:r w:rsidRPr="00D16196">
                    <w:t>0.7</w:t>
                  </w:r>
                </w:p>
              </w:tc>
              <w:tc>
                <w:tcPr>
                  <w:tcW w:w="412" w:type="pct"/>
                  <w:tcBorders>
                    <w:bottom w:val="single" w:sz="4" w:space="0" w:color="BFBFBF"/>
                  </w:tcBorders>
                  <w:vAlign w:val="center"/>
                </w:tcPr>
                <w:p w:rsidR="0016209C" w:rsidRPr="00D16196" w:rsidRDefault="00390321" w:rsidP="00D16196">
                  <w:pPr>
                    <w:pStyle w:val="TableBodyText"/>
                  </w:pPr>
                  <w:r w:rsidRPr="00D16196">
                    <w:t>0.6</w:t>
                  </w:r>
                </w:p>
              </w:tc>
              <w:tc>
                <w:tcPr>
                  <w:tcW w:w="412" w:type="pct"/>
                  <w:tcBorders>
                    <w:bottom w:val="single" w:sz="4" w:space="0" w:color="BFBFBF"/>
                  </w:tcBorders>
                  <w:vAlign w:val="center"/>
                </w:tcPr>
                <w:p w:rsidR="0016209C" w:rsidRPr="00D16196" w:rsidRDefault="00390321" w:rsidP="00D16196">
                  <w:pPr>
                    <w:pStyle w:val="TableBodyText"/>
                  </w:pPr>
                  <w:r w:rsidRPr="00D16196">
                    <w:t>1.7</w:t>
                  </w:r>
                </w:p>
              </w:tc>
              <w:tc>
                <w:tcPr>
                  <w:tcW w:w="412" w:type="pct"/>
                  <w:tcBorders>
                    <w:bottom w:val="single" w:sz="4" w:space="0" w:color="BFBFBF"/>
                  </w:tcBorders>
                  <w:vAlign w:val="center"/>
                </w:tcPr>
                <w:p w:rsidR="0016209C" w:rsidRPr="00D16196" w:rsidRDefault="00390321" w:rsidP="00D16196">
                  <w:pPr>
                    <w:pStyle w:val="TableBodyText"/>
                  </w:pPr>
                  <w:r w:rsidRPr="00D16196">
                    <w:t>0.1</w:t>
                  </w:r>
                </w:p>
              </w:tc>
              <w:tc>
                <w:tcPr>
                  <w:tcW w:w="412" w:type="pct"/>
                  <w:tcBorders>
                    <w:bottom w:val="single" w:sz="4" w:space="0" w:color="BFBFBF"/>
                  </w:tcBorders>
                  <w:shd w:val="clear" w:color="auto" w:fill="auto"/>
                  <w:vAlign w:val="center"/>
                </w:tcPr>
                <w:p w:rsidR="0016209C" w:rsidRPr="00D16196" w:rsidRDefault="00390321" w:rsidP="00D16196">
                  <w:pPr>
                    <w:pStyle w:val="TableBodyText"/>
                  </w:pPr>
                  <w:proofErr w:type="spellStart"/>
                  <w:r w:rsidRPr="00D16196">
                    <w:t>na</w:t>
                  </w:r>
                  <w:proofErr w:type="spellEnd"/>
                </w:p>
              </w:tc>
              <w:tc>
                <w:tcPr>
                  <w:tcW w:w="412" w:type="pct"/>
                  <w:tcBorders>
                    <w:bottom w:val="single" w:sz="4" w:space="0" w:color="BFBFBF"/>
                  </w:tcBorders>
                  <w:vAlign w:val="center"/>
                </w:tcPr>
                <w:p w:rsidR="0016209C" w:rsidRPr="00D16196" w:rsidRDefault="00390321" w:rsidP="00D16196">
                  <w:pPr>
                    <w:pStyle w:val="TableBodyText"/>
                  </w:pPr>
                  <w:r w:rsidRPr="00D16196">
                    <w:t>0.6</w:t>
                  </w:r>
                </w:p>
              </w:tc>
              <w:tc>
                <w:tcPr>
                  <w:tcW w:w="412" w:type="pct"/>
                  <w:tcBorders>
                    <w:bottom w:val="single" w:sz="4" w:space="0" w:color="BFBFBF"/>
                  </w:tcBorders>
                  <w:vAlign w:val="center"/>
                </w:tcPr>
                <w:p w:rsidR="0016209C" w:rsidRPr="00D16196" w:rsidRDefault="00390321" w:rsidP="00D16196">
                  <w:pPr>
                    <w:pStyle w:val="TableBodyText"/>
                  </w:pPr>
                  <w:r w:rsidRPr="00D16196">
                    <w:t>1.2</w:t>
                  </w:r>
                </w:p>
              </w:tc>
              <w:tc>
                <w:tcPr>
                  <w:tcW w:w="413" w:type="pct"/>
                  <w:tcBorders>
                    <w:bottom w:val="single" w:sz="4" w:space="0" w:color="BFBFBF"/>
                  </w:tcBorders>
                  <w:vAlign w:val="center"/>
                </w:tcPr>
                <w:p w:rsidR="0016209C" w:rsidRPr="00D16196" w:rsidRDefault="00390321" w:rsidP="00D16196">
                  <w:pPr>
                    <w:pStyle w:val="TableBodyText"/>
                  </w:pPr>
                  <w:proofErr w:type="spellStart"/>
                  <w:r w:rsidRPr="00D16196">
                    <w:t>na</w:t>
                  </w:r>
                  <w:proofErr w:type="spellEnd"/>
                </w:p>
              </w:tc>
            </w:tr>
          </w:tbl>
          <w:p w:rsidR="00E35B22" w:rsidRPr="00D16196" w:rsidRDefault="00E35B22" w:rsidP="00D16196">
            <w:pPr>
              <w:pStyle w:val="Box"/>
            </w:pPr>
          </w:p>
        </w:tc>
      </w:tr>
      <w:tr w:rsidR="00E35B22" w:rsidRPr="00D16196" w:rsidTr="0010799F">
        <w:trPr>
          <w:cantSplit/>
        </w:trPr>
        <w:tc>
          <w:tcPr>
            <w:tcW w:w="8771" w:type="dxa"/>
            <w:tcBorders>
              <w:top w:val="nil"/>
              <w:left w:val="nil"/>
              <w:bottom w:val="nil"/>
              <w:right w:val="nil"/>
            </w:tcBorders>
            <w:shd w:val="clear" w:color="auto" w:fill="auto"/>
          </w:tcPr>
          <w:p w:rsidR="00E35B22" w:rsidRPr="00D16196" w:rsidRDefault="00E35B22" w:rsidP="005C2D7C">
            <w:pPr>
              <w:pStyle w:val="Note"/>
            </w:pPr>
            <w:r w:rsidRPr="00D16196">
              <w:rPr>
                <w:rStyle w:val="NoteLabel"/>
              </w:rPr>
              <w:t>a</w:t>
            </w:r>
            <w:r w:rsidRPr="00D16196">
              <w:t xml:space="preserve"> </w:t>
            </w:r>
            <w:r w:rsidR="00390321" w:rsidRPr="00D16196">
              <w:t xml:space="preserve">See box </w:t>
            </w:r>
            <w:r w:rsidR="00601546" w:rsidRPr="00D16196">
              <w:t>15.</w:t>
            </w:r>
            <w:r w:rsidR="005C2D7C">
              <w:t>6</w:t>
            </w:r>
            <w:r w:rsidR="00390321" w:rsidRPr="00D16196">
              <w:t xml:space="preserve"> and table </w:t>
            </w:r>
            <w:proofErr w:type="spellStart"/>
            <w:r w:rsidR="00390321" w:rsidRPr="00D16196">
              <w:t>15A.27</w:t>
            </w:r>
            <w:proofErr w:type="spellEnd"/>
            <w:r w:rsidR="00390321" w:rsidRPr="00D16196">
              <w:t xml:space="preserve"> for detailed definitions, footnotes and caveats. </w:t>
            </w:r>
            <w:proofErr w:type="spellStart"/>
            <w:r w:rsidR="0016209C" w:rsidRPr="00D16196">
              <w:rPr>
                <w:b/>
              </w:rPr>
              <w:t>na</w:t>
            </w:r>
            <w:proofErr w:type="spellEnd"/>
            <w:r w:rsidR="0016209C" w:rsidRPr="00D16196">
              <w:t xml:space="preserve"> Not available.</w:t>
            </w:r>
          </w:p>
        </w:tc>
      </w:tr>
      <w:tr w:rsidR="00E35B22" w:rsidRPr="00D16196" w:rsidTr="0010799F">
        <w:trPr>
          <w:cantSplit/>
        </w:trPr>
        <w:tc>
          <w:tcPr>
            <w:tcW w:w="8771" w:type="dxa"/>
            <w:tcBorders>
              <w:top w:val="nil"/>
              <w:left w:val="nil"/>
              <w:bottom w:val="nil"/>
              <w:right w:val="nil"/>
            </w:tcBorders>
            <w:shd w:val="clear" w:color="auto" w:fill="auto"/>
          </w:tcPr>
          <w:p w:rsidR="00E35B22" w:rsidRPr="00D16196" w:rsidRDefault="00E35B22" w:rsidP="00D16196">
            <w:pPr>
              <w:pStyle w:val="Source"/>
            </w:pPr>
            <w:r w:rsidRPr="00D16196">
              <w:rPr>
                <w:i/>
              </w:rPr>
              <w:t>Source</w:t>
            </w:r>
            <w:r w:rsidRPr="00D16196">
              <w:t xml:space="preserve">: </w:t>
            </w:r>
            <w:r w:rsidR="00243FB9" w:rsidRPr="00D16196">
              <w:t>State and Territory governments</w:t>
            </w:r>
            <w:r w:rsidR="0016209C" w:rsidRPr="00D16196">
              <w:t xml:space="preserve"> (unpublished); table </w:t>
            </w:r>
            <w:proofErr w:type="spellStart"/>
            <w:r w:rsidR="009E5608" w:rsidRPr="00D16196">
              <w:t>15A.27</w:t>
            </w:r>
            <w:proofErr w:type="spellEnd"/>
            <w:r w:rsidRPr="00D16196">
              <w:t>.</w:t>
            </w:r>
          </w:p>
        </w:tc>
      </w:tr>
      <w:tr w:rsidR="00E35B22" w:rsidRPr="00D16196" w:rsidTr="0010799F">
        <w:trPr>
          <w:cantSplit/>
        </w:trPr>
        <w:tc>
          <w:tcPr>
            <w:tcW w:w="8771" w:type="dxa"/>
            <w:tcBorders>
              <w:top w:val="nil"/>
              <w:left w:val="nil"/>
              <w:bottom w:val="single" w:sz="6" w:space="0" w:color="78A22F" w:themeColor="accent1"/>
              <w:right w:val="nil"/>
            </w:tcBorders>
            <w:shd w:val="clear" w:color="auto" w:fill="auto"/>
          </w:tcPr>
          <w:p w:rsidR="00E35B22" w:rsidRPr="00D16196" w:rsidRDefault="00E35B22" w:rsidP="00D16196">
            <w:pPr>
              <w:pStyle w:val="Box"/>
              <w:spacing w:before="0" w:line="120" w:lineRule="exact"/>
              <w:rPr>
                <w:color w:val="600000" w:themeColor="accent6" w:themeShade="80"/>
              </w:rPr>
            </w:pPr>
          </w:p>
        </w:tc>
      </w:tr>
      <w:tr w:rsidR="00E35B22" w:rsidRPr="00D16196" w:rsidTr="0010799F">
        <w:tc>
          <w:tcPr>
            <w:tcW w:w="8771" w:type="dxa"/>
            <w:tcBorders>
              <w:top w:val="single" w:sz="6" w:space="0" w:color="78A22F" w:themeColor="accent1"/>
              <w:left w:val="nil"/>
              <w:bottom w:val="nil"/>
              <w:right w:val="nil"/>
            </w:tcBorders>
          </w:tcPr>
          <w:p w:rsidR="00E35B22" w:rsidRPr="00D16196" w:rsidRDefault="00E35B22" w:rsidP="00D16196">
            <w:pPr>
              <w:pStyle w:val="BoxSpaceBelow"/>
            </w:pPr>
          </w:p>
        </w:tc>
      </w:tr>
    </w:tbl>
    <w:p w:rsidR="006842D6" w:rsidRPr="00D16196" w:rsidRDefault="006842D6" w:rsidP="00D16196">
      <w:pPr>
        <w:pStyle w:val="Heading4"/>
      </w:pPr>
      <w:r w:rsidRPr="00D16196">
        <w:t>Out-of-home care — stability of placement</w:t>
      </w:r>
    </w:p>
    <w:p w:rsidR="006842D6" w:rsidRPr="00D16196" w:rsidRDefault="006842D6" w:rsidP="00D16196">
      <w:pPr>
        <w:pStyle w:val="BodyText"/>
      </w:pPr>
      <w:r w:rsidRPr="00D16196">
        <w:t xml:space="preserve">‘Stability of placement’ </w:t>
      </w:r>
      <w:r w:rsidR="00F47259" w:rsidRPr="00D16196">
        <w:t xml:space="preserve">is an indicator of governments’ objective to provide high quality services that meet the needs of recipients on the basis of </w:t>
      </w:r>
      <w:r w:rsidR="00855970" w:rsidRPr="00D16196">
        <w:t>individual</w:t>
      </w:r>
      <w:r w:rsidR="00F47259" w:rsidRPr="00D16196">
        <w:t xml:space="preserve"> need and available resources</w:t>
      </w:r>
      <w:r w:rsidR="00C86E49" w:rsidRPr="00D16196">
        <w:t xml:space="preserve"> </w:t>
      </w:r>
      <w:r w:rsidRPr="00D16196">
        <w:t>(box</w:t>
      </w:r>
      <w:r w:rsidR="004362DA" w:rsidRPr="00D16196">
        <w:t xml:space="preserve"> 15.</w:t>
      </w:r>
      <w:r w:rsidR="00BB42EE" w:rsidRPr="00D16196">
        <w:t>7</w:t>
      </w:r>
      <w:r w:rsidR="001D6205" w:rsidRPr="00D16196">
        <w:t>).</w:t>
      </w:r>
    </w:p>
    <w:p w:rsidR="009666AC" w:rsidRPr="00D16196" w:rsidRDefault="009A608D" w:rsidP="00D16196">
      <w:pPr>
        <w:pStyle w:val="BodyText"/>
      </w:pPr>
      <w:r w:rsidRPr="00D16196">
        <w:t>S</w:t>
      </w:r>
      <w:r w:rsidR="009666AC" w:rsidRPr="00D16196">
        <w:t>tability of placement is an important indicator of service quality</w:t>
      </w:r>
      <w:r w:rsidRPr="00D16196">
        <w:t xml:space="preserve"> for children placed away from their family for protective reasons</w:t>
      </w:r>
      <w:r w:rsidR="009666AC" w:rsidRPr="00D16196">
        <w:t xml:space="preserve">, particularly for those who require long term placements. Data are collected on the number of different placements for children on a care </w:t>
      </w:r>
      <w:r w:rsidR="009666AC" w:rsidRPr="00D16196">
        <w:lastRenderedPageBreak/>
        <w:t>and protection order who exited out-of-home care. Data are grouped according to the length of time in care (less than 12</w:t>
      </w:r>
      <w:r w:rsidR="00D3579E" w:rsidRPr="00D16196">
        <w:t> months</w:t>
      </w:r>
      <w:r w:rsidR="0095237A" w:rsidRPr="00D16196">
        <w:t>,</w:t>
      </w:r>
      <w:r w:rsidR="00D3579E" w:rsidRPr="00D16196">
        <w:t xml:space="preserve"> and 12 months or more).</w:t>
      </w:r>
    </w:p>
    <w:p w:rsidR="00B54F4D" w:rsidRPr="00D16196" w:rsidRDefault="00B54F4D"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4F4D" w:rsidRPr="00D16196" w:rsidTr="0010799F">
        <w:tc>
          <w:tcPr>
            <w:tcW w:w="8771" w:type="dxa"/>
            <w:tcBorders>
              <w:top w:val="single" w:sz="6" w:space="0" w:color="78A22F"/>
              <w:left w:val="nil"/>
              <w:bottom w:val="nil"/>
              <w:right w:val="nil"/>
            </w:tcBorders>
            <w:shd w:val="clear" w:color="auto" w:fill="F2F2F2" w:themeFill="background1" w:themeFillShade="F2"/>
          </w:tcPr>
          <w:p w:rsidR="00B54F4D" w:rsidRPr="00D16196" w:rsidRDefault="00B54F4D" w:rsidP="00D16196">
            <w:pPr>
              <w:pStyle w:val="BoxTitle"/>
            </w:pPr>
            <w:r w:rsidRPr="00D16196">
              <w:rPr>
                <w:b w:val="0"/>
              </w:rPr>
              <w:t xml:space="preserve">Box </w:t>
            </w:r>
            <w:bookmarkStart w:id="33" w:name="OLE_LINK76"/>
            <w:r w:rsidR="00BB42EE" w:rsidRPr="00D16196">
              <w:rPr>
                <w:b w:val="0"/>
              </w:rPr>
              <w:t>15.7</w:t>
            </w:r>
            <w:bookmarkEnd w:id="33"/>
            <w:r w:rsidRPr="00D16196">
              <w:tab/>
              <w:t>Stability of placement</w:t>
            </w:r>
          </w:p>
        </w:tc>
      </w:tr>
      <w:tr w:rsidR="00B54F4D" w:rsidRPr="00D16196" w:rsidTr="0010799F">
        <w:trPr>
          <w:cantSplit/>
        </w:trPr>
        <w:tc>
          <w:tcPr>
            <w:tcW w:w="8771" w:type="dxa"/>
            <w:tcBorders>
              <w:top w:val="nil"/>
              <w:left w:val="nil"/>
              <w:bottom w:val="nil"/>
              <w:right w:val="nil"/>
            </w:tcBorders>
            <w:shd w:val="clear" w:color="auto" w:fill="F2F2F2" w:themeFill="background1" w:themeFillShade="F2"/>
          </w:tcPr>
          <w:p w:rsidR="00B54F4D" w:rsidRPr="00D16196" w:rsidRDefault="00B54F4D" w:rsidP="00D16196">
            <w:pPr>
              <w:pStyle w:val="Box"/>
            </w:pPr>
            <w:r w:rsidRPr="00D16196">
              <w:t>‘Stability of placement’ is defined as the proportion of children who had one or two placements during a period of continuous out-of-home care.</w:t>
            </w:r>
          </w:p>
          <w:p w:rsidR="00B54F4D" w:rsidRPr="00D16196" w:rsidRDefault="00B54F4D" w:rsidP="00D16196">
            <w:pPr>
              <w:pStyle w:val="Box"/>
            </w:pPr>
            <w:r w:rsidRPr="00D16196">
              <w:t>A low number of child placements (one or two) per period of care is desirable, but must be balanced against other placement quality indicators, such as placements in compliance with the Aboriginal Child Placement Principle, local placements and placements with siblings.</w:t>
            </w:r>
          </w:p>
          <w:p w:rsidR="00B54F4D" w:rsidRPr="00D16196" w:rsidRDefault="00B54F4D" w:rsidP="00D16196">
            <w:pPr>
              <w:pStyle w:val="Box"/>
            </w:pPr>
            <w:r w:rsidRPr="00D16196">
              <w:t>Children can have multiple short</w:t>
            </w:r>
            <w:r w:rsidR="00A15925" w:rsidRPr="00D16196">
              <w:t>-</w:t>
            </w:r>
            <w:r w:rsidRPr="00D16196">
              <w:t>term placements for appropriate reasons (for example, an initial placement followed by a longer term placement) or it may be desirable to change placements to achieve better compatibility between a child and family. It is not desirable for a child to stay in an unsatisfactory or unsupportive placement. Also, older children are more likely to have multiple placements as they move towards independence and voluntarily seek alternate placements.</w:t>
            </w:r>
          </w:p>
          <w:p w:rsidR="00B54F4D" w:rsidRPr="00D16196" w:rsidRDefault="00B54F4D" w:rsidP="00D16196">
            <w:pPr>
              <w:pStyle w:val="Box"/>
            </w:pPr>
            <w:r w:rsidRPr="00D16196">
              <w:t>Data are collected only for children who are on orders and who exit care during the reporting period. There are limitations to counting placement stability using a cohort of children on exit from care rather than longitudinally tracking a cohort of children on their entry into care: an exit cohort is biased to children who stayed a relatively short time in care and thus were more likely to have experienced fewer placements.</w:t>
            </w:r>
          </w:p>
          <w:p w:rsidR="00B54F4D" w:rsidRPr="00D16196" w:rsidRDefault="00B54F4D" w:rsidP="00D16196">
            <w:pPr>
              <w:pStyle w:val="Box"/>
            </w:pPr>
            <w:r w:rsidRPr="00D16196">
              <w:t>Data reported for this indicator are:</w:t>
            </w:r>
          </w:p>
          <w:p w:rsidR="00B54F4D" w:rsidRPr="00D16196" w:rsidRDefault="00B54F4D" w:rsidP="00D16196">
            <w:pPr>
              <w:pStyle w:val="BoxListBullet"/>
            </w:pPr>
            <w:r w:rsidRPr="00D16196">
              <w:t>comparable (subject to caveats) across jurisdictions and over time</w:t>
            </w:r>
          </w:p>
          <w:p w:rsidR="00B54F4D" w:rsidRPr="00D16196" w:rsidRDefault="00B54F4D" w:rsidP="00D16196">
            <w:pPr>
              <w:pStyle w:val="BoxListBullet"/>
            </w:pPr>
            <w:r w:rsidRPr="00D16196">
              <w:t xml:space="preserve">complete for the current reporting period. </w:t>
            </w:r>
            <w:r w:rsidR="000C2475" w:rsidRPr="00D16196">
              <w:t>All required 2014-15 data are available for all jurisdictions.</w:t>
            </w:r>
          </w:p>
          <w:p w:rsidR="00B54F4D" w:rsidRPr="00D16196" w:rsidRDefault="00B54F4D"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1A0561" w:rsidRPr="00D16196">
              <w:t>6</w:t>
            </w:r>
            <w:r w:rsidRPr="00D16196">
              <w:t>.</w:t>
            </w:r>
          </w:p>
        </w:tc>
      </w:tr>
      <w:tr w:rsidR="00B54F4D"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B54F4D" w:rsidRPr="00D16196" w:rsidRDefault="00B54F4D" w:rsidP="00D16196">
            <w:pPr>
              <w:pStyle w:val="Box"/>
              <w:spacing w:before="0" w:line="120" w:lineRule="exact"/>
            </w:pPr>
          </w:p>
        </w:tc>
      </w:tr>
      <w:tr w:rsidR="00B54F4D" w:rsidRPr="00D16196" w:rsidTr="0010799F">
        <w:tc>
          <w:tcPr>
            <w:tcW w:w="8771" w:type="dxa"/>
            <w:tcBorders>
              <w:top w:val="single" w:sz="6" w:space="0" w:color="78A22F"/>
              <w:left w:val="nil"/>
              <w:bottom w:val="nil"/>
              <w:right w:val="nil"/>
            </w:tcBorders>
          </w:tcPr>
          <w:p w:rsidR="00B54F4D" w:rsidRPr="00D16196" w:rsidRDefault="00B54F4D" w:rsidP="00D16196">
            <w:pPr>
              <w:pStyle w:val="BoxSpaceBelow"/>
            </w:pPr>
          </w:p>
        </w:tc>
      </w:tr>
    </w:tbl>
    <w:p w:rsidR="008B27BB" w:rsidRPr="00D16196" w:rsidRDefault="006842D6" w:rsidP="00D16196">
      <w:pPr>
        <w:pStyle w:val="BodyText"/>
      </w:pPr>
      <w:r w:rsidRPr="00D16196">
        <w:t xml:space="preserve">Nationally, </w:t>
      </w:r>
      <w:r w:rsidR="001315CB" w:rsidRPr="00D16196">
        <w:t>87.</w:t>
      </w:r>
      <w:r w:rsidR="009C17D9" w:rsidRPr="00D16196">
        <w:t>8</w:t>
      </w:r>
      <w:r w:rsidR="001315CB" w:rsidRPr="00D16196">
        <w:t xml:space="preserve"> </w:t>
      </w:r>
      <w:r w:rsidR="00533D25" w:rsidRPr="00D16196">
        <w:t xml:space="preserve">per cent </w:t>
      </w:r>
      <w:r w:rsidRPr="00D16196">
        <w:t xml:space="preserve">of children on a care and protection order who exited care after less than 12 months </w:t>
      </w:r>
      <w:r w:rsidR="00695F1A" w:rsidRPr="00D16196">
        <w:t xml:space="preserve">in </w:t>
      </w:r>
      <w:r w:rsidR="00BE2E58" w:rsidRPr="00D16196">
        <w:t>201</w:t>
      </w:r>
      <w:r w:rsidR="001A0561" w:rsidRPr="00D16196">
        <w:t>4</w:t>
      </w:r>
      <w:r w:rsidR="00BE2E58" w:rsidRPr="00D16196">
        <w:t>-1</w:t>
      </w:r>
      <w:r w:rsidR="001A0561" w:rsidRPr="00D16196">
        <w:t>5</w:t>
      </w:r>
      <w:r w:rsidR="00811644" w:rsidRPr="00D16196">
        <w:t xml:space="preserve"> </w:t>
      </w:r>
      <w:r w:rsidRPr="00D16196">
        <w:t xml:space="preserve">experienced </w:t>
      </w:r>
      <w:r w:rsidR="00C50E00" w:rsidRPr="00D16196">
        <w:t>one or two</w:t>
      </w:r>
      <w:r w:rsidR="00EA7C4D" w:rsidRPr="00D16196">
        <w:t xml:space="preserve"> </w:t>
      </w:r>
      <w:r w:rsidRPr="00D16196">
        <w:t xml:space="preserve">placements (figure </w:t>
      </w:r>
      <w:r w:rsidR="009E5608" w:rsidRPr="00D16196">
        <w:t>15.7</w:t>
      </w:r>
      <w:r w:rsidR="008155B4" w:rsidRPr="00D16196">
        <w:t>(a)</w:t>
      </w:r>
      <w:r w:rsidRPr="00D16196">
        <w:t>).</w:t>
      </w:r>
      <w:r w:rsidR="00FC2B43" w:rsidRPr="00D16196">
        <w:t xml:space="preserve"> Across jurisdictions, children who had been in out-of-home care longer tended to have had more placements. The proportion of children exiting care in 2014-15 after 12 months or more</w:t>
      </w:r>
      <w:r w:rsidR="00855970" w:rsidRPr="00D16196">
        <w:t xml:space="preserve"> who had exp</w:t>
      </w:r>
      <w:r w:rsidR="00FC2B43" w:rsidRPr="00D16196">
        <w:t>erienced one or two placements was 60.3 per cent nationally</w:t>
      </w:r>
      <w:r w:rsidR="00855970" w:rsidRPr="00D16196">
        <w:t xml:space="preserve"> (figure </w:t>
      </w:r>
      <w:r w:rsidR="009E5608" w:rsidRPr="00D16196">
        <w:t>15.8</w:t>
      </w:r>
      <w:r w:rsidR="008155B4" w:rsidRPr="00D16196">
        <w:t>6(b)</w:t>
      </w:r>
      <w:r w:rsidR="00FC2B43" w:rsidRPr="00D16196">
        <w:t>).</w:t>
      </w:r>
      <w:r w:rsidR="00855970" w:rsidRPr="00D16196">
        <w:t xml:space="preserve"> </w:t>
      </w:r>
      <w:r w:rsidR="00FC2B43" w:rsidRPr="00D16196">
        <w:t>Proportions varied across jurisdictions.</w:t>
      </w:r>
    </w:p>
    <w:p w:rsidR="006842D6" w:rsidRPr="00D16196" w:rsidRDefault="008B27BB" w:rsidP="00D16196">
      <w:pPr>
        <w:pStyle w:val="BodyText"/>
      </w:pPr>
      <w:r w:rsidRPr="00D16196">
        <w:t xml:space="preserve">These patterns are broadly consistent with available time series data. However, there was </w:t>
      </w:r>
      <w:r w:rsidR="00606854" w:rsidRPr="00D16196">
        <w:t xml:space="preserve">an </w:t>
      </w:r>
      <w:r w:rsidRPr="00D16196">
        <w:t>increase in the proportion of children exiting care in 2014-15 after 12 months o</w:t>
      </w:r>
      <w:r w:rsidR="00DE7618" w:rsidRPr="00D16196">
        <w:t>r</w:t>
      </w:r>
      <w:r w:rsidRPr="00D16196">
        <w:t xml:space="preserve"> more who had experienced one or two placements, as distinct from three or more placements (table </w:t>
      </w:r>
      <w:proofErr w:type="spellStart"/>
      <w:r w:rsidRPr="00D16196">
        <w:t>15A.26</w:t>
      </w:r>
      <w:proofErr w:type="spellEnd"/>
      <w:r w:rsidRPr="00D16196">
        <w:t>).</w:t>
      </w:r>
    </w:p>
    <w:p w:rsidR="00B54F4D" w:rsidRPr="00D16196" w:rsidRDefault="00B54F4D"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4F4D" w:rsidRPr="00D16196" w:rsidTr="00FD1D58">
        <w:tc>
          <w:tcPr>
            <w:tcW w:w="8771" w:type="dxa"/>
            <w:tcBorders>
              <w:top w:val="single" w:sz="6" w:space="0" w:color="78A22F"/>
              <w:left w:val="nil"/>
              <w:bottom w:val="nil"/>
              <w:right w:val="nil"/>
            </w:tcBorders>
            <w:shd w:val="clear" w:color="auto" w:fill="auto"/>
          </w:tcPr>
          <w:p w:rsidR="008155B4" w:rsidRPr="00D16196" w:rsidRDefault="00B54F4D" w:rsidP="00D16196">
            <w:pPr>
              <w:pStyle w:val="FigureTitle"/>
              <w:rPr>
                <w:position w:val="6"/>
                <w:sz w:val="18"/>
              </w:rPr>
            </w:pPr>
            <w:r w:rsidRPr="00D16196">
              <w:rPr>
                <w:b w:val="0"/>
              </w:rPr>
              <w:t xml:space="preserve">Figure </w:t>
            </w:r>
            <w:bookmarkStart w:id="34" w:name="OLE_LINK77"/>
            <w:r w:rsidR="009E5608" w:rsidRPr="00D16196">
              <w:rPr>
                <w:b w:val="0"/>
              </w:rPr>
              <w:t>15.</w:t>
            </w:r>
            <w:bookmarkEnd w:id="34"/>
            <w:r w:rsidR="00850EE7" w:rsidRPr="00D16196">
              <w:rPr>
                <w:b w:val="0"/>
              </w:rPr>
              <w:t>6</w:t>
            </w:r>
            <w:r w:rsidRPr="00D16196">
              <w:tab/>
              <w:t xml:space="preserve">Proportion of children on an order </w:t>
            </w:r>
            <w:r w:rsidR="008635A5" w:rsidRPr="00D16196">
              <w:t xml:space="preserve">exiting care </w:t>
            </w:r>
            <w:r w:rsidRPr="00D16196">
              <w:t>who had one or two placements</w:t>
            </w:r>
            <w:r w:rsidR="001315CB" w:rsidRPr="00D16196">
              <w:rPr>
                <w:rStyle w:val="NoteLabel"/>
                <w:b/>
              </w:rPr>
              <w:t>a, b</w:t>
            </w:r>
          </w:p>
          <w:p w:rsidR="00FC2B43" w:rsidRPr="00D16196" w:rsidRDefault="00FC2B43" w:rsidP="00D16196">
            <w:pPr>
              <w:pStyle w:val="BoxListNumber2"/>
              <w:numPr>
                <w:ilvl w:val="0"/>
                <w:numId w:val="0"/>
              </w:numPr>
              <w:spacing w:before="0"/>
              <w:ind w:left="284"/>
              <w:jc w:val="center"/>
              <w:rPr>
                <w:b/>
              </w:rPr>
            </w:pPr>
            <w:r w:rsidRPr="00D16196">
              <w:rPr>
                <w:b/>
                <w:sz w:val="18"/>
                <w:szCs w:val="18"/>
              </w:rPr>
              <w:t>(a) Exiting care after less than 12 months</w:t>
            </w:r>
          </w:p>
        </w:tc>
      </w:tr>
      <w:tr w:rsidR="00B54F4D" w:rsidRPr="00D16196" w:rsidTr="00FD1D5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B54F4D" w:rsidRPr="00D16196" w:rsidTr="009C17D9">
              <w:tc>
                <w:tcPr>
                  <w:tcW w:w="8487" w:type="dxa"/>
                  <w:tcBorders>
                    <w:top w:val="nil"/>
                    <w:bottom w:val="nil"/>
                  </w:tcBorders>
                  <w:shd w:val="clear" w:color="auto" w:fill="auto"/>
                </w:tcPr>
                <w:p w:rsidR="00B54F4D" w:rsidRPr="00D16196" w:rsidRDefault="009C17D9" w:rsidP="00E6201A">
                  <w:pPr>
                    <w:pStyle w:val="Figure"/>
                    <w:jc w:val="left"/>
                  </w:pPr>
                  <w:r w:rsidRPr="00D16196">
                    <w:rPr>
                      <w:noProof/>
                    </w:rPr>
                    <w:drawing>
                      <wp:inline distT="0" distB="0" distL="0" distR="0" wp14:anchorId="2C22E0F8" wp14:editId="511D503A">
                        <wp:extent cx="5400000" cy="2700000"/>
                        <wp:effectExtent l="0" t="0" r="0" b="5715"/>
                        <wp:docPr id="1" name="Chart 1" descr="Figure 15.6 Proportion of children on an order exiting care who had one or two placements&#10;&#10;(a) Exiting care after less than 12 month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B54F4D" w:rsidRPr="00D16196" w:rsidRDefault="00B54F4D" w:rsidP="00D16196">
            <w:pPr>
              <w:pStyle w:val="Figure"/>
            </w:pPr>
          </w:p>
        </w:tc>
      </w:tr>
      <w:tr w:rsidR="00B54F4D" w:rsidRPr="00D16196" w:rsidTr="0010799F">
        <w:tc>
          <w:tcPr>
            <w:tcW w:w="8771" w:type="dxa"/>
            <w:tcBorders>
              <w:top w:val="nil"/>
              <w:left w:val="nil"/>
              <w:bottom w:val="nil"/>
              <w:right w:val="nil"/>
            </w:tcBorders>
            <w:shd w:val="clear" w:color="auto" w:fill="auto"/>
          </w:tcPr>
          <w:p w:rsidR="00FC2B43" w:rsidRPr="00D16196" w:rsidRDefault="00FC2B43" w:rsidP="00D16196">
            <w:pPr>
              <w:pStyle w:val="BoxListNumber2"/>
              <w:numPr>
                <w:ilvl w:val="0"/>
                <w:numId w:val="0"/>
              </w:numPr>
              <w:spacing w:before="0"/>
              <w:ind w:left="284"/>
              <w:jc w:val="center"/>
              <w:rPr>
                <w:szCs w:val="18"/>
              </w:rPr>
            </w:pPr>
            <w:r w:rsidRPr="00D16196">
              <w:rPr>
                <w:b/>
                <w:sz w:val="18"/>
                <w:szCs w:val="18"/>
              </w:rPr>
              <w:t>(b) Exiting care after 12 months or more</w:t>
            </w:r>
          </w:p>
          <w:p w:rsidR="00FC2B43" w:rsidRPr="00D16196" w:rsidRDefault="008155B4" w:rsidP="00E6201A">
            <w:pPr>
              <w:pStyle w:val="BodyText"/>
              <w:jc w:val="center"/>
            </w:pPr>
            <w:r w:rsidRPr="00D16196">
              <w:rPr>
                <w:noProof/>
              </w:rPr>
              <w:drawing>
                <wp:inline distT="0" distB="0" distL="0" distR="0" wp14:anchorId="6C9B9B82" wp14:editId="28A9AD49">
                  <wp:extent cx="5400000" cy="2700000"/>
                  <wp:effectExtent l="0" t="0" r="0" b="5715"/>
                  <wp:docPr id="2" name="Chart 2" descr="Figure 15.6 Proportion of children on an order exiting care who had one or two placements&#10;&#10;(b) Exiting care after 12 months or mor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54F4D" w:rsidRPr="00D16196" w:rsidRDefault="00B54F4D" w:rsidP="00D16196">
            <w:pPr>
              <w:pStyle w:val="Note"/>
            </w:pPr>
            <w:r w:rsidRPr="00D16196">
              <w:rPr>
                <w:rStyle w:val="NoteLabel"/>
              </w:rPr>
              <w:t>a</w:t>
            </w:r>
            <w:r w:rsidRPr="00D16196">
              <w:t xml:space="preserve"> </w:t>
            </w:r>
            <w:r w:rsidR="001315CB" w:rsidRPr="00D16196">
              <w:t xml:space="preserve">See box </w:t>
            </w:r>
            <w:r w:rsidR="005C2D7C">
              <w:t>15.7</w:t>
            </w:r>
            <w:r w:rsidR="00601546" w:rsidRPr="00D16196">
              <w:t xml:space="preserve"> </w:t>
            </w:r>
            <w:r w:rsidR="001315CB" w:rsidRPr="00D16196">
              <w:t xml:space="preserve">and table </w:t>
            </w:r>
            <w:proofErr w:type="spellStart"/>
            <w:r w:rsidR="00601546" w:rsidRPr="00D16196">
              <w:t>15A.26</w:t>
            </w:r>
            <w:proofErr w:type="spellEnd"/>
            <w:r w:rsidR="00601546" w:rsidRPr="00D16196">
              <w:t xml:space="preserve"> for detailed definitions, footnotes and caveats. </w:t>
            </w:r>
            <w:r w:rsidR="001E3B9E" w:rsidRPr="00D16196">
              <w:rPr>
                <w:rStyle w:val="NoteLabel"/>
              </w:rPr>
              <w:t>b</w:t>
            </w:r>
            <w:r w:rsidR="001E3B9E" w:rsidRPr="00D16196">
              <w:t xml:space="preserve"> </w:t>
            </w:r>
            <w:r w:rsidR="001315CB" w:rsidRPr="00D16196">
              <w:t xml:space="preserve">Data were not available for </w:t>
            </w:r>
            <w:r w:rsidR="002C2ABA" w:rsidRPr="00D16196">
              <w:t xml:space="preserve">WA </w:t>
            </w:r>
            <w:r w:rsidR="001315CB" w:rsidRPr="00D16196">
              <w:t>between 2010-11 and 2013-14.</w:t>
            </w:r>
          </w:p>
        </w:tc>
      </w:tr>
      <w:tr w:rsidR="00B54F4D" w:rsidRPr="00D16196" w:rsidTr="0010799F">
        <w:tc>
          <w:tcPr>
            <w:tcW w:w="8771" w:type="dxa"/>
            <w:tcBorders>
              <w:top w:val="nil"/>
              <w:left w:val="nil"/>
              <w:bottom w:val="nil"/>
              <w:right w:val="nil"/>
            </w:tcBorders>
            <w:shd w:val="clear" w:color="auto" w:fill="auto"/>
          </w:tcPr>
          <w:p w:rsidR="00B54F4D" w:rsidRPr="00D16196" w:rsidRDefault="002501FF" w:rsidP="00D16196">
            <w:pPr>
              <w:pStyle w:val="Source"/>
            </w:pPr>
            <w:r w:rsidRPr="00D16196">
              <w:rPr>
                <w:i/>
              </w:rPr>
              <w:t>S</w:t>
            </w:r>
            <w:r w:rsidR="00B54F4D" w:rsidRPr="00D16196">
              <w:rPr>
                <w:i/>
              </w:rPr>
              <w:t>ource</w:t>
            </w:r>
            <w:r w:rsidR="00B54F4D" w:rsidRPr="00D16196">
              <w:t xml:space="preserve">: </w:t>
            </w:r>
            <w:proofErr w:type="spellStart"/>
            <w:r w:rsidRPr="00D16196">
              <w:t>AIHW</w:t>
            </w:r>
            <w:proofErr w:type="spellEnd"/>
            <w:r w:rsidRPr="00D16196">
              <w:t xml:space="preserve"> data collection (unpublished); table </w:t>
            </w:r>
            <w:proofErr w:type="spellStart"/>
            <w:r w:rsidR="009E5608" w:rsidRPr="00D16196">
              <w:t>15A.26</w:t>
            </w:r>
            <w:proofErr w:type="spellEnd"/>
            <w:r w:rsidRPr="00D16196">
              <w:t>.</w:t>
            </w:r>
          </w:p>
        </w:tc>
      </w:tr>
      <w:tr w:rsidR="00B54F4D" w:rsidRPr="00D16196" w:rsidTr="0010799F">
        <w:tc>
          <w:tcPr>
            <w:tcW w:w="8771" w:type="dxa"/>
            <w:tcBorders>
              <w:top w:val="nil"/>
              <w:left w:val="nil"/>
              <w:bottom w:val="single" w:sz="6" w:space="0" w:color="78A22F"/>
              <w:right w:val="nil"/>
            </w:tcBorders>
            <w:shd w:val="clear" w:color="auto" w:fill="auto"/>
          </w:tcPr>
          <w:p w:rsidR="00B54F4D" w:rsidRPr="00D16196" w:rsidRDefault="00B54F4D" w:rsidP="00D16196">
            <w:pPr>
              <w:pStyle w:val="Figurespace"/>
            </w:pPr>
          </w:p>
        </w:tc>
      </w:tr>
      <w:tr w:rsidR="00B54F4D" w:rsidRPr="00D16196" w:rsidTr="0010799F">
        <w:tc>
          <w:tcPr>
            <w:tcW w:w="8771" w:type="dxa"/>
            <w:tcBorders>
              <w:top w:val="single" w:sz="6" w:space="0" w:color="78A22F"/>
              <w:left w:val="nil"/>
              <w:bottom w:val="nil"/>
              <w:right w:val="nil"/>
            </w:tcBorders>
          </w:tcPr>
          <w:p w:rsidR="00B54F4D" w:rsidRPr="00D16196" w:rsidRDefault="00B54F4D" w:rsidP="00D16196">
            <w:pPr>
              <w:pStyle w:val="BoxSpaceBelow"/>
            </w:pPr>
          </w:p>
        </w:tc>
      </w:tr>
    </w:tbl>
    <w:p w:rsidR="00D17E3E" w:rsidRPr="00D16196" w:rsidRDefault="00D17E3E" w:rsidP="00D16196">
      <w:pPr>
        <w:pStyle w:val="Heading4"/>
      </w:pPr>
      <w:r w:rsidRPr="00D16196">
        <w:t>Out-of-home care — children aged under 12 years in home-based care</w:t>
      </w:r>
    </w:p>
    <w:p w:rsidR="00D17E3E" w:rsidRPr="00D16196" w:rsidRDefault="00D17E3E" w:rsidP="00D16196">
      <w:pPr>
        <w:pStyle w:val="BodyText"/>
      </w:pPr>
      <w:r w:rsidRPr="00D16196">
        <w:t>‘Children aged under 12 years in home-based care’ is an indicator of governments’ objective to provide services which meet the needs of recipients (box</w:t>
      </w:r>
      <w:r w:rsidR="00BB42EE" w:rsidRPr="00D16196">
        <w:t xml:space="preserve"> 15.8</w:t>
      </w:r>
      <w:r w:rsidRPr="00D16196">
        <w:t>).</w:t>
      </w:r>
    </w:p>
    <w:p w:rsidR="007121B8" w:rsidRPr="00D16196" w:rsidRDefault="007121B8"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21B8" w:rsidRPr="00D16196" w:rsidTr="0010799F">
        <w:tc>
          <w:tcPr>
            <w:tcW w:w="8771" w:type="dxa"/>
            <w:tcBorders>
              <w:top w:val="single" w:sz="6" w:space="0" w:color="78A22F"/>
              <w:left w:val="nil"/>
              <w:bottom w:val="nil"/>
              <w:right w:val="nil"/>
            </w:tcBorders>
            <w:shd w:val="clear" w:color="auto" w:fill="F2F2F2" w:themeFill="background1" w:themeFillShade="F2"/>
          </w:tcPr>
          <w:p w:rsidR="007121B8" w:rsidRPr="00D16196" w:rsidRDefault="007121B8" w:rsidP="00D16196">
            <w:pPr>
              <w:pStyle w:val="BoxTitle"/>
            </w:pPr>
            <w:r w:rsidRPr="00D16196">
              <w:rPr>
                <w:b w:val="0"/>
              </w:rPr>
              <w:t>Box</w:t>
            </w:r>
            <w:r w:rsidR="00BB42EE" w:rsidRPr="00D16196">
              <w:rPr>
                <w:b w:val="0"/>
              </w:rPr>
              <w:t xml:space="preserve"> 15.8</w:t>
            </w:r>
            <w:r w:rsidRPr="00D16196">
              <w:tab/>
              <w:t>Children aged under 12 years in home-based care</w:t>
            </w:r>
          </w:p>
        </w:tc>
      </w:tr>
      <w:tr w:rsidR="007121B8" w:rsidRPr="00D16196" w:rsidTr="0010799F">
        <w:trPr>
          <w:cantSplit/>
        </w:trPr>
        <w:tc>
          <w:tcPr>
            <w:tcW w:w="8771" w:type="dxa"/>
            <w:tcBorders>
              <w:top w:val="nil"/>
              <w:left w:val="nil"/>
              <w:bottom w:val="nil"/>
              <w:right w:val="nil"/>
            </w:tcBorders>
            <w:shd w:val="clear" w:color="auto" w:fill="F2F2F2" w:themeFill="background1" w:themeFillShade="F2"/>
          </w:tcPr>
          <w:p w:rsidR="007121B8" w:rsidRPr="00D16196" w:rsidRDefault="007121B8" w:rsidP="00D16196">
            <w:pPr>
              <w:pStyle w:val="Box"/>
            </w:pPr>
            <w:r w:rsidRPr="00D16196">
              <w:t>‘Children aged under 12 years in home-based care’ is defined as the number of children aged under 12 years placed in home-based care divided by the total number of children aged under 12 years in out-of-home care.</w:t>
            </w:r>
          </w:p>
          <w:p w:rsidR="007121B8" w:rsidRPr="00D16196" w:rsidRDefault="007121B8" w:rsidP="00D16196">
            <w:pPr>
              <w:pStyle w:val="Box"/>
            </w:pPr>
            <w:r w:rsidRPr="00D16196">
              <w:t xml:space="preserve">A high or increasing rate </w:t>
            </w:r>
            <w:r w:rsidR="003E234A" w:rsidRPr="00D16196">
              <w:t>of children aged under 12 years</w:t>
            </w:r>
            <w:r w:rsidR="00CB6F8E" w:rsidRPr="00D16196">
              <w:t xml:space="preserve"> in out-of-home care that are placed</w:t>
            </w:r>
            <w:r w:rsidR="003E234A" w:rsidRPr="00D16196">
              <w:t xml:space="preserve"> in home-based care </w:t>
            </w:r>
            <w:r w:rsidRPr="00D16196">
              <w:t xml:space="preserve">is desirable. </w:t>
            </w:r>
          </w:p>
          <w:p w:rsidR="007121B8" w:rsidRPr="00D16196" w:rsidRDefault="007121B8" w:rsidP="00D16196">
            <w:pPr>
              <w:pStyle w:val="Box"/>
            </w:pPr>
            <w:r w:rsidRPr="00D16196">
              <w:t xml:space="preserve">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or institutional care environments. </w:t>
            </w:r>
          </w:p>
          <w:p w:rsidR="007121B8" w:rsidRPr="00D16196" w:rsidRDefault="007121B8" w:rsidP="00D16196">
            <w:pPr>
              <w:pStyle w:val="Box"/>
            </w:pPr>
            <w:r w:rsidRPr="00D16196">
              <w:t>Data reported for this indicator are:</w:t>
            </w:r>
          </w:p>
          <w:p w:rsidR="007121B8" w:rsidRPr="00D16196" w:rsidRDefault="007121B8" w:rsidP="00D16196">
            <w:pPr>
              <w:pStyle w:val="BoxListBullet"/>
            </w:pPr>
            <w:r w:rsidRPr="00D16196">
              <w:t>comparable (subject to caveats) across jurisdictions and over time</w:t>
            </w:r>
          </w:p>
          <w:p w:rsidR="007121B8" w:rsidRPr="00D16196" w:rsidRDefault="007121B8" w:rsidP="00D16196">
            <w:pPr>
              <w:pStyle w:val="BoxListBullet"/>
            </w:pPr>
            <w:r w:rsidRPr="00D16196">
              <w:t>complete for the current rep</w:t>
            </w:r>
            <w:r w:rsidR="00642563" w:rsidRPr="00D16196">
              <w:t>orting period</w:t>
            </w:r>
            <w:r w:rsidR="000C2475" w:rsidRPr="00D16196">
              <w:t xml:space="preserve">. All required </w:t>
            </w:r>
            <w:r w:rsidR="00DC3A17" w:rsidRPr="00D16196">
              <w:t xml:space="preserve">2014-15 </w:t>
            </w:r>
            <w:r w:rsidR="000C2475" w:rsidRPr="00D16196">
              <w:t>data are available for all jurisdictions.</w:t>
            </w:r>
          </w:p>
          <w:p w:rsidR="007121B8" w:rsidRPr="00D16196" w:rsidRDefault="007121B8"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00E927B9" w:rsidRPr="00D16196">
              <w:t>/</w:t>
            </w:r>
            <w:proofErr w:type="spellStart"/>
            <w:r w:rsidR="00E927B9" w:rsidRPr="00D16196">
              <w:t>rogs</w:t>
            </w:r>
            <w:proofErr w:type="spellEnd"/>
            <w:r w:rsidR="00E927B9" w:rsidRPr="00D16196">
              <w:t>/2016</w:t>
            </w:r>
            <w:r w:rsidRPr="00D16196">
              <w:t>.</w:t>
            </w:r>
          </w:p>
        </w:tc>
      </w:tr>
      <w:tr w:rsidR="007121B8"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7121B8" w:rsidRPr="00D16196" w:rsidRDefault="007121B8" w:rsidP="00D16196">
            <w:pPr>
              <w:pStyle w:val="Box"/>
              <w:spacing w:before="0" w:line="120" w:lineRule="exact"/>
            </w:pPr>
          </w:p>
        </w:tc>
      </w:tr>
      <w:tr w:rsidR="007121B8" w:rsidRPr="00D16196" w:rsidTr="0010799F">
        <w:tc>
          <w:tcPr>
            <w:tcW w:w="8771" w:type="dxa"/>
            <w:tcBorders>
              <w:top w:val="single" w:sz="6" w:space="0" w:color="78A22F"/>
              <w:left w:val="nil"/>
              <w:bottom w:val="nil"/>
              <w:right w:val="nil"/>
            </w:tcBorders>
          </w:tcPr>
          <w:p w:rsidR="007121B8" w:rsidRPr="00D16196" w:rsidRDefault="007121B8" w:rsidP="00D16196">
            <w:pPr>
              <w:pStyle w:val="BoxSpaceBelow"/>
            </w:pPr>
          </w:p>
        </w:tc>
      </w:tr>
    </w:tbl>
    <w:p w:rsidR="00D17E3E" w:rsidRPr="00D16196" w:rsidRDefault="00644CF1" w:rsidP="00D16196">
      <w:pPr>
        <w:pStyle w:val="BodyText"/>
      </w:pPr>
      <w:r w:rsidRPr="00D16196">
        <w:t>Nationally, t</w:t>
      </w:r>
      <w:r w:rsidR="00D17E3E" w:rsidRPr="00D16196">
        <w:t xml:space="preserve">he proportion of all children aged under 12 years in care who were placed in home-based care </w:t>
      </w:r>
      <w:r w:rsidR="009310DB" w:rsidRPr="00D16196">
        <w:t xml:space="preserve">at 30 June </w:t>
      </w:r>
      <w:r w:rsidR="00C441D9" w:rsidRPr="00D16196">
        <w:t>201</w:t>
      </w:r>
      <w:r w:rsidR="00E927B9" w:rsidRPr="00D16196">
        <w:t>5</w:t>
      </w:r>
      <w:r w:rsidR="00D17E3E" w:rsidRPr="00D16196">
        <w:t xml:space="preserve"> was</w:t>
      </w:r>
      <w:r w:rsidR="001315CB" w:rsidRPr="00D16196">
        <w:t xml:space="preserve"> 97.4</w:t>
      </w:r>
      <w:r w:rsidR="00D17E3E" w:rsidRPr="00D16196">
        <w:t xml:space="preserve"> per cent. </w:t>
      </w:r>
      <w:r w:rsidR="00166C84" w:rsidRPr="00D16196">
        <w:t>P</w:t>
      </w:r>
      <w:r w:rsidR="00D17E3E" w:rsidRPr="00D16196">
        <w:t>roportion</w:t>
      </w:r>
      <w:r w:rsidR="003015D5" w:rsidRPr="00D16196">
        <w:t>s</w:t>
      </w:r>
      <w:r w:rsidR="00D17E3E" w:rsidRPr="00D16196">
        <w:t xml:space="preserve"> </w:t>
      </w:r>
      <w:r w:rsidR="00166C84" w:rsidRPr="00D16196">
        <w:t xml:space="preserve">were similar for </w:t>
      </w:r>
      <w:r w:rsidR="007C75CE" w:rsidRPr="00D16196">
        <w:t>Aboriginal and Torres Strait Islander</w:t>
      </w:r>
      <w:r w:rsidR="00D17E3E" w:rsidRPr="00D16196">
        <w:t xml:space="preserve"> </w:t>
      </w:r>
      <w:r w:rsidR="003015D5" w:rsidRPr="00D16196">
        <w:t xml:space="preserve">and non-Indigenous </w:t>
      </w:r>
      <w:r w:rsidR="00D17E3E" w:rsidRPr="00D16196">
        <w:t>children</w:t>
      </w:r>
      <w:r w:rsidR="00411348" w:rsidRPr="00D16196">
        <w:t>, and have been consistent across available time series data</w:t>
      </w:r>
      <w:r w:rsidR="00D17E3E" w:rsidRPr="00D16196">
        <w:t xml:space="preserve"> </w:t>
      </w:r>
      <w:r w:rsidR="00D83AC6" w:rsidRPr="00D16196">
        <w:t>(f</w:t>
      </w:r>
      <w:r w:rsidR="00A94BD2" w:rsidRPr="00D16196">
        <w:t>igure </w:t>
      </w:r>
      <w:r w:rsidR="00BB42EE" w:rsidRPr="00D16196">
        <w:t>15.</w:t>
      </w:r>
      <w:r w:rsidR="008155B4" w:rsidRPr="00D16196">
        <w:t>7</w:t>
      </w:r>
      <w:r w:rsidR="00411348" w:rsidRPr="00D16196">
        <w:t xml:space="preserve">; table </w:t>
      </w:r>
      <w:proofErr w:type="spellStart"/>
      <w:r w:rsidR="00411348" w:rsidRPr="00D16196">
        <w:t>15A.25</w:t>
      </w:r>
      <w:proofErr w:type="spellEnd"/>
      <w:r w:rsidR="00D83AC6" w:rsidRPr="00D16196">
        <w:t>).</w:t>
      </w:r>
    </w:p>
    <w:p w:rsidR="00702681" w:rsidRPr="00D16196" w:rsidRDefault="00702681"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681" w:rsidRPr="00D16196" w:rsidTr="0010799F">
        <w:tc>
          <w:tcPr>
            <w:tcW w:w="8771" w:type="dxa"/>
            <w:tcBorders>
              <w:top w:val="single" w:sz="6" w:space="0" w:color="78A22F"/>
              <w:left w:val="nil"/>
              <w:bottom w:val="nil"/>
              <w:right w:val="nil"/>
            </w:tcBorders>
            <w:shd w:val="clear" w:color="auto" w:fill="auto"/>
          </w:tcPr>
          <w:p w:rsidR="00702681" w:rsidRPr="00D16196" w:rsidRDefault="00702681" w:rsidP="00D16196">
            <w:pPr>
              <w:pStyle w:val="FigureTitle"/>
            </w:pPr>
            <w:r w:rsidRPr="00D16196">
              <w:rPr>
                <w:b w:val="0"/>
              </w:rPr>
              <w:t xml:space="preserve">Figure </w:t>
            </w:r>
            <w:bookmarkStart w:id="35" w:name="OLE_LINK24"/>
            <w:r w:rsidR="009E5608" w:rsidRPr="00D16196">
              <w:rPr>
                <w:b w:val="0"/>
              </w:rPr>
              <w:t>15.</w:t>
            </w:r>
            <w:bookmarkEnd w:id="35"/>
            <w:r w:rsidR="008155B4" w:rsidRPr="00D16196">
              <w:rPr>
                <w:b w:val="0"/>
              </w:rPr>
              <w:t>7</w:t>
            </w:r>
            <w:r w:rsidRPr="00D16196">
              <w:tab/>
              <w:t>Proportion of chil</w:t>
            </w:r>
            <w:r w:rsidR="00832C39" w:rsidRPr="00D16196">
              <w:t>dren aged under 12 years in out</w:t>
            </w:r>
            <w:r w:rsidR="00832C39" w:rsidRPr="00D16196">
              <w:noBreakHyphen/>
              <w:t>of</w:t>
            </w:r>
            <w:r w:rsidR="00832C39" w:rsidRPr="00D16196">
              <w:noBreakHyphen/>
            </w:r>
            <w:r w:rsidRPr="00D16196">
              <w:t xml:space="preserve">home care who were in a home-based placement, by </w:t>
            </w:r>
            <w:r w:rsidR="007F0D6A" w:rsidRPr="00D16196">
              <w:t>Indigenous</w:t>
            </w:r>
            <w:r w:rsidRPr="00D16196">
              <w:t xml:space="preserve"> status, </w:t>
            </w:r>
            <w:r w:rsidR="00B9186B" w:rsidRPr="00D16196">
              <w:t xml:space="preserve">at </w:t>
            </w:r>
            <w:r w:rsidRPr="00D16196">
              <w:t>30 June 201</w:t>
            </w:r>
            <w:r w:rsidR="00E927B9" w:rsidRPr="00D16196">
              <w:t>5</w:t>
            </w:r>
            <w:r w:rsidRPr="00D16196">
              <w:rPr>
                <w:rStyle w:val="NoteLabel"/>
                <w:b/>
              </w:rPr>
              <w:t>a</w:t>
            </w:r>
          </w:p>
        </w:tc>
      </w:tr>
      <w:tr w:rsidR="00702681"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0000"/>
              <w:tblLayout w:type="fixed"/>
              <w:tblCellMar>
                <w:top w:w="28" w:type="dxa"/>
              </w:tblCellMar>
              <w:tblLook w:val="0000" w:firstRow="0" w:lastRow="0" w:firstColumn="0" w:lastColumn="0" w:noHBand="0" w:noVBand="0"/>
            </w:tblPr>
            <w:tblGrid>
              <w:gridCol w:w="8487"/>
            </w:tblGrid>
            <w:tr w:rsidR="00702681" w:rsidRPr="00D16196" w:rsidTr="007D2723">
              <w:tc>
                <w:tcPr>
                  <w:tcW w:w="8487" w:type="dxa"/>
                  <w:tcBorders>
                    <w:top w:val="nil"/>
                    <w:bottom w:val="nil"/>
                  </w:tcBorders>
                  <w:shd w:val="clear" w:color="auto" w:fill="auto"/>
                </w:tcPr>
                <w:p w:rsidR="00702681" w:rsidRPr="00D16196" w:rsidRDefault="007D2723" w:rsidP="00D16196">
                  <w:pPr>
                    <w:pStyle w:val="Figure"/>
                  </w:pPr>
                  <w:r w:rsidRPr="00D16196">
                    <w:rPr>
                      <w:noProof/>
                    </w:rPr>
                    <w:drawing>
                      <wp:inline distT="0" distB="0" distL="0" distR="0" wp14:anchorId="106981F2" wp14:editId="3AAACBC6">
                        <wp:extent cx="5400000" cy="2556000"/>
                        <wp:effectExtent l="0" t="0" r="0" b="0"/>
                        <wp:docPr id="29" name="Chart 29" descr="Figure 15.7 Proportion of children aged under 12 years in out of home care who were in a home-based placement, by Indigenous status, at 30 June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rsidR="00702681" w:rsidRPr="00D16196" w:rsidRDefault="00702681" w:rsidP="00D16196">
            <w:pPr>
              <w:pStyle w:val="Figure"/>
            </w:pPr>
          </w:p>
        </w:tc>
      </w:tr>
      <w:tr w:rsidR="00702681" w:rsidRPr="00D16196" w:rsidTr="0010799F">
        <w:tc>
          <w:tcPr>
            <w:tcW w:w="8771" w:type="dxa"/>
            <w:tcBorders>
              <w:top w:val="nil"/>
              <w:left w:val="nil"/>
              <w:bottom w:val="nil"/>
              <w:right w:val="nil"/>
            </w:tcBorders>
            <w:shd w:val="clear" w:color="auto" w:fill="auto"/>
          </w:tcPr>
          <w:p w:rsidR="00702681" w:rsidRPr="00D16196" w:rsidRDefault="00702681" w:rsidP="005C2D7C">
            <w:pPr>
              <w:pStyle w:val="Note"/>
            </w:pPr>
            <w:r w:rsidRPr="00D16196">
              <w:rPr>
                <w:rStyle w:val="NoteLabel"/>
              </w:rPr>
              <w:t>a</w:t>
            </w:r>
            <w:r w:rsidRPr="00D16196">
              <w:t xml:space="preserve"> See </w:t>
            </w:r>
            <w:r w:rsidR="001315CB" w:rsidRPr="00D16196">
              <w:t xml:space="preserve">box </w:t>
            </w:r>
            <w:r w:rsidR="00601546" w:rsidRPr="00D16196">
              <w:t>15.</w:t>
            </w:r>
            <w:r w:rsidR="005C2D7C">
              <w:t>8</w:t>
            </w:r>
            <w:r w:rsidR="00601546" w:rsidRPr="00D16196">
              <w:t xml:space="preserve"> and table </w:t>
            </w:r>
            <w:proofErr w:type="spellStart"/>
            <w:r w:rsidR="00601546" w:rsidRPr="00D16196">
              <w:t>15A.25</w:t>
            </w:r>
            <w:proofErr w:type="spellEnd"/>
            <w:r w:rsidR="00601546" w:rsidRPr="00D16196">
              <w:t xml:space="preserve"> </w:t>
            </w:r>
            <w:r w:rsidRPr="00D16196">
              <w:t xml:space="preserve">for detailed </w:t>
            </w:r>
            <w:r w:rsidR="001315CB" w:rsidRPr="00D16196">
              <w:t xml:space="preserve">definitions, </w:t>
            </w:r>
            <w:r w:rsidRPr="00D16196">
              <w:t>footnotes</w:t>
            </w:r>
            <w:r w:rsidR="001315CB" w:rsidRPr="00D16196">
              <w:t xml:space="preserve"> and caveats</w:t>
            </w:r>
            <w:r w:rsidRPr="00D16196">
              <w:t>.</w:t>
            </w:r>
          </w:p>
        </w:tc>
      </w:tr>
      <w:tr w:rsidR="00702681" w:rsidRPr="00D16196" w:rsidTr="0010799F">
        <w:tc>
          <w:tcPr>
            <w:tcW w:w="8771" w:type="dxa"/>
            <w:tcBorders>
              <w:top w:val="nil"/>
              <w:left w:val="nil"/>
              <w:bottom w:val="nil"/>
              <w:right w:val="nil"/>
            </w:tcBorders>
            <w:shd w:val="clear" w:color="auto" w:fill="auto"/>
          </w:tcPr>
          <w:p w:rsidR="00702681" w:rsidRPr="00D16196" w:rsidRDefault="00702681" w:rsidP="00D16196">
            <w:pPr>
              <w:pStyle w:val="Source"/>
            </w:pPr>
            <w:r w:rsidRPr="00D16196">
              <w:rPr>
                <w:i/>
              </w:rPr>
              <w:t>Source</w:t>
            </w:r>
            <w:r w:rsidRPr="00D16196">
              <w:t xml:space="preserve">: </w:t>
            </w:r>
            <w:proofErr w:type="spellStart"/>
            <w:r w:rsidRPr="00D16196">
              <w:t>AIHW</w:t>
            </w:r>
            <w:proofErr w:type="spellEnd"/>
            <w:r w:rsidRPr="00D16196">
              <w:t xml:space="preserve"> data collection (unpublished); table </w:t>
            </w:r>
            <w:proofErr w:type="spellStart"/>
            <w:r w:rsidR="009E5608" w:rsidRPr="00D16196">
              <w:t>15A.25</w:t>
            </w:r>
            <w:proofErr w:type="spellEnd"/>
            <w:r w:rsidRPr="00D16196">
              <w:t>.</w:t>
            </w:r>
          </w:p>
        </w:tc>
      </w:tr>
      <w:tr w:rsidR="00702681" w:rsidRPr="00D16196" w:rsidTr="0010799F">
        <w:tc>
          <w:tcPr>
            <w:tcW w:w="8771" w:type="dxa"/>
            <w:tcBorders>
              <w:top w:val="nil"/>
              <w:left w:val="nil"/>
              <w:bottom w:val="single" w:sz="6" w:space="0" w:color="78A22F"/>
              <w:right w:val="nil"/>
            </w:tcBorders>
            <w:shd w:val="clear" w:color="auto" w:fill="auto"/>
          </w:tcPr>
          <w:p w:rsidR="00702681" w:rsidRPr="00D16196" w:rsidRDefault="00702681" w:rsidP="00D16196">
            <w:pPr>
              <w:pStyle w:val="Figurespace"/>
            </w:pPr>
          </w:p>
        </w:tc>
      </w:tr>
      <w:tr w:rsidR="00702681" w:rsidRPr="00D16196" w:rsidTr="0010799F">
        <w:tc>
          <w:tcPr>
            <w:tcW w:w="8771" w:type="dxa"/>
            <w:tcBorders>
              <w:top w:val="single" w:sz="6" w:space="0" w:color="78A22F"/>
              <w:left w:val="nil"/>
              <w:bottom w:val="nil"/>
              <w:right w:val="nil"/>
            </w:tcBorders>
          </w:tcPr>
          <w:p w:rsidR="00702681" w:rsidRPr="00D16196" w:rsidRDefault="00702681" w:rsidP="00D16196">
            <w:pPr>
              <w:pStyle w:val="BoxSpaceBelow"/>
            </w:pPr>
          </w:p>
        </w:tc>
      </w:tr>
    </w:tbl>
    <w:p w:rsidR="006842D6" w:rsidRPr="00D16196" w:rsidRDefault="006842D6" w:rsidP="00D16196">
      <w:pPr>
        <w:pStyle w:val="Heading4"/>
      </w:pPr>
      <w:r w:rsidRPr="00D16196">
        <w:lastRenderedPageBreak/>
        <w:t>Out-of-home care — placement with extended family</w:t>
      </w:r>
    </w:p>
    <w:p w:rsidR="006C722D" w:rsidRPr="00D16196" w:rsidRDefault="006842D6" w:rsidP="00D16196">
      <w:pPr>
        <w:pStyle w:val="BodyText"/>
      </w:pPr>
      <w:r w:rsidRPr="00D16196">
        <w:t xml:space="preserve">‘Placement with extended family’ </w:t>
      </w:r>
      <w:r w:rsidR="00F47259" w:rsidRPr="00D16196">
        <w:t xml:space="preserve">is an indicator of governments’ objective to provide services that meet the needs of recipients </w:t>
      </w:r>
      <w:r w:rsidRPr="00D16196">
        <w:t>(box</w:t>
      </w:r>
      <w:r w:rsidR="00BB42EE" w:rsidRPr="00D16196">
        <w:t xml:space="preserve"> 15.9</w:t>
      </w:r>
      <w:r w:rsidR="00163FF6" w:rsidRPr="00D16196">
        <w:t>).</w:t>
      </w:r>
    </w:p>
    <w:p w:rsidR="00702681" w:rsidRPr="00D16196" w:rsidRDefault="00702681"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681" w:rsidRPr="00D16196" w:rsidTr="0010799F">
        <w:tc>
          <w:tcPr>
            <w:tcW w:w="8771" w:type="dxa"/>
            <w:tcBorders>
              <w:top w:val="single" w:sz="6" w:space="0" w:color="78A22F"/>
              <w:left w:val="nil"/>
              <w:bottom w:val="nil"/>
              <w:right w:val="nil"/>
            </w:tcBorders>
            <w:shd w:val="clear" w:color="auto" w:fill="F2F2F2" w:themeFill="background1" w:themeFillShade="F2"/>
          </w:tcPr>
          <w:p w:rsidR="00702681" w:rsidRPr="00D16196" w:rsidRDefault="00702681" w:rsidP="00D16196">
            <w:pPr>
              <w:pStyle w:val="BoxTitle"/>
            </w:pPr>
            <w:r w:rsidRPr="00D16196">
              <w:rPr>
                <w:b w:val="0"/>
              </w:rPr>
              <w:t>Box</w:t>
            </w:r>
            <w:r w:rsidR="00BB42EE" w:rsidRPr="00D16196">
              <w:rPr>
                <w:b w:val="0"/>
              </w:rPr>
              <w:t xml:space="preserve"> 15.9</w:t>
            </w:r>
            <w:r w:rsidRPr="00D16196">
              <w:tab/>
              <w:t>Placement with extended family</w:t>
            </w:r>
          </w:p>
        </w:tc>
      </w:tr>
      <w:tr w:rsidR="00702681" w:rsidRPr="00D16196" w:rsidTr="0010799F">
        <w:trPr>
          <w:cantSplit/>
        </w:trPr>
        <w:tc>
          <w:tcPr>
            <w:tcW w:w="8771" w:type="dxa"/>
            <w:tcBorders>
              <w:top w:val="nil"/>
              <w:left w:val="nil"/>
              <w:bottom w:val="nil"/>
              <w:right w:val="nil"/>
            </w:tcBorders>
            <w:shd w:val="clear" w:color="auto" w:fill="F2F2F2" w:themeFill="background1" w:themeFillShade="F2"/>
          </w:tcPr>
          <w:p w:rsidR="00702681" w:rsidRPr="00D16196" w:rsidRDefault="00702681" w:rsidP="00D16196">
            <w:pPr>
              <w:pStyle w:val="Box"/>
            </w:pPr>
            <w:r w:rsidRPr="00D16196">
              <w:t>‘Placement with extended family’ is defined as the proportion of all children in</w:t>
            </w:r>
            <w:r w:rsidR="00B83ED5" w:rsidRPr="00D16196">
              <w:t xml:space="preserve"> </w:t>
            </w:r>
            <w:r w:rsidRPr="00D16196">
              <w:t>out-of-home care who are placed with relatives or kin who receive government financial ass</w:t>
            </w:r>
            <w:r w:rsidR="00BB42EE" w:rsidRPr="00D16196">
              <w:t>istance to care for that child.</w:t>
            </w:r>
          </w:p>
          <w:p w:rsidR="00702681" w:rsidRPr="00D16196" w:rsidRDefault="00702681" w:rsidP="00D16196">
            <w:pPr>
              <w:pStyle w:val="Box"/>
            </w:pPr>
            <w:r w:rsidRPr="00D16196">
              <w:t>A high or increasing rate for this indicator is desirable. Placing children with their relatives or kin is generally the preferred out-of-home care placement option. This option is generally associated with better long</w:t>
            </w:r>
            <w:r w:rsidR="00DC3A17" w:rsidRPr="00D16196">
              <w:t>-</w:t>
            </w:r>
            <w:r w:rsidRPr="00D16196">
              <w:t xml:space="preserve">term outcomes due to increased continuity, familiarity and stability for the child. Relatives are more likely to have or </w:t>
            </w:r>
            <w:r w:rsidR="0095237A" w:rsidRPr="00D16196">
              <w:t xml:space="preserve">to </w:t>
            </w:r>
            <w:r w:rsidRPr="00D16196">
              <w:t>form long</w:t>
            </w:r>
            <w:r w:rsidR="00DC3A17" w:rsidRPr="00D16196">
              <w:t>-</w:t>
            </w:r>
            <w:r w:rsidRPr="00D16196">
              <w:t>term emotional bonds with the child. Placement with familiar people can help to overcome the loss of attachment and belonging that can occur when children are placed in out-of-home care.</w:t>
            </w:r>
          </w:p>
          <w:p w:rsidR="00702681" w:rsidRPr="00D16196" w:rsidRDefault="00702681" w:rsidP="00D16196">
            <w:pPr>
              <w:pStyle w:val="Box"/>
            </w:pPr>
            <w:r w:rsidRPr="00D16196">
              <w:t xml:space="preserve">Placement with extended family </w:t>
            </w:r>
            <w:r w:rsidR="0095237A" w:rsidRPr="00D16196">
              <w:t>should</w:t>
            </w:r>
            <w:r w:rsidRPr="00D16196">
              <w:t xml:space="preserve"> be considered with other factors in the placement decision, as placements with extended family may not always be the best option. Long standing family dynamics can undermine the pursuit of case goals such as reunification, and the possibility of intergenerational abuse needs to be considered. In addition, depending on the individual circumstances of the child, it may be more important to have a local placement that enables continuity at school, for example, rather than a distant placement with relatives.</w:t>
            </w:r>
          </w:p>
          <w:p w:rsidR="00702681" w:rsidRPr="00D16196" w:rsidRDefault="00702681" w:rsidP="00D16196">
            <w:pPr>
              <w:pStyle w:val="Box"/>
            </w:pPr>
            <w:r w:rsidRPr="00D16196">
              <w:t>Data reported for this indicator are:</w:t>
            </w:r>
          </w:p>
          <w:p w:rsidR="00702681" w:rsidRPr="00D16196" w:rsidRDefault="00702681" w:rsidP="00D16196">
            <w:pPr>
              <w:pStyle w:val="BoxListBullet"/>
            </w:pPr>
            <w:r w:rsidRPr="00D16196">
              <w:t>comparable (subject to caveats) across jurisdictions and over time</w:t>
            </w:r>
          </w:p>
          <w:p w:rsidR="00702681" w:rsidRPr="00D16196" w:rsidRDefault="00702681" w:rsidP="00D16196">
            <w:pPr>
              <w:pStyle w:val="BoxListBullet"/>
            </w:pPr>
            <w:r w:rsidRPr="00D16196">
              <w:t xml:space="preserve">complete for the current reporting period. </w:t>
            </w:r>
            <w:r w:rsidR="00DC3A17" w:rsidRPr="00D16196">
              <w:t>All required data for 2014-15 are available for all jurisdictions.</w:t>
            </w:r>
          </w:p>
          <w:p w:rsidR="00702681" w:rsidRPr="00D16196" w:rsidRDefault="00702681"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E927B9" w:rsidRPr="00D16196">
              <w:t>6</w:t>
            </w:r>
            <w:r w:rsidRPr="00D16196">
              <w:t>.</w:t>
            </w:r>
          </w:p>
        </w:tc>
      </w:tr>
      <w:tr w:rsidR="00702681"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702681" w:rsidRPr="00D16196" w:rsidRDefault="00702681" w:rsidP="00D16196">
            <w:pPr>
              <w:pStyle w:val="Box"/>
              <w:spacing w:before="0" w:line="120" w:lineRule="exact"/>
            </w:pPr>
          </w:p>
        </w:tc>
      </w:tr>
      <w:tr w:rsidR="00702681" w:rsidRPr="00D16196" w:rsidTr="0010799F">
        <w:tc>
          <w:tcPr>
            <w:tcW w:w="8771" w:type="dxa"/>
            <w:tcBorders>
              <w:top w:val="single" w:sz="6" w:space="0" w:color="78A22F"/>
              <w:left w:val="nil"/>
              <w:bottom w:val="nil"/>
              <w:right w:val="nil"/>
            </w:tcBorders>
          </w:tcPr>
          <w:p w:rsidR="00702681" w:rsidRPr="00D16196" w:rsidRDefault="00702681" w:rsidP="00D16196">
            <w:pPr>
              <w:pStyle w:val="BoxSpaceBelow"/>
            </w:pPr>
          </w:p>
        </w:tc>
      </w:tr>
    </w:tbl>
    <w:p w:rsidR="00411348" w:rsidRPr="00D16196" w:rsidRDefault="00411348" w:rsidP="00D16196">
      <w:pPr>
        <w:pStyle w:val="BodyText"/>
      </w:pPr>
      <w:r w:rsidRPr="00D16196">
        <w:t>Nationally in 2014-15, t</w:t>
      </w:r>
      <w:r w:rsidR="003D7D86" w:rsidRPr="00D16196">
        <w:t>he proportion of children placed with</w:t>
      </w:r>
      <w:r w:rsidRPr="00D16196">
        <w:t xml:space="preserve"> relatives or kin at 30 June </w:t>
      </w:r>
      <w:r w:rsidR="009310DB" w:rsidRPr="00D16196">
        <w:t>201</w:t>
      </w:r>
      <w:r w:rsidR="00E927B9" w:rsidRPr="00D16196">
        <w:t>5</w:t>
      </w:r>
      <w:r w:rsidR="003D7D86" w:rsidRPr="00D16196">
        <w:t xml:space="preserve"> </w:t>
      </w:r>
      <w:r w:rsidRPr="00D16196">
        <w:t xml:space="preserve">was 47.3 per cent. The proportion was slightly higher for </w:t>
      </w:r>
      <w:r w:rsidR="007C75CE" w:rsidRPr="00D16196">
        <w:t>Aboriginal and Torres Strait Islander</w:t>
      </w:r>
      <w:r w:rsidR="00456941" w:rsidRPr="00D16196">
        <w:t xml:space="preserve"> children </w:t>
      </w:r>
      <w:r w:rsidRPr="00D16196">
        <w:t xml:space="preserve">(48.8 per cent) </w:t>
      </w:r>
      <w:r w:rsidR="00456941" w:rsidRPr="00D16196">
        <w:t>than for non</w:t>
      </w:r>
      <w:r w:rsidR="00456941" w:rsidRPr="00D16196">
        <w:noBreakHyphen/>
      </w:r>
      <w:r w:rsidR="003D7D86" w:rsidRPr="00D16196">
        <w:t xml:space="preserve">Indigenous children </w:t>
      </w:r>
      <w:r w:rsidRPr="00D16196">
        <w:t xml:space="preserve">(46.5 per cent) </w:t>
      </w:r>
      <w:r w:rsidR="003D7D86" w:rsidRPr="00D16196">
        <w:t>(figure</w:t>
      </w:r>
      <w:r w:rsidR="00BB42EE" w:rsidRPr="00D16196">
        <w:t xml:space="preserve"> 15.8</w:t>
      </w:r>
      <w:r w:rsidR="003D7D86" w:rsidRPr="00D16196">
        <w:t>).</w:t>
      </w:r>
      <w:r w:rsidR="00850EE7" w:rsidRPr="00D16196">
        <w:t xml:space="preserve"> </w:t>
      </w:r>
      <w:r w:rsidRPr="00D16196">
        <w:t xml:space="preserve">The proportion of children placed with relatives or kin has increased since 30 June 2006 (40.5 per cent). </w:t>
      </w:r>
    </w:p>
    <w:p w:rsidR="00FD6CA3" w:rsidRPr="00D16196" w:rsidRDefault="00EF33F6" w:rsidP="00D16196">
      <w:pPr>
        <w:pStyle w:val="BodyText"/>
      </w:pPr>
      <w:r w:rsidRPr="00D16196">
        <w:t>T</w:t>
      </w:r>
      <w:r w:rsidR="00752B44" w:rsidRPr="00D16196">
        <w:t xml:space="preserve">he Aboriginal </w:t>
      </w:r>
      <w:r w:rsidR="003D7D86" w:rsidRPr="00D16196">
        <w:t xml:space="preserve">Child Placement </w:t>
      </w:r>
      <w:r w:rsidR="00F85D1E" w:rsidRPr="00D16196">
        <w:t>P</w:t>
      </w:r>
      <w:r w:rsidR="003D7D86" w:rsidRPr="00D16196">
        <w:t xml:space="preserve">rinciple </w:t>
      </w:r>
      <w:r w:rsidR="009A608D" w:rsidRPr="00D16196">
        <w:t>gives</w:t>
      </w:r>
      <w:r w:rsidR="00752B44" w:rsidRPr="00D16196">
        <w:t xml:space="preserve"> </w:t>
      </w:r>
      <w:r w:rsidRPr="00D16196">
        <w:t>considerable</w:t>
      </w:r>
      <w:r w:rsidR="00752B44" w:rsidRPr="00D16196">
        <w:t xml:space="preserve"> emphasis </w:t>
      </w:r>
      <w:r w:rsidR="009A608D" w:rsidRPr="00D16196">
        <w:t xml:space="preserve">to </w:t>
      </w:r>
      <w:r w:rsidR="00D4397B" w:rsidRPr="00D16196">
        <w:t xml:space="preserve">the </w:t>
      </w:r>
      <w:r w:rsidR="00752B44" w:rsidRPr="00D16196">
        <w:t xml:space="preserve">placement of </w:t>
      </w:r>
      <w:r w:rsidR="007C75CE" w:rsidRPr="00D16196">
        <w:t>Aboriginal and Torres Strait Islander</w:t>
      </w:r>
      <w:r w:rsidR="00752B44" w:rsidRPr="00D16196">
        <w:t xml:space="preserve"> children with extended family. This principle is discussed in box</w:t>
      </w:r>
      <w:r w:rsidR="00B32FE5" w:rsidRPr="00D16196">
        <w:t> </w:t>
      </w:r>
      <w:r w:rsidR="00BB42EE" w:rsidRPr="00D16196">
        <w:t>15.10</w:t>
      </w:r>
      <w:r w:rsidR="00355F40" w:rsidRPr="00D16196">
        <w:t>.</w:t>
      </w:r>
    </w:p>
    <w:p w:rsidR="00B83ED5" w:rsidRPr="00D16196" w:rsidRDefault="00B83ED5"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ED5" w:rsidRPr="00D16196" w:rsidTr="0010799F">
        <w:tc>
          <w:tcPr>
            <w:tcW w:w="8771" w:type="dxa"/>
            <w:tcBorders>
              <w:top w:val="single" w:sz="6" w:space="0" w:color="78A22F"/>
              <w:left w:val="nil"/>
              <w:bottom w:val="nil"/>
              <w:right w:val="nil"/>
            </w:tcBorders>
            <w:shd w:val="clear" w:color="auto" w:fill="auto"/>
          </w:tcPr>
          <w:p w:rsidR="00B83ED5" w:rsidRPr="00D16196" w:rsidRDefault="00B83ED5" w:rsidP="00D16196">
            <w:pPr>
              <w:pStyle w:val="FigureTitle"/>
            </w:pPr>
            <w:r w:rsidRPr="00D16196">
              <w:rPr>
                <w:b w:val="0"/>
              </w:rPr>
              <w:t xml:space="preserve">Figure </w:t>
            </w:r>
            <w:bookmarkStart w:id="36" w:name="OLE_LINK26"/>
            <w:r w:rsidR="009E5608" w:rsidRPr="00D16196">
              <w:rPr>
                <w:b w:val="0"/>
              </w:rPr>
              <w:t>15.</w:t>
            </w:r>
            <w:bookmarkEnd w:id="36"/>
            <w:r w:rsidR="008155B4" w:rsidRPr="00D16196">
              <w:rPr>
                <w:b w:val="0"/>
              </w:rPr>
              <w:t>8</w:t>
            </w:r>
            <w:r w:rsidRPr="00D16196">
              <w:tab/>
            </w:r>
            <w:r w:rsidR="00240A3E" w:rsidRPr="00D16196">
              <w:t xml:space="preserve">Proportion of children in out-of-home care placed with relatives/kin, by </w:t>
            </w:r>
            <w:r w:rsidR="007F0D6A" w:rsidRPr="00D16196">
              <w:t>Indigenous</w:t>
            </w:r>
            <w:r w:rsidR="00240A3E" w:rsidRPr="00D16196">
              <w:t xml:space="preserve"> status, </w:t>
            </w:r>
            <w:r w:rsidR="00B9186B" w:rsidRPr="00D16196">
              <w:t xml:space="preserve">at </w:t>
            </w:r>
            <w:r w:rsidR="00240A3E" w:rsidRPr="00D16196">
              <w:t>30 June 201</w:t>
            </w:r>
            <w:r w:rsidR="00E927B9" w:rsidRPr="00D16196">
              <w:t>5</w:t>
            </w:r>
            <w:r w:rsidR="00240A3E" w:rsidRPr="00D16196">
              <w:rPr>
                <w:rStyle w:val="NoteLabel"/>
                <w:b/>
              </w:rPr>
              <w:t>a</w:t>
            </w:r>
          </w:p>
        </w:tc>
      </w:tr>
      <w:tr w:rsidR="00B83ED5"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B83ED5" w:rsidRPr="00D16196" w:rsidTr="007D2723">
              <w:tc>
                <w:tcPr>
                  <w:tcW w:w="8487" w:type="dxa"/>
                  <w:tcBorders>
                    <w:top w:val="nil"/>
                    <w:bottom w:val="nil"/>
                  </w:tcBorders>
                  <w:shd w:val="clear" w:color="auto" w:fill="auto"/>
                </w:tcPr>
                <w:p w:rsidR="00B83ED5" w:rsidRPr="00D16196" w:rsidRDefault="007D2723" w:rsidP="00D16196">
                  <w:pPr>
                    <w:pStyle w:val="Figure"/>
                  </w:pPr>
                  <w:r w:rsidRPr="00D16196">
                    <w:rPr>
                      <w:noProof/>
                    </w:rPr>
                    <w:drawing>
                      <wp:inline distT="0" distB="0" distL="0" distR="0" wp14:anchorId="455840DF" wp14:editId="65BD91F6">
                        <wp:extent cx="5400000" cy="2700000"/>
                        <wp:effectExtent l="0" t="0" r="0" b="5715"/>
                        <wp:docPr id="33" name="Chart 33" descr="Figure 15.8 Proportion of children in out-of-home care placed with relatives/kin, by Indigenous status, at 30 June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B83ED5" w:rsidRPr="00D16196" w:rsidRDefault="00B83ED5" w:rsidP="00D16196">
            <w:pPr>
              <w:pStyle w:val="Figure"/>
            </w:pPr>
          </w:p>
        </w:tc>
      </w:tr>
      <w:tr w:rsidR="00B83ED5" w:rsidRPr="00D16196" w:rsidTr="0010799F">
        <w:tc>
          <w:tcPr>
            <w:tcW w:w="8771" w:type="dxa"/>
            <w:tcBorders>
              <w:top w:val="nil"/>
              <w:left w:val="nil"/>
              <w:bottom w:val="nil"/>
              <w:right w:val="nil"/>
            </w:tcBorders>
            <w:shd w:val="clear" w:color="auto" w:fill="auto"/>
          </w:tcPr>
          <w:p w:rsidR="00B83ED5" w:rsidRPr="00D16196" w:rsidRDefault="00B83ED5" w:rsidP="00D16196">
            <w:pPr>
              <w:pStyle w:val="Note"/>
            </w:pPr>
            <w:r w:rsidRPr="00D16196">
              <w:rPr>
                <w:rStyle w:val="NoteLabel"/>
              </w:rPr>
              <w:t>a</w:t>
            </w:r>
            <w:r w:rsidRPr="00D16196">
              <w:t xml:space="preserve"> </w:t>
            </w:r>
            <w:r w:rsidR="00240A3E" w:rsidRPr="00D16196">
              <w:t xml:space="preserve">See </w:t>
            </w:r>
            <w:r w:rsidR="005C2D7C">
              <w:t>box 15.9</w:t>
            </w:r>
            <w:r w:rsidR="00601546" w:rsidRPr="00D16196">
              <w:t xml:space="preserve"> and table </w:t>
            </w:r>
            <w:proofErr w:type="spellStart"/>
            <w:r w:rsidR="00601546" w:rsidRPr="00D16196">
              <w:t>15A.23</w:t>
            </w:r>
            <w:proofErr w:type="spellEnd"/>
            <w:r w:rsidR="00601546" w:rsidRPr="00D16196">
              <w:t xml:space="preserve"> for detailed definitions, </w:t>
            </w:r>
            <w:r w:rsidR="00240A3E" w:rsidRPr="00D16196">
              <w:t>footnotes</w:t>
            </w:r>
            <w:r w:rsidR="001315CB" w:rsidRPr="00D16196">
              <w:t xml:space="preserve"> </w:t>
            </w:r>
            <w:r w:rsidR="00601546" w:rsidRPr="00D16196">
              <w:t>and caveats</w:t>
            </w:r>
            <w:r w:rsidR="00240A3E" w:rsidRPr="00D16196">
              <w:t xml:space="preserve">. </w:t>
            </w:r>
          </w:p>
        </w:tc>
      </w:tr>
      <w:tr w:rsidR="00B83ED5" w:rsidRPr="00D16196" w:rsidTr="0010799F">
        <w:tc>
          <w:tcPr>
            <w:tcW w:w="8771" w:type="dxa"/>
            <w:tcBorders>
              <w:top w:val="nil"/>
              <w:left w:val="nil"/>
              <w:bottom w:val="nil"/>
              <w:right w:val="nil"/>
            </w:tcBorders>
            <w:shd w:val="clear" w:color="auto" w:fill="auto"/>
          </w:tcPr>
          <w:p w:rsidR="00B83ED5" w:rsidRPr="00D16196" w:rsidRDefault="00240A3E" w:rsidP="00D16196">
            <w:pPr>
              <w:pStyle w:val="Source"/>
            </w:pPr>
            <w:r w:rsidRPr="00D16196">
              <w:rPr>
                <w:i/>
              </w:rPr>
              <w:t>S</w:t>
            </w:r>
            <w:r w:rsidR="00B83ED5" w:rsidRPr="00D16196">
              <w:rPr>
                <w:i/>
              </w:rPr>
              <w:t>ource</w:t>
            </w:r>
            <w:r w:rsidR="00B83ED5" w:rsidRPr="00D16196">
              <w:t xml:space="preserve">: </w:t>
            </w:r>
            <w:proofErr w:type="spellStart"/>
            <w:r w:rsidRPr="00D16196">
              <w:t>AIHW</w:t>
            </w:r>
            <w:proofErr w:type="spellEnd"/>
            <w:r w:rsidRPr="00D16196">
              <w:t xml:space="preserve"> data collection (unpublished); table </w:t>
            </w:r>
            <w:proofErr w:type="spellStart"/>
            <w:r w:rsidR="009E5608" w:rsidRPr="00D16196">
              <w:t>15A.23</w:t>
            </w:r>
            <w:proofErr w:type="spellEnd"/>
            <w:r w:rsidRPr="00D16196">
              <w:t>.</w:t>
            </w:r>
          </w:p>
        </w:tc>
      </w:tr>
      <w:tr w:rsidR="00B83ED5" w:rsidRPr="00D16196" w:rsidTr="0010799F">
        <w:tc>
          <w:tcPr>
            <w:tcW w:w="8771" w:type="dxa"/>
            <w:tcBorders>
              <w:top w:val="nil"/>
              <w:left w:val="nil"/>
              <w:bottom w:val="single" w:sz="6" w:space="0" w:color="78A22F"/>
              <w:right w:val="nil"/>
            </w:tcBorders>
            <w:shd w:val="clear" w:color="auto" w:fill="auto"/>
          </w:tcPr>
          <w:p w:rsidR="00B83ED5" w:rsidRPr="00D16196" w:rsidRDefault="00B83ED5" w:rsidP="00D16196">
            <w:pPr>
              <w:pStyle w:val="Figurespace"/>
            </w:pPr>
          </w:p>
        </w:tc>
      </w:tr>
      <w:tr w:rsidR="00B83ED5" w:rsidRPr="00D16196" w:rsidTr="0010799F">
        <w:tc>
          <w:tcPr>
            <w:tcW w:w="8771" w:type="dxa"/>
            <w:tcBorders>
              <w:top w:val="single" w:sz="6" w:space="0" w:color="78A22F"/>
              <w:left w:val="nil"/>
              <w:bottom w:val="nil"/>
              <w:right w:val="nil"/>
            </w:tcBorders>
          </w:tcPr>
          <w:p w:rsidR="00B83ED5" w:rsidRPr="00D16196" w:rsidRDefault="00B83ED5" w:rsidP="00D16196">
            <w:pPr>
              <w:pStyle w:val="BoxSpaceBelow"/>
            </w:pPr>
          </w:p>
        </w:tc>
      </w:tr>
    </w:tbl>
    <w:p w:rsidR="006842D6" w:rsidRPr="00D16196" w:rsidRDefault="006842D6" w:rsidP="00D16196">
      <w:pPr>
        <w:pStyle w:val="Heading4"/>
      </w:pPr>
      <w:r w:rsidRPr="00D16196">
        <w:t>Out-of-home care — placement in accordance with the Aboriginal Child Placement Principle</w:t>
      </w:r>
    </w:p>
    <w:p w:rsidR="003E1D97" w:rsidRPr="00D16196" w:rsidRDefault="006842D6" w:rsidP="00D16196">
      <w:pPr>
        <w:pStyle w:val="BodyText"/>
      </w:pPr>
      <w:r w:rsidRPr="00D16196">
        <w:t xml:space="preserve">‘Placement in accordance with the Aboriginal Child Placement Principle’ </w:t>
      </w:r>
      <w:r w:rsidR="00442360" w:rsidRPr="00D16196">
        <w:t xml:space="preserve">is an indicator of governments’ objective to protect the safety and welfare of </w:t>
      </w:r>
      <w:r w:rsidR="007C75CE" w:rsidRPr="00D16196">
        <w:t>Aboriginal and Torres Strait Islander</w:t>
      </w:r>
      <w:r w:rsidR="00442360" w:rsidRPr="00D16196">
        <w:t xml:space="preserve"> children while maintaining the</w:t>
      </w:r>
      <w:r w:rsidR="00EF33F6" w:rsidRPr="00D16196">
        <w:t>ir</w:t>
      </w:r>
      <w:r w:rsidR="00442360" w:rsidRPr="00D16196">
        <w:t xml:space="preserve"> cultural ties and identity</w:t>
      </w:r>
      <w:r w:rsidR="00EF33F6" w:rsidRPr="00D16196">
        <w:t xml:space="preserve"> (box</w:t>
      </w:r>
      <w:r w:rsidR="00BB42EE" w:rsidRPr="00D16196">
        <w:t xml:space="preserve"> 15.10</w:t>
      </w:r>
      <w:r w:rsidR="00EF33F6" w:rsidRPr="00D16196">
        <w:t>).</w:t>
      </w:r>
    </w:p>
    <w:p w:rsidR="00E20EE2" w:rsidRPr="00D16196" w:rsidRDefault="00E20EE2"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0EE2" w:rsidRPr="00D16196" w:rsidTr="0010799F">
        <w:tc>
          <w:tcPr>
            <w:tcW w:w="8771" w:type="dxa"/>
            <w:tcBorders>
              <w:top w:val="single" w:sz="6" w:space="0" w:color="78A22F"/>
              <w:left w:val="nil"/>
              <w:bottom w:val="nil"/>
              <w:right w:val="nil"/>
            </w:tcBorders>
            <w:shd w:val="clear" w:color="auto" w:fill="F2F2F2" w:themeFill="background1" w:themeFillShade="F2"/>
          </w:tcPr>
          <w:p w:rsidR="00E20EE2" w:rsidRPr="00D16196" w:rsidRDefault="00E20EE2" w:rsidP="00D16196">
            <w:pPr>
              <w:pStyle w:val="BoxTitle"/>
            </w:pPr>
            <w:r w:rsidRPr="00D16196">
              <w:rPr>
                <w:b w:val="0"/>
              </w:rPr>
              <w:t>Box</w:t>
            </w:r>
            <w:r w:rsidR="00BB42EE" w:rsidRPr="00D16196">
              <w:rPr>
                <w:b w:val="0"/>
              </w:rPr>
              <w:t xml:space="preserve"> 15.10</w:t>
            </w:r>
            <w:r w:rsidRPr="00D16196">
              <w:tab/>
              <w:t>Placement in accordance with the Aboriginal Child Placement Principle</w:t>
            </w:r>
          </w:p>
        </w:tc>
      </w:tr>
      <w:tr w:rsidR="00E20EE2" w:rsidRPr="00D16196" w:rsidTr="0010799F">
        <w:trPr>
          <w:cantSplit/>
        </w:trPr>
        <w:tc>
          <w:tcPr>
            <w:tcW w:w="8771" w:type="dxa"/>
            <w:tcBorders>
              <w:top w:val="nil"/>
              <w:left w:val="nil"/>
              <w:bottom w:val="nil"/>
              <w:right w:val="nil"/>
            </w:tcBorders>
            <w:shd w:val="clear" w:color="auto" w:fill="F2F2F2" w:themeFill="background1" w:themeFillShade="F2"/>
          </w:tcPr>
          <w:p w:rsidR="00E20EE2" w:rsidRPr="00D16196" w:rsidRDefault="00E20EE2" w:rsidP="00D16196">
            <w:pPr>
              <w:pStyle w:val="Box"/>
            </w:pPr>
            <w:r w:rsidRPr="00D16196">
              <w:t xml:space="preserve">‘Placement in accordance with the Aboriginal Child Placement Principle’ is defined as the number of </w:t>
            </w:r>
            <w:r w:rsidR="007C75CE" w:rsidRPr="00D16196">
              <w:t>Aboriginal and Torres Strait Islander</w:t>
            </w:r>
            <w:r w:rsidRPr="00D16196">
              <w:t xml:space="preserve"> children placed with the child’s extended family, </w:t>
            </w:r>
            <w:r w:rsidR="007C75CE" w:rsidRPr="00D16196">
              <w:t>Aboriginal and Torres Strait Islander</w:t>
            </w:r>
            <w:r w:rsidRPr="00D16196">
              <w:t xml:space="preserve"> community or other </w:t>
            </w:r>
            <w:r w:rsidR="007C75CE" w:rsidRPr="00D16196">
              <w:t>Aboriginal and Torres Strait Islander</w:t>
            </w:r>
            <w:r w:rsidRPr="00D16196">
              <w:t xml:space="preserve"> people, divided by the total number of </w:t>
            </w:r>
            <w:r w:rsidR="007C75CE" w:rsidRPr="00D16196">
              <w:t>Aboriginal and Torres Strait Islander</w:t>
            </w:r>
            <w:r w:rsidRPr="00D16196">
              <w:t xml:space="preserve"> children in </w:t>
            </w:r>
            <w:r w:rsidR="008635A5" w:rsidRPr="00D16196">
              <w:br/>
            </w:r>
            <w:r w:rsidRPr="00D16196">
              <w:t>out-of-home care. Data are reported separately for children placed (</w:t>
            </w:r>
            <w:proofErr w:type="spellStart"/>
            <w:r w:rsidRPr="00D16196">
              <w:t>i</w:t>
            </w:r>
            <w:proofErr w:type="spellEnd"/>
            <w:r w:rsidRPr="00D16196">
              <w:t xml:space="preserve">) with relative/kin, (ii) with a </w:t>
            </w:r>
            <w:r w:rsidR="008635A5" w:rsidRPr="00D16196">
              <w:br/>
            </w:r>
            <w:r w:rsidRPr="00D16196">
              <w:t xml:space="preserve">non-relative </w:t>
            </w:r>
            <w:r w:rsidR="007C75CE" w:rsidRPr="00D16196">
              <w:t>Aboriginal and Torres Strait Islander</w:t>
            </w:r>
            <w:r w:rsidRPr="00D16196">
              <w:t xml:space="preserve"> carer or in </w:t>
            </w:r>
            <w:r w:rsidR="007C75CE" w:rsidRPr="00D16196">
              <w:t>Aboriginal and Torres Strait Islander</w:t>
            </w:r>
            <w:r w:rsidRPr="00D16196">
              <w:t xml:space="preserve"> residential care, and (iii) not placed with relative/kin, a non-relative </w:t>
            </w:r>
            <w:r w:rsidR="007C75CE" w:rsidRPr="00D16196">
              <w:t>Aboriginal and Torres Strait Islander</w:t>
            </w:r>
            <w:r w:rsidRPr="00D16196">
              <w:t xml:space="preserve"> carer or in </w:t>
            </w:r>
            <w:r w:rsidR="007C75CE" w:rsidRPr="00D16196">
              <w:t>Aboriginal and Torres Strait Islander</w:t>
            </w:r>
            <w:r w:rsidRPr="00D16196">
              <w:t xml:space="preserve"> residential care.</w:t>
            </w:r>
          </w:p>
          <w:p w:rsidR="00E20EE2" w:rsidRPr="00D16196" w:rsidRDefault="00E20EE2" w:rsidP="00D16196">
            <w:pPr>
              <w:pStyle w:val="Box"/>
            </w:pPr>
            <w:r w:rsidRPr="00D16196">
              <w:t xml:space="preserve">A high or increasing proportion of children placed in accordance with the principle is desirable. This indicator </w:t>
            </w:r>
            <w:r w:rsidR="0095237A" w:rsidRPr="00D16196">
              <w:t>should</w:t>
            </w:r>
            <w:r w:rsidRPr="00D16196">
              <w:t xml:space="preserve"> be interpreted with care as it is a proxy for compliance with the principle. This indicator reports the placement outcomes of </w:t>
            </w:r>
            <w:r w:rsidR="007C75CE" w:rsidRPr="00D16196">
              <w:t>Aboriginal and Torres Strait Islander</w:t>
            </w:r>
            <w:r w:rsidRPr="00D16196">
              <w:t xml:space="preserve"> children rather than compliance with the principle. The indicator does not reflect whether the </w:t>
            </w:r>
            <w:r w:rsidR="00411348" w:rsidRPr="00D16196">
              <w:t xml:space="preserve">principle’s </w:t>
            </w:r>
            <w:r w:rsidRPr="00D16196">
              <w:t xml:space="preserve">hierarchy </w:t>
            </w:r>
            <w:r w:rsidR="00411348" w:rsidRPr="00D16196">
              <w:t xml:space="preserve">of placement options </w:t>
            </w:r>
            <w:r w:rsidRPr="00D16196">
              <w:t xml:space="preserve">was followed in the consideration of the best placement for the child, nor whether appropriate </w:t>
            </w:r>
            <w:r w:rsidR="007C75CE" w:rsidRPr="00D16196">
              <w:t>Aboriginal and Torres Strait Islander</w:t>
            </w:r>
            <w:r w:rsidRPr="00D16196">
              <w:t xml:space="preserve"> individuals or organisations were consulted. </w:t>
            </w:r>
          </w:p>
          <w:p w:rsidR="00E82ACB" w:rsidRPr="00D16196" w:rsidRDefault="00E82ACB" w:rsidP="00D16196">
            <w:pPr>
              <w:pStyle w:val="Box"/>
            </w:pPr>
            <w:r w:rsidRPr="00D16196">
              <w:t>Data excludes Aboriginal and Torres Strait Islander children living independently and those whose living arrangements were unknown.</w:t>
            </w:r>
          </w:p>
          <w:p w:rsidR="00E20EE2" w:rsidRPr="00D16196" w:rsidRDefault="00E20EE2" w:rsidP="00D16196">
            <w:pPr>
              <w:pStyle w:val="Box"/>
            </w:pPr>
            <w:r w:rsidRPr="00D16196">
              <w:t xml:space="preserve">Placing </w:t>
            </w:r>
            <w:r w:rsidR="007C75CE" w:rsidRPr="00D16196">
              <w:t>Aboriginal and Torres Strait Islander</w:t>
            </w:r>
            <w:r w:rsidRPr="00D16196">
              <w:t xml:space="preserve">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departments consult with and involve appropriate </w:t>
            </w:r>
            <w:r w:rsidR="007C75CE" w:rsidRPr="00D16196">
              <w:t>Aboriginal and Torres Strait Islander</w:t>
            </w:r>
            <w:r w:rsidRPr="00D16196">
              <w:t xml:space="preserve"> individuals and/or organisations. If the preferred options are not available, the child may be placed (after appropriate consultation) with a non-Indigenous family or in a residential setting. The principle does not preclude the possibility that in some instances, placement in a non-Indigenous setting, where arrangements are in place for the child’s cultural identity to be preserved, might be the most appropriate placement for the child.</w:t>
            </w:r>
          </w:p>
          <w:p w:rsidR="0059737C" w:rsidRPr="00D16196" w:rsidRDefault="00BD7094" w:rsidP="00D16196">
            <w:pPr>
              <w:pStyle w:val="Box"/>
            </w:pPr>
            <w:r w:rsidRPr="00D16196">
              <w:t>Identification of</w:t>
            </w:r>
            <w:r w:rsidR="0059737C" w:rsidRPr="00D16196">
              <w:t xml:space="preserve"> Indigenous status </w:t>
            </w:r>
            <w:r w:rsidRPr="00D16196">
              <w:t xml:space="preserve">may lead </w:t>
            </w:r>
            <w:r w:rsidR="0059737C" w:rsidRPr="00D16196">
              <w:t>to data quality issue</w:t>
            </w:r>
            <w:r w:rsidR="001D0DF0" w:rsidRPr="00D16196">
              <w:t>s</w:t>
            </w:r>
            <w:r w:rsidR="0059737C" w:rsidRPr="00D16196">
              <w:t xml:space="preserve"> for t</w:t>
            </w:r>
            <w:r w:rsidR="004F3BBF" w:rsidRPr="00D16196">
              <w:t>his indicator</w:t>
            </w:r>
            <w:r w:rsidRPr="00D16196">
              <w:t xml:space="preserve">, in particular </w:t>
            </w:r>
            <w:r w:rsidR="001137B5" w:rsidRPr="00D16196">
              <w:t>undercounting or under-identification of Indigenous status (</w:t>
            </w:r>
            <w:r w:rsidR="004F3BBF" w:rsidRPr="00D16196">
              <w:t xml:space="preserve">for example, </w:t>
            </w:r>
            <w:r w:rsidR="001137B5" w:rsidRPr="00D16196">
              <w:t>when clients are not asked about their Indigenous status or where Indigenous status is not recorded accurately). Therefore, data for this indicator should be interpreted with care.</w:t>
            </w:r>
          </w:p>
          <w:p w:rsidR="00E20EE2" w:rsidRPr="00D16196" w:rsidRDefault="00E20EE2" w:rsidP="00D16196">
            <w:pPr>
              <w:pStyle w:val="Box"/>
            </w:pPr>
            <w:r w:rsidRPr="00D16196">
              <w:t>Data reported for this indicator are:</w:t>
            </w:r>
          </w:p>
          <w:p w:rsidR="00E20EE2" w:rsidRPr="00D16196" w:rsidRDefault="00E20EE2" w:rsidP="00D16196">
            <w:pPr>
              <w:pStyle w:val="BoxListBullet"/>
            </w:pPr>
            <w:r w:rsidRPr="00D16196">
              <w:t>comparable (subject to caveats) across jurisdictions and over time</w:t>
            </w:r>
          </w:p>
          <w:p w:rsidR="00E20EE2" w:rsidRPr="00D16196" w:rsidRDefault="00E20EE2" w:rsidP="00D16196">
            <w:pPr>
              <w:pStyle w:val="BoxListBullet"/>
            </w:pPr>
            <w:r w:rsidRPr="00D16196">
              <w:t xml:space="preserve">complete for the current reporting period. </w:t>
            </w:r>
            <w:r w:rsidR="0033728B" w:rsidRPr="00D16196">
              <w:t>All required 2014-15 data were available for all jurisdictions.</w:t>
            </w:r>
          </w:p>
          <w:p w:rsidR="00E20EE2" w:rsidRPr="00D16196" w:rsidRDefault="00E20EE2"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00E927B9" w:rsidRPr="00D16196">
              <w:t>/</w:t>
            </w:r>
            <w:proofErr w:type="spellStart"/>
            <w:r w:rsidR="00E927B9" w:rsidRPr="00D16196">
              <w:t>rogs</w:t>
            </w:r>
            <w:proofErr w:type="spellEnd"/>
            <w:r w:rsidR="00E927B9" w:rsidRPr="00D16196">
              <w:t>/2016</w:t>
            </w:r>
            <w:r w:rsidRPr="00D16196">
              <w:t>.</w:t>
            </w:r>
          </w:p>
        </w:tc>
      </w:tr>
      <w:tr w:rsidR="00E20EE2"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E20EE2" w:rsidRPr="00D16196" w:rsidRDefault="00E20EE2" w:rsidP="00D16196">
            <w:pPr>
              <w:pStyle w:val="Box"/>
              <w:spacing w:before="0" w:line="120" w:lineRule="exact"/>
            </w:pPr>
          </w:p>
        </w:tc>
      </w:tr>
      <w:tr w:rsidR="00E20EE2" w:rsidRPr="00D16196" w:rsidTr="0010799F">
        <w:tc>
          <w:tcPr>
            <w:tcW w:w="8771" w:type="dxa"/>
            <w:tcBorders>
              <w:top w:val="single" w:sz="6" w:space="0" w:color="78A22F"/>
              <w:left w:val="nil"/>
              <w:bottom w:val="nil"/>
              <w:right w:val="nil"/>
            </w:tcBorders>
          </w:tcPr>
          <w:p w:rsidR="00E20EE2" w:rsidRPr="00D16196" w:rsidRDefault="00E20EE2" w:rsidP="00D16196">
            <w:pPr>
              <w:pStyle w:val="BoxSpaceBelow"/>
            </w:pPr>
          </w:p>
        </w:tc>
      </w:tr>
    </w:tbl>
    <w:p w:rsidR="001137B5" w:rsidRPr="00D16196" w:rsidRDefault="001137B5" w:rsidP="00D16196">
      <w:pPr>
        <w:pStyle w:val="BodyText"/>
      </w:pPr>
    </w:p>
    <w:p w:rsidR="001137B5" w:rsidRPr="00D16196" w:rsidRDefault="001137B5" w:rsidP="00D16196">
      <w:pPr>
        <w:pStyle w:val="BodyText"/>
      </w:pPr>
      <w:r w:rsidRPr="00D16196">
        <w:br w:type="page"/>
      </w:r>
    </w:p>
    <w:p w:rsidR="009666AC" w:rsidRPr="00D16196" w:rsidRDefault="009666AC" w:rsidP="00D16196">
      <w:pPr>
        <w:pStyle w:val="BodyText"/>
      </w:pPr>
      <w:r w:rsidRPr="00D16196">
        <w:lastRenderedPageBreak/>
        <w:t>According to the Aboriginal Child Placement Principle (</w:t>
      </w:r>
      <w:r w:rsidR="00AC2CE5" w:rsidRPr="00D16196">
        <w:t>Chisholm 1998</w:t>
      </w:r>
      <w:r w:rsidRPr="00D16196">
        <w:t>) the following hierarchy of placement option</w:t>
      </w:r>
      <w:r w:rsidR="00DF40BF" w:rsidRPr="00D16196">
        <w:t>s</w:t>
      </w:r>
      <w:r w:rsidRPr="00D16196">
        <w:t xml:space="preserve"> should be pursued in protecting the safety and welfare of </w:t>
      </w:r>
      <w:r w:rsidR="007C75CE" w:rsidRPr="00D16196">
        <w:t>Aboriginal and Torres Strait Islander</w:t>
      </w:r>
      <w:r w:rsidRPr="00D16196">
        <w:t xml:space="preserve"> children: </w:t>
      </w:r>
    </w:p>
    <w:p w:rsidR="009666AC" w:rsidRPr="00D16196" w:rsidRDefault="009666AC" w:rsidP="00D16196">
      <w:pPr>
        <w:pStyle w:val="ListBullet"/>
      </w:pPr>
      <w:r w:rsidRPr="00D16196">
        <w:t xml:space="preserve">placement with the child’s extended family (which includes </w:t>
      </w:r>
      <w:r w:rsidR="007C75CE" w:rsidRPr="00D16196">
        <w:t>Aboriginal and Torres Strait Islander</w:t>
      </w:r>
      <w:r w:rsidRPr="00D16196">
        <w:t xml:space="preserve"> and non</w:t>
      </w:r>
      <w:r w:rsidRPr="00D16196">
        <w:noBreakHyphen/>
        <w:t>Indigenous relatives/kin)</w:t>
      </w:r>
    </w:p>
    <w:p w:rsidR="009666AC" w:rsidRPr="00D16196" w:rsidRDefault="009666AC" w:rsidP="00D16196">
      <w:pPr>
        <w:pStyle w:val="ListBullet"/>
      </w:pPr>
      <w:r w:rsidRPr="00D16196">
        <w:t xml:space="preserve">placement within the child’s </w:t>
      </w:r>
      <w:r w:rsidR="007C75CE" w:rsidRPr="00D16196">
        <w:t>Aboriginal and Torres Strait Islander</w:t>
      </w:r>
      <w:r w:rsidRPr="00D16196">
        <w:t xml:space="preserve"> community</w:t>
      </w:r>
    </w:p>
    <w:p w:rsidR="009666AC" w:rsidRPr="00D16196" w:rsidRDefault="009666AC" w:rsidP="00D16196">
      <w:pPr>
        <w:pStyle w:val="ListBullet"/>
      </w:pPr>
      <w:r w:rsidRPr="00D16196">
        <w:t xml:space="preserve">placement with other </w:t>
      </w:r>
      <w:r w:rsidR="007C75CE" w:rsidRPr="00D16196">
        <w:t>Aboriginal and Torres Strait Islander</w:t>
      </w:r>
      <w:r w:rsidRPr="00D16196">
        <w:t xml:space="preserve"> people.</w:t>
      </w:r>
    </w:p>
    <w:p w:rsidR="009666AC" w:rsidRPr="00D16196" w:rsidRDefault="009666AC" w:rsidP="00D16196">
      <w:pPr>
        <w:pStyle w:val="BodyText"/>
      </w:pPr>
      <w:r w:rsidRPr="00D16196">
        <w:t xml:space="preserve">All jurisdictions have adopted this principle in both legislation and policy. </w:t>
      </w:r>
    </w:p>
    <w:p w:rsidR="006842D6" w:rsidRPr="00D16196" w:rsidRDefault="004138D1" w:rsidP="00D16196">
      <w:pPr>
        <w:pStyle w:val="BodyText"/>
        <w:widowControl w:val="0"/>
      </w:pPr>
      <w:r w:rsidRPr="00D16196">
        <w:t>Nationally, at 30 June 201</w:t>
      </w:r>
      <w:r w:rsidR="00E927B9" w:rsidRPr="00D16196">
        <w:t>5</w:t>
      </w:r>
      <w:r w:rsidR="001315CB" w:rsidRPr="00D16196">
        <w:t xml:space="preserve">, 50.8 </w:t>
      </w:r>
      <w:r w:rsidRPr="00D16196">
        <w:t xml:space="preserve">per cent of </w:t>
      </w:r>
      <w:r w:rsidR="007C75CE" w:rsidRPr="00D16196">
        <w:t>Aboriginal and Torres Strait Islander</w:t>
      </w:r>
      <w:r w:rsidRPr="00D16196">
        <w:t xml:space="preserve"> children in out-of-home care were placed with relatives/kin</w:t>
      </w:r>
      <w:r w:rsidR="001315CB" w:rsidRPr="00D16196">
        <w:t xml:space="preserve"> (35.9 </w:t>
      </w:r>
      <w:r w:rsidRPr="00D16196">
        <w:t xml:space="preserve">per cent with </w:t>
      </w:r>
      <w:r w:rsidR="007C75CE" w:rsidRPr="00D16196">
        <w:t>Aboriginal and Torres Strait Islander</w:t>
      </w:r>
      <w:r w:rsidRPr="00D16196">
        <w:t xml:space="preserve"> relatives/kin </w:t>
      </w:r>
      <w:r w:rsidR="00DC07D6" w:rsidRPr="00D16196">
        <w:t xml:space="preserve">and 14.9 </w:t>
      </w:r>
      <w:r w:rsidRPr="00D16196">
        <w:t>per cent with non</w:t>
      </w:r>
      <w:r w:rsidRPr="00D16196">
        <w:noBreakHyphen/>
        <w:t>Indigenous relatives/kin). A further</w:t>
      </w:r>
      <w:r w:rsidR="00DC07D6" w:rsidRPr="00D16196">
        <w:t xml:space="preserve"> 16.3 </w:t>
      </w:r>
      <w:r w:rsidRPr="00D16196">
        <w:t xml:space="preserve">per cent of </w:t>
      </w:r>
      <w:r w:rsidR="007C75CE" w:rsidRPr="00D16196">
        <w:t>Aboriginal and Torres Strait Islander</w:t>
      </w:r>
      <w:r w:rsidRPr="00D16196">
        <w:t xml:space="preserve"> children in out-of-home care were placed with other </w:t>
      </w:r>
      <w:r w:rsidR="007C75CE" w:rsidRPr="00D16196">
        <w:t>Aboriginal and Torres Strait Islander</w:t>
      </w:r>
      <w:r w:rsidRPr="00D16196">
        <w:t xml:space="preserve"> carers or in </w:t>
      </w:r>
      <w:r w:rsidR="007C75CE" w:rsidRPr="00D16196">
        <w:t>Aboriginal and Torres Strait Islander</w:t>
      </w:r>
      <w:r w:rsidRPr="00D16196">
        <w:t xml:space="preserve"> residential care. </w:t>
      </w:r>
      <w:r w:rsidR="00BE45CB" w:rsidRPr="00D16196">
        <w:t xml:space="preserve">Proportions varied across jurisdictions </w:t>
      </w:r>
      <w:r w:rsidRPr="00D16196">
        <w:t>(figure </w:t>
      </w:r>
      <w:r w:rsidR="00BB42EE" w:rsidRPr="00D16196">
        <w:t>15.9</w:t>
      </w:r>
      <w:r w:rsidRPr="00D16196">
        <w:t>).</w:t>
      </w:r>
      <w:r w:rsidR="00BE45CB" w:rsidRPr="00D16196">
        <w:t xml:space="preserve"> Nationally, the proportion of Aboriginal and Torres Strait Islander children in out-of-home care </w:t>
      </w:r>
      <w:r w:rsidR="0033728B" w:rsidRPr="00D16196">
        <w:t xml:space="preserve">who </w:t>
      </w:r>
      <w:r w:rsidR="00BE45CB" w:rsidRPr="00D16196">
        <w:t>were placed with relatives/kin, other Aboriginal and Torres Strait Islander carers, or in Aboriginal and Torres Strait Islander residential care has decrease</w:t>
      </w:r>
      <w:r w:rsidR="0033728B" w:rsidRPr="00D16196">
        <w:t>d</w:t>
      </w:r>
      <w:r w:rsidR="00BE45CB" w:rsidRPr="00D16196">
        <w:t xml:space="preserve"> </w:t>
      </w:r>
      <w:r w:rsidR="00E6201A">
        <w:t>over the p</w:t>
      </w:r>
      <w:r w:rsidR="0033728B" w:rsidRPr="00D16196">
        <w:t>ast 10</w:t>
      </w:r>
      <w:r w:rsidR="008A6BFD" w:rsidRPr="00D16196">
        <w:t> </w:t>
      </w:r>
      <w:r w:rsidR="0033728B" w:rsidRPr="00D16196">
        <w:t>years (from 75.7 per cent at 30 June 2006 to 67.1 per cent at 30 June 2015)</w:t>
      </w:r>
      <w:r w:rsidR="00BE45CB" w:rsidRPr="00D16196">
        <w:t xml:space="preserve"> (table</w:t>
      </w:r>
      <w:r w:rsidR="008A6BFD" w:rsidRPr="00D16196">
        <w:t> </w:t>
      </w:r>
      <w:proofErr w:type="spellStart"/>
      <w:r w:rsidR="00BE45CB" w:rsidRPr="00D16196">
        <w:t>15A.24</w:t>
      </w:r>
      <w:proofErr w:type="spellEnd"/>
      <w:r w:rsidR="00BE45CB" w:rsidRPr="00D16196">
        <w:t>).</w:t>
      </w:r>
    </w:p>
    <w:p w:rsidR="00ED30E3" w:rsidRPr="00D16196" w:rsidRDefault="00ED30E3" w:rsidP="00D16196">
      <w:pPr>
        <w:pStyle w:val="BodyText"/>
        <w:widowControl w:val="0"/>
      </w:pPr>
      <w:r w:rsidRPr="00D16196">
        <w:t xml:space="preserve">Work is underway to develop a more </w:t>
      </w:r>
      <w:r w:rsidR="00171D16" w:rsidRPr="00D16196">
        <w:t>robust</w:t>
      </w:r>
      <w:r w:rsidRPr="00D16196">
        <w:t xml:space="preserve"> measure of compliance with the Aboriginal Child Placement Principle</w:t>
      </w:r>
      <w:r w:rsidR="00C4719C" w:rsidRPr="00D16196">
        <w:t xml:space="preserve"> as part of the </w:t>
      </w:r>
      <w:r w:rsidR="00C4719C" w:rsidRPr="00D16196">
        <w:rPr>
          <w:i/>
        </w:rPr>
        <w:t>National framework for protecting Australia’s children: Second three year action plan</w:t>
      </w:r>
      <w:r w:rsidR="00DA48E6" w:rsidRPr="00D16196">
        <w:rPr>
          <w:i/>
        </w:rPr>
        <w:t>,</w:t>
      </w:r>
      <w:r w:rsidR="00C4719C" w:rsidRPr="00D16196">
        <w:rPr>
          <w:i/>
        </w:rPr>
        <w:t xml:space="preserve"> 2012-15</w:t>
      </w:r>
      <w:r w:rsidR="00C4719C" w:rsidRPr="00D16196">
        <w:t xml:space="preserve"> (</w:t>
      </w:r>
      <w:proofErr w:type="spellStart"/>
      <w:r w:rsidR="00E86BA6" w:rsidRPr="00D16196">
        <w:t>FaHCSIA</w:t>
      </w:r>
      <w:proofErr w:type="spellEnd"/>
      <w:r w:rsidR="00C4719C" w:rsidRPr="00D16196">
        <w:t xml:space="preserve"> 2012)</w:t>
      </w:r>
      <w:r w:rsidRPr="00D16196">
        <w:t xml:space="preserve">. </w:t>
      </w:r>
    </w:p>
    <w:p w:rsidR="00E20EE2" w:rsidRPr="00D16196" w:rsidRDefault="00E20EE2"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0EE2" w:rsidRPr="00D16196" w:rsidTr="0010799F">
        <w:tc>
          <w:tcPr>
            <w:tcW w:w="8771" w:type="dxa"/>
            <w:tcBorders>
              <w:top w:val="single" w:sz="6" w:space="0" w:color="78A22F"/>
              <w:left w:val="nil"/>
              <w:bottom w:val="nil"/>
              <w:right w:val="nil"/>
            </w:tcBorders>
            <w:shd w:val="clear" w:color="auto" w:fill="auto"/>
          </w:tcPr>
          <w:p w:rsidR="00E20EE2" w:rsidRPr="00D16196" w:rsidRDefault="00E20EE2" w:rsidP="00D16196">
            <w:pPr>
              <w:pStyle w:val="FigureTitle"/>
            </w:pPr>
            <w:r w:rsidRPr="00D16196">
              <w:rPr>
                <w:b w:val="0"/>
              </w:rPr>
              <w:t>Figure</w:t>
            </w:r>
            <w:r w:rsidR="00BB42EE" w:rsidRPr="00D16196">
              <w:rPr>
                <w:b w:val="0"/>
              </w:rPr>
              <w:t xml:space="preserve"> 15.9</w:t>
            </w:r>
            <w:r w:rsidRPr="00D16196">
              <w:tab/>
            </w:r>
            <w:r w:rsidR="00464943" w:rsidRPr="00D16196">
              <w:t xml:space="preserve">Placement of </w:t>
            </w:r>
            <w:r w:rsidR="007C75CE" w:rsidRPr="00D16196">
              <w:t>Aboriginal and Torres Strait Islander</w:t>
            </w:r>
            <w:r w:rsidR="00464943" w:rsidRPr="00D16196">
              <w:t xml:space="preserve"> children i</w:t>
            </w:r>
            <w:r w:rsidR="00B20531" w:rsidRPr="00D16196">
              <w:t xml:space="preserve">n out-of-home care, </w:t>
            </w:r>
            <w:r w:rsidR="00B9186B" w:rsidRPr="00D16196">
              <w:t xml:space="preserve">at </w:t>
            </w:r>
            <w:r w:rsidR="00B20531" w:rsidRPr="00D16196">
              <w:t>30 June 2015</w:t>
            </w:r>
            <w:r w:rsidR="007A7F35" w:rsidRPr="00D16196">
              <w:rPr>
                <w:rStyle w:val="NoteLabel"/>
                <w:b/>
              </w:rPr>
              <w:t>a</w:t>
            </w:r>
          </w:p>
        </w:tc>
      </w:tr>
      <w:tr w:rsidR="00E20EE2"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E20EE2" w:rsidRPr="00D16196" w:rsidTr="00DC07D6">
              <w:tc>
                <w:tcPr>
                  <w:tcW w:w="8487" w:type="dxa"/>
                  <w:tcBorders>
                    <w:top w:val="nil"/>
                    <w:bottom w:val="nil"/>
                  </w:tcBorders>
                  <w:shd w:val="clear" w:color="auto" w:fill="auto"/>
                </w:tcPr>
                <w:p w:rsidR="00E20EE2" w:rsidRPr="00D16196" w:rsidRDefault="00DC07D6" w:rsidP="00D16196">
                  <w:pPr>
                    <w:pStyle w:val="Figure"/>
                  </w:pPr>
                  <w:r w:rsidRPr="00D16196">
                    <w:rPr>
                      <w:noProof/>
                    </w:rPr>
                    <w:drawing>
                      <wp:inline distT="0" distB="0" distL="0" distR="0" wp14:anchorId="34957A3C" wp14:editId="657F30E7">
                        <wp:extent cx="5400000" cy="2700000"/>
                        <wp:effectExtent l="0" t="0" r="0" b="5715"/>
                        <wp:docPr id="31" name="Chart 31" descr="Figure 15.9 Placement of Aboriginal and Torres Strait Islander children in out-of-home care, at 30 June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E20EE2" w:rsidRPr="00D16196" w:rsidRDefault="00E20EE2" w:rsidP="00D16196">
            <w:pPr>
              <w:pStyle w:val="Figure"/>
            </w:pPr>
          </w:p>
        </w:tc>
      </w:tr>
      <w:tr w:rsidR="00E20EE2" w:rsidRPr="00D16196" w:rsidTr="0010799F">
        <w:tc>
          <w:tcPr>
            <w:tcW w:w="8771" w:type="dxa"/>
            <w:tcBorders>
              <w:top w:val="nil"/>
              <w:left w:val="nil"/>
              <w:bottom w:val="nil"/>
              <w:right w:val="nil"/>
            </w:tcBorders>
            <w:shd w:val="clear" w:color="auto" w:fill="auto"/>
          </w:tcPr>
          <w:p w:rsidR="00E20EE2" w:rsidRPr="00D16196" w:rsidRDefault="00464943" w:rsidP="00D16196">
            <w:pPr>
              <w:pStyle w:val="Note"/>
            </w:pPr>
            <w:r w:rsidRPr="00D16196">
              <w:t xml:space="preserve">Relative/Kin = Placed with relative/kin. Other </w:t>
            </w:r>
            <w:r w:rsidR="007C75CE" w:rsidRPr="00D16196">
              <w:t>Aboriginal and Torres Strait Islander</w:t>
            </w:r>
            <w:r w:rsidRPr="00D16196">
              <w:t xml:space="preserve"> = Placed with other </w:t>
            </w:r>
            <w:r w:rsidR="007C75CE" w:rsidRPr="00D16196">
              <w:t>Aboriginal and Torres Strait Islander</w:t>
            </w:r>
            <w:r w:rsidRPr="00D16196">
              <w:t xml:space="preserve"> carer or </w:t>
            </w:r>
            <w:r w:rsidR="007C75CE" w:rsidRPr="00D16196">
              <w:t>Aboriginal and Torres Strait Islander</w:t>
            </w:r>
            <w:r w:rsidR="00AE5869" w:rsidRPr="00D16196">
              <w:t xml:space="preserve"> residential care. </w:t>
            </w:r>
            <w:r w:rsidR="00AE5869" w:rsidRPr="00D16196">
              <w:br/>
              <w:t xml:space="preserve">Other = </w:t>
            </w:r>
            <w:r w:rsidRPr="00D16196">
              <w:t xml:space="preserve">Not placed with relative/kin, other </w:t>
            </w:r>
            <w:r w:rsidR="007C75CE" w:rsidRPr="00D16196">
              <w:t>Aboriginal and Torres Strait Islander</w:t>
            </w:r>
            <w:r w:rsidRPr="00D16196">
              <w:t xml:space="preserve"> carer or </w:t>
            </w:r>
            <w:r w:rsidR="007C75CE" w:rsidRPr="00D16196">
              <w:t>Aboriginal and Torres Strait Islander</w:t>
            </w:r>
            <w:r w:rsidRPr="00D16196">
              <w:t xml:space="preserve"> residential care.</w:t>
            </w:r>
            <w:r w:rsidRPr="00D16196">
              <w:sym w:font="Symbol" w:char="F020"/>
            </w:r>
            <w:r w:rsidR="001E3B9E" w:rsidRPr="00D16196">
              <w:t xml:space="preserve"> </w:t>
            </w:r>
            <w:r w:rsidR="001E3B9E" w:rsidRPr="00D16196">
              <w:rPr>
                <w:rStyle w:val="NoteLabel"/>
              </w:rPr>
              <w:t xml:space="preserve">a </w:t>
            </w:r>
            <w:r w:rsidR="001E3B9E" w:rsidRPr="00D16196">
              <w:t xml:space="preserve">See </w:t>
            </w:r>
            <w:r w:rsidR="005C2D7C">
              <w:t>box 15.10</w:t>
            </w:r>
            <w:r w:rsidR="00601546" w:rsidRPr="00D16196">
              <w:t xml:space="preserve"> and table </w:t>
            </w:r>
            <w:proofErr w:type="spellStart"/>
            <w:r w:rsidR="00601546" w:rsidRPr="00D16196">
              <w:t>15A.24</w:t>
            </w:r>
            <w:proofErr w:type="spellEnd"/>
            <w:r w:rsidR="00601546" w:rsidRPr="00D16196">
              <w:t xml:space="preserve"> for </w:t>
            </w:r>
            <w:r w:rsidR="001E3B9E" w:rsidRPr="00D16196">
              <w:t xml:space="preserve">detailed </w:t>
            </w:r>
            <w:r w:rsidR="00601546" w:rsidRPr="00D16196">
              <w:t xml:space="preserve">definitions, </w:t>
            </w:r>
            <w:r w:rsidR="001E3B9E" w:rsidRPr="00D16196">
              <w:t>footnotes</w:t>
            </w:r>
            <w:r w:rsidR="00601546" w:rsidRPr="00D16196">
              <w:t xml:space="preserve"> and caveats</w:t>
            </w:r>
            <w:r w:rsidR="00BD6C58" w:rsidRPr="00D16196">
              <w:t>.</w:t>
            </w:r>
          </w:p>
        </w:tc>
      </w:tr>
      <w:tr w:rsidR="00E20EE2" w:rsidRPr="00D16196" w:rsidTr="0010799F">
        <w:tc>
          <w:tcPr>
            <w:tcW w:w="8771" w:type="dxa"/>
            <w:tcBorders>
              <w:top w:val="nil"/>
              <w:left w:val="nil"/>
              <w:bottom w:val="nil"/>
              <w:right w:val="nil"/>
            </w:tcBorders>
            <w:shd w:val="clear" w:color="auto" w:fill="auto"/>
          </w:tcPr>
          <w:p w:rsidR="00E20EE2" w:rsidRPr="00D16196" w:rsidRDefault="00464943" w:rsidP="00D16196">
            <w:pPr>
              <w:pStyle w:val="Source"/>
            </w:pPr>
            <w:r w:rsidRPr="00D16196">
              <w:rPr>
                <w:i/>
              </w:rPr>
              <w:t>S</w:t>
            </w:r>
            <w:r w:rsidR="00E20EE2" w:rsidRPr="00D16196">
              <w:rPr>
                <w:i/>
              </w:rPr>
              <w:t>ource</w:t>
            </w:r>
            <w:r w:rsidR="00E20EE2" w:rsidRPr="00D16196">
              <w:t xml:space="preserve">: </w:t>
            </w:r>
            <w:proofErr w:type="spellStart"/>
            <w:r w:rsidRPr="00D16196">
              <w:t>AIHW</w:t>
            </w:r>
            <w:proofErr w:type="spellEnd"/>
            <w:r w:rsidRPr="00D16196">
              <w:t xml:space="preserve"> data collection (unpublished); table </w:t>
            </w:r>
            <w:proofErr w:type="spellStart"/>
            <w:r w:rsidR="009E5608" w:rsidRPr="00D16196">
              <w:t>15A.24</w:t>
            </w:r>
            <w:proofErr w:type="spellEnd"/>
            <w:r w:rsidRPr="00D16196">
              <w:t>.</w:t>
            </w:r>
          </w:p>
        </w:tc>
      </w:tr>
      <w:tr w:rsidR="00E20EE2" w:rsidRPr="00D16196" w:rsidTr="0010799F">
        <w:tc>
          <w:tcPr>
            <w:tcW w:w="8771" w:type="dxa"/>
            <w:tcBorders>
              <w:top w:val="nil"/>
              <w:left w:val="nil"/>
              <w:bottom w:val="single" w:sz="6" w:space="0" w:color="78A22F"/>
              <w:right w:val="nil"/>
            </w:tcBorders>
            <w:shd w:val="clear" w:color="auto" w:fill="auto"/>
          </w:tcPr>
          <w:p w:rsidR="00E20EE2" w:rsidRPr="00D16196" w:rsidRDefault="00E20EE2" w:rsidP="00D16196">
            <w:pPr>
              <w:pStyle w:val="Figurespace"/>
            </w:pPr>
          </w:p>
        </w:tc>
      </w:tr>
      <w:tr w:rsidR="00E20EE2" w:rsidRPr="00D16196" w:rsidTr="0010799F">
        <w:tc>
          <w:tcPr>
            <w:tcW w:w="8771" w:type="dxa"/>
            <w:tcBorders>
              <w:top w:val="single" w:sz="6" w:space="0" w:color="78A22F"/>
              <w:left w:val="nil"/>
              <w:bottom w:val="nil"/>
              <w:right w:val="nil"/>
            </w:tcBorders>
          </w:tcPr>
          <w:p w:rsidR="00E20EE2" w:rsidRPr="00D16196" w:rsidRDefault="00E20EE2" w:rsidP="00D16196">
            <w:pPr>
              <w:pStyle w:val="BoxSpaceBelow"/>
            </w:pPr>
          </w:p>
        </w:tc>
      </w:tr>
    </w:tbl>
    <w:p w:rsidR="006842D6" w:rsidRPr="00D16196" w:rsidRDefault="006842D6" w:rsidP="00D16196">
      <w:pPr>
        <w:pStyle w:val="Heading4"/>
      </w:pPr>
      <w:r w:rsidRPr="00D16196">
        <w:t>Out-of-home care — local placement</w:t>
      </w:r>
    </w:p>
    <w:p w:rsidR="006842D6" w:rsidRPr="00D16196" w:rsidRDefault="006842D6" w:rsidP="00D16196">
      <w:pPr>
        <w:pStyle w:val="BodyText"/>
      </w:pPr>
      <w:r w:rsidRPr="00D16196">
        <w:t xml:space="preserve">‘Local placement’ </w:t>
      </w:r>
      <w:r w:rsidR="00CA4EB4" w:rsidRPr="00D16196">
        <w:t xml:space="preserve">is an indicator of governments’ objective to provide services which meet the needs of the recipients </w:t>
      </w:r>
      <w:r w:rsidRPr="00D16196">
        <w:t>(box</w:t>
      </w:r>
      <w:r w:rsidR="00BB42EE" w:rsidRPr="00D16196">
        <w:t xml:space="preserve"> 15.11</w:t>
      </w:r>
      <w:r w:rsidRPr="00D16196">
        <w:t>).</w:t>
      </w:r>
    </w:p>
    <w:p w:rsidR="00165248" w:rsidRPr="00D16196" w:rsidRDefault="00165248" w:rsidP="00D16196">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1C06" w:rsidRPr="00D16196" w:rsidTr="0010799F">
        <w:tc>
          <w:tcPr>
            <w:tcW w:w="8771" w:type="dxa"/>
            <w:tcBorders>
              <w:top w:val="single" w:sz="6" w:space="0" w:color="78A22F"/>
              <w:left w:val="nil"/>
              <w:bottom w:val="nil"/>
              <w:right w:val="nil"/>
            </w:tcBorders>
            <w:shd w:val="clear" w:color="auto" w:fill="F2F2F2" w:themeFill="background1" w:themeFillShade="F2"/>
          </w:tcPr>
          <w:p w:rsidR="00165248" w:rsidRPr="00D16196" w:rsidRDefault="00165248" w:rsidP="00D16196">
            <w:pPr>
              <w:pStyle w:val="BoxTitle"/>
            </w:pPr>
            <w:r w:rsidRPr="00D16196">
              <w:rPr>
                <w:b w:val="0"/>
              </w:rPr>
              <w:t>Box</w:t>
            </w:r>
            <w:r w:rsidR="00BE45CB" w:rsidRPr="00D16196">
              <w:rPr>
                <w:b w:val="0"/>
              </w:rPr>
              <w:t xml:space="preserve"> </w:t>
            </w:r>
            <w:r w:rsidR="00BB42EE" w:rsidRPr="00D16196">
              <w:rPr>
                <w:b w:val="0"/>
              </w:rPr>
              <w:t>15.11</w:t>
            </w:r>
            <w:r w:rsidRPr="00D16196">
              <w:tab/>
              <w:t>Local placement</w:t>
            </w:r>
          </w:p>
        </w:tc>
      </w:tr>
      <w:tr w:rsidR="00051C06" w:rsidRPr="00D16196" w:rsidTr="0010799F">
        <w:trPr>
          <w:cantSplit/>
        </w:trPr>
        <w:tc>
          <w:tcPr>
            <w:tcW w:w="8771" w:type="dxa"/>
            <w:tcBorders>
              <w:top w:val="nil"/>
              <w:left w:val="nil"/>
              <w:bottom w:val="nil"/>
              <w:right w:val="nil"/>
            </w:tcBorders>
            <w:shd w:val="clear" w:color="auto" w:fill="F2F2F2" w:themeFill="background1" w:themeFillShade="F2"/>
          </w:tcPr>
          <w:p w:rsidR="00165248" w:rsidRPr="00D16196" w:rsidRDefault="00165248" w:rsidP="00D16196">
            <w:pPr>
              <w:pStyle w:val="Box"/>
            </w:pPr>
            <w:r w:rsidRPr="00D16196">
              <w:t xml:space="preserve">‘Local placement’ is defined as the proportion of children </w:t>
            </w:r>
            <w:r w:rsidR="0095237A" w:rsidRPr="00D16196">
              <w:t xml:space="preserve">in out-of-home care </w:t>
            </w:r>
            <w:r w:rsidRPr="00D16196">
              <w:t>attending the same school that they were attending before entering out-of-home care.</w:t>
            </w:r>
          </w:p>
          <w:p w:rsidR="00165248" w:rsidRPr="00D16196" w:rsidRDefault="00165248" w:rsidP="00D16196">
            <w:pPr>
              <w:pStyle w:val="Box"/>
            </w:pPr>
            <w:r w:rsidRPr="00D16196">
              <w:t>A high or increasing rate of local placement is desirable.</w:t>
            </w:r>
          </w:p>
          <w:p w:rsidR="00165248" w:rsidRPr="00D16196" w:rsidRDefault="00165248" w:rsidP="00D16196">
            <w:pPr>
              <w:pStyle w:val="Box"/>
            </w:pPr>
            <w:r w:rsidRPr="00D16196">
              <w:t>A placement close to where a child lived prior to entering out-of-home care is considered to enhance the stability, familiarity and security of the child. It enables some elements of the child’s life to remain unchanged (for example, they can continue attending the same school and retain their friendship network). It may also facilitate family contact if the child’s parents continue to live nearby.</w:t>
            </w:r>
          </w:p>
          <w:p w:rsidR="00165248" w:rsidRPr="00D16196" w:rsidRDefault="0095237A" w:rsidP="00D16196">
            <w:pPr>
              <w:pStyle w:val="Box"/>
            </w:pPr>
            <w:r w:rsidRPr="00D16196">
              <w:t>Local placement should</w:t>
            </w:r>
            <w:r w:rsidR="00165248" w:rsidRPr="00D16196">
              <w:t xml:space="preserve"> be considered </w:t>
            </w:r>
            <w:r w:rsidRPr="00D16196">
              <w:t xml:space="preserve">with other factors </w:t>
            </w:r>
            <w:r w:rsidR="00165248" w:rsidRPr="00D16196">
              <w:t>in the placement decision. For example, placement with a sibling or relative might preclude a local placement. Also, a child might move from a primary school to a secondary school or to a different local school at the same level.</w:t>
            </w:r>
          </w:p>
          <w:p w:rsidR="00165248" w:rsidRPr="00D16196" w:rsidRDefault="00165248" w:rsidP="00D16196">
            <w:pPr>
              <w:pStyle w:val="Box"/>
            </w:pPr>
            <w:r w:rsidRPr="00D16196">
              <w:t>Data collection for this indicator is under development</w:t>
            </w:r>
            <w:r w:rsidR="00BE45CB" w:rsidRPr="00D16196">
              <w:t xml:space="preserve"> and </w:t>
            </w:r>
            <w:r w:rsidR="0095237A" w:rsidRPr="00D16196">
              <w:t>will be provided for 3 and 12 months after entering care.</w:t>
            </w:r>
            <w:r w:rsidR="00DC07D6" w:rsidRPr="00D16196">
              <w:t xml:space="preserve"> Data were not available for the 2016 Report.</w:t>
            </w:r>
          </w:p>
        </w:tc>
      </w:tr>
      <w:tr w:rsidR="00165248"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Pr="00D16196" w:rsidRDefault="00165248" w:rsidP="00D16196">
            <w:pPr>
              <w:pStyle w:val="Box"/>
              <w:spacing w:before="0" w:line="120" w:lineRule="exact"/>
              <w:rPr>
                <w:color w:val="600000" w:themeColor="accent6" w:themeShade="80"/>
              </w:rPr>
            </w:pPr>
          </w:p>
        </w:tc>
      </w:tr>
      <w:tr w:rsidR="00165248" w:rsidRPr="00D16196" w:rsidTr="0010799F">
        <w:tc>
          <w:tcPr>
            <w:tcW w:w="8771" w:type="dxa"/>
            <w:tcBorders>
              <w:top w:val="single" w:sz="6" w:space="0" w:color="78A22F"/>
              <w:left w:val="nil"/>
              <w:bottom w:val="nil"/>
              <w:right w:val="nil"/>
            </w:tcBorders>
          </w:tcPr>
          <w:p w:rsidR="00165248" w:rsidRPr="00D16196" w:rsidRDefault="00165248" w:rsidP="00D16196">
            <w:pPr>
              <w:pStyle w:val="BoxSpaceBelow"/>
            </w:pPr>
          </w:p>
        </w:tc>
      </w:tr>
    </w:tbl>
    <w:p w:rsidR="006842D6" w:rsidRPr="00D16196" w:rsidRDefault="006842D6" w:rsidP="00D16196">
      <w:pPr>
        <w:pStyle w:val="Heading4"/>
      </w:pPr>
      <w:r w:rsidRPr="00D16196">
        <w:t>Out-of-hom</w:t>
      </w:r>
      <w:r w:rsidR="00D041D6" w:rsidRPr="00D16196">
        <w:t>e care — placement with sibling</w:t>
      </w:r>
    </w:p>
    <w:p w:rsidR="006842D6" w:rsidRPr="00D16196" w:rsidRDefault="006842D6" w:rsidP="00D16196">
      <w:pPr>
        <w:pStyle w:val="BodyText"/>
      </w:pPr>
      <w:r w:rsidRPr="00D16196">
        <w:t xml:space="preserve">‘Placement with sibling’ </w:t>
      </w:r>
      <w:r w:rsidR="00C94D85" w:rsidRPr="00D16196">
        <w:t>is an indicator of governments’ objective to provide services which meet the needs of the recipients</w:t>
      </w:r>
      <w:r w:rsidRPr="00D16196">
        <w:t xml:space="preserve"> (box</w:t>
      </w:r>
      <w:r w:rsidR="00BB42EE" w:rsidRPr="00D16196">
        <w:t xml:space="preserve"> 15.12</w:t>
      </w:r>
      <w:r w:rsidR="00163FF6" w:rsidRPr="00D16196">
        <w:t>).</w:t>
      </w:r>
    </w:p>
    <w:p w:rsidR="00165248" w:rsidRPr="00D16196" w:rsidRDefault="00165248"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5248" w:rsidRPr="00D16196" w:rsidTr="0010799F">
        <w:tc>
          <w:tcPr>
            <w:tcW w:w="8771" w:type="dxa"/>
            <w:tcBorders>
              <w:top w:val="single" w:sz="6" w:space="0" w:color="78A22F"/>
              <w:left w:val="nil"/>
              <w:bottom w:val="nil"/>
              <w:right w:val="nil"/>
            </w:tcBorders>
            <w:shd w:val="clear" w:color="auto" w:fill="F2F2F2" w:themeFill="background1" w:themeFillShade="F2"/>
          </w:tcPr>
          <w:p w:rsidR="00165248" w:rsidRPr="00D16196" w:rsidRDefault="00165248" w:rsidP="00D16196">
            <w:pPr>
              <w:pStyle w:val="BoxTitle"/>
            </w:pPr>
            <w:r w:rsidRPr="00D16196">
              <w:rPr>
                <w:b w:val="0"/>
              </w:rPr>
              <w:t>Box</w:t>
            </w:r>
            <w:r w:rsidR="00BE45CB" w:rsidRPr="00D16196">
              <w:rPr>
                <w:b w:val="0"/>
              </w:rPr>
              <w:t xml:space="preserve"> 15.1</w:t>
            </w:r>
            <w:r w:rsidR="00BB42EE" w:rsidRPr="00D16196">
              <w:rPr>
                <w:b w:val="0"/>
              </w:rPr>
              <w:t>2</w:t>
            </w:r>
            <w:r w:rsidRPr="00D16196">
              <w:tab/>
              <w:t>Placement with sibling</w:t>
            </w:r>
          </w:p>
        </w:tc>
      </w:tr>
      <w:tr w:rsidR="00165248" w:rsidRPr="00D16196" w:rsidTr="0010799F">
        <w:trPr>
          <w:cantSplit/>
        </w:trPr>
        <w:tc>
          <w:tcPr>
            <w:tcW w:w="8771" w:type="dxa"/>
            <w:tcBorders>
              <w:top w:val="nil"/>
              <w:left w:val="nil"/>
              <w:bottom w:val="nil"/>
              <w:right w:val="nil"/>
            </w:tcBorders>
            <w:shd w:val="clear" w:color="auto" w:fill="F2F2F2" w:themeFill="background1" w:themeFillShade="F2"/>
          </w:tcPr>
          <w:p w:rsidR="00165248" w:rsidRPr="00D16196" w:rsidRDefault="00165248" w:rsidP="00D16196">
            <w:pPr>
              <w:pStyle w:val="Box"/>
            </w:pPr>
            <w:r w:rsidRPr="00D16196">
              <w:t>‘Placement with sibling’ is defined as the proportion of children who are on orders and in out</w:t>
            </w:r>
            <w:r w:rsidR="00B557C8" w:rsidRPr="00D16196">
              <w:t>-</w:t>
            </w:r>
            <w:r w:rsidRPr="00D16196">
              <w:t>of</w:t>
            </w:r>
            <w:r w:rsidR="00B557C8" w:rsidRPr="00D16196">
              <w:t>-</w:t>
            </w:r>
            <w:r w:rsidRPr="00D16196">
              <w:t>home care at 30 June who have siblings also on orders and in out-of-home care, who are placed with at least one of their siblings.</w:t>
            </w:r>
          </w:p>
          <w:p w:rsidR="00165248" w:rsidRPr="00D16196" w:rsidRDefault="00165248" w:rsidP="00D16196">
            <w:pPr>
              <w:pStyle w:val="Box"/>
            </w:pPr>
            <w:r w:rsidRPr="00D16196">
              <w:t>A high or increasing rate of placement with siblings is desirable. Placement of siblings together promotes stability and continuity. It is a long standing placement principle that siblings should be placed together, where possible, in the interests of their emotional wellbeing. Children are likely to be more secure and have a sense of belonging within their family when placed with siblings.</w:t>
            </w:r>
          </w:p>
          <w:p w:rsidR="00165248" w:rsidRPr="00D16196" w:rsidRDefault="00165248" w:rsidP="00D16196">
            <w:pPr>
              <w:pStyle w:val="Box"/>
            </w:pPr>
            <w:r w:rsidRPr="00D16196">
              <w:t xml:space="preserve">This is one factor among many that must be considered in the placement decision. In circumstances of sibling abuse, or when a particular child in a family has been singled out as the target for abuse or neglect, keeping siblings together may not be appropriate. </w:t>
            </w:r>
          </w:p>
          <w:p w:rsidR="00165248" w:rsidRPr="00D16196" w:rsidRDefault="00165248" w:rsidP="00D16196">
            <w:pPr>
              <w:pStyle w:val="Box"/>
            </w:pPr>
            <w:r w:rsidRPr="00D16196">
              <w:t>Data collection for this indicator is under development. Data were not available for the 201</w:t>
            </w:r>
            <w:r w:rsidR="00B20531" w:rsidRPr="00D16196">
              <w:t>6</w:t>
            </w:r>
            <w:r w:rsidR="00DC07D6" w:rsidRPr="00D16196">
              <w:t> Report.</w:t>
            </w:r>
          </w:p>
        </w:tc>
      </w:tr>
      <w:tr w:rsidR="00165248"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Pr="00D16196" w:rsidRDefault="00165248" w:rsidP="00D16196">
            <w:pPr>
              <w:pStyle w:val="Box"/>
              <w:spacing w:before="0" w:line="120" w:lineRule="exact"/>
            </w:pPr>
          </w:p>
        </w:tc>
      </w:tr>
      <w:tr w:rsidR="00165248" w:rsidRPr="00D16196" w:rsidTr="0010799F">
        <w:tc>
          <w:tcPr>
            <w:tcW w:w="8771" w:type="dxa"/>
            <w:tcBorders>
              <w:top w:val="single" w:sz="6" w:space="0" w:color="78A22F"/>
              <w:left w:val="nil"/>
              <w:bottom w:val="nil"/>
              <w:right w:val="nil"/>
            </w:tcBorders>
          </w:tcPr>
          <w:p w:rsidR="00165248" w:rsidRPr="00D16196" w:rsidRDefault="00165248" w:rsidP="00D16196">
            <w:pPr>
              <w:pStyle w:val="BoxSpaceBelow"/>
            </w:pPr>
          </w:p>
        </w:tc>
      </w:tr>
    </w:tbl>
    <w:p w:rsidR="00FA6D2A" w:rsidRPr="00D16196" w:rsidRDefault="00FA6D2A" w:rsidP="00D16196">
      <w:pPr>
        <w:pStyle w:val="Heading4"/>
      </w:pPr>
      <w:r w:rsidRPr="00D16196">
        <w:t>Out-of-home care — children with documented case plan</w:t>
      </w:r>
      <w:r w:rsidR="009E3523" w:rsidRPr="00D16196">
        <w:t>s</w:t>
      </w:r>
    </w:p>
    <w:p w:rsidR="00165248" w:rsidRPr="00D16196" w:rsidRDefault="00FA6D2A" w:rsidP="00D16196">
      <w:pPr>
        <w:pStyle w:val="BodyText"/>
        <w:widowControl w:val="0"/>
      </w:pPr>
      <w:r w:rsidRPr="00D16196">
        <w:t>‘Children with documented case plan</w:t>
      </w:r>
      <w:r w:rsidR="009E3523" w:rsidRPr="00D16196">
        <w:t>s</w:t>
      </w:r>
      <w:r w:rsidRPr="00D16196">
        <w:t xml:space="preserve">’ </w:t>
      </w:r>
      <w:r w:rsidR="00C94D85" w:rsidRPr="00D16196">
        <w:t xml:space="preserve">is an indicator of governments’ objective to provide services that meet the needs of the recipients </w:t>
      </w:r>
      <w:r w:rsidR="00A60924" w:rsidRPr="00D16196">
        <w:t>(box</w:t>
      </w:r>
      <w:r w:rsidR="00BB42EE" w:rsidRPr="00D16196">
        <w:t xml:space="preserve"> 15.13</w:t>
      </w:r>
      <w:r w:rsidR="00A60924" w:rsidRPr="00D16196">
        <w:t>).</w:t>
      </w:r>
    </w:p>
    <w:p w:rsidR="00165248" w:rsidRPr="00D16196" w:rsidRDefault="00165248"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5248" w:rsidRPr="00D16196" w:rsidTr="0010799F">
        <w:tc>
          <w:tcPr>
            <w:tcW w:w="8771" w:type="dxa"/>
            <w:tcBorders>
              <w:top w:val="single" w:sz="6" w:space="0" w:color="78A22F"/>
              <w:left w:val="nil"/>
              <w:bottom w:val="nil"/>
              <w:right w:val="nil"/>
            </w:tcBorders>
            <w:shd w:val="clear" w:color="auto" w:fill="F2F2F2" w:themeFill="background1" w:themeFillShade="F2"/>
          </w:tcPr>
          <w:p w:rsidR="00165248" w:rsidRPr="00D16196" w:rsidRDefault="00165248" w:rsidP="00D16196">
            <w:pPr>
              <w:pStyle w:val="BoxTitle"/>
            </w:pPr>
            <w:r w:rsidRPr="00D16196">
              <w:rPr>
                <w:b w:val="0"/>
              </w:rPr>
              <w:t>Box</w:t>
            </w:r>
            <w:r w:rsidR="00BE45CB" w:rsidRPr="00D16196">
              <w:rPr>
                <w:b w:val="0"/>
              </w:rPr>
              <w:t xml:space="preserve"> 15.1</w:t>
            </w:r>
            <w:r w:rsidR="00BB42EE" w:rsidRPr="00D16196">
              <w:rPr>
                <w:b w:val="0"/>
              </w:rPr>
              <w:t>3</w:t>
            </w:r>
            <w:r w:rsidRPr="00D16196">
              <w:tab/>
              <w:t>Children with current documented case plans</w:t>
            </w:r>
          </w:p>
        </w:tc>
      </w:tr>
      <w:tr w:rsidR="00165248" w:rsidRPr="00D16196" w:rsidTr="0010799F">
        <w:trPr>
          <w:cantSplit/>
        </w:trPr>
        <w:tc>
          <w:tcPr>
            <w:tcW w:w="8771" w:type="dxa"/>
            <w:tcBorders>
              <w:top w:val="nil"/>
              <w:left w:val="nil"/>
              <w:bottom w:val="nil"/>
              <w:right w:val="nil"/>
            </w:tcBorders>
            <w:shd w:val="clear" w:color="auto" w:fill="F2F2F2" w:themeFill="background1" w:themeFillShade="F2"/>
          </w:tcPr>
          <w:p w:rsidR="00165248" w:rsidRPr="00D16196" w:rsidRDefault="00165248" w:rsidP="00D16196">
            <w:pPr>
              <w:pStyle w:val="Box"/>
            </w:pPr>
            <w:r w:rsidRPr="00D16196">
              <w:t>‘Children with current documented case plans’ is defined as the number of children who have a current documented and approved case plan as a proportion of all children who are required to have a current documented and approved case plan.</w:t>
            </w:r>
          </w:p>
          <w:p w:rsidR="00165248" w:rsidRPr="00D16196" w:rsidRDefault="00165248" w:rsidP="00D16196">
            <w:pPr>
              <w:pStyle w:val="Box"/>
            </w:pPr>
            <w:r w:rsidRPr="00D16196">
              <w:t>A case plan is an individualised, dynamic written plan (or support agreement) that includes information on a child in need of protection, including his or her needs, risks, health, education, living and family arrangements, goals for ongoing intervention and actions required to achieve identified goals. A case plan is usually developed between a family and an agency on the basis of an assessment process. Case planning is essential to structured and purposeful work to support children’s optimal development.</w:t>
            </w:r>
          </w:p>
          <w:p w:rsidR="00165248" w:rsidRPr="00D16196" w:rsidRDefault="00165248" w:rsidP="00D16196">
            <w:pPr>
              <w:pStyle w:val="Box"/>
            </w:pPr>
            <w:r w:rsidRPr="00D16196">
              <w:t xml:space="preserve">A current case plan is one that has been approved and/or </w:t>
            </w:r>
            <w:r w:rsidR="004218B7" w:rsidRPr="00D16196">
              <w:t>reviewed within the previous 12 </w:t>
            </w:r>
            <w:r w:rsidRPr="00D16196">
              <w:t>months. Individual jurisdictions’ timeframes for ongoing review may vary and reviews may be more frequent when young children or infants are involved, the child has just entered care, and certain orders are in place (for example, assessment orders). Reviews may also be required when circumstances have changed (for example, the death of a parent or carer</w:t>
            </w:r>
            <w:r w:rsidR="004218B7" w:rsidRPr="00D16196">
              <w:t>,</w:t>
            </w:r>
            <w:r w:rsidRPr="00D16196">
              <w:t xml:space="preserve"> </w:t>
            </w:r>
            <w:r w:rsidR="004218B7" w:rsidRPr="00D16196">
              <w:t>or</w:t>
            </w:r>
            <w:r w:rsidRPr="00D16196">
              <w:t xml:space="preserve"> placement changes) and significant new decisions are needed.</w:t>
            </w:r>
          </w:p>
          <w:p w:rsidR="00165248" w:rsidRPr="00D16196" w:rsidRDefault="00165248" w:rsidP="00D16196">
            <w:pPr>
              <w:pStyle w:val="Box"/>
            </w:pPr>
            <w:r w:rsidRPr="00D16196">
              <w:t>The scope of this indicator extends to children and young people (aged 0–17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BD7094" w:rsidRPr="00D16196" w:rsidRDefault="00BD7094" w:rsidP="00D16196">
            <w:pPr>
              <w:pStyle w:val="Box"/>
            </w:pPr>
            <w:r w:rsidRPr="00D16196">
              <w:t>This indicator is under development and it is anticipated that these data will improve over time.</w:t>
            </w:r>
          </w:p>
          <w:p w:rsidR="00165248" w:rsidRPr="00D16196" w:rsidRDefault="00165248" w:rsidP="00D16196">
            <w:pPr>
              <w:pStyle w:val="Box"/>
            </w:pPr>
            <w:r w:rsidRPr="00D16196">
              <w:t xml:space="preserve">A high or increasing rate of children with current documented case plans is desirable. </w:t>
            </w:r>
          </w:p>
          <w:p w:rsidR="00165248" w:rsidRPr="00D16196" w:rsidRDefault="00165248" w:rsidP="00D16196">
            <w:pPr>
              <w:pStyle w:val="Box"/>
            </w:pPr>
            <w:r w:rsidRPr="00D16196">
              <w:t xml:space="preserve">The quality of </w:t>
            </w:r>
            <w:proofErr w:type="spellStart"/>
            <w:r w:rsidRPr="00D16196">
              <w:t>case</w:t>
            </w:r>
            <w:proofErr w:type="spellEnd"/>
            <w:r w:rsidRPr="00D16196">
              <w:t xml:space="preserve"> plans, and the extent to which identified needs and actions are put into place, should also be taken into account when considering this indicator. The existence of a case plan does not guarantee that appropriate case work to meet a child’s needs is occurring.</w:t>
            </w:r>
          </w:p>
          <w:p w:rsidR="00165248" w:rsidRPr="00D16196" w:rsidRDefault="00165248" w:rsidP="00D16196">
            <w:pPr>
              <w:pStyle w:val="Box"/>
            </w:pPr>
            <w:r w:rsidRPr="00D16196">
              <w:t>Data reported for this indicator are:</w:t>
            </w:r>
          </w:p>
          <w:p w:rsidR="00165248" w:rsidRPr="00D16196" w:rsidRDefault="00165248" w:rsidP="00D16196">
            <w:pPr>
              <w:pStyle w:val="BoxListBullet"/>
            </w:pPr>
            <w:r w:rsidRPr="00D16196">
              <w:t>comparable (subject to caveats) within jurisdictions over time, but are not comparable across jurisdictions (see caveats in attachment tables for specific jurisdictions)</w:t>
            </w:r>
          </w:p>
          <w:p w:rsidR="00165248" w:rsidRPr="00D16196" w:rsidRDefault="00165248" w:rsidP="00D16196">
            <w:pPr>
              <w:pStyle w:val="BoxListBullet"/>
            </w:pPr>
            <w:r w:rsidRPr="00D16196">
              <w:t xml:space="preserve">incomplete for the current reporting period. All required </w:t>
            </w:r>
            <w:r w:rsidR="00FD1939" w:rsidRPr="00D16196">
              <w:t xml:space="preserve">2014-15 </w:t>
            </w:r>
            <w:r w:rsidRPr="00D16196">
              <w:t>data were not available for SA and the NT.</w:t>
            </w:r>
          </w:p>
          <w:p w:rsidR="00165248" w:rsidRPr="00D16196" w:rsidRDefault="00165248"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DC07D6" w:rsidRPr="00D16196">
              <w:t>6</w:t>
            </w:r>
            <w:r w:rsidRPr="00D16196">
              <w:t>.</w:t>
            </w:r>
          </w:p>
        </w:tc>
      </w:tr>
      <w:tr w:rsidR="00165248"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165248" w:rsidRPr="00D16196" w:rsidRDefault="00165248" w:rsidP="00D16196">
            <w:pPr>
              <w:pStyle w:val="Box"/>
              <w:spacing w:before="0" w:line="120" w:lineRule="exact"/>
            </w:pPr>
          </w:p>
        </w:tc>
      </w:tr>
      <w:tr w:rsidR="00165248" w:rsidRPr="00D16196" w:rsidTr="0010799F">
        <w:tc>
          <w:tcPr>
            <w:tcW w:w="8771" w:type="dxa"/>
            <w:tcBorders>
              <w:top w:val="single" w:sz="6" w:space="0" w:color="78A22F"/>
              <w:left w:val="nil"/>
              <w:bottom w:val="nil"/>
              <w:right w:val="nil"/>
            </w:tcBorders>
          </w:tcPr>
          <w:p w:rsidR="00165248" w:rsidRPr="00D16196" w:rsidRDefault="00165248" w:rsidP="00D16196">
            <w:pPr>
              <w:pStyle w:val="BoxSpaceBelow"/>
            </w:pPr>
          </w:p>
        </w:tc>
      </w:tr>
    </w:tbl>
    <w:p w:rsidR="00852253" w:rsidRPr="00D16196" w:rsidRDefault="00DC07D6" w:rsidP="00D16196">
      <w:pPr>
        <w:pStyle w:val="BodyText"/>
        <w:widowControl w:val="0"/>
      </w:pPr>
      <w:r w:rsidRPr="00D16196">
        <w:t>Nationally, 86.6 per cent of children required to have a case plan, had a case plan at 30 </w:t>
      </w:r>
      <w:r w:rsidR="00852253" w:rsidRPr="00D16196">
        <w:t>June 201</w:t>
      </w:r>
      <w:r w:rsidR="00B20531" w:rsidRPr="00D16196">
        <w:t>5</w:t>
      </w:r>
      <w:r w:rsidRPr="00D16196">
        <w:t xml:space="preserve">. Proportions </w:t>
      </w:r>
      <w:r w:rsidR="00852253" w:rsidRPr="00D16196">
        <w:t>varied across jurisdictions (</w:t>
      </w:r>
      <w:r w:rsidR="00BB42EE" w:rsidRPr="00D16196">
        <w:t>figure 15.10</w:t>
      </w:r>
      <w:r w:rsidR="00852253" w:rsidRPr="00D16196">
        <w:t>).</w:t>
      </w:r>
      <w:r w:rsidR="00BE45CB" w:rsidRPr="00D16196">
        <w:t xml:space="preserve"> This proportion has increased since 30 June 2013 (75.1 per cent)</w:t>
      </w:r>
      <w:r w:rsidR="00FD1939" w:rsidRPr="00D16196">
        <w:t>, the earliest year of available data</w:t>
      </w:r>
      <w:r w:rsidR="00BE45CB" w:rsidRPr="00D16196">
        <w:t xml:space="preserve"> (table</w:t>
      </w:r>
      <w:r w:rsidR="008A6BFD" w:rsidRPr="00D16196">
        <w:t> </w:t>
      </w:r>
      <w:proofErr w:type="spellStart"/>
      <w:r w:rsidR="00BE45CB" w:rsidRPr="00D16196">
        <w:t>15A.17</w:t>
      </w:r>
      <w:proofErr w:type="spellEnd"/>
      <w:r w:rsidR="00BE45CB" w:rsidRPr="00D16196">
        <w:t xml:space="preserve">). </w:t>
      </w:r>
    </w:p>
    <w:p w:rsidR="00B96892" w:rsidRPr="00D16196" w:rsidRDefault="00B96892"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6892" w:rsidRPr="00D16196" w:rsidTr="0010799F">
        <w:tc>
          <w:tcPr>
            <w:tcW w:w="8771" w:type="dxa"/>
            <w:tcBorders>
              <w:top w:val="single" w:sz="6" w:space="0" w:color="78A22F"/>
              <w:left w:val="nil"/>
              <w:bottom w:val="nil"/>
              <w:right w:val="nil"/>
            </w:tcBorders>
            <w:shd w:val="clear" w:color="auto" w:fill="auto"/>
          </w:tcPr>
          <w:p w:rsidR="00B96892" w:rsidRPr="00D16196" w:rsidRDefault="00B96892" w:rsidP="00D16196">
            <w:pPr>
              <w:pStyle w:val="FigureTitle"/>
            </w:pPr>
            <w:r w:rsidRPr="00D16196">
              <w:rPr>
                <w:b w:val="0"/>
              </w:rPr>
              <w:t xml:space="preserve">Figure </w:t>
            </w:r>
            <w:bookmarkStart w:id="37" w:name="OLE_LINK33"/>
            <w:r w:rsidR="009E5608" w:rsidRPr="00D16196">
              <w:rPr>
                <w:b w:val="0"/>
              </w:rPr>
              <w:t>15.</w:t>
            </w:r>
            <w:bookmarkEnd w:id="37"/>
            <w:r w:rsidR="008155B4" w:rsidRPr="00D16196">
              <w:rPr>
                <w:b w:val="0"/>
              </w:rPr>
              <w:t>10</w:t>
            </w:r>
            <w:r w:rsidRPr="00D16196">
              <w:tab/>
              <w:t xml:space="preserve">Proportion of children with current documented case plans, </w:t>
            </w:r>
            <w:r w:rsidR="00B9186B" w:rsidRPr="00D16196">
              <w:t xml:space="preserve">at </w:t>
            </w:r>
            <w:r w:rsidRPr="00D16196">
              <w:t>30 June 201</w:t>
            </w:r>
            <w:r w:rsidR="00B20531" w:rsidRPr="00D16196">
              <w:t>5</w:t>
            </w:r>
            <w:r w:rsidR="00DC07D6" w:rsidRPr="00D16196">
              <w:rPr>
                <w:rStyle w:val="NoteLabel"/>
                <w:b/>
              </w:rPr>
              <w:t>a, b</w:t>
            </w:r>
          </w:p>
        </w:tc>
      </w:tr>
      <w:tr w:rsidR="00B96892"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00B050"/>
              <w:tblLayout w:type="fixed"/>
              <w:tblCellMar>
                <w:top w:w="28" w:type="dxa"/>
              </w:tblCellMar>
              <w:tblLook w:val="0000" w:firstRow="0" w:lastRow="0" w:firstColumn="0" w:lastColumn="0" w:noHBand="0" w:noVBand="0"/>
            </w:tblPr>
            <w:tblGrid>
              <w:gridCol w:w="8487"/>
            </w:tblGrid>
            <w:tr w:rsidR="00B96892" w:rsidRPr="00D16196" w:rsidTr="00C325E5">
              <w:tc>
                <w:tcPr>
                  <w:tcW w:w="8487" w:type="dxa"/>
                  <w:tcBorders>
                    <w:top w:val="nil"/>
                    <w:bottom w:val="nil"/>
                  </w:tcBorders>
                  <w:shd w:val="clear" w:color="auto" w:fill="auto"/>
                </w:tcPr>
                <w:p w:rsidR="00B96892" w:rsidRPr="00D16196" w:rsidRDefault="00C325E5" w:rsidP="00D16196">
                  <w:pPr>
                    <w:pStyle w:val="Figure"/>
                  </w:pPr>
                  <w:r w:rsidRPr="00D16196">
                    <w:rPr>
                      <w:noProof/>
                    </w:rPr>
                    <w:drawing>
                      <wp:inline distT="0" distB="0" distL="0" distR="0" wp14:anchorId="5B83F757" wp14:editId="70B4B43F">
                        <wp:extent cx="5400000" cy="2700000"/>
                        <wp:effectExtent l="0" t="0" r="0" b="5715"/>
                        <wp:docPr id="34" name="Chart 34" descr="Figure 15.10 Proportion of children with current documented case plans, at 30 June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B96892" w:rsidRPr="00D16196" w:rsidRDefault="00B96892" w:rsidP="00D16196">
            <w:pPr>
              <w:pStyle w:val="Figure"/>
            </w:pPr>
          </w:p>
        </w:tc>
      </w:tr>
      <w:tr w:rsidR="00B96892" w:rsidRPr="00D16196" w:rsidTr="0010799F">
        <w:tc>
          <w:tcPr>
            <w:tcW w:w="8771" w:type="dxa"/>
            <w:tcBorders>
              <w:top w:val="nil"/>
              <w:left w:val="nil"/>
              <w:bottom w:val="nil"/>
              <w:right w:val="nil"/>
            </w:tcBorders>
            <w:shd w:val="clear" w:color="auto" w:fill="auto"/>
          </w:tcPr>
          <w:p w:rsidR="00B96892" w:rsidRPr="00D16196" w:rsidRDefault="001E3B9E" w:rsidP="005C2D7C">
            <w:pPr>
              <w:pStyle w:val="Note"/>
            </w:pPr>
            <w:r w:rsidRPr="00D16196">
              <w:rPr>
                <w:rStyle w:val="NoteLabel"/>
              </w:rPr>
              <w:t>a </w:t>
            </w:r>
            <w:r w:rsidRPr="00D16196">
              <w:t xml:space="preserve">See </w:t>
            </w:r>
            <w:r w:rsidR="00601546" w:rsidRPr="00D16196">
              <w:t>box 15.1</w:t>
            </w:r>
            <w:r w:rsidR="005C2D7C">
              <w:t>3</w:t>
            </w:r>
            <w:r w:rsidR="00601546" w:rsidRPr="00D16196">
              <w:t xml:space="preserve"> and table </w:t>
            </w:r>
            <w:proofErr w:type="spellStart"/>
            <w:r w:rsidR="00601546" w:rsidRPr="00D16196">
              <w:t>15A.17</w:t>
            </w:r>
            <w:proofErr w:type="spellEnd"/>
            <w:r w:rsidR="00601546" w:rsidRPr="00D16196">
              <w:t xml:space="preserve"> for </w:t>
            </w:r>
            <w:r w:rsidRPr="00D16196">
              <w:t xml:space="preserve">detailed </w:t>
            </w:r>
            <w:r w:rsidR="00601546" w:rsidRPr="00D16196">
              <w:t xml:space="preserve">definitions, </w:t>
            </w:r>
            <w:r w:rsidRPr="00D16196">
              <w:t>footnotes</w:t>
            </w:r>
            <w:r w:rsidR="00601546" w:rsidRPr="00D16196">
              <w:t xml:space="preserve"> and caveats</w:t>
            </w:r>
            <w:r w:rsidRPr="00D16196">
              <w:t xml:space="preserve">. </w:t>
            </w:r>
            <w:r w:rsidRPr="00D16196">
              <w:rPr>
                <w:rStyle w:val="NoteLabel"/>
              </w:rPr>
              <w:t>b</w:t>
            </w:r>
            <w:r w:rsidR="00B96892" w:rsidRPr="00D16196">
              <w:t xml:space="preserve"> Data were not available for SA and the NT.</w:t>
            </w:r>
            <w:r w:rsidR="00080586" w:rsidRPr="00D16196">
              <w:t xml:space="preserve"> </w:t>
            </w:r>
          </w:p>
        </w:tc>
      </w:tr>
      <w:tr w:rsidR="00B96892" w:rsidRPr="00D16196" w:rsidTr="0010799F">
        <w:tc>
          <w:tcPr>
            <w:tcW w:w="8771" w:type="dxa"/>
            <w:tcBorders>
              <w:top w:val="nil"/>
              <w:left w:val="nil"/>
              <w:bottom w:val="nil"/>
              <w:right w:val="nil"/>
            </w:tcBorders>
            <w:shd w:val="clear" w:color="auto" w:fill="auto"/>
          </w:tcPr>
          <w:p w:rsidR="00B96892" w:rsidRPr="00D16196" w:rsidRDefault="00B96892" w:rsidP="00D16196">
            <w:pPr>
              <w:pStyle w:val="Source"/>
              <w:rPr>
                <w:color w:val="600000" w:themeColor="accent6" w:themeShade="80"/>
              </w:rPr>
            </w:pPr>
            <w:r w:rsidRPr="00D16196">
              <w:rPr>
                <w:i/>
              </w:rPr>
              <w:t>Source</w:t>
            </w:r>
            <w:r w:rsidRPr="00D16196">
              <w:t xml:space="preserve">: </w:t>
            </w:r>
            <w:proofErr w:type="spellStart"/>
            <w:r w:rsidRPr="00D16196">
              <w:t>AIHW</w:t>
            </w:r>
            <w:proofErr w:type="spellEnd"/>
            <w:r w:rsidRPr="00D16196">
              <w:t xml:space="preserve"> data collection (unpublished); table</w:t>
            </w:r>
            <w:r w:rsidR="00BB42EE" w:rsidRPr="00D16196">
              <w:t xml:space="preserve"> </w:t>
            </w:r>
            <w:proofErr w:type="spellStart"/>
            <w:r w:rsidR="00BB42EE" w:rsidRPr="00D16196">
              <w:t>15A.17</w:t>
            </w:r>
            <w:proofErr w:type="spellEnd"/>
            <w:r w:rsidRPr="00D16196">
              <w:t>.</w:t>
            </w:r>
          </w:p>
        </w:tc>
      </w:tr>
      <w:tr w:rsidR="00B96892" w:rsidRPr="00D16196" w:rsidTr="0010799F">
        <w:tc>
          <w:tcPr>
            <w:tcW w:w="8771" w:type="dxa"/>
            <w:tcBorders>
              <w:top w:val="nil"/>
              <w:left w:val="nil"/>
              <w:bottom w:val="single" w:sz="6" w:space="0" w:color="78A22F"/>
              <w:right w:val="nil"/>
            </w:tcBorders>
            <w:shd w:val="clear" w:color="auto" w:fill="auto"/>
          </w:tcPr>
          <w:p w:rsidR="00B96892" w:rsidRPr="00D16196" w:rsidRDefault="00B96892" w:rsidP="00D16196">
            <w:pPr>
              <w:pStyle w:val="Figurespace"/>
              <w:rPr>
                <w:color w:val="600000" w:themeColor="accent6" w:themeShade="80"/>
              </w:rPr>
            </w:pPr>
          </w:p>
        </w:tc>
      </w:tr>
      <w:tr w:rsidR="00B96892" w:rsidRPr="00D16196" w:rsidTr="0010799F">
        <w:tc>
          <w:tcPr>
            <w:tcW w:w="8771" w:type="dxa"/>
            <w:tcBorders>
              <w:top w:val="single" w:sz="6" w:space="0" w:color="78A22F"/>
              <w:left w:val="nil"/>
              <w:bottom w:val="nil"/>
              <w:right w:val="nil"/>
            </w:tcBorders>
          </w:tcPr>
          <w:p w:rsidR="00B96892" w:rsidRPr="00D16196" w:rsidRDefault="00B96892" w:rsidP="00D16196">
            <w:pPr>
              <w:pStyle w:val="BoxSpaceBelow"/>
            </w:pPr>
          </w:p>
        </w:tc>
      </w:tr>
    </w:tbl>
    <w:p w:rsidR="006842D6" w:rsidRPr="00D16196" w:rsidRDefault="006842D6" w:rsidP="00D16196">
      <w:pPr>
        <w:pStyle w:val="Heading4"/>
      </w:pPr>
      <w:r w:rsidRPr="00D16196">
        <w:t>Out-of-home care — client satisfaction</w:t>
      </w:r>
    </w:p>
    <w:p w:rsidR="006842D6" w:rsidRPr="00D16196" w:rsidRDefault="006842D6" w:rsidP="00D16196">
      <w:pPr>
        <w:pStyle w:val="BodyText"/>
        <w:widowControl w:val="0"/>
      </w:pPr>
      <w:r w:rsidRPr="00D16196">
        <w:t xml:space="preserve">‘Client satisfaction’ </w:t>
      </w:r>
      <w:r w:rsidR="008B6641" w:rsidRPr="00D16196">
        <w:t xml:space="preserve">is an indicator of governments’ objective to provide high quality services that meet the needs of recipients </w:t>
      </w:r>
      <w:r w:rsidRPr="00D16196">
        <w:t>(box</w:t>
      </w:r>
      <w:r w:rsidR="00BB42EE" w:rsidRPr="00D16196">
        <w:t xml:space="preserve"> 15.14</w:t>
      </w:r>
      <w:r w:rsidR="00163FF6" w:rsidRPr="00D16196">
        <w:t>).</w:t>
      </w:r>
    </w:p>
    <w:p w:rsidR="0092404E" w:rsidRPr="00D16196" w:rsidRDefault="0092404E"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404E" w:rsidRPr="00D16196" w:rsidTr="00D87EFD">
        <w:tc>
          <w:tcPr>
            <w:tcW w:w="8771" w:type="dxa"/>
            <w:tcBorders>
              <w:top w:val="single" w:sz="6" w:space="0" w:color="78A22F"/>
              <w:left w:val="nil"/>
              <w:bottom w:val="nil"/>
              <w:right w:val="nil"/>
            </w:tcBorders>
            <w:shd w:val="clear" w:color="auto" w:fill="F2F2F2"/>
          </w:tcPr>
          <w:p w:rsidR="0092404E" w:rsidRPr="00D16196" w:rsidRDefault="0092404E" w:rsidP="00D16196">
            <w:pPr>
              <w:pStyle w:val="BoxTitle"/>
            </w:pPr>
            <w:r w:rsidRPr="00D16196">
              <w:rPr>
                <w:b w:val="0"/>
              </w:rPr>
              <w:t xml:space="preserve">Box </w:t>
            </w:r>
            <w:r w:rsidR="00BE45CB" w:rsidRPr="00D16196">
              <w:rPr>
                <w:b w:val="0"/>
              </w:rPr>
              <w:t>15.1</w:t>
            </w:r>
            <w:r w:rsidR="00BB42EE" w:rsidRPr="00D16196">
              <w:rPr>
                <w:b w:val="0"/>
              </w:rPr>
              <w:t>4</w:t>
            </w:r>
            <w:r w:rsidRPr="00D16196">
              <w:tab/>
              <w:t>Client satisfaction</w:t>
            </w:r>
          </w:p>
        </w:tc>
      </w:tr>
      <w:tr w:rsidR="0092404E" w:rsidRPr="00D16196" w:rsidTr="00D87EFD">
        <w:trPr>
          <w:cantSplit/>
        </w:trPr>
        <w:tc>
          <w:tcPr>
            <w:tcW w:w="8771" w:type="dxa"/>
            <w:tcBorders>
              <w:top w:val="nil"/>
              <w:left w:val="nil"/>
              <w:bottom w:val="nil"/>
              <w:right w:val="nil"/>
            </w:tcBorders>
            <w:shd w:val="clear" w:color="auto" w:fill="F2F2F2"/>
          </w:tcPr>
          <w:p w:rsidR="0092404E" w:rsidRPr="00D16196" w:rsidRDefault="0092404E" w:rsidP="00D16196">
            <w:pPr>
              <w:pStyle w:val="Box"/>
            </w:pPr>
            <w:r w:rsidRPr="00D16196">
              <w:t>‘Client satisfaction’ is yet to be defined. It is intended that this indicator will measure client satisfaction with the out-of-home care system.</w:t>
            </w:r>
          </w:p>
          <w:p w:rsidR="0092404E" w:rsidRPr="00D16196" w:rsidRDefault="0092404E" w:rsidP="00D16196">
            <w:pPr>
              <w:pStyle w:val="Box"/>
            </w:pPr>
            <w:r w:rsidRPr="00D16196">
              <w:t xml:space="preserve">This indicator has been identified for development and </w:t>
            </w:r>
            <w:r w:rsidR="00FD1939" w:rsidRPr="00D16196">
              <w:t xml:space="preserve">future </w:t>
            </w:r>
            <w:r w:rsidRPr="00D16196">
              <w:t>reporting.</w:t>
            </w:r>
          </w:p>
        </w:tc>
      </w:tr>
      <w:tr w:rsidR="0092404E" w:rsidRPr="00D16196" w:rsidTr="00D87EFD">
        <w:trPr>
          <w:cantSplit/>
        </w:trPr>
        <w:tc>
          <w:tcPr>
            <w:tcW w:w="8771" w:type="dxa"/>
            <w:tcBorders>
              <w:top w:val="nil"/>
              <w:left w:val="nil"/>
              <w:bottom w:val="single" w:sz="6" w:space="0" w:color="78A22F"/>
              <w:right w:val="nil"/>
            </w:tcBorders>
            <w:shd w:val="clear" w:color="auto" w:fill="F2F2F2"/>
          </w:tcPr>
          <w:p w:rsidR="0092404E" w:rsidRPr="00D16196" w:rsidRDefault="0092404E" w:rsidP="00D16196">
            <w:pPr>
              <w:pStyle w:val="Box"/>
              <w:spacing w:before="0" w:line="120" w:lineRule="exact"/>
            </w:pPr>
          </w:p>
        </w:tc>
      </w:tr>
      <w:tr w:rsidR="0092404E" w:rsidRPr="00D16196" w:rsidTr="00D87EFD">
        <w:tc>
          <w:tcPr>
            <w:tcW w:w="8771" w:type="dxa"/>
            <w:tcBorders>
              <w:top w:val="single" w:sz="6" w:space="0" w:color="78A22F"/>
              <w:left w:val="nil"/>
              <w:bottom w:val="nil"/>
              <w:right w:val="nil"/>
            </w:tcBorders>
          </w:tcPr>
          <w:p w:rsidR="0092404E" w:rsidRPr="00D16196" w:rsidRDefault="0092404E" w:rsidP="00D16196">
            <w:pPr>
              <w:pStyle w:val="BoxSpaceBelow"/>
            </w:pPr>
          </w:p>
        </w:tc>
      </w:tr>
    </w:tbl>
    <w:p w:rsidR="00B0312A" w:rsidRPr="00D16196" w:rsidRDefault="00DC07D6" w:rsidP="00D16196">
      <w:pPr>
        <w:pStyle w:val="BodyText"/>
      </w:pPr>
      <w:r w:rsidRPr="00D16196">
        <w:t>I</w:t>
      </w:r>
      <w:r w:rsidR="00B0312A" w:rsidRPr="00D16196">
        <w:t xml:space="preserve">nformation on initiatives </w:t>
      </w:r>
      <w:r w:rsidRPr="00D16196">
        <w:t xml:space="preserve">across jurisdictions to measure </w:t>
      </w:r>
      <w:r w:rsidR="00B0312A" w:rsidRPr="00D16196">
        <w:t xml:space="preserve">client satisfaction is included </w:t>
      </w:r>
      <w:r w:rsidR="005508A5" w:rsidRPr="00D16196">
        <w:t xml:space="preserve">in </w:t>
      </w:r>
      <w:r w:rsidRPr="00D16196">
        <w:t xml:space="preserve">attachment table </w:t>
      </w:r>
      <w:proofErr w:type="spellStart"/>
      <w:r w:rsidRPr="00D16196">
        <w:t>15A.37</w:t>
      </w:r>
      <w:proofErr w:type="spellEnd"/>
      <w:r w:rsidR="005508A5" w:rsidRPr="00D16196">
        <w:t>.</w:t>
      </w:r>
    </w:p>
    <w:p w:rsidR="006842D6" w:rsidRPr="00D16196" w:rsidRDefault="006842D6" w:rsidP="00D16196">
      <w:pPr>
        <w:pStyle w:val="Heading3"/>
      </w:pPr>
      <w:r w:rsidRPr="00D16196">
        <w:lastRenderedPageBreak/>
        <w:t>Efficiency</w:t>
      </w:r>
    </w:p>
    <w:p w:rsidR="006842D6" w:rsidRPr="00D16196" w:rsidRDefault="00FD1939" w:rsidP="00D16196">
      <w:pPr>
        <w:pStyle w:val="Heading4"/>
      </w:pPr>
      <w:r w:rsidRPr="00D16196">
        <w:t xml:space="preserve">Child protection — </w:t>
      </w:r>
      <w:r w:rsidR="00670C90" w:rsidRPr="00D16196">
        <w:t>Total expenditure on all child protection activities per notification, investigation and substantiation</w:t>
      </w:r>
    </w:p>
    <w:p w:rsidR="006842D6" w:rsidRPr="00D16196" w:rsidRDefault="00670C90" w:rsidP="00D16196">
      <w:pPr>
        <w:pStyle w:val="BodyText"/>
      </w:pPr>
      <w:r w:rsidRPr="00D16196">
        <w:t>‘T</w:t>
      </w:r>
      <w:r w:rsidR="002C19F0" w:rsidRPr="00D16196">
        <w:t>otal expenditure on all child protection activities, per notification</w:t>
      </w:r>
      <w:r w:rsidR="00C50F63" w:rsidRPr="00D16196">
        <w:t>,</w:t>
      </w:r>
      <w:r w:rsidR="002C19F0" w:rsidRPr="00D16196">
        <w:t xml:space="preserve"> investigation, and substantiation’ </w:t>
      </w:r>
      <w:r w:rsidRPr="00D16196">
        <w:t xml:space="preserve">are reported as proxy indicators of governments’ objective to maximise the benefit to the community through the efficient use of </w:t>
      </w:r>
      <w:r w:rsidR="001F07D0" w:rsidRPr="00D16196">
        <w:t>public</w:t>
      </w:r>
      <w:r w:rsidRPr="00D16196">
        <w:t xml:space="preserve"> resources </w:t>
      </w:r>
      <w:r w:rsidR="006842D6" w:rsidRPr="00D16196">
        <w:t>(box</w:t>
      </w:r>
      <w:r w:rsidR="00BB42EE" w:rsidRPr="00D16196">
        <w:t xml:space="preserve"> 15.15</w:t>
      </w:r>
      <w:r w:rsidR="005B2C76" w:rsidRPr="00D16196">
        <w:t>).</w:t>
      </w:r>
    </w:p>
    <w:p w:rsidR="00E17D6A" w:rsidRPr="00D16196" w:rsidRDefault="00E17D6A"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D6A" w:rsidRPr="00D16196" w:rsidTr="0010799F">
        <w:tc>
          <w:tcPr>
            <w:tcW w:w="8771" w:type="dxa"/>
            <w:tcBorders>
              <w:top w:val="single" w:sz="6" w:space="0" w:color="78A22F"/>
              <w:left w:val="nil"/>
              <w:bottom w:val="nil"/>
              <w:right w:val="nil"/>
            </w:tcBorders>
            <w:shd w:val="clear" w:color="auto" w:fill="F2F2F2" w:themeFill="background1" w:themeFillShade="F2"/>
          </w:tcPr>
          <w:p w:rsidR="00E17D6A" w:rsidRPr="00D16196" w:rsidRDefault="00E17D6A" w:rsidP="00D16196">
            <w:pPr>
              <w:pStyle w:val="BoxTitle"/>
              <w:rPr>
                <w:color w:val="600000" w:themeColor="accent6" w:themeShade="80"/>
              </w:rPr>
            </w:pPr>
            <w:r w:rsidRPr="00D16196">
              <w:rPr>
                <w:b w:val="0"/>
              </w:rPr>
              <w:t>Box</w:t>
            </w:r>
            <w:r w:rsidR="00BB42EE" w:rsidRPr="00D16196">
              <w:rPr>
                <w:b w:val="0"/>
              </w:rPr>
              <w:t xml:space="preserve"> </w:t>
            </w:r>
            <w:r w:rsidR="00242E4E" w:rsidRPr="00D16196">
              <w:rPr>
                <w:b w:val="0"/>
              </w:rPr>
              <w:t>15.15</w:t>
            </w:r>
            <w:r w:rsidRPr="00D16196">
              <w:tab/>
            </w:r>
            <w:r w:rsidR="00FD794F" w:rsidRPr="00D16196">
              <w:t>Total expenditure on all child protection activities per notification, investigation and substantiation</w:t>
            </w:r>
          </w:p>
        </w:tc>
      </w:tr>
      <w:tr w:rsidR="00E17D6A" w:rsidRPr="00D16196" w:rsidTr="0010799F">
        <w:trPr>
          <w:cantSplit/>
        </w:trPr>
        <w:tc>
          <w:tcPr>
            <w:tcW w:w="8771" w:type="dxa"/>
            <w:tcBorders>
              <w:top w:val="nil"/>
              <w:left w:val="nil"/>
              <w:bottom w:val="nil"/>
              <w:right w:val="nil"/>
            </w:tcBorders>
            <w:shd w:val="clear" w:color="auto" w:fill="F2F2F2" w:themeFill="background1" w:themeFillShade="F2"/>
          </w:tcPr>
          <w:p w:rsidR="00FD794F" w:rsidRPr="00D16196" w:rsidRDefault="00FD794F" w:rsidP="00D16196">
            <w:pPr>
              <w:pStyle w:val="Box"/>
            </w:pPr>
            <w:r w:rsidRPr="00D16196">
              <w:t>‘Total expenditure on all child protection activities per notification, investigation and substantiation’ is defined by three measures:</w:t>
            </w:r>
          </w:p>
          <w:p w:rsidR="00FD794F" w:rsidRPr="00D16196" w:rsidRDefault="00FD794F" w:rsidP="00D16196">
            <w:pPr>
              <w:pStyle w:val="BoxListBullet"/>
            </w:pPr>
            <w:r w:rsidRPr="00D16196">
              <w:t>total expenditure on all child protection activities divided by the number of notifications</w:t>
            </w:r>
          </w:p>
          <w:p w:rsidR="00FD794F" w:rsidRPr="00D16196" w:rsidRDefault="00FD794F" w:rsidP="00D16196">
            <w:pPr>
              <w:pStyle w:val="BoxListBullet"/>
            </w:pPr>
            <w:r w:rsidRPr="00D16196">
              <w:t>total expenditure on all child protection activities divided by the number of investigations</w:t>
            </w:r>
          </w:p>
          <w:p w:rsidR="00FD794F" w:rsidRPr="00D16196" w:rsidRDefault="00FD794F" w:rsidP="00D16196">
            <w:pPr>
              <w:pStyle w:val="BoxListBullet"/>
            </w:pPr>
            <w:r w:rsidRPr="00D16196">
              <w:t>total expenditure on all child protection activities divided by the number of substantiations.</w:t>
            </w:r>
          </w:p>
          <w:p w:rsidR="008B2BD8" w:rsidRPr="00D16196" w:rsidRDefault="00FD794F" w:rsidP="00D16196">
            <w:pPr>
              <w:pStyle w:val="Box"/>
            </w:pPr>
            <w:r w:rsidRPr="00D16196">
              <w:t xml:space="preserve">Low or decreasing expenditure per notification/investigation/substantiation can suggest more efficient services but may indicate lower quality or different service delivery models. </w:t>
            </w:r>
          </w:p>
          <w:p w:rsidR="00FD794F" w:rsidRPr="00D16196" w:rsidRDefault="00FD794F" w:rsidP="00D16196">
            <w:pPr>
              <w:pStyle w:val="Box"/>
            </w:pPr>
            <w:r w:rsidRPr="00D16196">
              <w:t>These indicators are proxy indicators and need to be interpreted with care. Because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FD794F" w:rsidRPr="00D16196" w:rsidRDefault="00FD794F" w:rsidP="00D16196">
            <w:pPr>
              <w:pStyle w:val="Box"/>
            </w:pPr>
            <w:r w:rsidRPr="00D16196">
              <w:t>More comprehensive and accurate efficiency indicators would relate expenditure on particular child protection activities to a measure of output of those activities. Work is underway to develop a national activity-based costing method, the Pathways project, which will allow this type of reporting from existing information systems (box</w:t>
            </w:r>
            <w:r w:rsidR="00203E9E" w:rsidRPr="00D16196">
              <w:t xml:space="preserve"> 15.18)</w:t>
            </w:r>
            <w:r w:rsidRPr="00D16196">
              <w:t>. Experimental data using the Pathways method are included in table</w:t>
            </w:r>
            <w:r w:rsidR="00203E9E" w:rsidRPr="00D16196">
              <w:t>s 15.3 and 15.4</w:t>
            </w:r>
            <w:r w:rsidRPr="00D16196">
              <w:t xml:space="preserve">. The proxy data </w:t>
            </w:r>
            <w:r w:rsidR="00BE45CB" w:rsidRPr="00D16196">
              <w:t xml:space="preserve">reported for this indicator </w:t>
            </w:r>
            <w:r w:rsidRPr="00D16196">
              <w:t>will be replaced by Pathways unit cost data when the Pathways method is refined and implemented nationally.</w:t>
            </w:r>
          </w:p>
          <w:p w:rsidR="00FD794F" w:rsidRPr="00D16196" w:rsidRDefault="00FD794F" w:rsidP="00D16196">
            <w:pPr>
              <w:pStyle w:val="Box"/>
            </w:pPr>
            <w:r w:rsidRPr="00D16196">
              <w:t>Data reported for this indicator are:</w:t>
            </w:r>
          </w:p>
          <w:p w:rsidR="00FD794F" w:rsidRPr="00D16196" w:rsidRDefault="00FD794F" w:rsidP="00D16196">
            <w:pPr>
              <w:pStyle w:val="BoxListBullet"/>
            </w:pPr>
            <w:r w:rsidRPr="00D16196">
              <w:t>comparable (subject to caveats) within some jurisdictions over time but are not comparable across jurisdictions (see caveats in attachment tables for specific jurisdictions)</w:t>
            </w:r>
          </w:p>
          <w:p w:rsidR="00FD794F" w:rsidRPr="00D16196" w:rsidRDefault="00FD794F" w:rsidP="00D16196">
            <w:pPr>
              <w:pStyle w:val="BoxListBullet"/>
            </w:pPr>
            <w:r w:rsidRPr="00D16196">
              <w:t xml:space="preserve">complete for the current reporting period. </w:t>
            </w:r>
            <w:r w:rsidR="00EA30F7" w:rsidRPr="00D16196">
              <w:t>All required 2014-15 data were available for all jurisdictions.</w:t>
            </w:r>
          </w:p>
          <w:p w:rsidR="00E17D6A" w:rsidRPr="00D16196" w:rsidRDefault="00FD794F"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3E1B43" w:rsidRPr="00D16196">
              <w:t>6</w:t>
            </w:r>
            <w:r w:rsidRPr="00D16196">
              <w:t>.</w:t>
            </w:r>
          </w:p>
        </w:tc>
      </w:tr>
      <w:tr w:rsidR="00E17D6A"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E17D6A" w:rsidRPr="00D16196" w:rsidRDefault="00E17D6A" w:rsidP="00D16196">
            <w:pPr>
              <w:pStyle w:val="Box"/>
              <w:spacing w:before="0" w:line="120" w:lineRule="exact"/>
            </w:pPr>
          </w:p>
        </w:tc>
      </w:tr>
      <w:tr w:rsidR="00E17D6A" w:rsidRPr="00D16196" w:rsidTr="0010799F">
        <w:tc>
          <w:tcPr>
            <w:tcW w:w="8771" w:type="dxa"/>
            <w:tcBorders>
              <w:top w:val="single" w:sz="6" w:space="0" w:color="78A22F"/>
              <w:left w:val="nil"/>
              <w:bottom w:val="nil"/>
              <w:right w:val="nil"/>
            </w:tcBorders>
          </w:tcPr>
          <w:p w:rsidR="00E17D6A" w:rsidRPr="00D16196" w:rsidRDefault="00E17D6A" w:rsidP="00D16196">
            <w:pPr>
              <w:pStyle w:val="BoxSpaceBelow"/>
            </w:pPr>
          </w:p>
        </w:tc>
      </w:tr>
    </w:tbl>
    <w:p w:rsidR="007F1264" w:rsidRPr="00D16196" w:rsidRDefault="00804F8F" w:rsidP="00D16196">
      <w:pPr>
        <w:pStyle w:val="BodyText"/>
      </w:pPr>
      <w:r w:rsidRPr="00D16196">
        <w:t xml:space="preserve">Total expenditure on all child protection activities per notification, investigation and substantiation from </w:t>
      </w:r>
      <w:r w:rsidR="00022DF7" w:rsidRPr="00D16196">
        <w:t>20</w:t>
      </w:r>
      <w:r w:rsidR="00466D07" w:rsidRPr="00D16196">
        <w:t>10</w:t>
      </w:r>
      <w:r w:rsidR="00022DF7" w:rsidRPr="00D16196">
        <w:t>-</w:t>
      </w:r>
      <w:r w:rsidR="00456941" w:rsidRPr="00D16196">
        <w:t>1</w:t>
      </w:r>
      <w:r w:rsidR="00466D07" w:rsidRPr="00D16196">
        <w:t>1</w:t>
      </w:r>
      <w:r w:rsidRPr="00D16196">
        <w:t xml:space="preserve"> to </w:t>
      </w:r>
      <w:r w:rsidR="00022DF7" w:rsidRPr="00D16196">
        <w:t>201</w:t>
      </w:r>
      <w:r w:rsidR="00466D07" w:rsidRPr="00D16196">
        <w:t>4</w:t>
      </w:r>
      <w:r w:rsidR="00022DF7" w:rsidRPr="00D16196">
        <w:t>-1</w:t>
      </w:r>
      <w:r w:rsidR="00466D07" w:rsidRPr="00D16196">
        <w:t>5</w:t>
      </w:r>
      <w:r w:rsidRPr="00D16196">
        <w:t xml:space="preserve"> varied </w:t>
      </w:r>
      <w:r w:rsidR="005B2C76" w:rsidRPr="00D16196">
        <w:t>across</w:t>
      </w:r>
      <w:r w:rsidRPr="00D16196">
        <w:t xml:space="preserve"> jurisdictions (figure</w:t>
      </w:r>
      <w:r w:rsidR="00F459AA" w:rsidRPr="00D16196">
        <w:t> </w:t>
      </w:r>
      <w:r w:rsidR="00850EE7" w:rsidRPr="00D16196">
        <w:t>15.</w:t>
      </w:r>
      <w:r w:rsidR="008155B4" w:rsidRPr="00D16196">
        <w:t>11</w:t>
      </w:r>
      <w:r w:rsidRPr="00D16196">
        <w:t>).</w:t>
      </w:r>
    </w:p>
    <w:p w:rsidR="00FD794F" w:rsidRPr="00D16196" w:rsidRDefault="00FD794F"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794F" w:rsidRPr="00D16196" w:rsidTr="0010799F">
        <w:tc>
          <w:tcPr>
            <w:tcW w:w="8771" w:type="dxa"/>
            <w:tcBorders>
              <w:top w:val="single" w:sz="6" w:space="0" w:color="78A22F"/>
              <w:left w:val="nil"/>
              <w:bottom w:val="nil"/>
              <w:right w:val="nil"/>
            </w:tcBorders>
            <w:shd w:val="clear" w:color="auto" w:fill="auto"/>
          </w:tcPr>
          <w:p w:rsidR="00FD794F" w:rsidRPr="00D16196" w:rsidRDefault="00FD794F" w:rsidP="00D16196">
            <w:pPr>
              <w:pStyle w:val="FigureTitle"/>
            </w:pPr>
            <w:r w:rsidRPr="00D16196">
              <w:rPr>
                <w:b w:val="0"/>
              </w:rPr>
              <w:t xml:space="preserve">Figure </w:t>
            </w:r>
            <w:bookmarkStart w:id="38" w:name="OLE_LINK87"/>
            <w:r w:rsidR="009E5608" w:rsidRPr="00D16196">
              <w:rPr>
                <w:b w:val="0"/>
              </w:rPr>
              <w:t>15.</w:t>
            </w:r>
            <w:bookmarkEnd w:id="38"/>
            <w:r w:rsidR="00850EE7" w:rsidRPr="00D16196">
              <w:rPr>
                <w:b w:val="0"/>
              </w:rPr>
              <w:t>1</w:t>
            </w:r>
            <w:r w:rsidR="008155B4" w:rsidRPr="00D16196">
              <w:rPr>
                <w:b w:val="0"/>
              </w:rPr>
              <w:t>1</w:t>
            </w:r>
            <w:r w:rsidRPr="00D16196">
              <w:tab/>
            </w:r>
            <w:r w:rsidR="0031531D" w:rsidRPr="00D16196">
              <w:t>Child protection efficiency indicators (201</w:t>
            </w:r>
            <w:r w:rsidR="00466D07" w:rsidRPr="00D16196">
              <w:t>4</w:t>
            </w:r>
            <w:r w:rsidR="0031531D" w:rsidRPr="00D16196">
              <w:t>-1</w:t>
            </w:r>
            <w:r w:rsidR="00466D07" w:rsidRPr="00D16196">
              <w:t>5</w:t>
            </w:r>
            <w:r w:rsidR="0031531D" w:rsidRPr="00D16196">
              <w:t xml:space="preserve"> dollars)</w:t>
            </w:r>
            <w:r w:rsidR="0031531D" w:rsidRPr="00D16196">
              <w:rPr>
                <w:rStyle w:val="NoteLabel"/>
                <w:b/>
              </w:rPr>
              <w:t>a, b</w:t>
            </w:r>
          </w:p>
        </w:tc>
      </w:tr>
      <w:tr w:rsidR="00FD794F"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8F0000" w:themeFill="accent6" w:themeFillShade="BF"/>
              <w:tblLayout w:type="fixed"/>
              <w:tblCellMar>
                <w:top w:w="28" w:type="dxa"/>
              </w:tblCellMar>
              <w:tblLook w:val="0000" w:firstRow="0" w:lastRow="0" w:firstColumn="0" w:lastColumn="0" w:noHBand="0" w:noVBand="0"/>
            </w:tblPr>
            <w:tblGrid>
              <w:gridCol w:w="8487"/>
            </w:tblGrid>
            <w:tr w:rsidR="0031531D" w:rsidRPr="00D16196" w:rsidTr="00577199">
              <w:trPr>
                <w:trHeight w:val="8504"/>
              </w:trPr>
              <w:tc>
                <w:tcPr>
                  <w:tcW w:w="8487" w:type="dxa"/>
                  <w:tcBorders>
                    <w:top w:val="nil"/>
                    <w:bottom w:val="nil"/>
                  </w:tcBorders>
                  <w:shd w:val="clear" w:color="auto" w:fill="auto"/>
                </w:tcPr>
                <w:p w:rsidR="0031531D" w:rsidRPr="00D16196" w:rsidRDefault="0031531D" w:rsidP="00D16196">
                  <w:pPr>
                    <w:pStyle w:val="Figure"/>
                    <w:spacing w:before="0" w:after="0" w:line="240" w:lineRule="auto"/>
                    <w:rPr>
                      <w:rFonts w:ascii="Arial" w:hAnsi="Arial"/>
                      <w:b/>
                      <w:sz w:val="18"/>
                      <w:szCs w:val="18"/>
                    </w:rPr>
                  </w:pPr>
                  <w:r w:rsidRPr="00D16196">
                    <w:rPr>
                      <w:rFonts w:ascii="Arial" w:hAnsi="Arial"/>
                      <w:b/>
                      <w:sz w:val="18"/>
                      <w:szCs w:val="18"/>
                    </w:rPr>
                    <w:t>(a) Annual real recurrent expenditure on all child protection activities per notification</w:t>
                  </w:r>
                </w:p>
                <w:p w:rsidR="0031531D" w:rsidRPr="00D16196" w:rsidRDefault="00577199" w:rsidP="00D16196">
                  <w:pPr>
                    <w:pStyle w:val="Figure"/>
                    <w:spacing w:before="0" w:after="0" w:line="240" w:lineRule="auto"/>
                    <w:rPr>
                      <w:rFonts w:ascii="Arial" w:hAnsi="Arial"/>
                      <w:b/>
                      <w:sz w:val="18"/>
                      <w:szCs w:val="18"/>
                    </w:rPr>
                  </w:pPr>
                  <w:r>
                    <w:rPr>
                      <w:noProof/>
                    </w:rPr>
                    <w:drawing>
                      <wp:inline distT="0" distB="0" distL="0" distR="0" wp14:anchorId="0A180F76" wp14:editId="5815C8FB">
                        <wp:extent cx="5400000" cy="2232000"/>
                        <wp:effectExtent l="0" t="0" r="0" b="0"/>
                        <wp:docPr id="6" name="Chart 6" descr="Figure 15.11 Child protection efficiency indicators (2014-15 dollars)&#10;&#10;(a) Annual real recurrent expenditure on all child protection activities per notific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00C50F63" w:rsidRPr="00D16196">
                    <w:rPr>
                      <w:rFonts w:ascii="Arial" w:hAnsi="Arial"/>
                      <w:b/>
                      <w:sz w:val="18"/>
                      <w:szCs w:val="18"/>
                    </w:rPr>
                    <w:t xml:space="preserve"> </w:t>
                  </w:r>
                  <w:r w:rsidR="0031531D" w:rsidRPr="00D16196">
                    <w:rPr>
                      <w:rFonts w:ascii="Arial" w:hAnsi="Arial"/>
                      <w:b/>
                      <w:sz w:val="18"/>
                      <w:szCs w:val="18"/>
                    </w:rPr>
                    <w:t>(b) Annual real recurrent expenditure on all child protection activities per investigation</w:t>
                  </w:r>
                </w:p>
                <w:p w:rsidR="0031531D" w:rsidRPr="00D16196" w:rsidRDefault="00577199" w:rsidP="00D16196">
                  <w:pPr>
                    <w:pStyle w:val="Figure"/>
                    <w:spacing w:before="0" w:after="0" w:line="240" w:lineRule="auto"/>
                    <w:rPr>
                      <w:rFonts w:ascii="Arial" w:hAnsi="Arial"/>
                      <w:b/>
                      <w:sz w:val="18"/>
                      <w:szCs w:val="18"/>
                    </w:rPr>
                  </w:pPr>
                  <w:r>
                    <w:rPr>
                      <w:noProof/>
                    </w:rPr>
                    <w:drawing>
                      <wp:inline distT="0" distB="0" distL="0" distR="0" wp14:anchorId="56CC17FA" wp14:editId="6EC0C701">
                        <wp:extent cx="5400000" cy="2232000"/>
                        <wp:effectExtent l="0" t="0" r="0" b="0"/>
                        <wp:docPr id="38" name="Chart 38" descr="Figure 15.11 Child protection efficiency indicators (2014-15 dollars)&#10;&#10;(b) Annual real recurrent expenditure on all child protection activities per investig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C50F63" w:rsidRPr="00D16196">
                    <w:rPr>
                      <w:rFonts w:ascii="Arial" w:hAnsi="Arial"/>
                      <w:b/>
                      <w:sz w:val="18"/>
                      <w:szCs w:val="18"/>
                    </w:rPr>
                    <w:t xml:space="preserve"> </w:t>
                  </w:r>
                  <w:r w:rsidR="0031531D" w:rsidRPr="00D16196">
                    <w:rPr>
                      <w:rFonts w:ascii="Arial" w:hAnsi="Arial"/>
                      <w:b/>
                      <w:sz w:val="18"/>
                      <w:szCs w:val="18"/>
                    </w:rPr>
                    <w:t>(c) Annual real recurrent expenditure on all child protection activities per substantiation</w:t>
                  </w:r>
                </w:p>
                <w:p w:rsidR="0031531D" w:rsidRPr="00D16196" w:rsidRDefault="00C50F63" w:rsidP="00D16196">
                  <w:pPr>
                    <w:pStyle w:val="Figure"/>
                    <w:spacing w:before="60" w:after="60"/>
                    <w:rPr>
                      <w:noProof/>
                    </w:rPr>
                  </w:pPr>
                  <w:r w:rsidRPr="00D16196">
                    <w:rPr>
                      <w:noProof/>
                    </w:rPr>
                    <w:drawing>
                      <wp:inline distT="0" distB="0" distL="0" distR="0" wp14:anchorId="749F74DC" wp14:editId="245313BC">
                        <wp:extent cx="5400975" cy="2232000"/>
                        <wp:effectExtent l="0" t="0" r="0" b="0"/>
                        <wp:docPr id="35" name="Chart 35" descr="Figure 15.11 Child protection efficiency indicators (2014-15 dollars)&#10;&#10;(c) Annual real recurrent expenditure on all child protection activities per substanti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rsidR="00FD794F" w:rsidRPr="00D16196" w:rsidRDefault="00FD794F" w:rsidP="00D16196">
            <w:pPr>
              <w:pStyle w:val="Figure"/>
            </w:pPr>
          </w:p>
        </w:tc>
      </w:tr>
      <w:tr w:rsidR="00FD794F" w:rsidRPr="00D16196" w:rsidTr="0010799F">
        <w:tc>
          <w:tcPr>
            <w:tcW w:w="8771" w:type="dxa"/>
            <w:tcBorders>
              <w:top w:val="nil"/>
              <w:left w:val="nil"/>
              <w:bottom w:val="nil"/>
              <w:right w:val="nil"/>
            </w:tcBorders>
            <w:shd w:val="clear" w:color="auto" w:fill="auto"/>
          </w:tcPr>
          <w:p w:rsidR="00FD794F" w:rsidRPr="00D16196" w:rsidRDefault="00624F24" w:rsidP="005C2D7C">
            <w:pPr>
              <w:pStyle w:val="Note"/>
            </w:pPr>
            <w:r w:rsidRPr="00D16196">
              <w:rPr>
                <w:rStyle w:val="NoteLabel"/>
              </w:rPr>
              <w:t>a</w:t>
            </w:r>
            <w:r w:rsidRPr="00D16196">
              <w:t xml:space="preserve"> See </w:t>
            </w:r>
            <w:r w:rsidR="00601546" w:rsidRPr="00D16196">
              <w:t>box 15.1</w:t>
            </w:r>
            <w:r w:rsidR="005C2D7C">
              <w:t>5</w:t>
            </w:r>
            <w:r w:rsidR="00601546" w:rsidRPr="00D16196">
              <w:t xml:space="preserve"> and table </w:t>
            </w:r>
            <w:proofErr w:type="spellStart"/>
            <w:r w:rsidR="00601546" w:rsidRPr="00D16196">
              <w:t>15A.</w:t>
            </w:r>
            <w:r w:rsidR="0056415B" w:rsidRPr="00D16196">
              <w:t>2</w:t>
            </w:r>
            <w:proofErr w:type="spellEnd"/>
            <w:r w:rsidR="00601546" w:rsidRPr="00D16196">
              <w:t xml:space="preserve"> for </w:t>
            </w:r>
            <w:r w:rsidRPr="00D16196">
              <w:t xml:space="preserve">detailed </w:t>
            </w:r>
            <w:r w:rsidR="00601546" w:rsidRPr="00D16196">
              <w:t xml:space="preserve">definitions, </w:t>
            </w:r>
            <w:r w:rsidRPr="00D16196">
              <w:t>footnotes</w:t>
            </w:r>
            <w:r w:rsidR="00601546" w:rsidRPr="00D16196">
              <w:t xml:space="preserve"> and caveats</w:t>
            </w:r>
            <w:r w:rsidRPr="00D16196">
              <w:t>.</w:t>
            </w:r>
          </w:p>
        </w:tc>
      </w:tr>
      <w:tr w:rsidR="00FD794F" w:rsidRPr="00D16196" w:rsidTr="0010799F">
        <w:tc>
          <w:tcPr>
            <w:tcW w:w="8771" w:type="dxa"/>
            <w:tcBorders>
              <w:top w:val="nil"/>
              <w:left w:val="nil"/>
              <w:bottom w:val="nil"/>
              <w:right w:val="nil"/>
            </w:tcBorders>
            <w:shd w:val="clear" w:color="auto" w:fill="auto"/>
          </w:tcPr>
          <w:p w:rsidR="00FD794F" w:rsidRPr="00D16196" w:rsidRDefault="0031531D" w:rsidP="00D16196">
            <w:pPr>
              <w:pStyle w:val="Source"/>
            </w:pPr>
            <w:r w:rsidRPr="00D16196">
              <w:rPr>
                <w:i/>
              </w:rPr>
              <w:t>S</w:t>
            </w:r>
            <w:r w:rsidR="00FD794F" w:rsidRPr="00D16196">
              <w:rPr>
                <w:i/>
              </w:rPr>
              <w:t>ource</w:t>
            </w:r>
            <w:r w:rsidR="00FD794F" w:rsidRPr="00D16196">
              <w:t xml:space="preserve">: </w:t>
            </w:r>
            <w:proofErr w:type="spellStart"/>
            <w:r w:rsidRPr="00D16196">
              <w:t>AIHW</w:t>
            </w:r>
            <w:proofErr w:type="spellEnd"/>
            <w:r w:rsidRPr="00D16196">
              <w:t xml:space="preserve"> data collection (unpublished); State and Territory governments (unpublished); table </w:t>
            </w:r>
            <w:proofErr w:type="spellStart"/>
            <w:r w:rsidR="009E5608" w:rsidRPr="00D16196">
              <w:t>15A.2</w:t>
            </w:r>
            <w:proofErr w:type="spellEnd"/>
            <w:r w:rsidRPr="00D16196">
              <w:t>.</w:t>
            </w:r>
          </w:p>
        </w:tc>
      </w:tr>
      <w:tr w:rsidR="00FD794F" w:rsidRPr="00D16196" w:rsidTr="0010799F">
        <w:tc>
          <w:tcPr>
            <w:tcW w:w="8771" w:type="dxa"/>
            <w:tcBorders>
              <w:top w:val="nil"/>
              <w:left w:val="nil"/>
              <w:bottom w:val="single" w:sz="6" w:space="0" w:color="78A22F"/>
              <w:right w:val="nil"/>
            </w:tcBorders>
            <w:shd w:val="clear" w:color="auto" w:fill="auto"/>
          </w:tcPr>
          <w:p w:rsidR="00FD794F" w:rsidRPr="00D16196" w:rsidRDefault="00FD794F" w:rsidP="00D16196">
            <w:pPr>
              <w:pStyle w:val="Figurespace"/>
            </w:pPr>
          </w:p>
        </w:tc>
      </w:tr>
      <w:tr w:rsidR="00FD794F" w:rsidRPr="00D16196" w:rsidTr="0010799F">
        <w:tc>
          <w:tcPr>
            <w:tcW w:w="8771" w:type="dxa"/>
            <w:tcBorders>
              <w:top w:val="single" w:sz="6" w:space="0" w:color="78A22F"/>
              <w:left w:val="nil"/>
              <w:bottom w:val="nil"/>
              <w:right w:val="nil"/>
            </w:tcBorders>
          </w:tcPr>
          <w:p w:rsidR="00FD794F" w:rsidRPr="00D16196" w:rsidRDefault="00FD794F" w:rsidP="00D16196">
            <w:pPr>
              <w:pStyle w:val="BoxSpaceBelow"/>
            </w:pPr>
          </w:p>
        </w:tc>
      </w:tr>
    </w:tbl>
    <w:p w:rsidR="00417E7D" w:rsidRPr="00D16196" w:rsidRDefault="00FD1939" w:rsidP="00D16196">
      <w:pPr>
        <w:pStyle w:val="Heading4"/>
      </w:pPr>
      <w:r w:rsidRPr="00D16196">
        <w:lastRenderedPageBreak/>
        <w:t xml:space="preserve">Out-of-home care — </w:t>
      </w:r>
      <w:r w:rsidR="00417E7D" w:rsidRPr="00D16196">
        <w:t>Out-of-home care expenditure per placement night</w:t>
      </w:r>
    </w:p>
    <w:p w:rsidR="00417E7D" w:rsidRPr="00D16196" w:rsidRDefault="00417E7D" w:rsidP="00D16196">
      <w:pPr>
        <w:pStyle w:val="BodyText"/>
      </w:pPr>
      <w:r w:rsidRPr="00D16196">
        <w:t>‘Out-of-home care expenditure per placement night’ is an indicator of governments’ objective to maximise the availability and quality of services through the efficient use of public resources (box</w:t>
      </w:r>
      <w:r w:rsidR="00203E9E" w:rsidRPr="00D16196">
        <w:t xml:space="preserve"> 15.16</w:t>
      </w:r>
      <w:r w:rsidRPr="00D16196">
        <w:t>).</w:t>
      </w:r>
    </w:p>
    <w:p w:rsidR="0031531D" w:rsidRPr="00D16196" w:rsidRDefault="0031531D"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531D" w:rsidRPr="00D16196" w:rsidTr="0010799F">
        <w:tc>
          <w:tcPr>
            <w:tcW w:w="8771" w:type="dxa"/>
            <w:tcBorders>
              <w:top w:val="single" w:sz="6" w:space="0" w:color="78A22F"/>
              <w:left w:val="nil"/>
              <w:bottom w:val="nil"/>
              <w:right w:val="nil"/>
            </w:tcBorders>
            <w:shd w:val="clear" w:color="auto" w:fill="F2F2F2" w:themeFill="background1" w:themeFillShade="F2"/>
          </w:tcPr>
          <w:p w:rsidR="0031531D" w:rsidRPr="00D16196" w:rsidRDefault="0031531D" w:rsidP="00D16196">
            <w:pPr>
              <w:pStyle w:val="BoxTitle"/>
            </w:pPr>
            <w:r w:rsidRPr="00D16196">
              <w:rPr>
                <w:b w:val="0"/>
              </w:rPr>
              <w:t>Box</w:t>
            </w:r>
            <w:r w:rsidR="00203E9E" w:rsidRPr="00D16196">
              <w:rPr>
                <w:b w:val="0"/>
              </w:rPr>
              <w:t xml:space="preserve"> 15.16</w:t>
            </w:r>
            <w:r w:rsidRPr="00D16196">
              <w:tab/>
              <w:t>Out-of-home care expenditure per placement night</w:t>
            </w:r>
          </w:p>
        </w:tc>
      </w:tr>
      <w:tr w:rsidR="0031531D" w:rsidRPr="00D16196" w:rsidTr="0010799F">
        <w:trPr>
          <w:cantSplit/>
        </w:trPr>
        <w:tc>
          <w:tcPr>
            <w:tcW w:w="8771" w:type="dxa"/>
            <w:tcBorders>
              <w:top w:val="nil"/>
              <w:left w:val="nil"/>
              <w:bottom w:val="nil"/>
              <w:right w:val="nil"/>
            </w:tcBorders>
            <w:shd w:val="clear" w:color="auto" w:fill="F2F2F2" w:themeFill="background1" w:themeFillShade="F2"/>
          </w:tcPr>
          <w:p w:rsidR="0031531D" w:rsidRPr="00D16196" w:rsidRDefault="0031531D" w:rsidP="00D16196">
            <w:pPr>
              <w:pStyle w:val="Box"/>
            </w:pPr>
            <w:r w:rsidRPr="00D16196">
              <w:t>‘Out-of-home care expenditure per placement night’ is defined as total real recurrent expenditure on out-of-home care services divided by the total number of placement nights in out-of-home care.</w:t>
            </w:r>
          </w:p>
          <w:p w:rsidR="0031531D" w:rsidRPr="00D16196" w:rsidRDefault="0031531D" w:rsidP="00D16196">
            <w:pPr>
              <w:pStyle w:val="Box"/>
            </w:pPr>
            <w:r w:rsidRPr="00D16196">
              <w:t>Low or decreasing expenditure per placement night can suggest more efficient services but may indicate lower service quality or different service delivery models. Further, in some cases, efficiencies may not be able to be realised due to remote geographic locations that limit opportunities to reduce overheads through economies of scale.</w:t>
            </w:r>
          </w:p>
          <w:p w:rsidR="0031531D" w:rsidRPr="00D16196" w:rsidRDefault="0031531D" w:rsidP="00D16196">
            <w:pPr>
              <w:pStyle w:val="Box"/>
            </w:pPr>
            <w:r w:rsidRPr="00D16196">
              <w:t>Data reported for this indicator are:</w:t>
            </w:r>
          </w:p>
          <w:p w:rsidR="0031531D" w:rsidRPr="00D16196" w:rsidRDefault="0031531D" w:rsidP="00D16196">
            <w:pPr>
              <w:pStyle w:val="BoxListBullet"/>
            </w:pPr>
            <w:r w:rsidRPr="00D16196">
              <w:t>comparable (subject to caveats) within jurisdictions over time but are not comparable across jurisdictions (see caveats in attachment tables for specific jurisdictions)</w:t>
            </w:r>
          </w:p>
          <w:p w:rsidR="0031531D" w:rsidRPr="00D16196" w:rsidRDefault="0031531D" w:rsidP="00D16196">
            <w:pPr>
              <w:pStyle w:val="BoxListBullet"/>
            </w:pPr>
            <w:r w:rsidRPr="00D16196">
              <w:t>complete for the current reporting period. All required 201</w:t>
            </w:r>
            <w:r w:rsidR="00466D07" w:rsidRPr="00D16196">
              <w:t>4</w:t>
            </w:r>
            <w:r w:rsidRPr="00D16196">
              <w:t>-1</w:t>
            </w:r>
            <w:r w:rsidR="00466D07" w:rsidRPr="00D16196">
              <w:t>5</w:t>
            </w:r>
            <w:r w:rsidRPr="00D16196">
              <w:t xml:space="preserve"> data were available for all jurisdictions. </w:t>
            </w:r>
          </w:p>
          <w:p w:rsidR="0031531D" w:rsidRPr="00D16196" w:rsidRDefault="0031531D"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466D07" w:rsidRPr="00D16196">
              <w:t>6</w:t>
            </w:r>
            <w:r w:rsidRPr="00D16196">
              <w:t>.</w:t>
            </w:r>
          </w:p>
        </w:tc>
      </w:tr>
      <w:tr w:rsidR="0031531D"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31531D" w:rsidRPr="00D16196" w:rsidRDefault="0031531D" w:rsidP="00D16196">
            <w:pPr>
              <w:pStyle w:val="Box"/>
              <w:spacing w:before="0" w:line="120" w:lineRule="exact"/>
            </w:pPr>
          </w:p>
        </w:tc>
      </w:tr>
      <w:tr w:rsidR="0031531D" w:rsidRPr="00D16196" w:rsidTr="0010799F">
        <w:tc>
          <w:tcPr>
            <w:tcW w:w="8771" w:type="dxa"/>
            <w:tcBorders>
              <w:top w:val="single" w:sz="6" w:space="0" w:color="78A22F"/>
              <w:left w:val="nil"/>
              <w:bottom w:val="nil"/>
              <w:right w:val="nil"/>
            </w:tcBorders>
          </w:tcPr>
          <w:p w:rsidR="0031531D" w:rsidRPr="00D16196" w:rsidRDefault="0031531D" w:rsidP="00D16196">
            <w:pPr>
              <w:pStyle w:val="BoxSpaceBelow"/>
            </w:pPr>
          </w:p>
        </w:tc>
      </w:tr>
    </w:tbl>
    <w:p w:rsidR="00C8250C" w:rsidRPr="00D16196" w:rsidRDefault="00750DA8" w:rsidP="00D16196">
      <w:pPr>
        <w:pStyle w:val="BodyText"/>
      </w:pPr>
      <w:r w:rsidRPr="00D16196">
        <w:t>Nationally</w:t>
      </w:r>
      <w:r w:rsidR="0056415B" w:rsidRPr="00D16196">
        <w:t xml:space="preserve"> in 2014-15</w:t>
      </w:r>
      <w:r w:rsidRPr="00D16196">
        <w:t>, out-of-home care expenditure per placement night was $1</w:t>
      </w:r>
      <w:r w:rsidR="001857F6" w:rsidRPr="00D16196">
        <w:t>57</w:t>
      </w:r>
      <w:r w:rsidRPr="00D16196">
        <w:t xml:space="preserve">. Expenditure </w:t>
      </w:r>
      <w:r w:rsidR="00417E7D" w:rsidRPr="00D16196">
        <w:t>varied across jurisdictions (</w:t>
      </w:r>
      <w:r w:rsidR="00A43D28" w:rsidRPr="00D16196">
        <w:t>figure </w:t>
      </w:r>
      <w:r w:rsidR="00850EE7" w:rsidRPr="00D16196">
        <w:t>15.1</w:t>
      </w:r>
      <w:r w:rsidR="008155B4" w:rsidRPr="00D16196">
        <w:t>2</w:t>
      </w:r>
      <w:r w:rsidR="00417E7D" w:rsidRPr="00D16196">
        <w:t>).</w:t>
      </w:r>
    </w:p>
    <w:p w:rsidR="008D10C8" w:rsidRPr="00D16196" w:rsidRDefault="008D10C8"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10C8" w:rsidRPr="00D16196" w:rsidTr="0010799F">
        <w:tc>
          <w:tcPr>
            <w:tcW w:w="8771" w:type="dxa"/>
            <w:tcBorders>
              <w:top w:val="single" w:sz="6" w:space="0" w:color="78A22F"/>
              <w:left w:val="nil"/>
              <w:bottom w:val="nil"/>
              <w:right w:val="nil"/>
            </w:tcBorders>
            <w:shd w:val="clear" w:color="auto" w:fill="auto"/>
          </w:tcPr>
          <w:p w:rsidR="008D10C8" w:rsidRPr="00D16196" w:rsidRDefault="008D10C8" w:rsidP="00D16196">
            <w:pPr>
              <w:pStyle w:val="FigureTitle"/>
            </w:pPr>
            <w:r w:rsidRPr="00D16196">
              <w:rPr>
                <w:b w:val="0"/>
              </w:rPr>
              <w:t xml:space="preserve">Figure </w:t>
            </w:r>
            <w:bookmarkStart w:id="39" w:name="OLE_LINK45"/>
            <w:r w:rsidR="009E5608" w:rsidRPr="00D16196">
              <w:rPr>
                <w:b w:val="0"/>
              </w:rPr>
              <w:t>15.</w:t>
            </w:r>
            <w:bookmarkEnd w:id="39"/>
            <w:r w:rsidR="00850EE7" w:rsidRPr="00D16196">
              <w:rPr>
                <w:b w:val="0"/>
              </w:rPr>
              <w:t>1</w:t>
            </w:r>
            <w:r w:rsidR="008155B4" w:rsidRPr="00D16196">
              <w:rPr>
                <w:b w:val="0"/>
              </w:rPr>
              <w:t>2</w:t>
            </w:r>
            <w:r w:rsidRPr="00D16196">
              <w:tab/>
              <w:t>Real out-of-home care expen</w:t>
            </w:r>
            <w:r w:rsidR="00466D07" w:rsidRPr="00D16196">
              <w:t>diture per placement night (2014</w:t>
            </w:r>
            <w:r w:rsidRPr="00D16196">
              <w:noBreakHyphen/>
              <w:t>1</w:t>
            </w:r>
            <w:r w:rsidR="00466D07" w:rsidRPr="00D16196">
              <w:t>5</w:t>
            </w:r>
            <w:r w:rsidRPr="00D16196">
              <w:t xml:space="preserve"> dollars)</w:t>
            </w:r>
            <w:r w:rsidR="0056415B" w:rsidRPr="00D16196">
              <w:rPr>
                <w:rStyle w:val="NoteLabel"/>
                <w:b/>
              </w:rPr>
              <w:t>a</w:t>
            </w:r>
          </w:p>
        </w:tc>
      </w:tr>
      <w:tr w:rsidR="008D10C8" w:rsidRPr="00D16196" w:rsidTr="0010799F">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shd w:val="clear" w:color="auto" w:fill="FF4040" w:themeFill="accent6" w:themeFillTint="99"/>
              <w:tblLayout w:type="fixed"/>
              <w:tblCellMar>
                <w:top w:w="28" w:type="dxa"/>
              </w:tblCellMar>
              <w:tblLook w:val="0000" w:firstRow="0" w:lastRow="0" w:firstColumn="0" w:lastColumn="0" w:noHBand="0" w:noVBand="0"/>
            </w:tblPr>
            <w:tblGrid>
              <w:gridCol w:w="8487"/>
            </w:tblGrid>
            <w:tr w:rsidR="008D10C8" w:rsidRPr="00D16196" w:rsidTr="0082005E">
              <w:tc>
                <w:tcPr>
                  <w:tcW w:w="8487" w:type="dxa"/>
                  <w:tcBorders>
                    <w:top w:val="nil"/>
                    <w:bottom w:val="nil"/>
                  </w:tcBorders>
                  <w:shd w:val="clear" w:color="auto" w:fill="auto"/>
                </w:tcPr>
                <w:p w:rsidR="008D10C8" w:rsidRPr="00D16196" w:rsidRDefault="0082005E" w:rsidP="00D16196">
                  <w:pPr>
                    <w:pStyle w:val="Figure"/>
                  </w:pPr>
                  <w:r w:rsidRPr="00D16196">
                    <w:rPr>
                      <w:noProof/>
                    </w:rPr>
                    <w:drawing>
                      <wp:inline distT="0" distB="0" distL="0" distR="0" wp14:anchorId="6BDE2E49" wp14:editId="45A29171">
                        <wp:extent cx="5400000" cy="2700000"/>
                        <wp:effectExtent l="0" t="0" r="0" b="5715"/>
                        <wp:docPr id="10" name="Chart 10" descr="Figure 15.12 Real out-of-home care expenditure per placement night (2014-15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bl>
          <w:p w:rsidR="008D10C8" w:rsidRPr="00D16196" w:rsidRDefault="008D10C8" w:rsidP="00D16196">
            <w:pPr>
              <w:pStyle w:val="Figure"/>
            </w:pPr>
          </w:p>
        </w:tc>
      </w:tr>
      <w:tr w:rsidR="008D10C8" w:rsidRPr="00D16196" w:rsidTr="0010799F">
        <w:tc>
          <w:tcPr>
            <w:tcW w:w="8771" w:type="dxa"/>
            <w:tcBorders>
              <w:top w:val="nil"/>
              <w:left w:val="nil"/>
              <w:bottom w:val="nil"/>
              <w:right w:val="nil"/>
            </w:tcBorders>
            <w:shd w:val="clear" w:color="auto" w:fill="auto"/>
          </w:tcPr>
          <w:p w:rsidR="008D10C8" w:rsidRPr="00D16196" w:rsidRDefault="00624F24" w:rsidP="005C2D7C">
            <w:pPr>
              <w:pStyle w:val="Note"/>
            </w:pPr>
            <w:r w:rsidRPr="00D16196">
              <w:rPr>
                <w:rStyle w:val="NoteLabel"/>
              </w:rPr>
              <w:t>a</w:t>
            </w:r>
            <w:r w:rsidRPr="00D16196">
              <w:t xml:space="preserve"> See </w:t>
            </w:r>
            <w:r w:rsidR="00601546" w:rsidRPr="00D16196">
              <w:t>box 15.1</w:t>
            </w:r>
            <w:r w:rsidR="005C2D7C">
              <w:t>6</w:t>
            </w:r>
            <w:r w:rsidR="00601546" w:rsidRPr="00D16196">
              <w:t xml:space="preserve"> and table </w:t>
            </w:r>
            <w:proofErr w:type="spellStart"/>
            <w:r w:rsidR="00601546" w:rsidRPr="00D16196">
              <w:t>15A.29</w:t>
            </w:r>
            <w:proofErr w:type="spellEnd"/>
            <w:r w:rsidR="00601546" w:rsidRPr="00D16196">
              <w:t xml:space="preserve"> </w:t>
            </w:r>
            <w:r w:rsidRPr="00D16196">
              <w:t xml:space="preserve">for detailed </w:t>
            </w:r>
            <w:r w:rsidR="00601546" w:rsidRPr="00D16196">
              <w:t xml:space="preserve">definitions, </w:t>
            </w:r>
            <w:r w:rsidRPr="00D16196">
              <w:t>footnotes</w:t>
            </w:r>
            <w:r w:rsidR="00601546" w:rsidRPr="00D16196">
              <w:t xml:space="preserve"> and caveats</w:t>
            </w:r>
            <w:r w:rsidRPr="00D16196">
              <w:t xml:space="preserve">. </w:t>
            </w:r>
          </w:p>
        </w:tc>
      </w:tr>
      <w:tr w:rsidR="008D10C8" w:rsidRPr="00D16196" w:rsidTr="0010799F">
        <w:tc>
          <w:tcPr>
            <w:tcW w:w="8771" w:type="dxa"/>
            <w:tcBorders>
              <w:top w:val="nil"/>
              <w:left w:val="nil"/>
              <w:bottom w:val="nil"/>
              <w:right w:val="nil"/>
            </w:tcBorders>
            <w:shd w:val="clear" w:color="auto" w:fill="auto"/>
          </w:tcPr>
          <w:p w:rsidR="008D10C8" w:rsidRPr="00D16196" w:rsidRDefault="008D10C8" w:rsidP="00D16196">
            <w:pPr>
              <w:pStyle w:val="Source"/>
            </w:pPr>
            <w:r w:rsidRPr="00D16196">
              <w:rPr>
                <w:i/>
              </w:rPr>
              <w:t>Source</w:t>
            </w:r>
            <w:r w:rsidRPr="00D16196">
              <w:t xml:space="preserve">: </w:t>
            </w:r>
            <w:proofErr w:type="spellStart"/>
            <w:r w:rsidRPr="00D16196">
              <w:t>AIHW</w:t>
            </w:r>
            <w:proofErr w:type="spellEnd"/>
            <w:r w:rsidRPr="00D16196">
              <w:t xml:space="preserve"> data collection (unpublished); State and Territory governments (unpublished); table</w:t>
            </w:r>
            <w:r w:rsidR="00203E9E" w:rsidRPr="00D16196">
              <w:t xml:space="preserve"> </w:t>
            </w:r>
            <w:proofErr w:type="spellStart"/>
            <w:r w:rsidR="00203E9E" w:rsidRPr="00D16196">
              <w:t>15A.29</w:t>
            </w:r>
            <w:proofErr w:type="spellEnd"/>
            <w:r w:rsidRPr="00D16196">
              <w:t>.</w:t>
            </w:r>
          </w:p>
        </w:tc>
      </w:tr>
      <w:tr w:rsidR="008D10C8" w:rsidRPr="00D16196" w:rsidTr="0010799F">
        <w:tc>
          <w:tcPr>
            <w:tcW w:w="8771" w:type="dxa"/>
            <w:tcBorders>
              <w:top w:val="nil"/>
              <w:left w:val="nil"/>
              <w:bottom w:val="single" w:sz="6" w:space="0" w:color="78A22F"/>
              <w:right w:val="nil"/>
            </w:tcBorders>
            <w:shd w:val="clear" w:color="auto" w:fill="auto"/>
          </w:tcPr>
          <w:p w:rsidR="008D10C8" w:rsidRPr="00D16196" w:rsidRDefault="008D10C8" w:rsidP="00D16196">
            <w:pPr>
              <w:pStyle w:val="Figurespace"/>
            </w:pPr>
          </w:p>
        </w:tc>
      </w:tr>
      <w:tr w:rsidR="008D10C8" w:rsidRPr="00D16196" w:rsidTr="0010799F">
        <w:tc>
          <w:tcPr>
            <w:tcW w:w="8771" w:type="dxa"/>
            <w:tcBorders>
              <w:top w:val="single" w:sz="6" w:space="0" w:color="78A22F"/>
              <w:left w:val="nil"/>
              <w:bottom w:val="nil"/>
              <w:right w:val="nil"/>
            </w:tcBorders>
          </w:tcPr>
          <w:p w:rsidR="008D10C8" w:rsidRPr="00D16196" w:rsidRDefault="008D10C8" w:rsidP="00D16196">
            <w:pPr>
              <w:pStyle w:val="BoxSpaceBelow"/>
            </w:pPr>
          </w:p>
        </w:tc>
      </w:tr>
    </w:tbl>
    <w:p w:rsidR="006842D6" w:rsidRPr="00D16196" w:rsidRDefault="00FD1939" w:rsidP="00D16196">
      <w:pPr>
        <w:pStyle w:val="Heading4"/>
      </w:pPr>
      <w:r w:rsidRPr="00D16196">
        <w:t xml:space="preserve">Out-of-home care — </w:t>
      </w:r>
      <w:r w:rsidR="004B4C54" w:rsidRPr="00D16196">
        <w:t>Total e</w:t>
      </w:r>
      <w:r w:rsidR="000A1C8F" w:rsidRPr="00D16196">
        <w:t xml:space="preserve">xpenditure on </w:t>
      </w:r>
      <w:r w:rsidR="00035B88" w:rsidRPr="00D16196">
        <w:t xml:space="preserve">residential </w:t>
      </w:r>
      <w:r w:rsidR="006A0A14" w:rsidRPr="00D16196">
        <w:t>and non</w:t>
      </w:r>
      <w:r w:rsidRPr="00D16196">
        <w:noBreakHyphen/>
      </w:r>
      <w:r w:rsidR="006A0A14" w:rsidRPr="00D16196">
        <w:t xml:space="preserve">residential </w:t>
      </w:r>
      <w:r w:rsidR="00CC03BD" w:rsidRPr="00D16196">
        <w:br/>
      </w:r>
      <w:r w:rsidR="006A0A14" w:rsidRPr="00D16196">
        <w:t xml:space="preserve">out-of-home care per child in residential and non-residential </w:t>
      </w:r>
      <w:r w:rsidR="000A1C8F" w:rsidRPr="00D16196">
        <w:t>out-of-home care</w:t>
      </w:r>
    </w:p>
    <w:p w:rsidR="006842D6" w:rsidRPr="00D16196" w:rsidRDefault="00286E89" w:rsidP="00D16196">
      <w:pPr>
        <w:pStyle w:val="BodyText"/>
      </w:pPr>
      <w:r w:rsidRPr="00D16196">
        <w:t>‘</w:t>
      </w:r>
      <w:r w:rsidR="00FB4C9C" w:rsidRPr="00D16196">
        <w:t>T</w:t>
      </w:r>
      <w:r w:rsidRPr="00D16196">
        <w:t xml:space="preserve">otal expenditure on </w:t>
      </w:r>
      <w:r w:rsidR="00EE48DE" w:rsidRPr="00D16196">
        <w:t xml:space="preserve">all out-of-home care services per child in out-of-home care, by residential and non-residential care’ </w:t>
      </w:r>
      <w:r w:rsidR="00FB4C9C" w:rsidRPr="00D16196">
        <w:t xml:space="preserve">are reported as proxy indicators of governments’ objective to maximise the benefit to the community through the efficient use of </w:t>
      </w:r>
      <w:r w:rsidR="001F07D0" w:rsidRPr="00D16196">
        <w:t>public</w:t>
      </w:r>
      <w:r w:rsidR="00FB4C9C" w:rsidRPr="00D16196">
        <w:t xml:space="preserve"> resources </w:t>
      </w:r>
      <w:r w:rsidR="006842D6" w:rsidRPr="00D16196">
        <w:t>(box</w:t>
      </w:r>
      <w:r w:rsidR="00203E9E" w:rsidRPr="00D16196">
        <w:t xml:space="preserve"> 15.17</w:t>
      </w:r>
      <w:r w:rsidR="006842D6" w:rsidRPr="00D16196">
        <w:t>).</w:t>
      </w:r>
    </w:p>
    <w:p w:rsidR="008D10C8" w:rsidRPr="00D16196" w:rsidRDefault="008D10C8"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10C8" w:rsidRPr="00D16196" w:rsidTr="0010799F">
        <w:tc>
          <w:tcPr>
            <w:tcW w:w="8771" w:type="dxa"/>
            <w:tcBorders>
              <w:top w:val="single" w:sz="6" w:space="0" w:color="78A22F"/>
              <w:left w:val="nil"/>
              <w:bottom w:val="nil"/>
              <w:right w:val="nil"/>
            </w:tcBorders>
            <w:shd w:val="clear" w:color="auto" w:fill="F2F2F2" w:themeFill="background1" w:themeFillShade="F2"/>
          </w:tcPr>
          <w:p w:rsidR="008D10C8" w:rsidRPr="00D16196" w:rsidRDefault="008D10C8" w:rsidP="00D16196">
            <w:pPr>
              <w:pStyle w:val="BoxTitle"/>
            </w:pPr>
            <w:r w:rsidRPr="00D16196">
              <w:rPr>
                <w:b w:val="0"/>
              </w:rPr>
              <w:t>Box</w:t>
            </w:r>
            <w:r w:rsidR="00203E9E" w:rsidRPr="00D16196">
              <w:rPr>
                <w:b w:val="0"/>
              </w:rPr>
              <w:t xml:space="preserve"> 15.17</w:t>
            </w:r>
            <w:r w:rsidRPr="00D16196">
              <w:tab/>
              <w:t>Total expenditure on residential and non</w:t>
            </w:r>
            <w:r w:rsidRPr="00D16196">
              <w:noBreakHyphen/>
              <w:t xml:space="preserve">residential </w:t>
            </w:r>
            <w:r w:rsidR="00CC03BD" w:rsidRPr="00D16196">
              <w:br/>
            </w:r>
            <w:r w:rsidRPr="00D16196">
              <w:t>out-of-home care per child in residential and non-residential out-of-home care</w:t>
            </w:r>
          </w:p>
        </w:tc>
      </w:tr>
      <w:tr w:rsidR="008D10C8" w:rsidRPr="00D16196" w:rsidTr="0010799F">
        <w:trPr>
          <w:cantSplit/>
        </w:trPr>
        <w:tc>
          <w:tcPr>
            <w:tcW w:w="8771" w:type="dxa"/>
            <w:tcBorders>
              <w:top w:val="nil"/>
              <w:left w:val="nil"/>
              <w:bottom w:val="nil"/>
              <w:right w:val="nil"/>
            </w:tcBorders>
            <w:shd w:val="clear" w:color="auto" w:fill="F2F2F2" w:themeFill="background1" w:themeFillShade="F2"/>
          </w:tcPr>
          <w:p w:rsidR="008D10C8" w:rsidRPr="00D16196" w:rsidRDefault="008D10C8" w:rsidP="00D16196">
            <w:pPr>
              <w:pStyle w:val="Box"/>
            </w:pPr>
            <w:r w:rsidRPr="00D16196">
              <w:t xml:space="preserve">Total expenditure on children in residential and non-residential out-of-home care per child in residential and non-residential out-of-home care is defined by three measures: </w:t>
            </w:r>
          </w:p>
          <w:p w:rsidR="008D10C8" w:rsidRPr="00D16196" w:rsidRDefault="008D10C8" w:rsidP="00D16196">
            <w:pPr>
              <w:pStyle w:val="BoxListBullet"/>
            </w:pPr>
            <w:r w:rsidRPr="00D16196">
              <w:t>total expenditure on residential out-of-home care divided by the number of children in residential out-of-home care at 30 June</w:t>
            </w:r>
          </w:p>
          <w:p w:rsidR="008D10C8" w:rsidRPr="00D16196" w:rsidRDefault="008D10C8" w:rsidP="00D16196">
            <w:pPr>
              <w:pStyle w:val="BoxListBullet"/>
            </w:pPr>
            <w:r w:rsidRPr="00D16196">
              <w:t>total expenditure on non-residential out-of-home care divided by the number of children in non-residential out-of-home care at 30 June</w:t>
            </w:r>
          </w:p>
          <w:p w:rsidR="008D10C8" w:rsidRPr="00D16196" w:rsidRDefault="008D10C8" w:rsidP="00D16196">
            <w:pPr>
              <w:pStyle w:val="BoxListBullet"/>
            </w:pPr>
            <w:r w:rsidRPr="00D16196">
              <w:t>total expenditure on all out-of-home care divided by the number of children in all out-of-home care at 30 June.</w:t>
            </w:r>
          </w:p>
          <w:p w:rsidR="008B2BD8" w:rsidRPr="00D16196" w:rsidRDefault="008D10C8" w:rsidP="00D16196">
            <w:pPr>
              <w:pStyle w:val="Box"/>
            </w:pPr>
            <w:r w:rsidRPr="00D16196">
              <w:t xml:space="preserve">Low or decreasing expenditure per child in care can suggest more efficient services but may indicate lower quality or different service delivery models. </w:t>
            </w:r>
          </w:p>
          <w:p w:rsidR="008D10C8" w:rsidRPr="00D16196" w:rsidRDefault="008D10C8" w:rsidP="00D16196">
            <w:pPr>
              <w:pStyle w:val="Box"/>
            </w:pPr>
            <w:r w:rsidRPr="00D16196">
              <w:t>These indicators are proxy indicators and need to be interpreted with care as they do not represent a measure of unit costs. Expenditure per child in care at 30 June overstates the cost per child because significantly more children are in care during a year than at a point in time. In addition, the indicator does not reflect the length of time that a child spends in care.</w:t>
            </w:r>
          </w:p>
          <w:p w:rsidR="008D10C8" w:rsidRPr="00D16196" w:rsidRDefault="008D10C8" w:rsidP="00D16196">
            <w:pPr>
              <w:pStyle w:val="Box"/>
            </w:pPr>
            <w:r w:rsidRPr="00D16196">
              <w:t>Data reported for these measures are:</w:t>
            </w:r>
          </w:p>
          <w:p w:rsidR="008D10C8" w:rsidRPr="00D16196" w:rsidRDefault="008D10C8" w:rsidP="00D16196">
            <w:pPr>
              <w:pStyle w:val="BoxListBullet"/>
            </w:pPr>
            <w:r w:rsidRPr="00D16196">
              <w:t>comparable (subject to caveats) within some jurisdictions over time but are not comparable across jurisdictions (see caveats in attachment tables for specific jurisdictions)</w:t>
            </w:r>
          </w:p>
          <w:p w:rsidR="008D10C8" w:rsidRPr="00D16196" w:rsidRDefault="008D10C8" w:rsidP="00D16196">
            <w:pPr>
              <w:pStyle w:val="BoxListBullet"/>
            </w:pPr>
            <w:r w:rsidRPr="00D16196">
              <w:t>incomplete for the current reporting period. All required 201</w:t>
            </w:r>
            <w:r w:rsidR="00466D07" w:rsidRPr="00D16196">
              <w:t>4</w:t>
            </w:r>
            <w:r w:rsidRPr="00D16196">
              <w:t>-1</w:t>
            </w:r>
            <w:r w:rsidR="00466D07" w:rsidRPr="00D16196">
              <w:t>5</w:t>
            </w:r>
            <w:r w:rsidRPr="00D16196">
              <w:t xml:space="preserve"> data were not available for </w:t>
            </w:r>
            <w:r w:rsidR="0037099D" w:rsidRPr="00D16196">
              <w:t>NSW, Queensland and the NT</w:t>
            </w:r>
            <w:r w:rsidR="00085B79" w:rsidRPr="00D16196">
              <w:t xml:space="preserve"> for the measures of total expenditure on residential </w:t>
            </w:r>
            <w:r w:rsidR="00085B79" w:rsidRPr="00D16196">
              <w:br/>
              <w:t>out-of-home care and non-residential out-of-home care</w:t>
            </w:r>
            <w:r w:rsidR="0037099D" w:rsidRPr="00D16196">
              <w:t>.</w:t>
            </w:r>
          </w:p>
          <w:p w:rsidR="008D10C8" w:rsidRPr="00D16196" w:rsidRDefault="008D10C8"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Pr="00D16196">
              <w:t>/</w:t>
            </w:r>
            <w:proofErr w:type="spellStart"/>
            <w:r w:rsidRPr="00D16196">
              <w:t>rogs</w:t>
            </w:r>
            <w:proofErr w:type="spellEnd"/>
            <w:r w:rsidRPr="00D16196">
              <w:t>/201</w:t>
            </w:r>
            <w:r w:rsidR="00466D07" w:rsidRPr="00D16196">
              <w:t>6</w:t>
            </w:r>
            <w:r w:rsidRPr="00D16196">
              <w:t>.</w:t>
            </w:r>
          </w:p>
        </w:tc>
      </w:tr>
      <w:tr w:rsidR="008D10C8"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8D10C8" w:rsidRPr="00D16196" w:rsidRDefault="008D10C8" w:rsidP="00D16196">
            <w:pPr>
              <w:pStyle w:val="Box"/>
              <w:spacing w:before="0" w:line="120" w:lineRule="exact"/>
            </w:pPr>
          </w:p>
        </w:tc>
      </w:tr>
      <w:tr w:rsidR="008D10C8" w:rsidRPr="00D16196" w:rsidTr="0010799F">
        <w:tc>
          <w:tcPr>
            <w:tcW w:w="8771" w:type="dxa"/>
            <w:tcBorders>
              <w:top w:val="single" w:sz="6" w:space="0" w:color="78A22F"/>
              <w:left w:val="nil"/>
              <w:bottom w:val="nil"/>
              <w:right w:val="nil"/>
            </w:tcBorders>
          </w:tcPr>
          <w:p w:rsidR="008D10C8" w:rsidRPr="00D16196" w:rsidRDefault="008D10C8" w:rsidP="00D16196">
            <w:pPr>
              <w:pStyle w:val="BoxSpaceBelow"/>
            </w:pPr>
          </w:p>
        </w:tc>
      </w:tr>
    </w:tbl>
    <w:p w:rsidR="009524C7" w:rsidRPr="00D16196" w:rsidRDefault="00FB4C9C" w:rsidP="00D16196">
      <w:pPr>
        <w:pStyle w:val="BodyText"/>
      </w:pPr>
      <w:r w:rsidRPr="00D16196">
        <w:t>Total</w:t>
      </w:r>
      <w:r w:rsidR="00CF328C" w:rsidRPr="00D16196">
        <w:t xml:space="preserve"> expenditure </w:t>
      </w:r>
      <w:r w:rsidR="003C2FF2" w:rsidRPr="00D16196">
        <w:t xml:space="preserve">on residential care and non-residential care </w:t>
      </w:r>
      <w:r w:rsidR="00CF328C" w:rsidRPr="00D16196">
        <w:t xml:space="preserve">for </w:t>
      </w:r>
      <w:r w:rsidR="003C2FF2" w:rsidRPr="00D16196">
        <w:t xml:space="preserve">the period </w:t>
      </w:r>
      <w:r w:rsidR="00022DF7" w:rsidRPr="00D16196">
        <w:t>20</w:t>
      </w:r>
      <w:r w:rsidR="00466D07" w:rsidRPr="00D16196">
        <w:t>10</w:t>
      </w:r>
      <w:r w:rsidR="00A43D28" w:rsidRPr="00D16196">
        <w:t>-1</w:t>
      </w:r>
      <w:r w:rsidR="00466D07" w:rsidRPr="00D16196">
        <w:t>1</w:t>
      </w:r>
      <w:r w:rsidR="00CF328C" w:rsidRPr="00D16196">
        <w:t xml:space="preserve"> to </w:t>
      </w:r>
      <w:r w:rsidR="00A43D28" w:rsidRPr="00D16196">
        <w:t>201</w:t>
      </w:r>
      <w:r w:rsidR="00466D07" w:rsidRPr="00D16196">
        <w:t>4</w:t>
      </w:r>
      <w:r w:rsidR="00022DF7" w:rsidRPr="00D16196">
        <w:t>-1</w:t>
      </w:r>
      <w:r w:rsidR="00466D07" w:rsidRPr="00D16196">
        <w:t>5</w:t>
      </w:r>
      <w:r w:rsidR="009467ED" w:rsidRPr="00D16196">
        <w:t>,</w:t>
      </w:r>
      <w:r w:rsidR="00CF328C" w:rsidRPr="00D16196">
        <w:t xml:space="preserve"> </w:t>
      </w:r>
      <w:r w:rsidR="00EB1DAD" w:rsidRPr="00D16196">
        <w:t>per child in residential care and non-residential care at 30 June</w:t>
      </w:r>
      <w:r w:rsidR="000E4DD8" w:rsidRPr="00D16196">
        <w:t>,</w:t>
      </w:r>
      <w:r w:rsidR="00EB1DAD" w:rsidRPr="00D16196">
        <w:t xml:space="preserve"> </w:t>
      </w:r>
      <w:r w:rsidR="00CF328C" w:rsidRPr="00D16196">
        <w:t xml:space="preserve">varied across jurisdictions (figures </w:t>
      </w:r>
      <w:r w:rsidR="00850EE7" w:rsidRPr="00D16196">
        <w:t>15.1</w:t>
      </w:r>
      <w:r w:rsidR="008155B4" w:rsidRPr="00D16196">
        <w:t>3</w:t>
      </w:r>
      <w:r w:rsidR="009E5608" w:rsidRPr="00D16196">
        <w:t>(a)</w:t>
      </w:r>
      <w:r w:rsidR="00085B79" w:rsidRPr="00D16196">
        <w:t xml:space="preserve"> and</w:t>
      </w:r>
      <w:r w:rsidR="008155B4" w:rsidRPr="00D16196">
        <w:t xml:space="preserve"> 15.13</w:t>
      </w:r>
      <w:r w:rsidR="009E5608" w:rsidRPr="00D16196">
        <w:t>(b)</w:t>
      </w:r>
      <w:r w:rsidR="00CF328C" w:rsidRPr="00D16196">
        <w:t xml:space="preserve">). </w:t>
      </w:r>
      <w:r w:rsidRPr="00D16196">
        <w:t>T</w:t>
      </w:r>
      <w:r w:rsidR="006842D6" w:rsidRPr="00D16196">
        <w:t xml:space="preserve">otal expenditure on </w:t>
      </w:r>
      <w:r w:rsidRPr="00D16196">
        <w:t xml:space="preserve">all </w:t>
      </w:r>
      <w:r w:rsidR="006842D6" w:rsidRPr="00D16196">
        <w:t xml:space="preserve">out-of-home care per child in care </w:t>
      </w:r>
      <w:r w:rsidR="002D05B6" w:rsidRPr="00D16196">
        <w:t>at</w:t>
      </w:r>
      <w:r w:rsidR="006842D6" w:rsidRPr="00D16196">
        <w:t xml:space="preserve"> 30 June for </w:t>
      </w:r>
      <w:r w:rsidR="00A43D28" w:rsidRPr="00D16196">
        <w:t>20</w:t>
      </w:r>
      <w:r w:rsidR="00466D07" w:rsidRPr="00D16196">
        <w:t>10</w:t>
      </w:r>
      <w:r w:rsidR="00A43D28" w:rsidRPr="00D16196">
        <w:t>-1</w:t>
      </w:r>
      <w:r w:rsidR="00466D07" w:rsidRPr="00D16196">
        <w:t>1</w:t>
      </w:r>
      <w:r w:rsidR="004B40A1" w:rsidRPr="00D16196">
        <w:t xml:space="preserve"> to </w:t>
      </w:r>
      <w:r w:rsidR="00A43D28" w:rsidRPr="00D16196">
        <w:t>201</w:t>
      </w:r>
      <w:r w:rsidR="00466D07" w:rsidRPr="00D16196">
        <w:t>4</w:t>
      </w:r>
      <w:r w:rsidR="00A43D28" w:rsidRPr="00D16196">
        <w:t>-1</w:t>
      </w:r>
      <w:r w:rsidR="00466D07" w:rsidRPr="00D16196">
        <w:t>5</w:t>
      </w:r>
      <w:r w:rsidRPr="00D16196">
        <w:t xml:space="preserve"> also </w:t>
      </w:r>
      <w:r w:rsidR="006842D6" w:rsidRPr="00D16196">
        <w:t>varied across</w:t>
      </w:r>
      <w:r w:rsidR="00553379" w:rsidRPr="00D16196">
        <w:t xml:space="preserve"> jurisdictions (figure </w:t>
      </w:r>
      <w:r w:rsidR="00850EE7" w:rsidRPr="00D16196">
        <w:t>15.1</w:t>
      </w:r>
      <w:r w:rsidR="00434CDF" w:rsidRPr="00D16196">
        <w:t>3</w:t>
      </w:r>
      <w:r w:rsidR="009E5608" w:rsidRPr="00D16196">
        <w:t>(c)</w:t>
      </w:r>
      <w:r w:rsidR="00243A3E" w:rsidRPr="00D16196">
        <w:t>).</w:t>
      </w:r>
    </w:p>
    <w:p w:rsidR="00155D73" w:rsidRPr="00D16196" w:rsidRDefault="00155D73" w:rsidP="00D16196">
      <w:pPr>
        <w:pStyle w:val="BoxSpaceAbove"/>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155D73" w:rsidRPr="00D16196" w:rsidTr="004C2455">
        <w:tc>
          <w:tcPr>
            <w:tcW w:w="8771" w:type="dxa"/>
            <w:shd w:val="clear" w:color="auto" w:fill="auto"/>
          </w:tcPr>
          <w:p w:rsidR="00155D73" w:rsidRPr="00D16196" w:rsidRDefault="00155D73" w:rsidP="00D16196">
            <w:pPr>
              <w:pStyle w:val="FigureTitle"/>
            </w:pPr>
            <w:r w:rsidRPr="00D16196">
              <w:rPr>
                <w:b w:val="0"/>
              </w:rPr>
              <w:t xml:space="preserve">Figure </w:t>
            </w:r>
            <w:bookmarkStart w:id="40" w:name="OLE_LINK88"/>
            <w:r w:rsidR="009E5608" w:rsidRPr="00D16196">
              <w:rPr>
                <w:b w:val="0"/>
              </w:rPr>
              <w:t>15.</w:t>
            </w:r>
            <w:bookmarkEnd w:id="40"/>
            <w:r w:rsidR="00434CDF" w:rsidRPr="00D16196">
              <w:rPr>
                <w:b w:val="0"/>
              </w:rPr>
              <w:t>13</w:t>
            </w:r>
            <w:r w:rsidRPr="00D16196">
              <w:tab/>
              <w:t>Out-of-home care efficiency indicators</w:t>
            </w:r>
            <w:r w:rsidR="007F1264" w:rsidRPr="00D16196">
              <w:t>, at 30 June (201</w:t>
            </w:r>
            <w:r w:rsidR="00466D07" w:rsidRPr="00D16196">
              <w:t>4</w:t>
            </w:r>
            <w:r w:rsidR="007F1264" w:rsidRPr="00D16196">
              <w:noBreakHyphen/>
            </w:r>
            <w:r w:rsidRPr="00D16196">
              <w:t>1</w:t>
            </w:r>
            <w:r w:rsidR="00466D07" w:rsidRPr="00D16196">
              <w:t>5</w:t>
            </w:r>
            <w:r w:rsidRPr="00D16196">
              <w:t> dollars)</w:t>
            </w:r>
            <w:r w:rsidR="0056415B" w:rsidRPr="00D16196">
              <w:rPr>
                <w:rStyle w:val="NoteLabel"/>
                <w:b/>
              </w:rPr>
              <w:t>a, b</w:t>
            </w:r>
          </w:p>
        </w:tc>
      </w:tr>
      <w:tr w:rsidR="00155D73" w:rsidRPr="00D16196" w:rsidTr="004C2455">
        <w:tc>
          <w:tcPr>
            <w:tcW w:w="8771" w:type="dxa"/>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55D73" w:rsidRPr="00D16196" w:rsidTr="009524C7">
              <w:tc>
                <w:tcPr>
                  <w:tcW w:w="8504" w:type="dxa"/>
                  <w:tcBorders>
                    <w:top w:val="nil"/>
                    <w:bottom w:val="nil"/>
                  </w:tcBorders>
                </w:tcPr>
                <w:p w:rsidR="00155D73" w:rsidRPr="00D16196" w:rsidRDefault="00155D73" w:rsidP="00D16196">
                  <w:pPr>
                    <w:pStyle w:val="Figure"/>
                    <w:spacing w:before="0" w:after="0"/>
                    <w:rPr>
                      <w:rFonts w:ascii="Arial" w:hAnsi="Arial"/>
                      <w:b/>
                      <w:sz w:val="18"/>
                      <w:szCs w:val="18"/>
                    </w:rPr>
                  </w:pPr>
                  <w:bookmarkStart w:id="41" w:name="OLE_LINK89"/>
                  <w:r w:rsidRPr="00D16196">
                    <w:rPr>
                      <w:rFonts w:ascii="Arial" w:hAnsi="Arial"/>
                      <w:b/>
                      <w:sz w:val="18"/>
                      <w:szCs w:val="18"/>
                    </w:rPr>
                    <w:t>(a)</w:t>
                  </w:r>
                  <w:bookmarkEnd w:id="41"/>
                  <w:r w:rsidRPr="00D16196">
                    <w:rPr>
                      <w:rFonts w:ascii="Arial" w:hAnsi="Arial"/>
                      <w:b/>
                      <w:sz w:val="18"/>
                      <w:szCs w:val="18"/>
                    </w:rPr>
                    <w:t xml:space="preserve"> Annual real recurrent expenditure on residential out-of-home car</w:t>
                  </w:r>
                  <w:r w:rsidR="007F1264" w:rsidRPr="00D16196">
                    <w:rPr>
                      <w:rFonts w:ascii="Arial" w:hAnsi="Arial"/>
                      <w:b/>
                      <w:sz w:val="18"/>
                      <w:szCs w:val="18"/>
                    </w:rPr>
                    <w:t>e per child in residential care</w:t>
                  </w:r>
                </w:p>
              </w:tc>
            </w:tr>
            <w:tr w:rsidR="009524C7" w:rsidRPr="00D16196" w:rsidTr="00E80F59">
              <w:tc>
                <w:tcPr>
                  <w:tcW w:w="8504" w:type="dxa"/>
                  <w:tcBorders>
                    <w:top w:val="nil"/>
                    <w:bottom w:val="nil"/>
                  </w:tcBorders>
                  <w:shd w:val="clear" w:color="auto" w:fill="auto"/>
                </w:tcPr>
                <w:p w:rsidR="009524C7" w:rsidRPr="00D16196" w:rsidRDefault="00E80F59" w:rsidP="00D16196">
                  <w:pPr>
                    <w:pStyle w:val="Figure"/>
                    <w:spacing w:before="0" w:after="0"/>
                  </w:pPr>
                  <w:bookmarkStart w:id="42" w:name="OLE_LINK90"/>
                  <w:r w:rsidRPr="00D16196">
                    <w:rPr>
                      <w:noProof/>
                    </w:rPr>
                    <w:drawing>
                      <wp:inline distT="0" distB="0" distL="0" distR="0" wp14:anchorId="08B27DB0" wp14:editId="428C700D">
                        <wp:extent cx="5400000" cy="2124000"/>
                        <wp:effectExtent l="0" t="0" r="0" b="0"/>
                        <wp:docPr id="3" name="Chart 3" descr="Figure 15.13 Out-of-home care efficiency indicators, at 30 June (2014-15 dollars)&#10;&#10;(a) Annual real recurrent expenditure on residential out-of-home care per child in residential car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00FE1B41" w:rsidRPr="00D16196">
                    <w:rPr>
                      <w:rFonts w:ascii="Arial" w:hAnsi="Arial"/>
                      <w:b/>
                      <w:sz w:val="18"/>
                      <w:szCs w:val="18"/>
                    </w:rPr>
                    <w:t xml:space="preserve"> </w:t>
                  </w:r>
                  <w:r w:rsidR="00576217" w:rsidRPr="00D16196">
                    <w:rPr>
                      <w:rFonts w:ascii="Arial" w:hAnsi="Arial"/>
                      <w:b/>
                      <w:sz w:val="18"/>
                      <w:szCs w:val="18"/>
                    </w:rPr>
                    <w:t>(b)</w:t>
                  </w:r>
                  <w:bookmarkEnd w:id="42"/>
                  <w:r w:rsidR="00576217" w:rsidRPr="00D16196">
                    <w:rPr>
                      <w:rFonts w:ascii="Arial" w:hAnsi="Arial"/>
                      <w:b/>
                      <w:sz w:val="18"/>
                      <w:szCs w:val="18"/>
                    </w:rPr>
                    <w:t xml:space="preserve"> Annual real expenditure on non-residential out-of-home care per child in non-residential care</w:t>
                  </w:r>
                </w:p>
              </w:tc>
            </w:tr>
            <w:tr w:rsidR="009524C7" w:rsidRPr="00D16196" w:rsidTr="00E80F59">
              <w:trPr>
                <w:trHeight w:val="2590"/>
              </w:trPr>
              <w:tc>
                <w:tcPr>
                  <w:tcW w:w="8504" w:type="dxa"/>
                  <w:tcBorders>
                    <w:top w:val="nil"/>
                    <w:bottom w:val="nil"/>
                  </w:tcBorders>
                  <w:shd w:val="clear" w:color="auto" w:fill="auto"/>
                </w:tcPr>
                <w:p w:rsidR="009524C7" w:rsidRPr="00D16196" w:rsidRDefault="00E80F59" w:rsidP="00D16196">
                  <w:pPr>
                    <w:pStyle w:val="Figure"/>
                  </w:pPr>
                  <w:r w:rsidRPr="00D16196">
                    <w:rPr>
                      <w:noProof/>
                    </w:rPr>
                    <w:drawing>
                      <wp:inline distT="0" distB="0" distL="0" distR="0" wp14:anchorId="20B37585" wp14:editId="1FB03E25">
                        <wp:extent cx="5400000" cy="2124000"/>
                        <wp:effectExtent l="0" t="0" r="0" b="0"/>
                        <wp:docPr id="4" name="Chart 4" descr="Figure 15.13 Out-of-home care efficiency indicators, at 30 June (2014-15 dollars)&#10;&#10;(b) Annual real expenditure on non-residential out-of-home care per child in non-residential car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9524C7" w:rsidRPr="00D16196" w:rsidTr="00EF3F94">
              <w:tc>
                <w:tcPr>
                  <w:tcW w:w="8504" w:type="dxa"/>
                  <w:tcBorders>
                    <w:top w:val="nil"/>
                    <w:bottom w:val="nil"/>
                  </w:tcBorders>
                  <w:shd w:val="clear" w:color="auto" w:fill="auto"/>
                </w:tcPr>
                <w:p w:rsidR="009524C7" w:rsidRPr="00D16196" w:rsidRDefault="009524C7" w:rsidP="00D16196">
                  <w:pPr>
                    <w:pStyle w:val="Figure"/>
                    <w:spacing w:before="0" w:after="0"/>
                    <w:rPr>
                      <w:rFonts w:ascii="Arial" w:hAnsi="Arial"/>
                      <w:b/>
                      <w:sz w:val="18"/>
                      <w:szCs w:val="18"/>
                    </w:rPr>
                  </w:pPr>
                  <w:bookmarkStart w:id="43" w:name="OLE_LINK91"/>
                  <w:r w:rsidRPr="00D16196">
                    <w:rPr>
                      <w:rFonts w:ascii="Arial" w:hAnsi="Arial"/>
                      <w:b/>
                      <w:sz w:val="18"/>
                      <w:szCs w:val="18"/>
                    </w:rPr>
                    <w:t>(c)</w:t>
                  </w:r>
                  <w:bookmarkEnd w:id="43"/>
                  <w:r w:rsidRPr="00D16196">
                    <w:rPr>
                      <w:rFonts w:ascii="Arial" w:hAnsi="Arial"/>
                      <w:b/>
                      <w:sz w:val="18"/>
                      <w:szCs w:val="18"/>
                    </w:rPr>
                    <w:t xml:space="preserve"> Annual real expenditure on all out-of-home care per child in out-of-home care at 30 June</w:t>
                  </w:r>
                </w:p>
              </w:tc>
            </w:tr>
            <w:tr w:rsidR="009524C7" w:rsidRPr="00D16196" w:rsidTr="00E80F59">
              <w:tc>
                <w:tcPr>
                  <w:tcW w:w="8504" w:type="dxa"/>
                  <w:tcBorders>
                    <w:top w:val="nil"/>
                    <w:bottom w:val="nil"/>
                  </w:tcBorders>
                  <w:shd w:val="clear" w:color="auto" w:fill="auto"/>
                </w:tcPr>
                <w:p w:rsidR="009524C7" w:rsidRPr="00D16196" w:rsidRDefault="00E80F59" w:rsidP="00D16196">
                  <w:pPr>
                    <w:pStyle w:val="Figure"/>
                  </w:pPr>
                  <w:r w:rsidRPr="00D16196">
                    <w:rPr>
                      <w:noProof/>
                    </w:rPr>
                    <w:drawing>
                      <wp:inline distT="0" distB="0" distL="0" distR="0" wp14:anchorId="474CC837" wp14:editId="67A9B75A">
                        <wp:extent cx="5400000" cy="2124000"/>
                        <wp:effectExtent l="0" t="0" r="0" b="0"/>
                        <wp:docPr id="32" name="Chart 32" descr="Figure 15.13 Out-of-home care efficiency indicators, at 30 June (2014-15 dollars)&#10;&#10;(c) Annual real expenditure on all out-of-home care per child in out-of-home care at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155D73" w:rsidRPr="00D16196" w:rsidRDefault="00155D73" w:rsidP="00D16196">
            <w:pPr>
              <w:pStyle w:val="Figure"/>
            </w:pPr>
          </w:p>
        </w:tc>
      </w:tr>
      <w:tr w:rsidR="00155D73" w:rsidRPr="00D16196" w:rsidTr="004C2455">
        <w:tc>
          <w:tcPr>
            <w:tcW w:w="8771" w:type="dxa"/>
            <w:shd w:val="clear" w:color="auto" w:fill="auto"/>
          </w:tcPr>
          <w:p w:rsidR="00155D73" w:rsidRPr="00D16196" w:rsidRDefault="00A54037" w:rsidP="005C2D7C">
            <w:pPr>
              <w:pStyle w:val="Note"/>
            </w:pPr>
            <w:r w:rsidRPr="00D16196">
              <w:rPr>
                <w:rStyle w:val="NoteLabel"/>
              </w:rPr>
              <w:t>a</w:t>
            </w:r>
            <w:r w:rsidRPr="00D16196">
              <w:t xml:space="preserve"> See </w:t>
            </w:r>
            <w:r w:rsidR="000B48A6" w:rsidRPr="00D16196">
              <w:t>box 15.1</w:t>
            </w:r>
            <w:r w:rsidR="005C2D7C">
              <w:t>7</w:t>
            </w:r>
            <w:r w:rsidR="000B48A6" w:rsidRPr="00D16196">
              <w:t xml:space="preserve"> and </w:t>
            </w:r>
            <w:r w:rsidRPr="00D16196">
              <w:t xml:space="preserve">table </w:t>
            </w:r>
            <w:proofErr w:type="spellStart"/>
            <w:r w:rsidR="000B48A6" w:rsidRPr="00D16196">
              <w:t>15A.3</w:t>
            </w:r>
            <w:proofErr w:type="spellEnd"/>
            <w:r w:rsidR="000B48A6" w:rsidRPr="00D16196">
              <w:t xml:space="preserve"> </w:t>
            </w:r>
            <w:r w:rsidRPr="00D16196">
              <w:t xml:space="preserve">for detailed </w:t>
            </w:r>
            <w:r w:rsidR="000B48A6" w:rsidRPr="00D16196">
              <w:t xml:space="preserve">definitions, </w:t>
            </w:r>
            <w:r w:rsidRPr="00D16196">
              <w:t>footnotes</w:t>
            </w:r>
            <w:r w:rsidR="000B48A6" w:rsidRPr="00D16196">
              <w:t xml:space="preserve"> and caveats</w:t>
            </w:r>
            <w:r w:rsidRPr="00D16196">
              <w:t xml:space="preserve">. </w:t>
            </w:r>
            <w:r w:rsidRPr="00D16196">
              <w:rPr>
                <w:rStyle w:val="NoteLabel"/>
              </w:rPr>
              <w:t>b</w:t>
            </w:r>
            <w:r w:rsidR="00155D73" w:rsidRPr="00D16196">
              <w:t xml:space="preserve"> </w:t>
            </w:r>
            <w:r w:rsidRPr="00D16196">
              <w:t>NSW, Queensland and the NT could not disaggregate expenditure on out-of-home care.</w:t>
            </w:r>
          </w:p>
        </w:tc>
      </w:tr>
      <w:tr w:rsidR="00155D73" w:rsidRPr="00D16196" w:rsidTr="004C2455">
        <w:tc>
          <w:tcPr>
            <w:tcW w:w="8771" w:type="dxa"/>
            <w:shd w:val="clear" w:color="auto" w:fill="auto"/>
          </w:tcPr>
          <w:p w:rsidR="00155D73" w:rsidRPr="00D16196" w:rsidRDefault="00155D73" w:rsidP="00D16196">
            <w:pPr>
              <w:pStyle w:val="Source"/>
            </w:pPr>
            <w:r w:rsidRPr="00D16196">
              <w:rPr>
                <w:i/>
              </w:rPr>
              <w:t>Source</w:t>
            </w:r>
            <w:r w:rsidRPr="00D16196">
              <w:t xml:space="preserve">: </w:t>
            </w:r>
            <w:proofErr w:type="spellStart"/>
            <w:r w:rsidRPr="00D16196">
              <w:t>AIHW</w:t>
            </w:r>
            <w:proofErr w:type="spellEnd"/>
            <w:r w:rsidRPr="00D16196">
              <w:t xml:space="preserve"> data collection (unpublished); State and</w:t>
            </w:r>
            <w:r w:rsidRPr="00D16196">
              <w:rPr>
                <w:rStyle w:val="SourceChar"/>
              </w:rPr>
              <w:t xml:space="preserve"> </w:t>
            </w:r>
            <w:r w:rsidRPr="00D16196">
              <w:t>Territory governments (unpublished); table</w:t>
            </w:r>
            <w:r w:rsidR="004C2455" w:rsidRPr="00D16196">
              <w:t xml:space="preserve"> </w:t>
            </w:r>
            <w:proofErr w:type="spellStart"/>
            <w:r w:rsidR="004C2455" w:rsidRPr="00D16196">
              <w:t>15A.3</w:t>
            </w:r>
            <w:proofErr w:type="spellEnd"/>
            <w:r w:rsidRPr="00D16196">
              <w:t>.</w:t>
            </w:r>
          </w:p>
        </w:tc>
      </w:tr>
      <w:tr w:rsidR="00155D73" w:rsidRPr="00D16196" w:rsidTr="004C2455">
        <w:tc>
          <w:tcPr>
            <w:tcW w:w="8771" w:type="dxa"/>
            <w:shd w:val="clear" w:color="auto" w:fill="auto"/>
          </w:tcPr>
          <w:p w:rsidR="00155D73" w:rsidRPr="00D16196" w:rsidRDefault="00155D73" w:rsidP="00D16196">
            <w:pPr>
              <w:pStyle w:val="Figurespace"/>
            </w:pPr>
          </w:p>
        </w:tc>
      </w:tr>
      <w:tr w:rsidR="00155D73" w:rsidRPr="00D16196" w:rsidTr="004C2455">
        <w:tc>
          <w:tcPr>
            <w:tcW w:w="8771" w:type="dxa"/>
          </w:tcPr>
          <w:p w:rsidR="00155D73" w:rsidRPr="00D16196" w:rsidRDefault="00155D73" w:rsidP="00D16196">
            <w:pPr>
              <w:pStyle w:val="BoxSpaceBelow"/>
            </w:pPr>
          </w:p>
        </w:tc>
      </w:tr>
    </w:tbl>
    <w:p w:rsidR="00384FF7" w:rsidRPr="00D16196" w:rsidRDefault="00F137F4" w:rsidP="00D16196">
      <w:pPr>
        <w:pStyle w:val="Heading5"/>
      </w:pPr>
      <w:r w:rsidRPr="00D16196">
        <w:lastRenderedPageBreak/>
        <w:t xml:space="preserve">Developments in </w:t>
      </w:r>
      <w:r w:rsidR="00384FF7" w:rsidRPr="00D16196">
        <w:t xml:space="preserve">efficiency </w:t>
      </w:r>
      <w:r w:rsidRPr="00D16196">
        <w:t xml:space="preserve">reporting </w:t>
      </w:r>
      <w:r w:rsidR="00384FF7" w:rsidRPr="00D16196">
        <w:t xml:space="preserve">for child protection </w:t>
      </w:r>
      <w:r w:rsidRPr="00D16196">
        <w:t>services</w:t>
      </w:r>
    </w:p>
    <w:p w:rsidR="0012127E" w:rsidRPr="00D16196" w:rsidRDefault="0056415B" w:rsidP="00D16196">
      <w:pPr>
        <w:pStyle w:val="BodyText"/>
      </w:pPr>
      <w:r w:rsidRPr="00D16196">
        <w:t xml:space="preserve">Data reported for the existing efficiency indicators </w:t>
      </w:r>
      <w:r w:rsidR="00384FF7" w:rsidRPr="00D16196">
        <w:t>for child protection services have</w:t>
      </w:r>
      <w:r w:rsidR="00F137F4" w:rsidRPr="00D16196">
        <w:t xml:space="preserve"> several </w:t>
      </w:r>
      <w:r w:rsidR="00B125A0" w:rsidRPr="00D16196">
        <w:t xml:space="preserve">shortcomings </w:t>
      </w:r>
      <w:r w:rsidR="00F137F4" w:rsidRPr="00D16196">
        <w:t xml:space="preserve">which impact on the comparability and completeness of these </w:t>
      </w:r>
      <w:r w:rsidRPr="00D16196">
        <w:t>indicators</w:t>
      </w:r>
      <w:r w:rsidR="00F137F4" w:rsidRPr="00D16196">
        <w:t xml:space="preserve">, including </w:t>
      </w:r>
      <w:r w:rsidR="00384FF7" w:rsidRPr="00D16196">
        <w:t xml:space="preserve">different </w:t>
      </w:r>
      <w:r w:rsidR="00F137F4" w:rsidRPr="00D16196">
        <w:t xml:space="preserve">approaches to </w:t>
      </w:r>
      <w:r w:rsidR="00384FF7" w:rsidRPr="00D16196">
        <w:t xml:space="preserve">service delivery </w:t>
      </w:r>
      <w:r w:rsidR="00B125A0" w:rsidRPr="00D16196">
        <w:t>across jurisdictions</w:t>
      </w:r>
      <w:r w:rsidR="00F137F4" w:rsidRPr="00D16196">
        <w:t xml:space="preserve"> and limitations in current information systems</w:t>
      </w:r>
      <w:r w:rsidRPr="00D16196">
        <w:t>. Consequently</w:t>
      </w:r>
      <w:r w:rsidR="00384FF7" w:rsidRPr="00D16196">
        <w:t xml:space="preserve">, cost allocations do not necessarily provide an accurate reflection of the costs involved in </w:t>
      </w:r>
      <w:r w:rsidR="00B125A0" w:rsidRPr="00D16196">
        <w:t xml:space="preserve">the </w:t>
      </w:r>
      <w:r w:rsidR="00384FF7" w:rsidRPr="00D16196">
        <w:t xml:space="preserve">provision of various child protection services. </w:t>
      </w:r>
      <w:r w:rsidR="00402E95" w:rsidRPr="00D16196">
        <w:t xml:space="preserve">To improve efficiency data for child protection </w:t>
      </w:r>
      <w:r w:rsidR="00B125A0" w:rsidRPr="00D16196">
        <w:t>services</w:t>
      </w:r>
      <w:r w:rsidR="00402E95" w:rsidRPr="00D16196">
        <w:t xml:space="preserve">, the Steering Committee initiated a project (the </w:t>
      </w:r>
      <w:r w:rsidR="00B125A0" w:rsidRPr="00D16196">
        <w:t>‘</w:t>
      </w:r>
      <w:r w:rsidR="00402E95" w:rsidRPr="00D16196">
        <w:t>Pathways</w:t>
      </w:r>
      <w:r w:rsidR="00B125A0" w:rsidRPr="00D16196">
        <w:t>’</w:t>
      </w:r>
      <w:r w:rsidR="00402E95" w:rsidRPr="00D16196">
        <w:t xml:space="preserve"> project), which uses a combination of direct costs (those costs which can be clearly allocated by a jurisdiction to a particular child protection activity) and indirect costs (which form part of the overall expenditure base, but which cannot be clearly allocated to a specific activity) to measure system efficiencies</w:t>
      </w:r>
      <w:r w:rsidR="00B125A0" w:rsidRPr="00D16196">
        <w:t xml:space="preserve"> (box 15.</w:t>
      </w:r>
      <w:r w:rsidR="004362DA" w:rsidRPr="00D16196">
        <w:t>1</w:t>
      </w:r>
      <w:r w:rsidR="00203E9E" w:rsidRPr="00D16196">
        <w:t>8</w:t>
      </w:r>
      <w:r w:rsidR="00B125A0" w:rsidRPr="00D16196">
        <w:t>)</w:t>
      </w:r>
      <w:r w:rsidR="00402E95" w:rsidRPr="00D16196">
        <w:t xml:space="preserve">. </w:t>
      </w:r>
    </w:p>
    <w:p w:rsidR="00384FF7" w:rsidRPr="00D16196" w:rsidRDefault="00384FF7" w:rsidP="00D16196">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097"/>
        <w:gridCol w:w="5674"/>
      </w:tblGrid>
      <w:tr w:rsidR="00384FF7" w:rsidRPr="00D16196" w:rsidTr="00DC29F0">
        <w:tc>
          <w:tcPr>
            <w:tcW w:w="8771" w:type="dxa"/>
            <w:gridSpan w:val="2"/>
            <w:tcBorders>
              <w:top w:val="single" w:sz="6" w:space="0" w:color="78A22F"/>
              <w:left w:val="nil"/>
              <w:bottom w:val="nil"/>
              <w:right w:val="nil"/>
            </w:tcBorders>
            <w:shd w:val="clear" w:color="auto" w:fill="F2F2F2"/>
          </w:tcPr>
          <w:p w:rsidR="00384FF7" w:rsidRPr="00D16196" w:rsidRDefault="00384FF7" w:rsidP="00D16196">
            <w:pPr>
              <w:pStyle w:val="BoxTitle"/>
            </w:pPr>
            <w:r w:rsidRPr="00D16196">
              <w:rPr>
                <w:b w:val="0"/>
              </w:rPr>
              <w:t>Box</w:t>
            </w:r>
            <w:r w:rsidR="00203E9E" w:rsidRPr="00D16196">
              <w:rPr>
                <w:b w:val="0"/>
              </w:rPr>
              <w:t xml:space="preserve"> 15.18</w:t>
            </w:r>
            <w:r w:rsidRPr="00D16196">
              <w:tab/>
              <w:t xml:space="preserve">The ‘Pathways’ </w:t>
            </w:r>
            <w:r w:rsidR="00B125A0" w:rsidRPr="00D16196">
              <w:t>model of efficiency reporting</w:t>
            </w:r>
          </w:p>
        </w:tc>
      </w:tr>
      <w:tr w:rsidR="00384FF7" w:rsidRPr="00D16196" w:rsidTr="00DC29F0">
        <w:trPr>
          <w:cantSplit/>
        </w:trPr>
        <w:tc>
          <w:tcPr>
            <w:tcW w:w="8771" w:type="dxa"/>
            <w:gridSpan w:val="2"/>
            <w:tcBorders>
              <w:top w:val="nil"/>
              <w:left w:val="nil"/>
              <w:bottom w:val="nil"/>
              <w:right w:val="nil"/>
            </w:tcBorders>
            <w:shd w:val="clear" w:color="auto" w:fill="F2F2F2"/>
          </w:tcPr>
          <w:p w:rsidR="00384FF7" w:rsidRPr="00D16196" w:rsidRDefault="00384FF7" w:rsidP="00D16196">
            <w:pPr>
              <w:pStyle w:val="Box"/>
            </w:pPr>
            <w:r w:rsidRPr="00D16196">
              <w:t xml:space="preserve">The Pathways </w:t>
            </w:r>
            <w:r w:rsidR="00B125A0" w:rsidRPr="00D16196">
              <w:t xml:space="preserve">model of efficiency reporting </w:t>
            </w:r>
            <w:r w:rsidRPr="00D16196">
              <w:t>will allow jurisdictions to calculate more meaningful, comparable and robust efficiency measures</w:t>
            </w:r>
            <w:r w:rsidR="00B125A0" w:rsidRPr="00D16196">
              <w:t xml:space="preserve"> than current proxy measures</w:t>
            </w:r>
            <w:r w:rsidRPr="00D16196">
              <w:t>. The model is based on a top-d</w:t>
            </w:r>
            <w:r w:rsidR="00B125A0" w:rsidRPr="00D16196">
              <w:t>own application of the activity-</w:t>
            </w:r>
            <w:r w:rsidRPr="00D16196">
              <w:t xml:space="preserve">based costing method. Eight national pathways have been developed as a high level representation of the services that a child protection client could receive in any jurisdiction. Each pathway consists of common activity groups which act as the ‘building blocks’ for each of the pathways. The aggregate cost of each activity group within the pathway will allow the unit cost of an individual pathway to be </w:t>
            </w:r>
            <w:r w:rsidR="00B125A0" w:rsidRPr="00D16196">
              <w:t>derived</w:t>
            </w:r>
            <w:r w:rsidRPr="00D16196">
              <w:t xml:space="preserve">. </w:t>
            </w:r>
          </w:p>
          <w:p w:rsidR="00384FF7" w:rsidRPr="00D16196" w:rsidRDefault="00384FF7" w:rsidP="00D16196">
            <w:pPr>
              <w:pStyle w:val="Box"/>
            </w:pPr>
            <w:r w:rsidRPr="00D16196">
              <w:t xml:space="preserve">These activity groups </w:t>
            </w:r>
            <w:r w:rsidR="00B125A0" w:rsidRPr="00D16196">
              <w:t>(or</w:t>
            </w:r>
            <w:r w:rsidRPr="00D16196">
              <w:t xml:space="preserve"> </w:t>
            </w:r>
            <w:r w:rsidR="00B125A0" w:rsidRPr="00D16196">
              <w:t>‘</w:t>
            </w:r>
            <w:r w:rsidRPr="00D16196">
              <w:t>pathways</w:t>
            </w:r>
            <w:r w:rsidR="00B125A0" w:rsidRPr="00D16196">
              <w:t>’)</w:t>
            </w:r>
            <w:r w:rsidRPr="00D16196">
              <w:t xml:space="preserve"> will provide additional utility for jurisdictions in managing the business of child protection services</w:t>
            </w:r>
            <w:r w:rsidR="0012127E" w:rsidRPr="00D16196">
              <w:t>, with i</w:t>
            </w:r>
            <w:r w:rsidRPr="00D16196">
              <w:t xml:space="preserve">mplementation of the model </w:t>
            </w:r>
            <w:r w:rsidR="0012127E" w:rsidRPr="00D16196">
              <w:t xml:space="preserve">having </w:t>
            </w:r>
            <w:r w:rsidRPr="00D16196">
              <w:t>the potential to improve the quality of national reporting of efficiency measures. Activity-based data can also result, over time, in measures of the cost savings associated with early intervention strategies.</w:t>
            </w:r>
          </w:p>
          <w:p w:rsidR="00384FF7" w:rsidRPr="00D16196" w:rsidRDefault="00384FF7" w:rsidP="00D16196">
            <w:pPr>
              <w:pStyle w:val="Box"/>
            </w:pPr>
            <w:r w:rsidRPr="00D16196">
              <w:t>The activity groups are:</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1</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Receipt and assessment of initial information about a potential protection and support issue</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2</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Provision of generic family support services</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3</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Provision of intensive family support services</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4</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Secondary information gathering and assessment</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5</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Provision of short term protective intervention and coordination services for children not on an order</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6</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Seeking an order</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7</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Provision of protective intervention, support and coordination services for children on an order</w:t>
            </w:r>
          </w:p>
        </w:tc>
      </w:tr>
      <w:tr w:rsidR="00384FF7" w:rsidRPr="00D16196" w:rsidTr="00DC29F0">
        <w:trPr>
          <w:cantSplit/>
          <w:trHeight w:val="48"/>
        </w:trPr>
        <w:tc>
          <w:tcPr>
            <w:tcW w:w="3097" w:type="dxa"/>
            <w:tcBorders>
              <w:top w:val="nil"/>
              <w:left w:val="nil"/>
              <w:bottom w:val="nil"/>
              <w:right w:val="nil"/>
            </w:tcBorders>
            <w:shd w:val="clear" w:color="auto" w:fill="F2F2F2"/>
          </w:tcPr>
          <w:p w:rsidR="00384FF7" w:rsidRPr="00D16196" w:rsidRDefault="00384FF7" w:rsidP="00D16196">
            <w:pPr>
              <w:pStyle w:val="Box"/>
            </w:pPr>
            <w:r w:rsidRPr="00D16196">
              <w:t>Activity group 8</w:t>
            </w:r>
          </w:p>
        </w:tc>
        <w:tc>
          <w:tcPr>
            <w:tcW w:w="5674" w:type="dxa"/>
            <w:tcBorders>
              <w:top w:val="nil"/>
              <w:left w:val="nil"/>
              <w:bottom w:val="nil"/>
              <w:right w:val="nil"/>
            </w:tcBorders>
            <w:shd w:val="clear" w:color="auto" w:fill="F2F2F2"/>
          </w:tcPr>
          <w:p w:rsidR="00384FF7" w:rsidRPr="00D16196" w:rsidRDefault="00384FF7" w:rsidP="00D16196">
            <w:pPr>
              <w:pStyle w:val="Box"/>
            </w:pPr>
            <w:r w:rsidRPr="00D16196">
              <w:t>Provision of out-of-home care services</w:t>
            </w:r>
          </w:p>
        </w:tc>
      </w:tr>
      <w:tr w:rsidR="00384FF7" w:rsidRPr="00D16196" w:rsidTr="00DC29F0">
        <w:trPr>
          <w:cantSplit/>
        </w:trPr>
        <w:tc>
          <w:tcPr>
            <w:tcW w:w="8771" w:type="dxa"/>
            <w:gridSpan w:val="2"/>
            <w:tcBorders>
              <w:top w:val="nil"/>
              <w:left w:val="nil"/>
              <w:bottom w:val="nil"/>
              <w:right w:val="nil"/>
            </w:tcBorders>
            <w:shd w:val="clear" w:color="auto" w:fill="F2F2F2"/>
          </w:tcPr>
          <w:p w:rsidR="00384FF7" w:rsidRPr="00D16196" w:rsidRDefault="00384FF7" w:rsidP="00D16196">
            <w:pPr>
              <w:pStyle w:val="Box"/>
            </w:pPr>
            <w:r w:rsidRPr="00D16196">
              <w:t>Detailed definitions of activity groups are included in section</w:t>
            </w:r>
            <w:r w:rsidR="00F03EAF" w:rsidRPr="00D16196">
              <w:t xml:space="preserve"> 15.</w:t>
            </w:r>
            <w:r w:rsidR="0012127E" w:rsidRPr="00D16196">
              <w:t>5</w:t>
            </w:r>
            <w:r w:rsidRPr="00D16196">
              <w:t>.</w:t>
            </w:r>
            <w:r w:rsidR="0012127E" w:rsidRPr="00D16196">
              <w:t xml:space="preserve"> </w:t>
            </w:r>
            <w:r w:rsidR="00402E95" w:rsidRPr="00D16196">
              <w:t xml:space="preserve">Development of national reporting against these activity groups is ongoing. </w:t>
            </w:r>
          </w:p>
        </w:tc>
      </w:tr>
      <w:tr w:rsidR="00384FF7" w:rsidRPr="00D16196" w:rsidTr="00DC29F0">
        <w:trPr>
          <w:cantSplit/>
        </w:trPr>
        <w:tc>
          <w:tcPr>
            <w:tcW w:w="8771" w:type="dxa"/>
            <w:gridSpan w:val="2"/>
            <w:tcBorders>
              <w:top w:val="nil"/>
              <w:left w:val="nil"/>
              <w:bottom w:val="nil"/>
              <w:right w:val="nil"/>
            </w:tcBorders>
            <w:shd w:val="clear" w:color="auto" w:fill="F2F2F2"/>
          </w:tcPr>
          <w:p w:rsidR="00384FF7" w:rsidRPr="00D16196" w:rsidRDefault="00384FF7" w:rsidP="00D16196">
            <w:pPr>
              <w:pStyle w:val="BoxSource"/>
            </w:pPr>
            <w:r w:rsidRPr="00D16196">
              <w:rPr>
                <w:i/>
              </w:rPr>
              <w:t>Source</w:t>
            </w:r>
            <w:r w:rsidRPr="00D16196">
              <w:t>: Steering Committee for the Review of Government Service Provision (</w:t>
            </w:r>
            <w:proofErr w:type="spellStart"/>
            <w:r w:rsidRPr="00D16196">
              <w:t>SCRGSP</w:t>
            </w:r>
            <w:proofErr w:type="spellEnd"/>
            <w:r w:rsidRPr="00D16196">
              <w:t>) (2003).</w:t>
            </w:r>
          </w:p>
        </w:tc>
      </w:tr>
      <w:tr w:rsidR="00384FF7" w:rsidRPr="00D16196" w:rsidTr="00DC29F0">
        <w:trPr>
          <w:cantSplit/>
        </w:trPr>
        <w:tc>
          <w:tcPr>
            <w:tcW w:w="8771" w:type="dxa"/>
            <w:gridSpan w:val="2"/>
            <w:tcBorders>
              <w:top w:val="nil"/>
              <w:left w:val="nil"/>
              <w:bottom w:val="single" w:sz="6" w:space="0" w:color="78A22F"/>
              <w:right w:val="nil"/>
            </w:tcBorders>
            <w:shd w:val="clear" w:color="auto" w:fill="F2F2F2"/>
          </w:tcPr>
          <w:p w:rsidR="00384FF7" w:rsidRPr="00D16196" w:rsidRDefault="00384FF7" w:rsidP="00D16196">
            <w:pPr>
              <w:pStyle w:val="Box"/>
              <w:spacing w:before="0" w:line="120" w:lineRule="exact"/>
            </w:pPr>
          </w:p>
        </w:tc>
      </w:tr>
      <w:tr w:rsidR="00384FF7" w:rsidRPr="00D16196" w:rsidTr="00DC29F0">
        <w:tc>
          <w:tcPr>
            <w:tcW w:w="8771" w:type="dxa"/>
            <w:gridSpan w:val="2"/>
            <w:tcBorders>
              <w:top w:val="single" w:sz="6" w:space="0" w:color="78A22F"/>
              <w:left w:val="nil"/>
              <w:bottom w:val="nil"/>
              <w:right w:val="nil"/>
            </w:tcBorders>
          </w:tcPr>
          <w:p w:rsidR="00384FF7" w:rsidRPr="00D16196" w:rsidRDefault="00384FF7" w:rsidP="00D16196">
            <w:pPr>
              <w:pStyle w:val="BoxSpaceBelow"/>
            </w:pPr>
          </w:p>
        </w:tc>
      </w:tr>
    </w:tbl>
    <w:p w:rsidR="00EA30F7" w:rsidRPr="00D16196" w:rsidRDefault="00EA30F7" w:rsidP="00D16196">
      <w:pPr>
        <w:pStyle w:val="BodyText"/>
      </w:pPr>
      <w:r w:rsidRPr="00D16196">
        <w:lastRenderedPageBreak/>
        <w:t>Pathways data are presented in table</w:t>
      </w:r>
      <w:r w:rsidR="00203E9E" w:rsidRPr="00D16196">
        <w:t xml:space="preserve"> 15.3</w:t>
      </w:r>
      <w:r w:rsidRPr="00D16196">
        <w:t xml:space="preserve"> (proportion of total expenditure directed to different child protection activities) and table 15.4 (derived unit costs for child protection activities). These data are preliminary and subject to further refinement in future reports. However, for all jurisdictions, the proportion of expenditure allocated to the provision of out-of-home care services (activity group 8) was the most significant and varied from 51.8 per cent to </w:t>
      </w:r>
      <w:r w:rsidR="00800EC7" w:rsidRPr="00D16196">
        <w:t>71.3</w:t>
      </w:r>
      <w:r w:rsidRPr="00D16196">
        <w:t> per cent across jurisdictions. A more complete collection of unit cost data will be provided once development of activity counts across</w:t>
      </w:r>
      <w:r w:rsidR="00203E9E" w:rsidRPr="00D16196">
        <w:t xml:space="preserve"> all jurisdictions in complete.</w:t>
      </w:r>
    </w:p>
    <w:p w:rsidR="00384FF7" w:rsidRPr="00D16196" w:rsidRDefault="00384FF7" w:rsidP="00D1619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84FF7" w:rsidRPr="00D16196" w:rsidTr="00DC29F0">
        <w:tc>
          <w:tcPr>
            <w:tcW w:w="8771" w:type="dxa"/>
            <w:tcBorders>
              <w:top w:val="single" w:sz="6" w:space="0" w:color="78A22F" w:themeColor="accent1"/>
              <w:left w:val="nil"/>
              <w:bottom w:val="nil"/>
              <w:right w:val="nil"/>
            </w:tcBorders>
            <w:shd w:val="clear" w:color="auto" w:fill="auto"/>
          </w:tcPr>
          <w:p w:rsidR="00384FF7" w:rsidRPr="00D16196" w:rsidRDefault="00384FF7" w:rsidP="00E6201A">
            <w:pPr>
              <w:pStyle w:val="TableTitle"/>
            </w:pPr>
            <w:r w:rsidRPr="00D16196">
              <w:rPr>
                <w:b w:val="0"/>
              </w:rPr>
              <w:t>Table</w:t>
            </w:r>
            <w:r w:rsidR="00203E9E" w:rsidRPr="00D16196">
              <w:rPr>
                <w:b w:val="0"/>
              </w:rPr>
              <w:t xml:space="preserve"> 15.3</w:t>
            </w:r>
            <w:r w:rsidRPr="00D16196">
              <w:tab/>
              <w:t xml:space="preserve">Proportion of total expenditure by activity group — experimental </w:t>
            </w:r>
            <w:r w:rsidR="0059737C" w:rsidRPr="00D16196">
              <w:t>data</w:t>
            </w:r>
            <w:r w:rsidRPr="00D16196">
              <w:t>, 2014-15</w:t>
            </w:r>
            <w:r w:rsidR="00F03EAF" w:rsidRPr="00D16196">
              <w:rPr>
                <w:rStyle w:val="NoteLabel"/>
                <w:b/>
              </w:rPr>
              <w:t>a</w:t>
            </w:r>
          </w:p>
        </w:tc>
      </w:tr>
      <w:tr w:rsidR="00384FF7" w:rsidRPr="00D16196" w:rsidTr="00DC29F0">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29"/>
              <w:gridCol w:w="851"/>
              <w:gridCol w:w="851"/>
              <w:gridCol w:w="851"/>
              <w:gridCol w:w="851"/>
              <w:gridCol w:w="851"/>
              <w:gridCol w:w="851"/>
              <w:gridCol w:w="851"/>
              <w:gridCol w:w="851"/>
              <w:gridCol w:w="850"/>
            </w:tblGrid>
            <w:tr w:rsidR="00384FF7" w:rsidRPr="00D16196" w:rsidTr="00DC29F0">
              <w:tc>
                <w:tcPr>
                  <w:tcW w:w="488" w:type="pct"/>
                  <w:tcBorders>
                    <w:top w:val="single" w:sz="6" w:space="0" w:color="BFBFBF"/>
                    <w:bottom w:val="single" w:sz="6" w:space="0" w:color="BFBFBF"/>
                  </w:tcBorders>
                </w:tcPr>
                <w:p w:rsidR="00384FF7" w:rsidRPr="00D16196" w:rsidRDefault="00384FF7" w:rsidP="00D16196">
                  <w:pPr>
                    <w:pStyle w:val="TableUnitsRow"/>
                    <w:jc w:val="left"/>
                  </w:pP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Unit</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NSW</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Vic</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Qld</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WA</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SA</w:t>
                  </w:r>
                </w:p>
              </w:tc>
              <w:tc>
                <w:tcPr>
                  <w:tcW w:w="501" w:type="pct"/>
                  <w:tcBorders>
                    <w:top w:val="single" w:sz="6" w:space="0" w:color="BFBFBF"/>
                    <w:bottom w:val="single" w:sz="6" w:space="0" w:color="BFBFBF"/>
                  </w:tcBorders>
                </w:tcPr>
                <w:p w:rsidR="00384FF7" w:rsidRPr="00D16196" w:rsidRDefault="00384FF7" w:rsidP="00D16196">
                  <w:pPr>
                    <w:pStyle w:val="TableColumnHeading"/>
                  </w:pPr>
                  <w:proofErr w:type="spellStart"/>
                  <w:r w:rsidRPr="00D16196">
                    <w:t>Tas</w:t>
                  </w:r>
                  <w:proofErr w:type="spellEnd"/>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ACT</w:t>
                  </w:r>
                </w:p>
              </w:tc>
              <w:tc>
                <w:tcPr>
                  <w:tcW w:w="501" w:type="pct"/>
                  <w:tcBorders>
                    <w:top w:val="single" w:sz="6" w:space="0" w:color="BFBFBF"/>
                    <w:bottom w:val="single" w:sz="6" w:space="0" w:color="BFBFBF"/>
                  </w:tcBorders>
                </w:tcPr>
                <w:p w:rsidR="00384FF7" w:rsidRPr="00D16196" w:rsidRDefault="00384FF7" w:rsidP="00D16196">
                  <w:pPr>
                    <w:pStyle w:val="TableColumnHeading"/>
                  </w:pPr>
                  <w:r w:rsidRPr="00D16196">
                    <w:t>NT</w:t>
                  </w:r>
                </w:p>
              </w:tc>
            </w:tr>
            <w:tr w:rsidR="007023FA" w:rsidRPr="00D16196" w:rsidTr="00DC29F0">
              <w:tc>
                <w:tcPr>
                  <w:tcW w:w="488" w:type="pct"/>
                  <w:tcBorders>
                    <w:top w:val="single" w:sz="6" w:space="0" w:color="BFBFBF"/>
                  </w:tcBorders>
                </w:tcPr>
                <w:p w:rsidR="007023FA" w:rsidRPr="00D16196" w:rsidRDefault="007023FA" w:rsidP="00D16196">
                  <w:pPr>
                    <w:pStyle w:val="TableBodyText"/>
                    <w:jc w:val="left"/>
                  </w:pPr>
                  <w:proofErr w:type="spellStart"/>
                  <w:r w:rsidRPr="00D16196">
                    <w:t>AG1</w:t>
                  </w:r>
                  <w:proofErr w:type="spellEnd"/>
                </w:p>
              </w:tc>
              <w:tc>
                <w:tcPr>
                  <w:tcW w:w="501" w:type="pct"/>
                  <w:tcBorders>
                    <w:top w:val="single" w:sz="6" w:space="0" w:color="BFBFBF"/>
                  </w:tcBorders>
                </w:tcPr>
                <w:p w:rsidR="007023FA" w:rsidRPr="00D16196" w:rsidRDefault="007023FA" w:rsidP="00D16196">
                  <w:pPr>
                    <w:pStyle w:val="TableBodyText"/>
                  </w:pPr>
                  <w:r w:rsidRPr="00D16196">
                    <w:t>%</w:t>
                  </w:r>
                </w:p>
              </w:tc>
              <w:tc>
                <w:tcPr>
                  <w:tcW w:w="501" w:type="pct"/>
                  <w:tcBorders>
                    <w:top w:val="single" w:sz="6" w:space="0" w:color="BFBFBF"/>
                  </w:tcBorders>
                  <w:shd w:val="clear" w:color="auto" w:fill="auto"/>
                </w:tcPr>
                <w:p w:rsidR="007023FA" w:rsidRPr="00D16196" w:rsidRDefault="007023FA" w:rsidP="00D16196">
                  <w:pPr>
                    <w:pStyle w:val="TableBodyText"/>
                  </w:pPr>
                  <w:r w:rsidRPr="00D16196">
                    <w:t>4.1</w:t>
                  </w:r>
                </w:p>
              </w:tc>
              <w:tc>
                <w:tcPr>
                  <w:tcW w:w="501" w:type="pct"/>
                  <w:tcBorders>
                    <w:top w:val="single" w:sz="6" w:space="0" w:color="BFBFBF"/>
                  </w:tcBorders>
                </w:tcPr>
                <w:p w:rsidR="007023FA" w:rsidRPr="00D16196" w:rsidRDefault="007023FA" w:rsidP="00D16196">
                  <w:pPr>
                    <w:pStyle w:val="TableBodyText"/>
                  </w:pPr>
                  <w:r w:rsidRPr="00D16196">
                    <w:t>3.1</w:t>
                  </w:r>
                </w:p>
              </w:tc>
              <w:tc>
                <w:tcPr>
                  <w:tcW w:w="501" w:type="pct"/>
                  <w:tcBorders>
                    <w:top w:val="single" w:sz="6" w:space="0" w:color="BFBFBF"/>
                  </w:tcBorders>
                </w:tcPr>
                <w:p w:rsidR="007023FA" w:rsidRPr="00D16196" w:rsidRDefault="007023FA" w:rsidP="00D16196">
                  <w:pPr>
                    <w:pStyle w:val="TableBodyText"/>
                  </w:pPr>
                  <w:r w:rsidRPr="00D16196">
                    <w:t>3.3</w:t>
                  </w:r>
                </w:p>
              </w:tc>
              <w:tc>
                <w:tcPr>
                  <w:tcW w:w="501" w:type="pct"/>
                  <w:tcBorders>
                    <w:top w:val="single" w:sz="6" w:space="0" w:color="BFBFBF"/>
                  </w:tcBorders>
                </w:tcPr>
                <w:p w:rsidR="007023FA" w:rsidRPr="00D16196" w:rsidRDefault="007023FA" w:rsidP="00D16196">
                  <w:pPr>
                    <w:pStyle w:val="TableBodyText"/>
                  </w:pPr>
                  <w:r w:rsidRPr="00D16196">
                    <w:t>5.2</w:t>
                  </w:r>
                </w:p>
              </w:tc>
              <w:tc>
                <w:tcPr>
                  <w:tcW w:w="501" w:type="pct"/>
                  <w:tcBorders>
                    <w:top w:val="single" w:sz="6" w:space="0" w:color="BFBFBF"/>
                  </w:tcBorders>
                </w:tcPr>
                <w:p w:rsidR="007023FA" w:rsidRPr="00D16196" w:rsidRDefault="00800EC7" w:rsidP="00D16196">
                  <w:pPr>
                    <w:pStyle w:val="TableBodyText"/>
                  </w:pPr>
                  <w:r w:rsidRPr="00D16196">
                    <w:t>4.8</w:t>
                  </w:r>
                </w:p>
              </w:tc>
              <w:tc>
                <w:tcPr>
                  <w:tcW w:w="501" w:type="pct"/>
                  <w:tcBorders>
                    <w:top w:val="single" w:sz="6" w:space="0" w:color="BFBFBF"/>
                  </w:tcBorders>
                </w:tcPr>
                <w:p w:rsidR="007023FA" w:rsidRPr="00D16196" w:rsidRDefault="000A5FFB" w:rsidP="00D16196">
                  <w:pPr>
                    <w:pStyle w:val="TableBodyText"/>
                  </w:pPr>
                  <w:r w:rsidRPr="00D16196">
                    <w:t>5.3</w:t>
                  </w:r>
                </w:p>
              </w:tc>
              <w:tc>
                <w:tcPr>
                  <w:tcW w:w="501" w:type="pct"/>
                  <w:tcBorders>
                    <w:top w:val="single" w:sz="6" w:space="0" w:color="BFBFBF"/>
                  </w:tcBorders>
                </w:tcPr>
                <w:p w:rsidR="007023FA" w:rsidRPr="00D16196" w:rsidRDefault="005D4C52" w:rsidP="00D16196">
                  <w:pPr>
                    <w:pStyle w:val="TableBodyText"/>
                  </w:pPr>
                  <w:r w:rsidRPr="00D16196">
                    <w:t>7.2</w:t>
                  </w:r>
                </w:p>
              </w:tc>
              <w:tc>
                <w:tcPr>
                  <w:tcW w:w="501" w:type="pct"/>
                  <w:tcBorders>
                    <w:top w:val="single" w:sz="6" w:space="0" w:color="BFBFBF"/>
                  </w:tcBorders>
                </w:tcPr>
                <w:p w:rsidR="007023FA" w:rsidRPr="00D16196" w:rsidRDefault="005D4C52" w:rsidP="00D16196">
                  <w:pPr>
                    <w:pStyle w:val="TableBodyText"/>
                  </w:pPr>
                  <w:r w:rsidRPr="00D16196">
                    <w:t>4.9</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AG2</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7.0</w:t>
                  </w:r>
                </w:p>
              </w:tc>
              <w:tc>
                <w:tcPr>
                  <w:tcW w:w="501" w:type="pct"/>
                </w:tcPr>
                <w:p w:rsidR="007023FA" w:rsidRPr="00D16196" w:rsidRDefault="007023FA" w:rsidP="00D16196">
                  <w:pPr>
                    <w:pStyle w:val="TableBodyText"/>
                  </w:pPr>
                  <w:r w:rsidRPr="00D16196">
                    <w:t>14.5</w:t>
                  </w:r>
                </w:p>
              </w:tc>
              <w:tc>
                <w:tcPr>
                  <w:tcW w:w="501" w:type="pct"/>
                </w:tcPr>
                <w:p w:rsidR="007023FA" w:rsidRPr="00D16196" w:rsidRDefault="007023FA" w:rsidP="00D16196">
                  <w:pPr>
                    <w:pStyle w:val="TableBodyText"/>
                  </w:pPr>
                  <w:r w:rsidRPr="00D16196">
                    <w:t>3.6</w:t>
                  </w:r>
                </w:p>
              </w:tc>
              <w:tc>
                <w:tcPr>
                  <w:tcW w:w="501" w:type="pct"/>
                </w:tcPr>
                <w:p w:rsidR="007023FA" w:rsidRPr="00D16196" w:rsidRDefault="007023FA" w:rsidP="00D16196">
                  <w:pPr>
                    <w:pStyle w:val="TableBodyText"/>
                  </w:pPr>
                  <w:r w:rsidRPr="00D16196">
                    <w:t>8.5</w:t>
                  </w:r>
                </w:p>
              </w:tc>
              <w:tc>
                <w:tcPr>
                  <w:tcW w:w="501" w:type="pct"/>
                </w:tcPr>
                <w:p w:rsidR="007023FA" w:rsidRPr="00D16196" w:rsidRDefault="00800EC7" w:rsidP="00D16196">
                  <w:pPr>
                    <w:pStyle w:val="TableBodyText"/>
                  </w:pPr>
                  <w:r w:rsidRPr="00D16196">
                    <w:t>3.2</w:t>
                  </w:r>
                </w:p>
              </w:tc>
              <w:tc>
                <w:tcPr>
                  <w:tcW w:w="501" w:type="pct"/>
                </w:tcPr>
                <w:p w:rsidR="007023FA" w:rsidRPr="00D16196" w:rsidRDefault="000A5FFB" w:rsidP="00D16196">
                  <w:pPr>
                    <w:pStyle w:val="TableBodyText"/>
                  </w:pPr>
                  <w:r w:rsidRPr="00D16196">
                    <w:t>6.7</w:t>
                  </w:r>
                </w:p>
              </w:tc>
              <w:tc>
                <w:tcPr>
                  <w:tcW w:w="501" w:type="pct"/>
                </w:tcPr>
                <w:p w:rsidR="007023FA" w:rsidRPr="00D16196" w:rsidRDefault="005D4C52" w:rsidP="00D16196">
                  <w:pPr>
                    <w:pStyle w:val="TableBodyText"/>
                  </w:pPr>
                  <w:r w:rsidRPr="00D16196">
                    <w:t>5.0</w:t>
                  </w:r>
                </w:p>
              </w:tc>
              <w:tc>
                <w:tcPr>
                  <w:tcW w:w="501" w:type="pct"/>
                </w:tcPr>
                <w:p w:rsidR="007023FA" w:rsidRPr="00D16196" w:rsidRDefault="005D4C52" w:rsidP="00D16196">
                  <w:pPr>
                    <w:pStyle w:val="TableBodyText"/>
                  </w:pPr>
                  <w:r w:rsidRPr="00D16196">
                    <w:t>23.5</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AG3</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10.7</w:t>
                  </w:r>
                </w:p>
              </w:tc>
              <w:tc>
                <w:tcPr>
                  <w:tcW w:w="501" w:type="pct"/>
                </w:tcPr>
                <w:p w:rsidR="007023FA" w:rsidRPr="00D16196" w:rsidRDefault="007023FA" w:rsidP="00D16196">
                  <w:pPr>
                    <w:pStyle w:val="TableBodyText"/>
                  </w:pPr>
                  <w:r w:rsidRPr="00D16196">
                    <w:t>9.9</w:t>
                  </w:r>
                </w:p>
              </w:tc>
              <w:tc>
                <w:tcPr>
                  <w:tcW w:w="501" w:type="pct"/>
                </w:tcPr>
                <w:p w:rsidR="007023FA" w:rsidRPr="00D16196" w:rsidRDefault="007023FA" w:rsidP="00D16196">
                  <w:pPr>
                    <w:pStyle w:val="TableBodyText"/>
                  </w:pPr>
                  <w:r w:rsidRPr="00D16196">
                    <w:t>8.0</w:t>
                  </w:r>
                </w:p>
              </w:tc>
              <w:tc>
                <w:tcPr>
                  <w:tcW w:w="501" w:type="pct"/>
                </w:tcPr>
                <w:p w:rsidR="007023FA" w:rsidRPr="00D16196" w:rsidRDefault="007023FA" w:rsidP="00D16196">
                  <w:pPr>
                    <w:pStyle w:val="TableBodyText"/>
                  </w:pPr>
                  <w:r w:rsidRPr="00D16196">
                    <w:t>2.2</w:t>
                  </w:r>
                </w:p>
              </w:tc>
              <w:tc>
                <w:tcPr>
                  <w:tcW w:w="501" w:type="pct"/>
                </w:tcPr>
                <w:p w:rsidR="007023FA" w:rsidRPr="00D16196" w:rsidRDefault="00800EC7" w:rsidP="00D16196">
                  <w:pPr>
                    <w:pStyle w:val="TableBodyText"/>
                  </w:pPr>
                  <w:r w:rsidRPr="00D16196">
                    <w:t>6.0</w:t>
                  </w:r>
                </w:p>
              </w:tc>
              <w:tc>
                <w:tcPr>
                  <w:tcW w:w="501" w:type="pct"/>
                </w:tcPr>
                <w:p w:rsidR="007023FA" w:rsidRPr="00D16196" w:rsidRDefault="000A5FFB" w:rsidP="00D16196">
                  <w:pPr>
                    <w:pStyle w:val="TableBodyText"/>
                  </w:pPr>
                  <w:r w:rsidRPr="00D16196">
                    <w:t>10.2</w:t>
                  </w:r>
                </w:p>
              </w:tc>
              <w:tc>
                <w:tcPr>
                  <w:tcW w:w="501" w:type="pct"/>
                </w:tcPr>
                <w:p w:rsidR="007023FA" w:rsidRPr="00D16196" w:rsidRDefault="005D4C52" w:rsidP="00D16196">
                  <w:pPr>
                    <w:pStyle w:val="TableBodyText"/>
                  </w:pPr>
                  <w:r w:rsidRPr="00D16196">
                    <w:t>1.8</w:t>
                  </w:r>
                </w:p>
              </w:tc>
              <w:tc>
                <w:tcPr>
                  <w:tcW w:w="501" w:type="pct"/>
                </w:tcPr>
                <w:p w:rsidR="007023FA" w:rsidRPr="00D16196" w:rsidRDefault="007023FA" w:rsidP="00D16196">
                  <w:pPr>
                    <w:pStyle w:val="TableBodyText"/>
                  </w:pPr>
                  <w:proofErr w:type="spellStart"/>
                  <w:r w:rsidRPr="00D16196">
                    <w:t>na</w:t>
                  </w:r>
                  <w:proofErr w:type="spellEnd"/>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AG4</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4.6</w:t>
                  </w:r>
                </w:p>
              </w:tc>
              <w:tc>
                <w:tcPr>
                  <w:tcW w:w="501" w:type="pct"/>
                </w:tcPr>
                <w:p w:rsidR="007023FA" w:rsidRPr="00D16196" w:rsidRDefault="007023FA" w:rsidP="00D16196">
                  <w:pPr>
                    <w:pStyle w:val="TableBodyText"/>
                  </w:pPr>
                  <w:r w:rsidRPr="00D16196">
                    <w:t>4.3</w:t>
                  </w:r>
                </w:p>
              </w:tc>
              <w:tc>
                <w:tcPr>
                  <w:tcW w:w="501" w:type="pct"/>
                </w:tcPr>
                <w:p w:rsidR="007023FA" w:rsidRPr="00D16196" w:rsidRDefault="007023FA" w:rsidP="00D16196">
                  <w:pPr>
                    <w:pStyle w:val="TableBodyText"/>
                  </w:pPr>
                  <w:r w:rsidRPr="00D16196">
                    <w:t>5.7</w:t>
                  </w:r>
                </w:p>
              </w:tc>
              <w:tc>
                <w:tcPr>
                  <w:tcW w:w="501" w:type="pct"/>
                </w:tcPr>
                <w:p w:rsidR="007023FA" w:rsidRPr="00D16196" w:rsidRDefault="007023FA" w:rsidP="00D16196">
                  <w:pPr>
                    <w:pStyle w:val="TableBodyText"/>
                  </w:pPr>
                  <w:r w:rsidRPr="00D16196">
                    <w:t>6.6</w:t>
                  </w:r>
                </w:p>
              </w:tc>
              <w:tc>
                <w:tcPr>
                  <w:tcW w:w="501" w:type="pct"/>
                </w:tcPr>
                <w:p w:rsidR="007023FA" w:rsidRPr="00D16196" w:rsidRDefault="00800EC7" w:rsidP="00D16196">
                  <w:pPr>
                    <w:pStyle w:val="TableBodyText"/>
                  </w:pPr>
                  <w:r w:rsidRPr="00D16196">
                    <w:t>3.3</w:t>
                  </w:r>
                </w:p>
              </w:tc>
              <w:tc>
                <w:tcPr>
                  <w:tcW w:w="501" w:type="pct"/>
                </w:tcPr>
                <w:p w:rsidR="007023FA" w:rsidRPr="00D16196" w:rsidRDefault="000A5FFB" w:rsidP="00D16196">
                  <w:pPr>
                    <w:pStyle w:val="TableBodyText"/>
                  </w:pPr>
                  <w:r w:rsidRPr="00D16196">
                    <w:t>3.5</w:t>
                  </w:r>
                </w:p>
              </w:tc>
              <w:tc>
                <w:tcPr>
                  <w:tcW w:w="501" w:type="pct"/>
                </w:tcPr>
                <w:p w:rsidR="007023FA" w:rsidRPr="00D16196" w:rsidRDefault="005D4C52" w:rsidP="00D16196">
                  <w:pPr>
                    <w:pStyle w:val="TableBodyText"/>
                  </w:pPr>
                  <w:r w:rsidRPr="00D16196">
                    <w:t>4.9</w:t>
                  </w:r>
                </w:p>
              </w:tc>
              <w:tc>
                <w:tcPr>
                  <w:tcW w:w="501" w:type="pct"/>
                </w:tcPr>
                <w:p w:rsidR="007023FA" w:rsidRPr="00D16196" w:rsidRDefault="005D4C52" w:rsidP="00D16196">
                  <w:pPr>
                    <w:pStyle w:val="TableBodyText"/>
                  </w:pPr>
                  <w:r w:rsidRPr="00D16196">
                    <w:t>3.4</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AG5</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5.4</w:t>
                  </w:r>
                </w:p>
              </w:tc>
              <w:tc>
                <w:tcPr>
                  <w:tcW w:w="501" w:type="pct"/>
                </w:tcPr>
                <w:p w:rsidR="007023FA" w:rsidRPr="00D16196" w:rsidRDefault="007023FA" w:rsidP="00D16196">
                  <w:pPr>
                    <w:pStyle w:val="TableBodyText"/>
                  </w:pPr>
                  <w:r w:rsidRPr="00D16196">
                    <w:t>4.0</w:t>
                  </w:r>
                </w:p>
              </w:tc>
              <w:tc>
                <w:tcPr>
                  <w:tcW w:w="501" w:type="pct"/>
                </w:tcPr>
                <w:p w:rsidR="007023FA" w:rsidRPr="00D16196" w:rsidRDefault="007023FA" w:rsidP="00D16196">
                  <w:pPr>
                    <w:pStyle w:val="TableBodyText"/>
                  </w:pPr>
                  <w:r w:rsidRPr="00D16196">
                    <w:t>4.2</w:t>
                  </w:r>
                </w:p>
              </w:tc>
              <w:tc>
                <w:tcPr>
                  <w:tcW w:w="501" w:type="pct"/>
                </w:tcPr>
                <w:p w:rsidR="007023FA" w:rsidRPr="00D16196" w:rsidRDefault="007023FA" w:rsidP="00D16196">
                  <w:pPr>
                    <w:pStyle w:val="TableBodyText"/>
                  </w:pPr>
                  <w:r w:rsidRPr="00D16196">
                    <w:t>6.9</w:t>
                  </w:r>
                </w:p>
              </w:tc>
              <w:tc>
                <w:tcPr>
                  <w:tcW w:w="501" w:type="pct"/>
                </w:tcPr>
                <w:p w:rsidR="007023FA" w:rsidRPr="00D16196" w:rsidRDefault="00800EC7" w:rsidP="00D16196">
                  <w:pPr>
                    <w:pStyle w:val="TableBodyText"/>
                  </w:pPr>
                  <w:r w:rsidRPr="00D16196">
                    <w:t>0.2</w:t>
                  </w:r>
                </w:p>
              </w:tc>
              <w:tc>
                <w:tcPr>
                  <w:tcW w:w="501" w:type="pct"/>
                </w:tcPr>
                <w:p w:rsidR="007023FA" w:rsidRPr="00D16196" w:rsidRDefault="000A5FFB" w:rsidP="00D16196">
                  <w:pPr>
                    <w:pStyle w:val="TableBodyText"/>
                  </w:pPr>
                  <w:r w:rsidRPr="00D16196">
                    <w:t>2.1</w:t>
                  </w:r>
                </w:p>
              </w:tc>
              <w:tc>
                <w:tcPr>
                  <w:tcW w:w="501" w:type="pct"/>
                </w:tcPr>
                <w:p w:rsidR="007023FA" w:rsidRPr="00D16196" w:rsidRDefault="005D4C52" w:rsidP="00D16196">
                  <w:pPr>
                    <w:pStyle w:val="TableBodyText"/>
                  </w:pPr>
                  <w:r w:rsidRPr="00D16196">
                    <w:t>0.4</w:t>
                  </w:r>
                </w:p>
              </w:tc>
              <w:tc>
                <w:tcPr>
                  <w:tcW w:w="501" w:type="pct"/>
                </w:tcPr>
                <w:p w:rsidR="007023FA" w:rsidRPr="00D16196" w:rsidRDefault="005D4C52" w:rsidP="00D16196">
                  <w:pPr>
                    <w:pStyle w:val="TableBodyText"/>
                  </w:pPr>
                  <w:r w:rsidRPr="00D16196">
                    <w:t>0.2</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AG6</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5.9</w:t>
                  </w:r>
                </w:p>
              </w:tc>
              <w:tc>
                <w:tcPr>
                  <w:tcW w:w="501" w:type="pct"/>
                </w:tcPr>
                <w:p w:rsidR="007023FA" w:rsidRPr="00D16196" w:rsidRDefault="007023FA" w:rsidP="00D16196">
                  <w:pPr>
                    <w:pStyle w:val="TableBodyText"/>
                  </w:pPr>
                  <w:r w:rsidRPr="00D16196">
                    <w:t>5.4</w:t>
                  </w:r>
                </w:p>
              </w:tc>
              <w:tc>
                <w:tcPr>
                  <w:tcW w:w="501" w:type="pct"/>
                </w:tcPr>
                <w:p w:rsidR="007023FA" w:rsidRPr="00D16196" w:rsidRDefault="007023FA" w:rsidP="00D16196">
                  <w:pPr>
                    <w:pStyle w:val="TableBodyText"/>
                  </w:pPr>
                  <w:r w:rsidRPr="00D16196">
                    <w:t>4.7</w:t>
                  </w:r>
                </w:p>
              </w:tc>
              <w:tc>
                <w:tcPr>
                  <w:tcW w:w="501" w:type="pct"/>
                </w:tcPr>
                <w:p w:rsidR="007023FA" w:rsidRPr="00D16196" w:rsidRDefault="007023FA" w:rsidP="00D16196">
                  <w:pPr>
                    <w:pStyle w:val="TableBodyText"/>
                  </w:pPr>
                  <w:r w:rsidRPr="00D16196">
                    <w:t>3.1</w:t>
                  </w:r>
                </w:p>
              </w:tc>
              <w:tc>
                <w:tcPr>
                  <w:tcW w:w="501" w:type="pct"/>
                </w:tcPr>
                <w:p w:rsidR="007023FA" w:rsidRPr="00D16196" w:rsidRDefault="00800EC7" w:rsidP="00D16196">
                  <w:pPr>
                    <w:pStyle w:val="TableBodyText"/>
                  </w:pPr>
                  <w:r w:rsidRPr="00D16196">
                    <w:t>1.8</w:t>
                  </w:r>
                </w:p>
              </w:tc>
              <w:tc>
                <w:tcPr>
                  <w:tcW w:w="501" w:type="pct"/>
                </w:tcPr>
                <w:p w:rsidR="007023FA" w:rsidRPr="00D16196" w:rsidRDefault="000A5FFB" w:rsidP="00D16196">
                  <w:pPr>
                    <w:pStyle w:val="TableBodyText"/>
                  </w:pPr>
                  <w:r w:rsidRPr="00D16196">
                    <w:t>5.9</w:t>
                  </w:r>
                </w:p>
              </w:tc>
              <w:tc>
                <w:tcPr>
                  <w:tcW w:w="501" w:type="pct"/>
                </w:tcPr>
                <w:p w:rsidR="007023FA" w:rsidRPr="00D16196" w:rsidRDefault="005D4C52" w:rsidP="00D16196">
                  <w:pPr>
                    <w:pStyle w:val="TableBodyText"/>
                  </w:pPr>
                  <w:r w:rsidRPr="00D16196">
                    <w:t>2.5</w:t>
                  </w:r>
                </w:p>
              </w:tc>
              <w:tc>
                <w:tcPr>
                  <w:tcW w:w="501" w:type="pct"/>
                </w:tcPr>
                <w:p w:rsidR="007023FA" w:rsidRPr="00D16196" w:rsidRDefault="005D4C52" w:rsidP="00D16196">
                  <w:pPr>
                    <w:pStyle w:val="TableBodyText"/>
                  </w:pPr>
                  <w:r w:rsidRPr="00D16196">
                    <w:t>1.9</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AG7</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4.8</w:t>
                  </w:r>
                </w:p>
              </w:tc>
              <w:tc>
                <w:tcPr>
                  <w:tcW w:w="501" w:type="pct"/>
                </w:tcPr>
                <w:p w:rsidR="007023FA" w:rsidRPr="00D16196" w:rsidRDefault="007023FA" w:rsidP="00D16196">
                  <w:pPr>
                    <w:pStyle w:val="TableBodyText"/>
                  </w:pPr>
                  <w:r w:rsidRPr="00D16196">
                    <w:t>6.6</w:t>
                  </w:r>
                </w:p>
              </w:tc>
              <w:tc>
                <w:tcPr>
                  <w:tcW w:w="501" w:type="pct"/>
                </w:tcPr>
                <w:p w:rsidR="007023FA" w:rsidRPr="00D16196" w:rsidRDefault="007023FA" w:rsidP="00D16196">
                  <w:pPr>
                    <w:pStyle w:val="TableBodyText"/>
                  </w:pPr>
                  <w:r w:rsidRPr="00D16196">
                    <w:t>18.7</w:t>
                  </w:r>
                </w:p>
              </w:tc>
              <w:tc>
                <w:tcPr>
                  <w:tcW w:w="501" w:type="pct"/>
                </w:tcPr>
                <w:p w:rsidR="007023FA" w:rsidRPr="00D16196" w:rsidRDefault="007023FA" w:rsidP="00D16196">
                  <w:pPr>
                    <w:pStyle w:val="TableBodyText"/>
                  </w:pPr>
                  <w:r w:rsidRPr="00D16196">
                    <w:t>12.5</w:t>
                  </w:r>
                </w:p>
              </w:tc>
              <w:tc>
                <w:tcPr>
                  <w:tcW w:w="501" w:type="pct"/>
                </w:tcPr>
                <w:p w:rsidR="007023FA" w:rsidRPr="00D16196" w:rsidRDefault="00800EC7" w:rsidP="00D16196">
                  <w:pPr>
                    <w:pStyle w:val="TableBodyText"/>
                  </w:pPr>
                  <w:r w:rsidRPr="00D16196">
                    <w:t>9.3</w:t>
                  </w:r>
                </w:p>
              </w:tc>
              <w:tc>
                <w:tcPr>
                  <w:tcW w:w="501" w:type="pct"/>
                </w:tcPr>
                <w:p w:rsidR="007023FA" w:rsidRPr="00D16196" w:rsidRDefault="000A5FFB" w:rsidP="00D16196">
                  <w:pPr>
                    <w:pStyle w:val="TableBodyText"/>
                  </w:pPr>
                  <w:r w:rsidRPr="00D16196">
                    <w:t>7.4</w:t>
                  </w:r>
                </w:p>
              </w:tc>
              <w:tc>
                <w:tcPr>
                  <w:tcW w:w="501" w:type="pct"/>
                </w:tcPr>
                <w:p w:rsidR="007023FA" w:rsidRPr="00D16196" w:rsidRDefault="005D4C52" w:rsidP="00D16196">
                  <w:pPr>
                    <w:pStyle w:val="TableBodyText"/>
                  </w:pPr>
                  <w:r w:rsidRPr="00D16196">
                    <w:t>11.8</w:t>
                  </w:r>
                </w:p>
              </w:tc>
              <w:tc>
                <w:tcPr>
                  <w:tcW w:w="501" w:type="pct"/>
                </w:tcPr>
                <w:p w:rsidR="007023FA" w:rsidRPr="00D16196" w:rsidRDefault="005D4C52" w:rsidP="00D16196">
                  <w:pPr>
                    <w:pStyle w:val="TableBodyText"/>
                  </w:pPr>
                  <w:r w:rsidRPr="00D16196">
                    <w:t>9.6</w:t>
                  </w:r>
                </w:p>
              </w:tc>
            </w:tr>
            <w:tr w:rsidR="007023FA" w:rsidRPr="00D16196" w:rsidTr="00DC29F0">
              <w:tc>
                <w:tcPr>
                  <w:tcW w:w="488" w:type="pct"/>
                  <w:shd w:val="clear" w:color="auto" w:fill="auto"/>
                </w:tcPr>
                <w:p w:rsidR="007023FA" w:rsidRPr="00D16196" w:rsidRDefault="007023FA" w:rsidP="00D16196">
                  <w:pPr>
                    <w:pStyle w:val="TableBodyText"/>
                    <w:jc w:val="left"/>
                  </w:pPr>
                  <w:proofErr w:type="spellStart"/>
                  <w:r w:rsidRPr="00D16196">
                    <w:t>AG8</w:t>
                  </w:r>
                  <w:proofErr w:type="spellEnd"/>
                </w:p>
              </w:tc>
              <w:tc>
                <w:tcPr>
                  <w:tcW w:w="501" w:type="pct"/>
                  <w:shd w:val="clear" w:color="auto" w:fill="auto"/>
                </w:tcPr>
                <w:p w:rsidR="007023FA" w:rsidRPr="00D16196" w:rsidRDefault="007023FA" w:rsidP="00D16196">
                  <w:pPr>
                    <w:pStyle w:val="TableBodyText"/>
                  </w:pPr>
                  <w:r w:rsidRPr="00D16196">
                    <w:t>%</w:t>
                  </w:r>
                </w:p>
              </w:tc>
              <w:tc>
                <w:tcPr>
                  <w:tcW w:w="501" w:type="pct"/>
                  <w:shd w:val="clear" w:color="auto" w:fill="auto"/>
                </w:tcPr>
                <w:p w:rsidR="007023FA" w:rsidRPr="00D16196" w:rsidRDefault="007023FA" w:rsidP="00D16196">
                  <w:pPr>
                    <w:pStyle w:val="TableBodyText"/>
                  </w:pPr>
                  <w:r w:rsidRPr="00D16196">
                    <w:t>57.5</w:t>
                  </w:r>
                </w:p>
              </w:tc>
              <w:tc>
                <w:tcPr>
                  <w:tcW w:w="501" w:type="pct"/>
                </w:tcPr>
                <w:p w:rsidR="007023FA" w:rsidRPr="00D16196" w:rsidRDefault="007023FA" w:rsidP="00D16196">
                  <w:pPr>
                    <w:pStyle w:val="TableBodyText"/>
                  </w:pPr>
                  <w:r w:rsidRPr="00D16196">
                    <w:t>52.1</w:t>
                  </w:r>
                </w:p>
              </w:tc>
              <w:tc>
                <w:tcPr>
                  <w:tcW w:w="501" w:type="pct"/>
                </w:tcPr>
                <w:p w:rsidR="007023FA" w:rsidRPr="00D16196" w:rsidRDefault="007023FA" w:rsidP="00D16196">
                  <w:pPr>
                    <w:pStyle w:val="TableBodyText"/>
                  </w:pPr>
                  <w:r w:rsidRPr="00D16196">
                    <w:t>51.8</w:t>
                  </w:r>
                </w:p>
              </w:tc>
              <w:tc>
                <w:tcPr>
                  <w:tcW w:w="501" w:type="pct"/>
                </w:tcPr>
                <w:p w:rsidR="007023FA" w:rsidRPr="00D16196" w:rsidRDefault="007023FA" w:rsidP="00D16196">
                  <w:pPr>
                    <w:pStyle w:val="TableBodyText"/>
                  </w:pPr>
                  <w:r w:rsidRPr="00D16196">
                    <w:t>54.9</w:t>
                  </w:r>
                </w:p>
              </w:tc>
              <w:tc>
                <w:tcPr>
                  <w:tcW w:w="501" w:type="pct"/>
                </w:tcPr>
                <w:p w:rsidR="007023FA" w:rsidRPr="00D16196" w:rsidRDefault="00800EC7" w:rsidP="00D16196">
                  <w:pPr>
                    <w:pStyle w:val="TableBodyText"/>
                  </w:pPr>
                  <w:r w:rsidRPr="00D16196">
                    <w:t>71.3</w:t>
                  </w:r>
                </w:p>
              </w:tc>
              <w:tc>
                <w:tcPr>
                  <w:tcW w:w="501" w:type="pct"/>
                </w:tcPr>
                <w:p w:rsidR="007023FA" w:rsidRPr="00D16196" w:rsidRDefault="000A5FFB" w:rsidP="00D16196">
                  <w:pPr>
                    <w:pStyle w:val="TableBodyText"/>
                  </w:pPr>
                  <w:r w:rsidRPr="00D16196">
                    <w:t>58.8</w:t>
                  </w:r>
                </w:p>
              </w:tc>
              <w:tc>
                <w:tcPr>
                  <w:tcW w:w="501" w:type="pct"/>
                </w:tcPr>
                <w:p w:rsidR="007023FA" w:rsidRPr="00D16196" w:rsidRDefault="005D4C52" w:rsidP="00D16196">
                  <w:pPr>
                    <w:pStyle w:val="TableBodyText"/>
                  </w:pPr>
                  <w:r w:rsidRPr="00D16196">
                    <w:t>66.4</w:t>
                  </w:r>
                </w:p>
              </w:tc>
              <w:tc>
                <w:tcPr>
                  <w:tcW w:w="501" w:type="pct"/>
                </w:tcPr>
                <w:p w:rsidR="007023FA" w:rsidRPr="00D16196" w:rsidRDefault="005D4C52" w:rsidP="00D16196">
                  <w:pPr>
                    <w:pStyle w:val="TableBodyText"/>
                  </w:pPr>
                  <w:r w:rsidRPr="00D16196">
                    <w:t>56.6</w:t>
                  </w:r>
                </w:p>
              </w:tc>
            </w:tr>
            <w:tr w:rsidR="00384FF7" w:rsidRPr="00D16196" w:rsidTr="00DC29F0">
              <w:tc>
                <w:tcPr>
                  <w:tcW w:w="488" w:type="pct"/>
                  <w:tcBorders>
                    <w:bottom w:val="single" w:sz="6" w:space="0" w:color="BFBFBF"/>
                  </w:tcBorders>
                  <w:shd w:val="clear" w:color="auto" w:fill="auto"/>
                </w:tcPr>
                <w:p w:rsidR="00384FF7" w:rsidRPr="00D16196" w:rsidRDefault="00384FF7" w:rsidP="00D16196">
                  <w:pPr>
                    <w:pStyle w:val="TableBodyText"/>
                    <w:jc w:val="left"/>
                    <w:rPr>
                      <w:b/>
                    </w:rPr>
                  </w:pPr>
                  <w:r w:rsidRPr="00D16196">
                    <w:rPr>
                      <w:b/>
                    </w:rPr>
                    <w:t>Total</w:t>
                  </w:r>
                </w:p>
              </w:tc>
              <w:tc>
                <w:tcPr>
                  <w:tcW w:w="501" w:type="pct"/>
                  <w:tcBorders>
                    <w:bottom w:val="single" w:sz="6" w:space="0" w:color="BFBFBF"/>
                  </w:tcBorders>
                  <w:shd w:val="clear" w:color="auto" w:fill="auto"/>
                </w:tcPr>
                <w:p w:rsidR="00384FF7" w:rsidRPr="00D16196" w:rsidRDefault="00384FF7" w:rsidP="00D16196">
                  <w:pPr>
                    <w:pStyle w:val="TableBodyText"/>
                    <w:rPr>
                      <w:b/>
                    </w:rPr>
                  </w:pPr>
                  <w:r w:rsidRPr="00D16196">
                    <w:rPr>
                      <w:b/>
                    </w:rPr>
                    <w:t>%</w:t>
                  </w:r>
                </w:p>
              </w:tc>
              <w:tc>
                <w:tcPr>
                  <w:tcW w:w="501" w:type="pct"/>
                  <w:tcBorders>
                    <w:bottom w:val="single" w:sz="6" w:space="0" w:color="BFBFBF"/>
                  </w:tcBorders>
                  <w:shd w:val="clear" w:color="auto" w:fill="auto"/>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c>
                <w:tcPr>
                  <w:tcW w:w="501" w:type="pct"/>
                  <w:tcBorders>
                    <w:bottom w:val="single" w:sz="6" w:space="0" w:color="BFBFBF"/>
                  </w:tcBorders>
                </w:tcPr>
                <w:p w:rsidR="00384FF7" w:rsidRPr="00D16196" w:rsidRDefault="00384FF7" w:rsidP="00D16196">
                  <w:pPr>
                    <w:pStyle w:val="TableBodyText"/>
                    <w:rPr>
                      <w:b/>
                    </w:rPr>
                  </w:pPr>
                  <w:r w:rsidRPr="00D16196">
                    <w:rPr>
                      <w:b/>
                    </w:rPr>
                    <w:t>100.0</w:t>
                  </w:r>
                </w:p>
              </w:tc>
            </w:tr>
          </w:tbl>
          <w:p w:rsidR="00384FF7" w:rsidRPr="00D16196" w:rsidRDefault="00384FF7" w:rsidP="00D16196">
            <w:pPr>
              <w:pStyle w:val="Box"/>
            </w:pPr>
          </w:p>
        </w:tc>
      </w:tr>
      <w:tr w:rsidR="00384FF7" w:rsidRPr="00D16196" w:rsidTr="00DC29F0">
        <w:trPr>
          <w:cantSplit/>
        </w:trPr>
        <w:tc>
          <w:tcPr>
            <w:tcW w:w="8771" w:type="dxa"/>
            <w:tcBorders>
              <w:top w:val="nil"/>
              <w:left w:val="nil"/>
              <w:bottom w:val="nil"/>
              <w:right w:val="nil"/>
            </w:tcBorders>
            <w:shd w:val="clear" w:color="auto" w:fill="auto"/>
          </w:tcPr>
          <w:p w:rsidR="00384FF7" w:rsidRPr="00D16196" w:rsidRDefault="00384FF7" w:rsidP="005C2D7C">
            <w:pPr>
              <w:pStyle w:val="Note"/>
              <w:rPr>
                <w:i/>
              </w:rPr>
            </w:pPr>
            <w:r w:rsidRPr="00D16196">
              <w:t>AG = Activity Group (box</w:t>
            </w:r>
            <w:r w:rsidR="00560432" w:rsidRPr="00D16196">
              <w:t xml:space="preserve"> 15.1</w:t>
            </w:r>
            <w:r w:rsidR="005C2D7C">
              <w:t>8</w:t>
            </w:r>
            <w:r w:rsidRPr="00D16196">
              <w:t xml:space="preserve">). </w:t>
            </w:r>
            <w:r w:rsidRPr="00D16196">
              <w:rPr>
                <w:rStyle w:val="NoteLabel"/>
              </w:rPr>
              <w:t>a</w:t>
            </w:r>
            <w:r w:rsidRPr="00D16196">
              <w:t xml:space="preserve"> Totals may not add to 100 due to rounding. </w:t>
            </w:r>
            <w:proofErr w:type="spellStart"/>
            <w:r w:rsidRPr="00D16196">
              <w:rPr>
                <w:b/>
              </w:rPr>
              <w:t>na</w:t>
            </w:r>
            <w:proofErr w:type="spellEnd"/>
            <w:r w:rsidRPr="00D16196">
              <w:t xml:space="preserve"> Not available.</w:t>
            </w:r>
          </w:p>
        </w:tc>
      </w:tr>
      <w:tr w:rsidR="00384FF7" w:rsidRPr="00D16196" w:rsidTr="00DC29F0">
        <w:trPr>
          <w:cantSplit/>
        </w:trPr>
        <w:tc>
          <w:tcPr>
            <w:tcW w:w="8771" w:type="dxa"/>
            <w:tcBorders>
              <w:top w:val="nil"/>
              <w:left w:val="nil"/>
              <w:bottom w:val="nil"/>
              <w:right w:val="nil"/>
            </w:tcBorders>
            <w:shd w:val="clear" w:color="auto" w:fill="auto"/>
          </w:tcPr>
          <w:p w:rsidR="00384FF7" w:rsidRPr="00D16196" w:rsidRDefault="00384FF7" w:rsidP="00D16196">
            <w:pPr>
              <w:pStyle w:val="Source"/>
            </w:pPr>
            <w:r w:rsidRPr="00D16196">
              <w:rPr>
                <w:i/>
              </w:rPr>
              <w:t>Source</w:t>
            </w:r>
            <w:r w:rsidRPr="00D16196">
              <w:t>: State and Territory governments (unpublished).</w:t>
            </w:r>
          </w:p>
        </w:tc>
      </w:tr>
      <w:tr w:rsidR="00384FF7" w:rsidRPr="00D16196" w:rsidTr="00DC29F0">
        <w:trPr>
          <w:cantSplit/>
        </w:trPr>
        <w:tc>
          <w:tcPr>
            <w:tcW w:w="8771" w:type="dxa"/>
            <w:tcBorders>
              <w:top w:val="nil"/>
              <w:left w:val="nil"/>
              <w:bottom w:val="single" w:sz="6" w:space="0" w:color="78A22F" w:themeColor="accent1"/>
              <w:right w:val="nil"/>
            </w:tcBorders>
            <w:shd w:val="clear" w:color="auto" w:fill="auto"/>
          </w:tcPr>
          <w:p w:rsidR="00384FF7" w:rsidRPr="00D16196" w:rsidRDefault="00384FF7" w:rsidP="00D16196">
            <w:pPr>
              <w:pStyle w:val="Box"/>
              <w:spacing w:before="0" w:line="120" w:lineRule="exact"/>
              <w:rPr>
                <w:color w:val="600000" w:themeColor="accent6" w:themeShade="80"/>
              </w:rPr>
            </w:pPr>
          </w:p>
        </w:tc>
      </w:tr>
      <w:tr w:rsidR="00384FF7" w:rsidRPr="00D16196" w:rsidTr="00DC29F0">
        <w:tc>
          <w:tcPr>
            <w:tcW w:w="8771" w:type="dxa"/>
            <w:tcBorders>
              <w:top w:val="single" w:sz="6" w:space="0" w:color="78A22F" w:themeColor="accent1"/>
              <w:left w:val="nil"/>
              <w:bottom w:val="nil"/>
              <w:right w:val="nil"/>
            </w:tcBorders>
          </w:tcPr>
          <w:p w:rsidR="00384FF7" w:rsidRPr="00D16196" w:rsidRDefault="00384FF7" w:rsidP="00D16196">
            <w:pPr>
              <w:pStyle w:val="BoxSpaceBelow"/>
            </w:pPr>
          </w:p>
        </w:tc>
      </w:tr>
    </w:tbl>
    <w:p w:rsidR="00384FF7" w:rsidRPr="00D16196" w:rsidRDefault="00384FF7" w:rsidP="00D1619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84FF7" w:rsidRPr="00D16196" w:rsidTr="00DC29F0">
        <w:tc>
          <w:tcPr>
            <w:tcW w:w="8771" w:type="dxa"/>
            <w:tcBorders>
              <w:top w:val="single" w:sz="6" w:space="0" w:color="78A22F" w:themeColor="accent1"/>
              <w:left w:val="nil"/>
              <w:bottom w:val="nil"/>
              <w:right w:val="nil"/>
            </w:tcBorders>
            <w:shd w:val="clear" w:color="auto" w:fill="auto"/>
          </w:tcPr>
          <w:p w:rsidR="00384FF7" w:rsidRPr="00D16196" w:rsidRDefault="00384FF7" w:rsidP="00D16196">
            <w:pPr>
              <w:pStyle w:val="TableTitle"/>
            </w:pPr>
            <w:r w:rsidRPr="00D16196">
              <w:rPr>
                <w:b w:val="0"/>
              </w:rPr>
              <w:t>Table</w:t>
            </w:r>
            <w:r w:rsidR="00203E9E" w:rsidRPr="00D16196">
              <w:rPr>
                <w:b w:val="0"/>
              </w:rPr>
              <w:t xml:space="preserve"> 15.4</w:t>
            </w:r>
            <w:r w:rsidRPr="00D16196">
              <w:tab/>
              <w:t>Activity group unit costs — experimental data, 201</w:t>
            </w:r>
            <w:r w:rsidR="00402E95" w:rsidRPr="00D16196">
              <w:t>4-15</w:t>
            </w:r>
            <w:r w:rsidRPr="00D16196">
              <w:rPr>
                <w:rStyle w:val="NoteLabel"/>
                <w:b/>
              </w:rPr>
              <w:t>a</w:t>
            </w:r>
          </w:p>
        </w:tc>
      </w:tr>
      <w:tr w:rsidR="00384FF7" w:rsidRPr="00D16196" w:rsidTr="00DC29F0">
        <w:trPr>
          <w:cantSplit/>
        </w:trPr>
        <w:tc>
          <w:tcPr>
            <w:tcW w:w="8771" w:type="dxa"/>
            <w:tcBorders>
              <w:top w:val="nil"/>
              <w:left w:val="nil"/>
              <w:bottom w:val="nil"/>
              <w:right w:val="nil"/>
            </w:tcBorders>
            <w:shd w:val="clear" w:color="auto" w:fill="auto"/>
          </w:tcPr>
          <w:tbl>
            <w:tblPr>
              <w:tblW w:w="8702" w:type="dxa"/>
              <w:tblCellMar>
                <w:top w:w="28" w:type="dxa"/>
                <w:left w:w="0" w:type="dxa"/>
                <w:right w:w="0" w:type="dxa"/>
              </w:tblCellMar>
              <w:tblLook w:val="0000" w:firstRow="0" w:lastRow="0" w:firstColumn="0" w:lastColumn="0" w:noHBand="0" w:noVBand="0"/>
            </w:tblPr>
            <w:tblGrid>
              <w:gridCol w:w="2387"/>
              <w:gridCol w:w="440"/>
              <w:gridCol w:w="733"/>
              <w:gridCol w:w="735"/>
              <w:gridCol w:w="735"/>
              <w:gridCol w:w="735"/>
              <w:gridCol w:w="735"/>
              <w:gridCol w:w="735"/>
              <w:gridCol w:w="735"/>
              <w:gridCol w:w="732"/>
            </w:tblGrid>
            <w:tr w:rsidR="00F03EAF" w:rsidRPr="00D16196" w:rsidTr="00F03EAF">
              <w:tc>
                <w:tcPr>
                  <w:tcW w:w="1372" w:type="pct"/>
                  <w:tcBorders>
                    <w:top w:val="single" w:sz="6" w:space="0" w:color="BFBFBF"/>
                    <w:bottom w:val="single" w:sz="6" w:space="0" w:color="BFBFBF"/>
                  </w:tcBorders>
                </w:tcPr>
                <w:p w:rsidR="00384FF7" w:rsidRPr="00D16196" w:rsidRDefault="00384FF7" w:rsidP="00D16196">
                  <w:pPr>
                    <w:pStyle w:val="TableUnitsRow"/>
                    <w:jc w:val="left"/>
                  </w:pPr>
                </w:p>
              </w:tc>
              <w:tc>
                <w:tcPr>
                  <w:tcW w:w="247" w:type="pct"/>
                  <w:tcBorders>
                    <w:top w:val="single" w:sz="6" w:space="0" w:color="BFBFBF"/>
                    <w:bottom w:val="single" w:sz="6" w:space="0" w:color="BFBFBF"/>
                  </w:tcBorders>
                  <w:vAlign w:val="bottom"/>
                </w:tcPr>
                <w:p w:rsidR="00384FF7" w:rsidRPr="00D16196" w:rsidRDefault="00384FF7" w:rsidP="00D16196">
                  <w:pPr>
                    <w:pStyle w:val="TableColumnHeading"/>
                    <w:jc w:val="center"/>
                  </w:pPr>
                  <w:r w:rsidRPr="00D16196">
                    <w:t>Unit</w:t>
                  </w:r>
                </w:p>
              </w:tc>
              <w:tc>
                <w:tcPr>
                  <w:tcW w:w="422" w:type="pct"/>
                  <w:tcBorders>
                    <w:top w:val="single" w:sz="6" w:space="0" w:color="BFBFBF"/>
                    <w:bottom w:val="single" w:sz="6" w:space="0" w:color="BFBFBF"/>
                  </w:tcBorders>
                  <w:vAlign w:val="bottom"/>
                </w:tcPr>
                <w:p w:rsidR="00384FF7" w:rsidRPr="00D16196" w:rsidRDefault="00384FF7" w:rsidP="00D16196">
                  <w:pPr>
                    <w:pStyle w:val="TableColumnHeading"/>
                  </w:pPr>
                  <w:r w:rsidRPr="00D16196">
                    <w:t>NSW</w:t>
                  </w:r>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r w:rsidRPr="00D16196">
                    <w:t>Vic</w:t>
                  </w:r>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r w:rsidRPr="00D16196">
                    <w:t>Qld</w:t>
                  </w:r>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r w:rsidRPr="00D16196">
                    <w:t>WA</w:t>
                  </w:r>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r w:rsidRPr="00D16196">
                    <w:t>SA</w:t>
                  </w:r>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proofErr w:type="spellStart"/>
                  <w:r w:rsidRPr="00D16196">
                    <w:t>Tas</w:t>
                  </w:r>
                  <w:proofErr w:type="spellEnd"/>
                </w:p>
              </w:tc>
              <w:tc>
                <w:tcPr>
                  <w:tcW w:w="423" w:type="pct"/>
                  <w:tcBorders>
                    <w:top w:val="single" w:sz="6" w:space="0" w:color="BFBFBF"/>
                    <w:bottom w:val="single" w:sz="6" w:space="0" w:color="BFBFBF"/>
                  </w:tcBorders>
                  <w:vAlign w:val="bottom"/>
                </w:tcPr>
                <w:p w:rsidR="00384FF7" w:rsidRPr="00D16196" w:rsidRDefault="00384FF7" w:rsidP="00D16196">
                  <w:pPr>
                    <w:pStyle w:val="TableColumnHeading"/>
                  </w:pPr>
                  <w:r w:rsidRPr="00D16196">
                    <w:t>ACT</w:t>
                  </w:r>
                </w:p>
              </w:tc>
              <w:tc>
                <w:tcPr>
                  <w:tcW w:w="422" w:type="pct"/>
                  <w:tcBorders>
                    <w:top w:val="single" w:sz="6" w:space="0" w:color="BFBFBF"/>
                    <w:bottom w:val="single" w:sz="6" w:space="0" w:color="BFBFBF"/>
                  </w:tcBorders>
                  <w:vAlign w:val="bottom"/>
                </w:tcPr>
                <w:p w:rsidR="00384FF7" w:rsidRPr="00D16196" w:rsidRDefault="00384FF7" w:rsidP="00D16196">
                  <w:pPr>
                    <w:pStyle w:val="TableColumnHeading"/>
                  </w:pPr>
                  <w:r w:rsidRPr="00D16196">
                    <w:t>NT</w:t>
                  </w:r>
                </w:p>
              </w:tc>
            </w:tr>
            <w:tr w:rsidR="00F03EAF" w:rsidRPr="00D16196" w:rsidTr="00F03EAF">
              <w:tc>
                <w:tcPr>
                  <w:tcW w:w="1372" w:type="pct"/>
                  <w:tcBorders>
                    <w:top w:val="single" w:sz="6" w:space="0" w:color="BFBFBF"/>
                  </w:tcBorders>
                  <w:vAlign w:val="bottom"/>
                </w:tcPr>
                <w:p w:rsidR="000A5FFB" w:rsidRPr="00D16196" w:rsidRDefault="000A5FFB" w:rsidP="00D16196">
                  <w:pPr>
                    <w:pStyle w:val="TableBodyText"/>
                    <w:jc w:val="left"/>
                  </w:pPr>
                  <w:proofErr w:type="spellStart"/>
                  <w:r w:rsidRPr="00D16196">
                    <w:t>AG1</w:t>
                  </w:r>
                  <w:proofErr w:type="spellEnd"/>
                  <w:r w:rsidRPr="00D16196">
                    <w:t xml:space="preserve"> Cost per report to child protection</w:t>
                  </w:r>
                </w:p>
              </w:tc>
              <w:tc>
                <w:tcPr>
                  <w:tcW w:w="247" w:type="pct"/>
                  <w:tcBorders>
                    <w:top w:val="single" w:sz="6" w:space="0" w:color="BFBFBF"/>
                  </w:tcBorders>
                </w:tcPr>
                <w:p w:rsidR="000A5FFB" w:rsidRPr="00D16196" w:rsidRDefault="000A5FFB" w:rsidP="00D16196">
                  <w:pPr>
                    <w:pStyle w:val="TableBodyText"/>
                    <w:jc w:val="center"/>
                  </w:pPr>
                  <w:r w:rsidRPr="00D16196">
                    <w:t>$</w:t>
                  </w:r>
                </w:p>
              </w:tc>
              <w:tc>
                <w:tcPr>
                  <w:tcW w:w="422" w:type="pct"/>
                  <w:tcBorders>
                    <w:top w:val="single" w:sz="6" w:space="0" w:color="BFBFBF"/>
                  </w:tcBorders>
                  <w:shd w:val="clear" w:color="auto" w:fill="auto"/>
                </w:tcPr>
                <w:p w:rsidR="000A5FFB" w:rsidRPr="00D16196" w:rsidRDefault="000A5FFB" w:rsidP="00D16196">
                  <w:pPr>
                    <w:pStyle w:val="TableBodyText"/>
                  </w:pPr>
                  <w:r w:rsidRPr="00D16196">
                    <w:t>235</w:t>
                  </w:r>
                </w:p>
              </w:tc>
              <w:tc>
                <w:tcPr>
                  <w:tcW w:w="423" w:type="pct"/>
                  <w:tcBorders>
                    <w:top w:val="single" w:sz="6" w:space="0" w:color="BFBFBF"/>
                  </w:tcBorders>
                </w:tcPr>
                <w:p w:rsidR="000A5FFB" w:rsidRPr="00D16196" w:rsidRDefault="000A5FFB" w:rsidP="00D16196">
                  <w:pPr>
                    <w:pStyle w:val="TableBodyText"/>
                  </w:pPr>
                  <w:proofErr w:type="spellStart"/>
                  <w:r w:rsidRPr="00D16196">
                    <w:t>na</w:t>
                  </w:r>
                  <w:proofErr w:type="spellEnd"/>
                </w:p>
              </w:tc>
              <w:tc>
                <w:tcPr>
                  <w:tcW w:w="423" w:type="pct"/>
                  <w:tcBorders>
                    <w:top w:val="single" w:sz="6" w:space="0" w:color="BFBFBF"/>
                  </w:tcBorders>
                </w:tcPr>
                <w:p w:rsidR="000A5FFB" w:rsidRPr="00D16196" w:rsidRDefault="000A5FFB" w:rsidP="00D16196">
                  <w:pPr>
                    <w:pStyle w:val="TableBodyText"/>
                  </w:pPr>
                  <w:r w:rsidRPr="00D16196">
                    <w:t>266</w:t>
                  </w:r>
                </w:p>
              </w:tc>
              <w:tc>
                <w:tcPr>
                  <w:tcW w:w="423" w:type="pct"/>
                  <w:tcBorders>
                    <w:top w:val="single" w:sz="6" w:space="0" w:color="BFBFBF"/>
                  </w:tcBorders>
                </w:tcPr>
                <w:p w:rsidR="000A5FFB" w:rsidRPr="00D16196" w:rsidRDefault="000A5FFB" w:rsidP="00D16196">
                  <w:pPr>
                    <w:pStyle w:val="TableBodyText"/>
                  </w:pPr>
                  <w:r w:rsidRPr="00D16196">
                    <w:t>239</w:t>
                  </w:r>
                </w:p>
              </w:tc>
              <w:tc>
                <w:tcPr>
                  <w:tcW w:w="423" w:type="pct"/>
                  <w:tcBorders>
                    <w:top w:val="single" w:sz="6" w:space="0" w:color="BFBFBF"/>
                  </w:tcBorders>
                </w:tcPr>
                <w:p w:rsidR="000A5FFB" w:rsidRPr="00D16196" w:rsidRDefault="000A5FFB" w:rsidP="00D16196">
                  <w:pPr>
                    <w:pStyle w:val="TableBodyText"/>
                  </w:pPr>
                  <w:proofErr w:type="spellStart"/>
                  <w:r w:rsidRPr="00D16196">
                    <w:t>na</w:t>
                  </w:r>
                  <w:proofErr w:type="spellEnd"/>
                </w:p>
              </w:tc>
              <w:tc>
                <w:tcPr>
                  <w:tcW w:w="423" w:type="pct"/>
                  <w:tcBorders>
                    <w:top w:val="single" w:sz="6" w:space="0" w:color="BFBFBF"/>
                  </w:tcBorders>
                </w:tcPr>
                <w:p w:rsidR="000A5FFB" w:rsidRPr="00D16196" w:rsidRDefault="000A5FFB" w:rsidP="00D16196">
                  <w:pPr>
                    <w:pStyle w:val="TableBodyText"/>
                  </w:pPr>
                  <w:proofErr w:type="spellStart"/>
                  <w:r w:rsidRPr="00D16196">
                    <w:t>na</w:t>
                  </w:r>
                  <w:proofErr w:type="spellEnd"/>
                </w:p>
              </w:tc>
              <w:tc>
                <w:tcPr>
                  <w:tcW w:w="423" w:type="pct"/>
                  <w:tcBorders>
                    <w:top w:val="single" w:sz="6" w:space="0" w:color="BFBFBF"/>
                  </w:tcBorders>
                </w:tcPr>
                <w:p w:rsidR="000A5FFB" w:rsidRPr="00D16196" w:rsidRDefault="005D4C52" w:rsidP="00D16196">
                  <w:pPr>
                    <w:pStyle w:val="TableBodyText"/>
                  </w:pPr>
                  <w:r w:rsidRPr="00D16196">
                    <w:t>351</w:t>
                  </w:r>
                </w:p>
              </w:tc>
              <w:tc>
                <w:tcPr>
                  <w:tcW w:w="422" w:type="pct"/>
                  <w:tcBorders>
                    <w:top w:val="single" w:sz="6" w:space="0" w:color="BFBFBF"/>
                  </w:tcBorders>
                </w:tcPr>
                <w:p w:rsidR="000A5FFB" w:rsidRPr="00D16196" w:rsidRDefault="000A5FFB" w:rsidP="00D16196">
                  <w:pPr>
                    <w:pStyle w:val="TableBodyText"/>
                  </w:pPr>
                  <w:proofErr w:type="spellStart"/>
                  <w:r w:rsidRPr="00D16196">
                    <w:t>na</w:t>
                  </w:r>
                  <w:proofErr w:type="spellEnd"/>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AG1</w:t>
                  </w:r>
                  <w:proofErr w:type="spellEnd"/>
                  <w:r w:rsidRPr="00D16196">
                    <w:t xml:space="preserve"> Cost per notification</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pPr>
                  <w:r w:rsidRPr="00D16196">
                    <w:t>499</w:t>
                  </w:r>
                </w:p>
              </w:tc>
              <w:tc>
                <w:tcPr>
                  <w:tcW w:w="423" w:type="pct"/>
                </w:tcPr>
                <w:p w:rsidR="000A5FFB" w:rsidRPr="00D16196" w:rsidRDefault="000A5FFB" w:rsidP="00D16196">
                  <w:pPr>
                    <w:pStyle w:val="TableBodyText"/>
                  </w:pPr>
                  <w:r w:rsidRPr="00D16196">
                    <w:t>292</w:t>
                  </w:r>
                </w:p>
              </w:tc>
              <w:tc>
                <w:tcPr>
                  <w:tcW w:w="423" w:type="pct"/>
                </w:tcPr>
                <w:p w:rsidR="000A5FFB" w:rsidRPr="00D16196" w:rsidRDefault="000A5FFB" w:rsidP="00D16196">
                  <w:pPr>
                    <w:pStyle w:val="TableBodyText"/>
                  </w:pPr>
                  <w:r w:rsidRPr="00D16196">
                    <w:t>1 279</w:t>
                  </w:r>
                </w:p>
              </w:tc>
              <w:tc>
                <w:tcPr>
                  <w:tcW w:w="423" w:type="pct"/>
                </w:tcPr>
                <w:p w:rsidR="000A5FFB" w:rsidRPr="00D16196" w:rsidRDefault="000A5FFB" w:rsidP="00D16196">
                  <w:pPr>
                    <w:pStyle w:val="TableBodyText"/>
                  </w:pPr>
                  <w:r w:rsidRPr="00D16196">
                    <w:t>1 385</w:t>
                  </w:r>
                </w:p>
              </w:tc>
              <w:tc>
                <w:tcPr>
                  <w:tcW w:w="423" w:type="pct"/>
                  <w:shd w:val="clear" w:color="auto" w:fill="auto"/>
                </w:tcPr>
                <w:p w:rsidR="000A5FFB" w:rsidRPr="00D16196" w:rsidRDefault="00800EC7" w:rsidP="00D16196">
                  <w:pPr>
                    <w:pStyle w:val="TableBodyText"/>
                  </w:pPr>
                  <w:r w:rsidRPr="00D16196">
                    <w:t>702</w:t>
                  </w:r>
                </w:p>
              </w:tc>
              <w:tc>
                <w:tcPr>
                  <w:tcW w:w="423" w:type="pct"/>
                </w:tcPr>
                <w:p w:rsidR="000A5FFB" w:rsidRPr="00D16196" w:rsidRDefault="000A5FFB" w:rsidP="00D16196">
                  <w:pPr>
                    <w:pStyle w:val="TableBodyText"/>
                  </w:pPr>
                  <w:r w:rsidRPr="00D16196">
                    <w:t>313</w:t>
                  </w:r>
                </w:p>
              </w:tc>
              <w:tc>
                <w:tcPr>
                  <w:tcW w:w="423" w:type="pct"/>
                </w:tcPr>
                <w:p w:rsidR="000A5FFB" w:rsidRPr="00D16196" w:rsidRDefault="005D4C52" w:rsidP="00D16196">
                  <w:pPr>
                    <w:pStyle w:val="TableBodyText"/>
                  </w:pPr>
                  <w:r w:rsidRPr="00D16196">
                    <w:t>351</w:t>
                  </w:r>
                </w:p>
              </w:tc>
              <w:tc>
                <w:tcPr>
                  <w:tcW w:w="422" w:type="pct"/>
                </w:tcPr>
                <w:p w:rsidR="000A5FFB" w:rsidRPr="00D16196" w:rsidRDefault="005D4C52" w:rsidP="00D16196">
                  <w:pPr>
                    <w:pStyle w:val="TableBodyText"/>
                  </w:pPr>
                  <w:r w:rsidRPr="00D16196">
                    <w:t>514</w:t>
                  </w:r>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AG2</w:t>
                  </w:r>
                  <w:proofErr w:type="spellEnd"/>
                  <w:r w:rsidRPr="00D16196">
                    <w:t xml:space="preserve"> Cost per child commencing family support services</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r w:rsidRPr="00D16196">
                    <w:t>13 433</w:t>
                  </w:r>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proofErr w:type="spellStart"/>
                  <w:r w:rsidRPr="00D16196">
                    <w:t>na</w:t>
                  </w:r>
                  <w:proofErr w:type="spellEnd"/>
                </w:p>
              </w:tc>
              <w:tc>
                <w:tcPr>
                  <w:tcW w:w="422" w:type="pct"/>
                </w:tcPr>
                <w:p w:rsidR="000A5FFB" w:rsidRPr="00D16196" w:rsidRDefault="00450A60" w:rsidP="00D16196">
                  <w:pPr>
                    <w:pStyle w:val="TableBodyText"/>
                  </w:pPr>
                  <w:proofErr w:type="spellStart"/>
                  <w:r w:rsidRPr="00D16196">
                    <w:t>n</w:t>
                  </w:r>
                  <w:r w:rsidR="000A5FFB" w:rsidRPr="00D16196">
                    <w:t>a</w:t>
                  </w:r>
                  <w:proofErr w:type="spellEnd"/>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AG3</w:t>
                  </w:r>
                  <w:proofErr w:type="spellEnd"/>
                  <w:r w:rsidRPr="00D16196">
                    <w:t xml:space="preserve"> Cost per child commencing intensive family support services</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pPr>
                  <w:r w:rsidRPr="00D16196">
                    <w:t>17 309</w:t>
                  </w:r>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r w:rsidRPr="00D16196">
                    <w:t>16 564</w:t>
                  </w:r>
                </w:p>
              </w:tc>
              <w:tc>
                <w:tcPr>
                  <w:tcW w:w="423" w:type="pct"/>
                </w:tcPr>
                <w:p w:rsidR="000A5FFB" w:rsidRPr="00D16196" w:rsidRDefault="000A5FFB" w:rsidP="00D16196">
                  <w:pPr>
                    <w:pStyle w:val="TableBodyText"/>
                  </w:pPr>
                  <w:r w:rsidRPr="00D16196">
                    <w:t>11 560</w:t>
                  </w:r>
                </w:p>
              </w:tc>
              <w:tc>
                <w:tcPr>
                  <w:tcW w:w="423" w:type="pct"/>
                  <w:shd w:val="clear" w:color="auto" w:fill="auto"/>
                </w:tcPr>
                <w:p w:rsidR="000A5FFB" w:rsidRPr="00D16196" w:rsidRDefault="00F04192" w:rsidP="00D16196">
                  <w:pPr>
                    <w:pStyle w:val="TableBodyText"/>
                  </w:pPr>
                  <w:r w:rsidRPr="00D16196">
                    <w:t>31 848</w:t>
                  </w:r>
                </w:p>
              </w:tc>
              <w:tc>
                <w:tcPr>
                  <w:tcW w:w="423" w:type="pct"/>
                </w:tcPr>
                <w:p w:rsidR="000A5FFB" w:rsidRPr="00D16196" w:rsidRDefault="000A5FFB" w:rsidP="00D16196">
                  <w:pPr>
                    <w:pStyle w:val="TableBodyText"/>
                  </w:pPr>
                  <w:r w:rsidRPr="00D16196">
                    <w:t>4 988</w:t>
                  </w:r>
                </w:p>
              </w:tc>
              <w:tc>
                <w:tcPr>
                  <w:tcW w:w="423" w:type="pct"/>
                </w:tcPr>
                <w:p w:rsidR="000A5FFB" w:rsidRPr="00D16196" w:rsidRDefault="005D4C52" w:rsidP="00D16196">
                  <w:pPr>
                    <w:pStyle w:val="TableBodyText"/>
                  </w:pPr>
                  <w:r w:rsidRPr="00D16196">
                    <w:t>3 983</w:t>
                  </w:r>
                </w:p>
              </w:tc>
              <w:tc>
                <w:tcPr>
                  <w:tcW w:w="422" w:type="pct"/>
                </w:tcPr>
                <w:p w:rsidR="000A5FFB" w:rsidRPr="00D16196" w:rsidRDefault="00450A60" w:rsidP="00D16196">
                  <w:pPr>
                    <w:pStyle w:val="TableBodyText"/>
                  </w:pPr>
                  <w:proofErr w:type="spellStart"/>
                  <w:r w:rsidRPr="00D16196">
                    <w:t>n</w:t>
                  </w:r>
                  <w:r w:rsidR="000A5FFB" w:rsidRPr="00D16196">
                    <w:t>a</w:t>
                  </w:r>
                  <w:proofErr w:type="spellEnd"/>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AG4</w:t>
                  </w:r>
                  <w:proofErr w:type="spellEnd"/>
                  <w:r w:rsidRPr="00D16196">
                    <w:t xml:space="preserve"> Cost per notification investigated</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pPr>
                  <w:r w:rsidRPr="00D16196">
                    <w:t>946</w:t>
                  </w:r>
                </w:p>
              </w:tc>
              <w:tc>
                <w:tcPr>
                  <w:tcW w:w="423" w:type="pct"/>
                </w:tcPr>
                <w:p w:rsidR="000A5FFB" w:rsidRPr="00D16196" w:rsidRDefault="000A5FFB" w:rsidP="00D16196">
                  <w:pPr>
                    <w:pStyle w:val="TableBodyText"/>
                  </w:pPr>
                  <w:r w:rsidRPr="00D16196">
                    <w:t>1 455</w:t>
                  </w:r>
                </w:p>
              </w:tc>
              <w:tc>
                <w:tcPr>
                  <w:tcW w:w="423" w:type="pct"/>
                </w:tcPr>
                <w:p w:rsidR="000A5FFB" w:rsidRPr="00D16196" w:rsidRDefault="000A5FFB" w:rsidP="00D16196">
                  <w:pPr>
                    <w:pStyle w:val="TableBodyText"/>
                  </w:pPr>
                  <w:r w:rsidRPr="00D16196">
                    <w:t>2 179</w:t>
                  </w:r>
                </w:p>
              </w:tc>
              <w:tc>
                <w:tcPr>
                  <w:tcW w:w="423" w:type="pct"/>
                </w:tcPr>
                <w:p w:rsidR="000A5FFB" w:rsidRPr="00D16196" w:rsidRDefault="000A5FFB" w:rsidP="00D16196">
                  <w:pPr>
                    <w:pStyle w:val="TableBodyText"/>
                  </w:pPr>
                  <w:r w:rsidRPr="00D16196">
                    <w:t>2 200</w:t>
                  </w:r>
                </w:p>
              </w:tc>
              <w:tc>
                <w:tcPr>
                  <w:tcW w:w="423" w:type="pct"/>
                  <w:shd w:val="clear" w:color="auto" w:fill="auto"/>
                </w:tcPr>
                <w:p w:rsidR="000A5FFB" w:rsidRPr="00D16196" w:rsidRDefault="00800EC7" w:rsidP="00D16196">
                  <w:pPr>
                    <w:pStyle w:val="TableBodyText"/>
                  </w:pPr>
                  <w:r w:rsidRPr="00D16196">
                    <w:t>1 903</w:t>
                  </w:r>
                </w:p>
              </w:tc>
              <w:tc>
                <w:tcPr>
                  <w:tcW w:w="423" w:type="pct"/>
                </w:tcPr>
                <w:p w:rsidR="000A5FFB" w:rsidRPr="00D16196" w:rsidRDefault="000A5FFB" w:rsidP="00D16196">
                  <w:pPr>
                    <w:pStyle w:val="TableBodyText"/>
                  </w:pPr>
                  <w:r w:rsidRPr="00D16196">
                    <w:t>1 756</w:t>
                  </w:r>
                </w:p>
              </w:tc>
              <w:tc>
                <w:tcPr>
                  <w:tcW w:w="423" w:type="pct"/>
                </w:tcPr>
                <w:p w:rsidR="000A5FFB" w:rsidRPr="00D16196" w:rsidRDefault="005D4C52" w:rsidP="00D16196">
                  <w:pPr>
                    <w:pStyle w:val="TableBodyText"/>
                  </w:pPr>
                  <w:r w:rsidRPr="00D16196">
                    <w:t>1 568</w:t>
                  </w:r>
                </w:p>
              </w:tc>
              <w:tc>
                <w:tcPr>
                  <w:tcW w:w="422" w:type="pct"/>
                </w:tcPr>
                <w:p w:rsidR="000A5FFB" w:rsidRPr="00D16196" w:rsidRDefault="00450A60" w:rsidP="00D16196">
                  <w:pPr>
                    <w:pStyle w:val="TableBodyText"/>
                  </w:pPr>
                  <w:r w:rsidRPr="00D16196">
                    <w:t>839</w:t>
                  </w:r>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AG5</w:t>
                  </w:r>
                  <w:proofErr w:type="spellEnd"/>
                  <w:r w:rsidRPr="00D16196">
                    <w:t xml:space="preserve"> Cost per child commencing protective intervention and coordination services who is not on an order</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rPr>
                      <w:strike/>
                    </w:rPr>
                  </w:pPr>
                  <w:r w:rsidRPr="00D16196">
                    <w:t>4 441</w:t>
                  </w:r>
                </w:p>
              </w:tc>
              <w:tc>
                <w:tcPr>
                  <w:tcW w:w="423" w:type="pct"/>
                </w:tcPr>
                <w:p w:rsidR="000A5FFB" w:rsidRPr="00D16196" w:rsidRDefault="000A5FFB" w:rsidP="00D16196">
                  <w:pPr>
                    <w:pStyle w:val="TableBodyText"/>
                  </w:pPr>
                  <w:r w:rsidRPr="00D16196">
                    <w:t>Na</w:t>
                  </w:r>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r w:rsidRPr="00D16196">
                    <w:t>6 500</w:t>
                  </w:r>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r w:rsidRPr="00D16196">
                    <w:t>5 594</w:t>
                  </w:r>
                </w:p>
              </w:tc>
              <w:tc>
                <w:tcPr>
                  <w:tcW w:w="423" w:type="pct"/>
                </w:tcPr>
                <w:p w:rsidR="000A5FFB" w:rsidRPr="00D16196" w:rsidRDefault="005D4C52" w:rsidP="00D16196">
                  <w:pPr>
                    <w:pStyle w:val="TableBodyText"/>
                  </w:pPr>
                  <w:r w:rsidRPr="00D16196">
                    <w:t>860</w:t>
                  </w:r>
                </w:p>
              </w:tc>
              <w:tc>
                <w:tcPr>
                  <w:tcW w:w="422" w:type="pct"/>
                </w:tcPr>
                <w:p w:rsidR="000A5FFB" w:rsidRPr="00D16196" w:rsidRDefault="000A5FFB" w:rsidP="00D16196">
                  <w:pPr>
                    <w:pStyle w:val="TableBodyText"/>
                  </w:pPr>
                  <w:proofErr w:type="spellStart"/>
                  <w:r w:rsidRPr="00D16196">
                    <w:t>na</w:t>
                  </w:r>
                  <w:proofErr w:type="spellEnd"/>
                </w:p>
              </w:tc>
            </w:tr>
            <w:tr w:rsidR="00F03EAF" w:rsidRPr="00D16196" w:rsidTr="00F03EAF">
              <w:tc>
                <w:tcPr>
                  <w:tcW w:w="1372" w:type="pct"/>
                  <w:shd w:val="clear" w:color="auto" w:fill="auto"/>
                  <w:vAlign w:val="bottom"/>
                </w:tcPr>
                <w:p w:rsidR="000A5FFB" w:rsidRPr="00D16196" w:rsidRDefault="000A5FFB" w:rsidP="00D16196">
                  <w:pPr>
                    <w:pStyle w:val="TableBodyText"/>
                    <w:jc w:val="left"/>
                  </w:pPr>
                  <w:proofErr w:type="spellStart"/>
                  <w:r w:rsidRPr="00D16196">
                    <w:t>AG6</w:t>
                  </w:r>
                  <w:proofErr w:type="spellEnd"/>
                  <w:r w:rsidRPr="00D16196">
                    <w:t xml:space="preserve"> Cost per order issued </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pPr>
                  <w:r w:rsidRPr="00D16196">
                    <w:t>15 976</w:t>
                  </w:r>
                </w:p>
              </w:tc>
              <w:tc>
                <w:tcPr>
                  <w:tcW w:w="423" w:type="pct"/>
                </w:tcPr>
                <w:p w:rsidR="000A5FFB" w:rsidRPr="00D16196" w:rsidRDefault="000A5FFB" w:rsidP="00D16196">
                  <w:pPr>
                    <w:pStyle w:val="TableBodyText"/>
                  </w:pPr>
                  <w:r w:rsidRPr="00D16196">
                    <w:t>2 317</w:t>
                  </w:r>
                </w:p>
              </w:tc>
              <w:tc>
                <w:tcPr>
                  <w:tcW w:w="423" w:type="pct"/>
                </w:tcPr>
                <w:p w:rsidR="000A5FFB" w:rsidRPr="00D16196" w:rsidRDefault="000A5FFB" w:rsidP="00D16196">
                  <w:pPr>
                    <w:pStyle w:val="TableBodyText"/>
                  </w:pPr>
                  <w:r w:rsidRPr="00D16196">
                    <w:t>7 639</w:t>
                  </w:r>
                </w:p>
              </w:tc>
              <w:tc>
                <w:tcPr>
                  <w:tcW w:w="423" w:type="pct"/>
                </w:tcPr>
                <w:p w:rsidR="000A5FFB" w:rsidRPr="00D16196" w:rsidRDefault="000A5FFB" w:rsidP="00D16196">
                  <w:pPr>
                    <w:pStyle w:val="TableBodyText"/>
                  </w:pPr>
                  <w:r w:rsidRPr="00D16196">
                    <w:t>6 986</w:t>
                  </w:r>
                </w:p>
              </w:tc>
              <w:tc>
                <w:tcPr>
                  <w:tcW w:w="423" w:type="pct"/>
                </w:tcPr>
                <w:p w:rsidR="000A5FFB" w:rsidRPr="00D16196" w:rsidRDefault="00800EC7" w:rsidP="00D16196">
                  <w:pPr>
                    <w:pStyle w:val="TableBodyText"/>
                  </w:pPr>
                  <w:r w:rsidRPr="00D16196">
                    <w:t>1 616</w:t>
                  </w:r>
                </w:p>
              </w:tc>
              <w:tc>
                <w:tcPr>
                  <w:tcW w:w="423" w:type="pct"/>
                </w:tcPr>
                <w:p w:rsidR="000A5FFB" w:rsidRPr="00D16196" w:rsidRDefault="000A5FFB" w:rsidP="00D16196">
                  <w:pPr>
                    <w:pStyle w:val="TableBodyText"/>
                  </w:pPr>
                  <w:r w:rsidRPr="00D16196">
                    <w:t>4 946</w:t>
                  </w:r>
                </w:p>
              </w:tc>
              <w:tc>
                <w:tcPr>
                  <w:tcW w:w="423" w:type="pct"/>
                </w:tcPr>
                <w:p w:rsidR="000A5FFB" w:rsidRPr="00D16196" w:rsidRDefault="005D4C52" w:rsidP="00D16196">
                  <w:pPr>
                    <w:pStyle w:val="TableBodyText"/>
                  </w:pPr>
                  <w:r w:rsidRPr="00D16196">
                    <w:t>2 705</w:t>
                  </w:r>
                </w:p>
              </w:tc>
              <w:tc>
                <w:tcPr>
                  <w:tcW w:w="422" w:type="pct"/>
                </w:tcPr>
                <w:p w:rsidR="000A5FFB" w:rsidRPr="00D16196" w:rsidRDefault="00450A60" w:rsidP="00D16196">
                  <w:pPr>
                    <w:pStyle w:val="TableBodyText"/>
                  </w:pPr>
                  <w:r w:rsidRPr="00D16196">
                    <w:t>1 369</w:t>
                  </w:r>
                </w:p>
              </w:tc>
            </w:tr>
            <w:tr w:rsidR="00F03EAF" w:rsidRPr="00D16196" w:rsidTr="00F03EAF">
              <w:trPr>
                <w:trHeight w:val="937"/>
              </w:trPr>
              <w:tc>
                <w:tcPr>
                  <w:tcW w:w="1372" w:type="pct"/>
                  <w:shd w:val="clear" w:color="auto" w:fill="auto"/>
                  <w:vAlign w:val="bottom"/>
                </w:tcPr>
                <w:p w:rsidR="000A5FFB" w:rsidRPr="00D16196" w:rsidRDefault="000A5FFB" w:rsidP="00D16196">
                  <w:pPr>
                    <w:pStyle w:val="TableBodyText"/>
                    <w:jc w:val="left"/>
                  </w:pPr>
                  <w:proofErr w:type="spellStart"/>
                  <w:r w:rsidRPr="00D16196">
                    <w:t>AG7</w:t>
                  </w:r>
                  <w:proofErr w:type="spellEnd"/>
                  <w:r w:rsidRPr="00D16196">
                    <w:t xml:space="preserve"> Cost per child commencing protective intervention and coordination services who is on an order</w:t>
                  </w:r>
                </w:p>
              </w:tc>
              <w:tc>
                <w:tcPr>
                  <w:tcW w:w="247" w:type="pct"/>
                  <w:shd w:val="clear" w:color="auto" w:fill="auto"/>
                </w:tcPr>
                <w:p w:rsidR="000A5FFB" w:rsidRPr="00D16196" w:rsidRDefault="000A5FFB" w:rsidP="00D16196">
                  <w:pPr>
                    <w:pStyle w:val="TableBodyText"/>
                    <w:jc w:val="center"/>
                  </w:pPr>
                  <w:r w:rsidRPr="00D16196">
                    <w:t>$</w:t>
                  </w:r>
                </w:p>
              </w:tc>
              <w:tc>
                <w:tcPr>
                  <w:tcW w:w="422" w:type="pct"/>
                  <w:shd w:val="clear" w:color="auto" w:fill="auto"/>
                </w:tcPr>
                <w:p w:rsidR="000A5FFB" w:rsidRPr="00D16196" w:rsidRDefault="000A5FFB" w:rsidP="00D16196">
                  <w:pPr>
                    <w:pStyle w:val="TableBodyText"/>
                    <w:rPr>
                      <w:strike/>
                    </w:rPr>
                  </w:pPr>
                  <w:r w:rsidRPr="00D16196">
                    <w:t>22 080</w:t>
                  </w:r>
                </w:p>
              </w:tc>
              <w:tc>
                <w:tcPr>
                  <w:tcW w:w="423" w:type="pct"/>
                </w:tcPr>
                <w:p w:rsidR="000A5FFB" w:rsidRPr="00D16196" w:rsidRDefault="000A5FFB" w:rsidP="00D16196">
                  <w:pPr>
                    <w:pStyle w:val="TableBodyText"/>
                  </w:pPr>
                  <w:r w:rsidRPr="00D16196">
                    <w:t>Na</w:t>
                  </w:r>
                </w:p>
              </w:tc>
              <w:tc>
                <w:tcPr>
                  <w:tcW w:w="423" w:type="pct"/>
                </w:tcPr>
                <w:p w:rsidR="000A5FFB" w:rsidRPr="00D16196" w:rsidRDefault="000A5FFB" w:rsidP="00D16196">
                  <w:pPr>
                    <w:pStyle w:val="TableBodyText"/>
                  </w:pPr>
                  <w:r w:rsidRPr="00D16196">
                    <w:t>17 398</w:t>
                  </w:r>
                </w:p>
              </w:tc>
              <w:tc>
                <w:tcPr>
                  <w:tcW w:w="423" w:type="pct"/>
                </w:tcPr>
                <w:p w:rsidR="000A5FFB" w:rsidRPr="00D16196" w:rsidRDefault="000A5FFB" w:rsidP="00D16196">
                  <w:pPr>
                    <w:pStyle w:val="TableBodyText"/>
                  </w:pPr>
                  <w:r w:rsidRPr="00D16196">
                    <w:t>10 109</w:t>
                  </w:r>
                </w:p>
              </w:tc>
              <w:tc>
                <w:tcPr>
                  <w:tcW w:w="423" w:type="pct"/>
                </w:tcPr>
                <w:p w:rsidR="000A5FFB" w:rsidRPr="00D16196" w:rsidRDefault="000A5FFB" w:rsidP="00D16196">
                  <w:pPr>
                    <w:pStyle w:val="TableBodyText"/>
                  </w:pPr>
                  <w:proofErr w:type="spellStart"/>
                  <w:r w:rsidRPr="00D16196">
                    <w:t>na</w:t>
                  </w:r>
                  <w:proofErr w:type="spellEnd"/>
                </w:p>
              </w:tc>
              <w:tc>
                <w:tcPr>
                  <w:tcW w:w="423" w:type="pct"/>
                </w:tcPr>
                <w:p w:rsidR="000A5FFB" w:rsidRPr="00D16196" w:rsidRDefault="000A5FFB" w:rsidP="00D16196">
                  <w:pPr>
                    <w:pStyle w:val="TableBodyText"/>
                  </w:pPr>
                  <w:r w:rsidRPr="00D16196">
                    <w:t>4 266</w:t>
                  </w:r>
                </w:p>
              </w:tc>
              <w:tc>
                <w:tcPr>
                  <w:tcW w:w="423" w:type="pct"/>
                </w:tcPr>
                <w:p w:rsidR="000A5FFB" w:rsidRPr="00D16196" w:rsidRDefault="005D4C52" w:rsidP="00D16196">
                  <w:pPr>
                    <w:pStyle w:val="TableBodyText"/>
                  </w:pPr>
                  <w:r w:rsidRPr="00D16196">
                    <w:t>7 523</w:t>
                  </w:r>
                </w:p>
              </w:tc>
              <w:tc>
                <w:tcPr>
                  <w:tcW w:w="422" w:type="pct"/>
                </w:tcPr>
                <w:p w:rsidR="000A5FFB" w:rsidRPr="00D16196" w:rsidRDefault="000A5FFB" w:rsidP="00D16196">
                  <w:pPr>
                    <w:pStyle w:val="TableBodyText"/>
                  </w:pPr>
                  <w:proofErr w:type="spellStart"/>
                  <w:r w:rsidRPr="00D16196">
                    <w:t>na</w:t>
                  </w:r>
                  <w:proofErr w:type="spellEnd"/>
                </w:p>
              </w:tc>
            </w:tr>
            <w:tr w:rsidR="00F03EAF" w:rsidRPr="00D16196" w:rsidTr="00F03EAF">
              <w:tc>
                <w:tcPr>
                  <w:tcW w:w="1372" w:type="pct"/>
                  <w:tcBorders>
                    <w:bottom w:val="single" w:sz="6" w:space="0" w:color="BFBFBF"/>
                  </w:tcBorders>
                  <w:shd w:val="clear" w:color="auto" w:fill="auto"/>
                  <w:vAlign w:val="bottom"/>
                </w:tcPr>
                <w:p w:rsidR="000A5FFB" w:rsidRPr="00D16196" w:rsidRDefault="000A5FFB" w:rsidP="00D16196">
                  <w:pPr>
                    <w:pStyle w:val="TableBodyText"/>
                    <w:jc w:val="left"/>
                  </w:pPr>
                  <w:proofErr w:type="spellStart"/>
                  <w:r w:rsidRPr="00D16196">
                    <w:t>AG8</w:t>
                  </w:r>
                  <w:proofErr w:type="spellEnd"/>
                  <w:r w:rsidRPr="00D16196">
                    <w:t xml:space="preserve"> Cost per placement night</w:t>
                  </w:r>
                </w:p>
              </w:tc>
              <w:tc>
                <w:tcPr>
                  <w:tcW w:w="247" w:type="pct"/>
                  <w:tcBorders>
                    <w:bottom w:val="single" w:sz="6" w:space="0" w:color="BFBFBF"/>
                  </w:tcBorders>
                  <w:shd w:val="clear" w:color="auto" w:fill="auto"/>
                </w:tcPr>
                <w:p w:rsidR="000A5FFB" w:rsidRPr="00D16196" w:rsidRDefault="000A5FFB" w:rsidP="00D16196">
                  <w:pPr>
                    <w:pStyle w:val="TableBodyText"/>
                    <w:jc w:val="center"/>
                  </w:pPr>
                  <w:r w:rsidRPr="00D16196">
                    <w:t>$</w:t>
                  </w:r>
                </w:p>
              </w:tc>
              <w:tc>
                <w:tcPr>
                  <w:tcW w:w="422" w:type="pct"/>
                  <w:tcBorders>
                    <w:bottom w:val="single" w:sz="6" w:space="0" w:color="BFBFBF"/>
                  </w:tcBorders>
                </w:tcPr>
                <w:p w:rsidR="000A5FFB" w:rsidRPr="00D16196" w:rsidRDefault="000A5FFB" w:rsidP="00D16196">
                  <w:pPr>
                    <w:pStyle w:val="TableBodyText"/>
                  </w:pPr>
                  <w:r w:rsidRPr="00D16196">
                    <w:t>143</w:t>
                  </w:r>
                </w:p>
              </w:tc>
              <w:tc>
                <w:tcPr>
                  <w:tcW w:w="423" w:type="pct"/>
                  <w:tcBorders>
                    <w:bottom w:val="single" w:sz="6" w:space="0" w:color="BFBFBF"/>
                  </w:tcBorders>
                </w:tcPr>
                <w:p w:rsidR="000A5FFB" w:rsidRPr="00D16196" w:rsidRDefault="000A5FFB" w:rsidP="00D16196">
                  <w:pPr>
                    <w:pStyle w:val="TableBodyText"/>
                  </w:pPr>
                  <w:r w:rsidRPr="00D16196">
                    <w:t>151</w:t>
                  </w:r>
                </w:p>
              </w:tc>
              <w:tc>
                <w:tcPr>
                  <w:tcW w:w="423" w:type="pct"/>
                  <w:tcBorders>
                    <w:bottom w:val="single" w:sz="6" w:space="0" w:color="BFBFBF"/>
                  </w:tcBorders>
                </w:tcPr>
                <w:p w:rsidR="000A5FFB" w:rsidRPr="00D16196" w:rsidRDefault="000A5FFB" w:rsidP="00D16196">
                  <w:pPr>
                    <w:pStyle w:val="TableBodyText"/>
                  </w:pPr>
                  <w:r w:rsidRPr="00D16196">
                    <w:t>146</w:t>
                  </w:r>
                </w:p>
              </w:tc>
              <w:tc>
                <w:tcPr>
                  <w:tcW w:w="423" w:type="pct"/>
                  <w:tcBorders>
                    <w:bottom w:val="single" w:sz="6" w:space="0" w:color="BFBFBF"/>
                  </w:tcBorders>
                </w:tcPr>
                <w:p w:rsidR="000A5FFB" w:rsidRPr="00D16196" w:rsidRDefault="000A5FFB" w:rsidP="00D16196">
                  <w:pPr>
                    <w:pStyle w:val="TableBodyText"/>
                  </w:pPr>
                  <w:r w:rsidRPr="00D16196">
                    <w:t>176</w:t>
                  </w:r>
                </w:p>
              </w:tc>
              <w:tc>
                <w:tcPr>
                  <w:tcW w:w="423" w:type="pct"/>
                  <w:tcBorders>
                    <w:bottom w:val="single" w:sz="6" w:space="0" w:color="BFBFBF"/>
                  </w:tcBorders>
                </w:tcPr>
                <w:p w:rsidR="000A5FFB" w:rsidRPr="00D16196" w:rsidRDefault="00800EC7" w:rsidP="00D16196">
                  <w:pPr>
                    <w:pStyle w:val="TableBodyText"/>
                  </w:pPr>
                  <w:r w:rsidRPr="00D16196">
                    <w:t>231</w:t>
                  </w:r>
                </w:p>
              </w:tc>
              <w:tc>
                <w:tcPr>
                  <w:tcW w:w="423" w:type="pct"/>
                  <w:tcBorders>
                    <w:bottom w:val="single" w:sz="6" w:space="0" w:color="BFBFBF"/>
                  </w:tcBorders>
                </w:tcPr>
                <w:p w:rsidR="000A5FFB" w:rsidRPr="00D16196" w:rsidRDefault="000A5FFB" w:rsidP="00D16196">
                  <w:pPr>
                    <w:pStyle w:val="TableBodyText"/>
                  </w:pPr>
                  <w:r w:rsidRPr="00D16196">
                    <w:t>123</w:t>
                  </w:r>
                </w:p>
              </w:tc>
              <w:tc>
                <w:tcPr>
                  <w:tcW w:w="423" w:type="pct"/>
                  <w:tcBorders>
                    <w:bottom w:val="single" w:sz="6" w:space="0" w:color="BFBFBF"/>
                  </w:tcBorders>
                </w:tcPr>
                <w:p w:rsidR="000A5FFB" w:rsidRPr="00D16196" w:rsidRDefault="005D4C52" w:rsidP="00D16196">
                  <w:pPr>
                    <w:pStyle w:val="TableBodyText"/>
                  </w:pPr>
                  <w:r w:rsidRPr="00D16196">
                    <w:t>151</w:t>
                  </w:r>
                </w:p>
              </w:tc>
              <w:tc>
                <w:tcPr>
                  <w:tcW w:w="422" w:type="pct"/>
                  <w:tcBorders>
                    <w:bottom w:val="single" w:sz="6" w:space="0" w:color="BFBFBF"/>
                  </w:tcBorders>
                </w:tcPr>
                <w:p w:rsidR="000A5FFB" w:rsidRPr="00D16196" w:rsidRDefault="00450A60" w:rsidP="00D16196">
                  <w:pPr>
                    <w:pStyle w:val="TableBodyText"/>
                  </w:pPr>
                  <w:r w:rsidRPr="00D16196">
                    <w:t>287</w:t>
                  </w:r>
                </w:p>
              </w:tc>
            </w:tr>
          </w:tbl>
          <w:p w:rsidR="00384FF7" w:rsidRPr="00D16196" w:rsidRDefault="00384FF7" w:rsidP="00D16196">
            <w:pPr>
              <w:pStyle w:val="Box"/>
            </w:pPr>
          </w:p>
        </w:tc>
      </w:tr>
      <w:tr w:rsidR="00384FF7" w:rsidRPr="00D16196" w:rsidTr="00DC29F0">
        <w:trPr>
          <w:cantSplit/>
        </w:trPr>
        <w:tc>
          <w:tcPr>
            <w:tcW w:w="8771" w:type="dxa"/>
            <w:tcBorders>
              <w:top w:val="nil"/>
              <w:left w:val="nil"/>
              <w:bottom w:val="nil"/>
              <w:right w:val="nil"/>
            </w:tcBorders>
            <w:shd w:val="clear" w:color="auto" w:fill="auto"/>
          </w:tcPr>
          <w:p w:rsidR="00384FF7" w:rsidRPr="00D16196" w:rsidRDefault="00384FF7" w:rsidP="00154F5E">
            <w:pPr>
              <w:pStyle w:val="Note"/>
              <w:rPr>
                <w:shd w:val="clear" w:color="auto" w:fill="D0E6AA" w:themeFill="accent3" w:themeFillTint="99"/>
              </w:rPr>
            </w:pPr>
            <w:r w:rsidRPr="00D16196">
              <w:t>AG = Activity Group (box</w:t>
            </w:r>
            <w:r w:rsidR="00560432" w:rsidRPr="00D16196">
              <w:t xml:space="preserve"> 15.1</w:t>
            </w:r>
            <w:r w:rsidR="00154F5E">
              <w:t>8</w:t>
            </w:r>
            <w:r w:rsidRPr="00D16196">
              <w:t xml:space="preserve">). </w:t>
            </w:r>
            <w:r w:rsidRPr="00D16196">
              <w:rPr>
                <w:rStyle w:val="NoteLabel"/>
              </w:rPr>
              <w:t>a</w:t>
            </w:r>
            <w:r w:rsidRPr="00D16196">
              <w:t xml:space="preserve"> Data are rounded to the nearest whole number. </w:t>
            </w:r>
            <w:proofErr w:type="spellStart"/>
            <w:r w:rsidRPr="00D16196">
              <w:rPr>
                <w:b/>
              </w:rPr>
              <w:t>na</w:t>
            </w:r>
            <w:proofErr w:type="spellEnd"/>
            <w:r w:rsidRPr="00D16196">
              <w:t xml:space="preserve"> Not available.</w:t>
            </w:r>
          </w:p>
        </w:tc>
      </w:tr>
      <w:tr w:rsidR="00384FF7" w:rsidRPr="00D16196" w:rsidTr="00DC29F0">
        <w:trPr>
          <w:cantSplit/>
        </w:trPr>
        <w:tc>
          <w:tcPr>
            <w:tcW w:w="8771" w:type="dxa"/>
            <w:tcBorders>
              <w:top w:val="nil"/>
              <w:left w:val="nil"/>
              <w:bottom w:val="nil"/>
              <w:right w:val="nil"/>
            </w:tcBorders>
            <w:shd w:val="clear" w:color="auto" w:fill="auto"/>
          </w:tcPr>
          <w:p w:rsidR="00384FF7" w:rsidRPr="00D16196" w:rsidRDefault="00384FF7" w:rsidP="00D16196">
            <w:pPr>
              <w:pStyle w:val="Source"/>
            </w:pPr>
            <w:r w:rsidRPr="00D16196">
              <w:rPr>
                <w:i/>
              </w:rPr>
              <w:t>Source</w:t>
            </w:r>
            <w:r w:rsidRPr="00D16196">
              <w:t>: State and Territory governments (unpublished).</w:t>
            </w:r>
          </w:p>
        </w:tc>
      </w:tr>
      <w:tr w:rsidR="00384FF7" w:rsidRPr="00D16196" w:rsidTr="00DC29F0">
        <w:trPr>
          <w:cantSplit/>
        </w:trPr>
        <w:tc>
          <w:tcPr>
            <w:tcW w:w="8771" w:type="dxa"/>
            <w:tcBorders>
              <w:top w:val="nil"/>
              <w:left w:val="nil"/>
              <w:bottom w:val="single" w:sz="6" w:space="0" w:color="78A22F" w:themeColor="accent1"/>
              <w:right w:val="nil"/>
            </w:tcBorders>
            <w:shd w:val="clear" w:color="auto" w:fill="auto"/>
          </w:tcPr>
          <w:p w:rsidR="00384FF7" w:rsidRPr="00D16196" w:rsidRDefault="00384FF7" w:rsidP="00D16196">
            <w:pPr>
              <w:pStyle w:val="Box"/>
              <w:spacing w:before="0" w:line="120" w:lineRule="exact"/>
            </w:pPr>
          </w:p>
        </w:tc>
      </w:tr>
      <w:tr w:rsidR="00384FF7" w:rsidRPr="00D16196" w:rsidTr="00DC29F0">
        <w:tc>
          <w:tcPr>
            <w:tcW w:w="8771" w:type="dxa"/>
            <w:tcBorders>
              <w:top w:val="single" w:sz="6" w:space="0" w:color="78A22F" w:themeColor="accent1"/>
              <w:left w:val="nil"/>
              <w:bottom w:val="nil"/>
              <w:right w:val="nil"/>
            </w:tcBorders>
          </w:tcPr>
          <w:p w:rsidR="00384FF7" w:rsidRPr="00D16196" w:rsidRDefault="00384FF7" w:rsidP="00D16196">
            <w:pPr>
              <w:pStyle w:val="BoxSpaceBelow"/>
            </w:pPr>
          </w:p>
        </w:tc>
      </w:tr>
    </w:tbl>
    <w:p w:rsidR="006842D6" w:rsidRPr="00D16196" w:rsidRDefault="006842D6" w:rsidP="00D16196">
      <w:pPr>
        <w:pStyle w:val="Heading3"/>
      </w:pPr>
      <w:r w:rsidRPr="00D16196">
        <w:t>Outcomes</w:t>
      </w:r>
    </w:p>
    <w:p w:rsidR="001F2D2A" w:rsidRPr="00D16196" w:rsidRDefault="00730369" w:rsidP="00D16196">
      <w:pPr>
        <w:pStyle w:val="BodyText"/>
        <w:widowControl w:val="0"/>
      </w:pPr>
      <w:r w:rsidRPr="00D16196">
        <w:t xml:space="preserve">Outcomes </w:t>
      </w:r>
      <w:r w:rsidR="001F2D2A" w:rsidRPr="00D16196">
        <w:t>are the impact of services on the status of an individual or group (while outputs are the services delivered) (see chapter 1, section 1.5).</w:t>
      </w:r>
    </w:p>
    <w:p w:rsidR="006842D6" w:rsidRPr="00D16196" w:rsidRDefault="006842D6" w:rsidP="00D16196">
      <w:pPr>
        <w:pStyle w:val="Heading4"/>
      </w:pPr>
      <w:r w:rsidRPr="00D16196">
        <w:t>Improved safety — substantiation rate after decision not to substantiate</w:t>
      </w:r>
    </w:p>
    <w:p w:rsidR="006842D6" w:rsidRPr="00D16196" w:rsidRDefault="006842D6" w:rsidP="00D16196">
      <w:pPr>
        <w:pStyle w:val="BodyText"/>
        <w:widowControl w:val="0"/>
      </w:pPr>
      <w:r w:rsidRPr="00D16196">
        <w:t>‘</w:t>
      </w:r>
      <w:r w:rsidR="000D3EFA" w:rsidRPr="00D16196">
        <w:t>Improved safety</w:t>
      </w:r>
      <w:r w:rsidR="00400A06" w:rsidRPr="00D16196">
        <w:t xml:space="preserve">’ </w:t>
      </w:r>
      <w:r w:rsidR="004B40A1" w:rsidRPr="00D16196">
        <w:t xml:space="preserve">is an indicator of governments’ objective to reduce the risk of </w:t>
      </w:r>
      <w:r w:rsidR="001B6D13" w:rsidRPr="00D16196">
        <w:t>abuse or neglect</w:t>
      </w:r>
      <w:r w:rsidR="004B40A1" w:rsidRPr="00D16196">
        <w:t xml:space="preserve"> to children by appropriately assessing notifications of possible child protection incidents</w:t>
      </w:r>
      <w:r w:rsidRPr="00D16196">
        <w:t xml:space="preserve"> (box</w:t>
      </w:r>
      <w:r w:rsidR="00AF31B1" w:rsidRPr="00D16196">
        <w:t> </w:t>
      </w:r>
      <w:r w:rsidR="00560432" w:rsidRPr="00D16196">
        <w:t>15.</w:t>
      </w:r>
      <w:r w:rsidR="00203E9E" w:rsidRPr="00D16196">
        <w:t>19</w:t>
      </w:r>
      <w:r w:rsidR="00AE3E35" w:rsidRPr="00D16196">
        <w:t>).</w:t>
      </w:r>
    </w:p>
    <w:p w:rsidR="007F1264" w:rsidRPr="00D16196" w:rsidRDefault="007F1264"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1264" w:rsidRPr="00D16196" w:rsidTr="00D87EFD">
        <w:tc>
          <w:tcPr>
            <w:tcW w:w="8771" w:type="dxa"/>
            <w:tcBorders>
              <w:top w:val="single" w:sz="6" w:space="0" w:color="78A22F"/>
              <w:left w:val="nil"/>
              <w:bottom w:val="nil"/>
              <w:right w:val="nil"/>
            </w:tcBorders>
            <w:shd w:val="clear" w:color="auto" w:fill="F2F2F2"/>
          </w:tcPr>
          <w:p w:rsidR="007F1264" w:rsidRPr="00D16196" w:rsidRDefault="007F1264" w:rsidP="00D16196">
            <w:pPr>
              <w:pStyle w:val="BoxTitle"/>
            </w:pPr>
            <w:r w:rsidRPr="00D16196">
              <w:rPr>
                <w:b w:val="0"/>
              </w:rPr>
              <w:t>Box</w:t>
            </w:r>
            <w:r w:rsidR="00203E9E" w:rsidRPr="00D16196">
              <w:rPr>
                <w:b w:val="0"/>
              </w:rPr>
              <w:t xml:space="preserve"> 15.19</w:t>
            </w:r>
            <w:r w:rsidRPr="00D16196">
              <w:tab/>
              <w:t>Improved safety</w:t>
            </w:r>
          </w:p>
        </w:tc>
      </w:tr>
      <w:tr w:rsidR="007F1264" w:rsidRPr="00D16196" w:rsidTr="00D87EFD">
        <w:trPr>
          <w:cantSplit/>
        </w:trPr>
        <w:tc>
          <w:tcPr>
            <w:tcW w:w="8771" w:type="dxa"/>
            <w:tcBorders>
              <w:top w:val="nil"/>
              <w:left w:val="nil"/>
              <w:bottom w:val="nil"/>
              <w:right w:val="nil"/>
            </w:tcBorders>
            <w:shd w:val="clear" w:color="auto" w:fill="F2F2F2"/>
          </w:tcPr>
          <w:p w:rsidR="007F1264" w:rsidRPr="00D16196" w:rsidRDefault="007F1264" w:rsidP="00D16196">
            <w:pPr>
              <w:pStyle w:val="Box"/>
            </w:pPr>
            <w:r w:rsidRPr="00D16196">
              <w:t>‘Improved safe</w:t>
            </w:r>
            <w:r w:rsidR="00203E9E" w:rsidRPr="00D16196">
              <w:t>ty’ is defined by two measures:</w:t>
            </w:r>
          </w:p>
          <w:p w:rsidR="007F1264" w:rsidRPr="00D16196" w:rsidRDefault="007F1264" w:rsidP="00D16196">
            <w:pPr>
              <w:pStyle w:val="BoxListBullet"/>
            </w:pPr>
            <w:r w:rsidRPr="00D16196">
              <w:t>substantiation rate after a decision not to substantiate, defined as the proportion of children who were the subject of an investigation in the previous financial year that led to a decision not to substantiate, and who were later the subject of a substantiation within 3 or 12 months of the initial decision not to substantiate. The year reported relates to the year of the initial decision not to substantiate</w:t>
            </w:r>
          </w:p>
          <w:p w:rsidR="007F1264" w:rsidRPr="00D16196" w:rsidRDefault="007F1264" w:rsidP="00D16196">
            <w:pPr>
              <w:pStyle w:val="BoxListBullet"/>
            </w:pPr>
            <w:r w:rsidRPr="00D16196">
              <w:t>substantiation rate after a prior substantiation, defined as the proportion of children who were the subject of a substantiation in the previous financial year, who were subsequently the subject of a further substantiation within the following 3 or 12 months. The year reported relates to the year of the original substantiation.</w:t>
            </w:r>
          </w:p>
          <w:p w:rsidR="007F1264" w:rsidRPr="00D16196" w:rsidRDefault="007F1264" w:rsidP="00D16196">
            <w:pPr>
              <w:pStyle w:val="Box"/>
            </w:pPr>
            <w:r w:rsidRPr="00D16196">
              <w:t xml:space="preserve">A low or decreasing rate for these measures is desirable. However, reported results can be affected by the finalisation of investigations, factors beyond the control of child protection services, or a change in circumstances after the initial decision not to substantiate was made. A demonstrable risk of </w:t>
            </w:r>
            <w:r w:rsidR="001B6D13" w:rsidRPr="00D16196">
              <w:t>abuse or neglect</w:t>
            </w:r>
            <w:r w:rsidRPr="00D16196">
              <w:t xml:space="preserve"> might not have existed in the first instance. In addition, this indicator does not distinguish between subsequent substantiations which are related to the initial notification (that is, the same source of risk of </w:t>
            </w:r>
            <w:r w:rsidR="001B6D13" w:rsidRPr="00D16196">
              <w:t>abuse or neglect</w:t>
            </w:r>
            <w:r w:rsidRPr="00D16196">
              <w:t xml:space="preserve">) and those which are unrelated to the initial notification (that is, a different source of </w:t>
            </w:r>
            <w:r w:rsidR="00633772" w:rsidRPr="00D16196">
              <w:t>risk of abuse or neglect</w:t>
            </w:r>
            <w:r w:rsidRPr="00D16196">
              <w:t xml:space="preserve">). This indicator partly reveals the extent to which an investigation has not succeeded in identifying the risk of </w:t>
            </w:r>
            <w:r w:rsidR="00633772" w:rsidRPr="00D16196">
              <w:t xml:space="preserve">abuse or neglect </w:t>
            </w:r>
            <w:r w:rsidRPr="00D16196">
              <w:t xml:space="preserve">to a child who is subsequently the subject of </w:t>
            </w:r>
            <w:r w:rsidR="00633772" w:rsidRPr="00D16196">
              <w:t>a substantiation</w:t>
            </w:r>
            <w:r w:rsidRPr="00D16196">
              <w:t xml:space="preserve">. It also provides a measure of the adequacy of interventions offered to children to protect them from further </w:t>
            </w:r>
            <w:r w:rsidR="00633772" w:rsidRPr="00D16196">
              <w:t>abuse or neglect</w:t>
            </w:r>
            <w:r w:rsidRPr="00D16196">
              <w:t>. This indicator should be considered with other outcome indicators.</w:t>
            </w:r>
          </w:p>
          <w:p w:rsidR="00AD7C90" w:rsidRPr="00D16196" w:rsidRDefault="00AD7C90" w:rsidP="00D16196">
            <w:pPr>
              <w:pStyle w:val="Box"/>
            </w:pPr>
            <w:r w:rsidRPr="00D16196">
              <w:t>Comparability issues affecting substantiation</w:t>
            </w:r>
            <w:r w:rsidR="005F669F" w:rsidRPr="00D16196">
              <w:t>s</w:t>
            </w:r>
            <w:r w:rsidRPr="00D16196">
              <w:t xml:space="preserve"> data</w:t>
            </w:r>
            <w:r w:rsidR="00BD7094" w:rsidRPr="00D16196">
              <w:t xml:space="preserve">, including varying thresholds for recording a substantiation </w:t>
            </w:r>
            <w:r w:rsidR="004A551E" w:rsidRPr="00D16196">
              <w:t>across jurisdictions</w:t>
            </w:r>
            <w:r w:rsidR="00BD7094" w:rsidRPr="00D16196">
              <w:t xml:space="preserve">, </w:t>
            </w:r>
            <w:r w:rsidRPr="00D16196">
              <w:t xml:space="preserve">should also be </w:t>
            </w:r>
            <w:r w:rsidR="00BD7094" w:rsidRPr="00D16196">
              <w:t xml:space="preserve">considered </w:t>
            </w:r>
            <w:r w:rsidRPr="00D16196">
              <w:t>when interpreting data for this indicator (see section 15.5).</w:t>
            </w:r>
          </w:p>
          <w:p w:rsidR="007F1264" w:rsidRPr="00D16196" w:rsidRDefault="007F1264" w:rsidP="00D16196">
            <w:pPr>
              <w:pStyle w:val="Box"/>
            </w:pPr>
            <w:r w:rsidRPr="00D16196">
              <w:t>Data reported for these measures are:</w:t>
            </w:r>
          </w:p>
          <w:p w:rsidR="007F1264" w:rsidRPr="00D16196" w:rsidRDefault="007F1264" w:rsidP="00D16196">
            <w:pPr>
              <w:pStyle w:val="BoxListBullet"/>
            </w:pPr>
            <w:r w:rsidRPr="00D16196">
              <w:t>comparable (subject to caveats) within jurisdictions over time but are not comparable across jurisdictions (see caveats in attachment tables for specific jurisdictions)</w:t>
            </w:r>
          </w:p>
          <w:p w:rsidR="007F1264" w:rsidRPr="00D16196" w:rsidRDefault="007F1264" w:rsidP="00D16196">
            <w:pPr>
              <w:pStyle w:val="BoxListBullet"/>
            </w:pPr>
            <w:r w:rsidRPr="00D16196">
              <w:t>complete for the current reporting period. All required 201</w:t>
            </w:r>
            <w:r w:rsidR="00466D07" w:rsidRPr="00D16196">
              <w:t>3</w:t>
            </w:r>
            <w:r w:rsidRPr="00D16196">
              <w:t>-1</w:t>
            </w:r>
            <w:r w:rsidR="00466D07" w:rsidRPr="00D16196">
              <w:t>4</w:t>
            </w:r>
            <w:r w:rsidRPr="00D16196">
              <w:t xml:space="preserve"> data are available for all jurisdictions.</w:t>
            </w:r>
          </w:p>
          <w:p w:rsidR="007F1264" w:rsidRPr="00D16196" w:rsidRDefault="007F1264" w:rsidP="00D16196">
            <w:pPr>
              <w:pStyle w:val="Box"/>
            </w:pPr>
            <w:r w:rsidRPr="00D16196">
              <w:t xml:space="preserve">Data quality information for this indicator is at </w:t>
            </w:r>
            <w:proofErr w:type="spellStart"/>
            <w:r w:rsidRPr="00D16196">
              <w:t>w</w:t>
            </w:r>
            <w:r w:rsidR="00EE00CE" w:rsidRPr="00D16196">
              <w:t>ww.pc.gov.au</w:t>
            </w:r>
            <w:proofErr w:type="spellEnd"/>
            <w:r w:rsidRPr="00D16196">
              <w:t>/</w:t>
            </w:r>
            <w:proofErr w:type="spellStart"/>
            <w:r w:rsidRPr="00D16196">
              <w:t>rogs</w:t>
            </w:r>
            <w:proofErr w:type="spellEnd"/>
            <w:r w:rsidRPr="00D16196">
              <w:t>/201</w:t>
            </w:r>
            <w:r w:rsidR="00466D07" w:rsidRPr="00D16196">
              <w:t>6</w:t>
            </w:r>
            <w:r w:rsidRPr="00D16196">
              <w:t>.</w:t>
            </w:r>
          </w:p>
        </w:tc>
      </w:tr>
      <w:tr w:rsidR="007F1264" w:rsidRPr="00D16196" w:rsidTr="00D87EFD">
        <w:trPr>
          <w:cantSplit/>
        </w:trPr>
        <w:tc>
          <w:tcPr>
            <w:tcW w:w="8771" w:type="dxa"/>
            <w:tcBorders>
              <w:top w:val="nil"/>
              <w:left w:val="nil"/>
              <w:bottom w:val="single" w:sz="6" w:space="0" w:color="78A22F"/>
              <w:right w:val="nil"/>
            </w:tcBorders>
            <w:shd w:val="clear" w:color="auto" w:fill="F2F2F2"/>
          </w:tcPr>
          <w:p w:rsidR="007F1264" w:rsidRPr="00D16196" w:rsidRDefault="007F1264" w:rsidP="00D16196">
            <w:pPr>
              <w:pStyle w:val="Box"/>
              <w:spacing w:before="0" w:line="120" w:lineRule="exact"/>
            </w:pPr>
          </w:p>
        </w:tc>
      </w:tr>
      <w:tr w:rsidR="007F1264" w:rsidRPr="00D16196" w:rsidTr="00D87EFD">
        <w:tc>
          <w:tcPr>
            <w:tcW w:w="8771" w:type="dxa"/>
            <w:tcBorders>
              <w:top w:val="single" w:sz="6" w:space="0" w:color="78A22F"/>
              <w:left w:val="nil"/>
              <w:bottom w:val="nil"/>
              <w:right w:val="nil"/>
            </w:tcBorders>
          </w:tcPr>
          <w:p w:rsidR="007F1264" w:rsidRPr="00D16196" w:rsidRDefault="007F1264" w:rsidP="00D16196">
            <w:pPr>
              <w:pStyle w:val="BoxSpaceBelow"/>
            </w:pPr>
          </w:p>
        </w:tc>
      </w:tr>
    </w:tbl>
    <w:p w:rsidR="0012127E" w:rsidRPr="00D16196" w:rsidRDefault="005D6064" w:rsidP="00D16196">
      <w:pPr>
        <w:pStyle w:val="BodyText"/>
      </w:pPr>
      <w:r w:rsidRPr="00D16196">
        <w:t xml:space="preserve">The proportion of </w:t>
      </w:r>
      <w:r w:rsidR="00523824" w:rsidRPr="00D16196">
        <w:t xml:space="preserve">substantiations that occurred within 3 and 12 months of a decision not to substantiate are provided in figure </w:t>
      </w:r>
      <w:r w:rsidR="00434CDF" w:rsidRPr="00D16196">
        <w:t>15.14</w:t>
      </w:r>
      <w:r w:rsidR="00523824" w:rsidRPr="00D16196">
        <w:t>.</w:t>
      </w:r>
      <w:r w:rsidR="0012127E" w:rsidRPr="00D16196">
        <w:t xml:space="preserve"> Rates for the current year were under 20 per cent in all jurisdictions.</w:t>
      </w:r>
    </w:p>
    <w:p w:rsidR="005D6064" w:rsidRPr="00D16196" w:rsidRDefault="00523824" w:rsidP="00D16196">
      <w:pPr>
        <w:pStyle w:val="BodyText"/>
      </w:pPr>
      <w:r w:rsidRPr="00D16196">
        <w:t xml:space="preserve">The proportion of substantiations that occurred within 3 and 12 months of a prior substantiation are provided in figure </w:t>
      </w:r>
      <w:r w:rsidR="00434CDF" w:rsidRPr="00D16196">
        <w:t>15.15</w:t>
      </w:r>
      <w:r w:rsidRPr="00D16196">
        <w:t xml:space="preserve">. </w:t>
      </w:r>
      <w:r w:rsidR="0012127E" w:rsidRPr="00D16196">
        <w:t xml:space="preserve">Rates for the current year were under 25 per cent in all </w:t>
      </w:r>
      <w:r w:rsidR="00E82ACB" w:rsidRPr="00D16196">
        <w:t>jurisdictions</w:t>
      </w:r>
      <w:r w:rsidR="0012127E" w:rsidRPr="00D16196">
        <w:t>.</w:t>
      </w:r>
    </w:p>
    <w:p w:rsidR="0010799F" w:rsidRPr="00D16196" w:rsidRDefault="0010799F" w:rsidP="00D16196">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10799F" w:rsidRPr="00D16196" w:rsidTr="00C321E6">
        <w:tc>
          <w:tcPr>
            <w:tcW w:w="8771" w:type="dxa"/>
            <w:tcBorders>
              <w:top w:val="single" w:sz="6" w:space="0" w:color="78A22F"/>
              <w:left w:val="nil"/>
              <w:bottom w:val="nil"/>
              <w:right w:val="nil"/>
            </w:tcBorders>
            <w:shd w:val="clear" w:color="auto" w:fill="auto"/>
          </w:tcPr>
          <w:p w:rsidR="0010799F" w:rsidRPr="00D16196" w:rsidRDefault="0010799F" w:rsidP="00D16196">
            <w:pPr>
              <w:pStyle w:val="FigureTitle"/>
            </w:pPr>
            <w:r w:rsidRPr="00D16196">
              <w:rPr>
                <w:b w:val="0"/>
              </w:rPr>
              <w:t xml:space="preserve">Figure </w:t>
            </w:r>
            <w:bookmarkStart w:id="44" w:name="OLE_LINK47"/>
            <w:r w:rsidR="009E5608" w:rsidRPr="00D16196">
              <w:rPr>
                <w:b w:val="0"/>
              </w:rPr>
              <w:t>15.</w:t>
            </w:r>
            <w:bookmarkEnd w:id="44"/>
            <w:r w:rsidR="00850EE7" w:rsidRPr="00D16196">
              <w:rPr>
                <w:b w:val="0"/>
              </w:rPr>
              <w:t>1</w:t>
            </w:r>
            <w:r w:rsidR="00434CDF" w:rsidRPr="00D16196">
              <w:rPr>
                <w:b w:val="0"/>
              </w:rPr>
              <w:t>4</w:t>
            </w:r>
            <w:r w:rsidRPr="00D16196">
              <w:tab/>
              <w:t>Improved safety — substantiation rate within 3 and/or 12 months after a decision not to substantiate</w:t>
            </w:r>
            <w:r w:rsidRPr="00D16196">
              <w:rPr>
                <w:rStyle w:val="NoteLabel"/>
                <w:b/>
              </w:rPr>
              <w:t>a</w:t>
            </w:r>
          </w:p>
        </w:tc>
      </w:tr>
      <w:tr w:rsidR="0010799F" w:rsidRPr="00D16196" w:rsidTr="00DC29F0">
        <w:tblPrEx>
          <w:tblCellMar>
            <w:left w:w="108" w:type="dxa"/>
            <w:right w:w="108" w:type="dxa"/>
          </w:tblCellMar>
        </w:tblPrEx>
        <w:tc>
          <w:tcPr>
            <w:tcW w:w="8771" w:type="dxa"/>
            <w:tcBorders>
              <w:top w:val="nil"/>
              <w:left w:val="nil"/>
              <w:bottom w:val="nil"/>
              <w:right w:val="nil"/>
            </w:tcBorders>
            <w:shd w:val="clear" w:color="auto" w:fill="auto"/>
          </w:tcPr>
          <w:p w:rsidR="0010799F" w:rsidRPr="00D16196" w:rsidRDefault="00DC29F0" w:rsidP="00D16196">
            <w:pPr>
              <w:pStyle w:val="Figure"/>
            </w:pPr>
            <w:r w:rsidRPr="00D16196">
              <w:rPr>
                <w:noProof/>
              </w:rPr>
              <mc:AlternateContent>
                <mc:Choice Requires="wpg">
                  <w:drawing>
                    <wp:anchor distT="0" distB="0" distL="114300" distR="114300" simplePos="0" relativeHeight="251661312" behindDoc="0" locked="0" layoutInCell="1" allowOverlap="1" wp14:anchorId="74EBDB92" wp14:editId="1753751D">
                      <wp:simplePos x="0" y="0"/>
                      <wp:positionH relativeFrom="column">
                        <wp:posOffset>-158750</wp:posOffset>
                      </wp:positionH>
                      <wp:positionV relativeFrom="paragraph">
                        <wp:posOffset>268605</wp:posOffset>
                      </wp:positionV>
                      <wp:extent cx="5770245" cy="5533390"/>
                      <wp:effectExtent l="0" t="0" r="1905" b="0"/>
                      <wp:wrapNone/>
                      <wp:docPr id="50" name="Group 1" descr="Figure 15.14 Improved safety — substantiation rate within 3 and/or 12 months after a decision not to substantiate&#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770245" cy="5533390"/>
                                <a:chOff x="0" y="0"/>
                                <a:chExt cx="5524191" cy="5535666"/>
                              </a:xfrm>
                            </wpg:grpSpPr>
                            <wpg:graphicFrame>
                              <wpg:cNvPr id="51" name="1"/>
                              <wpg:cNvFrPr>
                                <a:graphicFrameLocks/>
                              </wpg:cNvFrPr>
                              <wpg:xfrm>
                                <a:off x="15794" y="0"/>
                                <a:ext cx="2584629" cy="1220839"/>
                              </wpg:xfrm>
                              <a:graphic>
                                <a:graphicData uri="http://schemas.openxmlformats.org/drawingml/2006/chart">
                                  <c:chart xmlns:c="http://schemas.openxmlformats.org/drawingml/2006/chart" xmlns:r="http://schemas.openxmlformats.org/officeDocument/2006/relationships" r:id="rId43"/>
                                </a:graphicData>
                              </a:graphic>
                            </wpg:graphicFrame>
                            <wpg:graphicFrame>
                              <wpg:cNvPr id="52" name="2"/>
                              <wpg:cNvFrPr>
                                <a:graphicFrameLocks/>
                              </wpg:cNvFrPr>
                              <wpg:xfrm>
                                <a:off x="2908138" y="57166"/>
                                <a:ext cx="2584629" cy="1220839"/>
                              </wpg:xfrm>
                              <a:graphic>
                                <a:graphicData uri="http://schemas.openxmlformats.org/drawingml/2006/chart">
                                  <c:chart xmlns:c="http://schemas.openxmlformats.org/drawingml/2006/chart" xmlns:r="http://schemas.openxmlformats.org/officeDocument/2006/relationships" r:id="rId44"/>
                                </a:graphicData>
                              </a:graphic>
                            </wpg:graphicFrame>
                            <wpg:graphicFrame>
                              <wpg:cNvPr id="53" name="3"/>
                              <wpg:cNvFrPr>
                                <a:graphicFrameLocks/>
                              </wpg:cNvFrPr>
                              <wpg:xfrm>
                                <a:off x="0" y="1419227"/>
                                <a:ext cx="2584629" cy="1220839"/>
                              </wpg:xfrm>
                              <a:graphic>
                                <a:graphicData uri="http://schemas.openxmlformats.org/drawingml/2006/chart">
                                  <c:chart xmlns:c="http://schemas.openxmlformats.org/drawingml/2006/chart" xmlns:r="http://schemas.openxmlformats.org/officeDocument/2006/relationships" r:id="rId45"/>
                                </a:graphicData>
                              </a:graphic>
                            </wpg:graphicFrame>
                            <wpg:graphicFrame>
                              <wpg:cNvPr id="54" name="4"/>
                              <wpg:cNvFrPr>
                                <a:graphicFrameLocks/>
                              </wpg:cNvFrPr>
                              <wpg:xfrm>
                                <a:off x="2927595" y="1409695"/>
                                <a:ext cx="2584629" cy="1220839"/>
                              </wpg:xfrm>
                              <a:graphic>
                                <a:graphicData uri="http://schemas.openxmlformats.org/drawingml/2006/chart">
                                  <c:chart xmlns:c="http://schemas.openxmlformats.org/drawingml/2006/chart" xmlns:r="http://schemas.openxmlformats.org/officeDocument/2006/relationships" r:id="rId46"/>
                                </a:graphicData>
                              </a:graphic>
                            </wpg:graphicFrame>
                            <wpg:graphicFrame>
                              <wpg:cNvPr id="55" name="5"/>
                              <wpg:cNvFrPr>
                                <a:graphicFrameLocks/>
                              </wpg:cNvFrPr>
                              <wpg:xfrm>
                                <a:off x="63419" y="2905127"/>
                                <a:ext cx="2584629" cy="1220839"/>
                              </wpg:xfrm>
                              <a:graphic>
                                <a:graphicData uri="http://schemas.openxmlformats.org/drawingml/2006/chart">
                                  <c:chart xmlns:c="http://schemas.openxmlformats.org/drawingml/2006/chart" xmlns:r="http://schemas.openxmlformats.org/officeDocument/2006/relationships" r:id="rId47"/>
                                </a:graphicData>
                              </a:graphic>
                            </wpg:graphicFrame>
                            <wpg:graphicFrame>
                              <wpg:cNvPr id="56" name="6"/>
                              <wpg:cNvFrPr>
                                <a:graphicFrameLocks/>
                              </wpg:cNvFrPr>
                              <wpg:xfrm>
                                <a:off x="2939562" y="2895595"/>
                                <a:ext cx="2584629" cy="1220839"/>
                              </wpg:xfrm>
                              <a:graphic>
                                <a:graphicData uri="http://schemas.openxmlformats.org/drawingml/2006/chart">
                                  <c:chart xmlns:c="http://schemas.openxmlformats.org/drawingml/2006/chart" xmlns:r="http://schemas.openxmlformats.org/officeDocument/2006/relationships" r:id="rId48"/>
                                </a:graphicData>
                              </a:graphic>
                            </wpg:graphicFrame>
                            <wpg:graphicFrame>
                              <wpg:cNvPr id="57" name="7"/>
                              <wpg:cNvFrPr>
                                <a:graphicFrameLocks/>
                              </wpg:cNvFrPr>
                              <wpg:xfrm>
                                <a:off x="8711" y="4314827"/>
                                <a:ext cx="2584628" cy="1220839"/>
                              </wpg:xfrm>
                              <a:graphic>
                                <a:graphicData uri="http://schemas.openxmlformats.org/drawingml/2006/chart">
                                  <c:chart xmlns:c="http://schemas.openxmlformats.org/drawingml/2006/chart" xmlns:r="http://schemas.openxmlformats.org/officeDocument/2006/relationships" r:id="rId49"/>
                                </a:graphicData>
                              </a:graphic>
                            </wpg:graphicFrame>
                            <wpg:graphicFrame>
                              <wpg:cNvPr id="58" name="8"/>
                              <wpg:cNvFrPr>
                                <a:graphicFrameLocks/>
                              </wpg:cNvFrPr>
                              <wpg:xfrm>
                                <a:off x="2893158" y="4314822"/>
                                <a:ext cx="2584628" cy="1220839"/>
                              </wpg:xfrm>
                              <a:graphic>
                                <a:graphicData uri="http://schemas.openxmlformats.org/drawingml/2006/chart">
                                  <c:chart xmlns:c="http://schemas.openxmlformats.org/drawingml/2006/chart" xmlns:r="http://schemas.openxmlformats.org/officeDocument/2006/relationships" r:id="rId50"/>
                                </a:graphicData>
                              </a:graphic>
                            </wpg:graphicFrame>
                          </wpg:wgp>
                        </a:graphicData>
                      </a:graphic>
                    </wp:anchor>
                  </w:drawing>
                </mc:Choice>
                <mc:Fallback>
                  <w:pict>
                    <v:group id="Group 1" o:spid="_x0000_s1026" alt="Figure 15.14 Improved safety — substantiation rate within 3 and/or 12 months after a decision not to substantiate&#10;&#10;More details can be found within the text surrounding this image." style="position:absolute;margin-left:-12.5pt;margin-top:21.15pt;width:454.35pt;height:435.7pt;z-index:251661312" coordsize="55241,55356"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KiYgMAAIMSAAAOAAAAZHJzL2Uyb0RvYy54bWzsmNuO0zAQhu+ReIdRkLijqZ0mTcJ2EdKy&#10;CInDSsADeB3nIBo7st1t946H4Al5EsZOUkp3Vywol71Jc6jHnvn+GU9y9mrXruFGaNMouQrIbB6A&#10;kFwVjaxWwdcvly/SAIxlsmBrJcUquBUmeHX+9MnZtssFVbVaF0IDGpEm33aroLa2y8PQ8Fq0zMxU&#10;JyQ+LJVumcVLXYWFZlu03q5DOp8n4VbpotOKC2Pw7kX/MDj39stScPupLI2wsF4FuDbrj9ofr90x&#10;PD9jeaVZVzd8WAb7j1W0rJE46d7UBbMMNrq5Y6ptuFZGlXbGVRuqsmy48D6gN2R+5M1brTad96XK&#10;t1W3DxOG9ihO/22Wf7y50tAUqyDG8EjWIiM/LZAACmE4xuqyqTZaAIlnZAHvWoz2jSjAsFLYW/j5&#10;/QeYzbVjbBtmUQagmRWwbWzdSIgA2YdKA6HQKmlrA6y0iJyhdd442YBUFqw6tCKeP9u9fukPHxRO&#10;XQjLmrUBziRcCyjVRhbjDLYWYMXO4niN8ZJOeoBzG2haVomZQ7ztqhw9fau7z92VHm5U/ZWjtit1&#10;636RB+y8OG734nCmOd6Ml8s5XcQBcHwWx1EUZYN8eI0auzOO12/GkTFdkAzjOYyMkyRxqwrHiUO3&#10;vv1y+guvyEuNQPbLH0GhpR4UOfDtUl/pAwH6ke8V/2bcRIP//X/cxZHDJF5miwDuOk3jdJHQrF86&#10;oXSeRplf+qGRIX0OZn9Q/n/PZ14zbVHzPPdng+b5HcU/1tJgAGV8lDL3GOjT8ULxTSuk7euLFmuv&#10;alM3nQlA5y5X9LvCxx4JDs47jz3RfTAGqMcch+f3k6UjWToVWZrNUxJhEXaiXZJeeCwfRX3i+xBf&#10;T2BqvtHIN5qKLxZtJEuwvlC6dEZPbP+euz76U7PF+tlX5cVUbGlGl3GGO44nPM8SPD8RflR19gym&#10;JowkesIewx976n4f+Ld9N4kwcT1frNMxOWUwF4/bfT2BqfkmI1/fnU3Bl2ZRFie4q2MG0zSLXTaf&#10;MvhRGTx2yJP2V8uRsN8qpyCcLgm244h3EZFFen8CY/flOv9T+3zQPnsAUycwBrov0OlkW3CaRSTu&#10;2+eesO8Lj5usE2Elj1+QPIN/JOzfmfBLx+Gb1L1vVr+/HZ3/AgAA//8DAFBLAwQUAAYACAAAACEA&#10;dJvlsmIBAACdAgAAIAAAAGRycy9jaGFydHMvX3JlbHMvY2hhcnQxLnhtbC5yZWxzrFLfS8MwEH4X&#10;/B9KQN9s2ipDdN2QTWUPYzImvgQkttc2W5qE5Cbrf+/NMnQw8MWX+5Hv8t3lyw3Hu1ZHn+CDsiZn&#10;aZywCExhS2XqnL2unq5uWRRQmlJqayBnHQQ2Hp2fDZegJdKl0CgXImIxIWcNorvjPBQNtDLE1oEh&#10;pLK+lUipr7mTxUbWwLMkGXD/m4ONjjijWZkzPyszFq06R53/5rZVpQqY2mLbgsETLbjVsPhYQ4FE&#10;Kn0NmLNKaaCRuRAt6PdU1N5uXRBzaxRaL5Kbiyx5s35DglD03KNpRvGkUbok77xFoiQtKLmUrbsn&#10;39ktNuTX24A0lMhiSpbgrEdxvY+nEmUfPRipu6ACHYYGAIPIknTwU36yT9FIT5WTF6oriYocfRLZ&#10;Hoh3OrSHR85tSfo97hA8tWL8tNDpfwqNtACwoL3yqoTDHDmLY/6N9PaApzEtyX4sfrRUoy8AAAD/&#10;/wMAUEsDBBQABgAIAAAAIQDgGUpC6wAAAMUEAAAZAAAAZHJzL19yZWxzL2Uyb0RvYy54bWwucmVs&#10;c7zUTWrDMBAF4H2hdxCzr2U7iRNK5GxCIduSHmCQxz/UloRGKc3tK1oKDQR1p+Vo0HvfavaHz2UW&#10;H+R5skZBVZQgyGjbTWZQ8HZ+edqB4ICmw9kaUnAlhkP7+LB/pRlD/MTj5FjEFMMKxhDcs5SsR1qQ&#10;C+vIxE1v/YIhjn6QDvU7DiTrsmyk/5sB7U2mOHUK/KmL/eeri83/Z9u+nzQdrb4sZMKdCqlH9CEG&#10;oh8oKPge+ed1V0QpyPuIVSbEKoXYZkJsU4g6E6JOIapMiCqFaDIhmhRikwmxSSHWmRDrX4S8OT7t&#10;FwAAAP//AwBQSwMEFAAGAAgAAAAhAMSVUDriAAAACgEAAA8AAABkcnMvZG93bnJldi54bWxMj09L&#10;w0AQxe+C32EZwVu7+WM1xmxKKeqpFGyF0ts0mSah2dmQ3Sbpt3c96e0N7/Hm97LlpFsxUG8bwwrC&#10;eQCCuDBlw5WC7/3HLAFhHXKJrWFScCMLy/z+LsO0NCN/0bBzlfAlbFNUUDvXpVLaoiaNdm46Yu+d&#10;Ta/R+bOvZNnj6Mt1K6MgeJYaG/YfauxoXVNx2V21gs8Rx1Ucvg+by3l9O+4X28MmJKUeH6bVGwhH&#10;k/sLwy++R4fcM53MlUsrWgWzaOG3OAVPUQzCB5IkfgFxUvAaeiHzTP6fkP8AAAD//wMAUEsDBBQA&#10;BgAIAAAAIQAmCuz0BwgAAFEaAAAVAAAAZHJzL2NoYXJ0cy9jaGFydDgueG1s7Flfb9s4En8/4L6D&#10;VgiwT7YlWZIlo/bCceC94pI2mz97wL3REm3rQolakk7sHu677wxJ2bJrt2l6C9wB2wIRNSKHM78Z&#10;DmfG737alMx5pkIWvBq5ftdzHVplPC+q5ch9fJh1EteRilQ5YbyiI3dLpfvT+K9/eZcNsxUR6r4m&#10;GXWASSWH2chdKVUPez2ZrWhJZJfXtIJvCy5KouBVLHu5IC/AvGS9wPPinmbiWgbkDQxKUlTNevGa&#10;9XyxKDJ6xbN1SStlpBCUEQUIyFVRS3cMyuVEUT/1QueZsJHruT0kMlItDYFWncmjIQq+rnKaT7mo&#10;AMbW/DIbTpiiogJWU14p2M3qWb4KqZKIp3XdyXhZg3DzghVqq8UFAYH3dMVBD+eO/rYuBJUjN/PD&#10;BggYfgZFWWSCS75QXeDYMyg01kC2g17SC6w9QFk/HEq1ZdQo5HsBatvb7atFmBHG5iR7Qmxak3dT&#10;999x4TEYuCpj4obUH5+FM1/6I5cp33XUBkb5E4zmywBpAdJglD/BiGQZAAkz7KChwHdD2c3pN5R+&#10;MwdAMXMAKDOIGkrUUOKGErvOihXVEwCJD9dZcPY3Q2hGxgG0C6MyqlCM6sEG/4oiW43fkeGc59tb&#10;AeiRIZPqHkHVLzVS6luBj5wu7m6FIz+N3NSDMziHs+g6BXqeXgcOUDlqW9MFHLeROxEFYdogzVKw&#10;zY6Z5iiAHfrryDW++ibewAS3V+MPD8hf6V2AhHvB30ZHGCitMiNbvlb6rHAIKvDaOg84q0GIrBV/&#10;wJcryqiieWtaNqwZVxNBCYLY4jgnYoohB8kwviqEWZVxDUU2XMJRrCG2WDJbSzh9NDdWeiZiO+WM&#10;HxxRcFsK6mTDIt8ciMBFTi17e/aNglKJO7rAFYvxj/fruXTIAjZxKq6cyNkK+eMPF79c9BEaPQvm&#10;TwkEQ1xRqymECmX28Y1UtXJga2PmbPg87jslRIqVRAbPGuEaQcfj1TAyL1oKGFqxrBtJzop8VjCG&#10;VpNiOZ8yq0UQR5N0Yl3mYBqr9ORvXgk+gEtRHL07gFiBzdX7xQe6BH99tqHD4pcRbbjXAHh5EQ4v&#10;Li+Sr6MYnUYRolna8b1DENEABmzfRXM8jwPP9zq+f25asJ/md/zg3LT+flrQ8bXp95bbbxrup/U7&#10;fnjI7QsGtrjBNYRCV+vyFf4H8P3Sgg8W7ZzQXMVTntOx19UItSjHTnoG3qgbBMkgSvw4TfthHHrx&#10;oTZ7pRukw24QJYC27yde2E/C6Ej//YoG9LDbD9LQ9wdxOPCiJAnOmqnBv9+NB2Hq+3HsDQaDfhKd&#10;XdGYIu72B14wCLzYPI+NB1bZQ2demmOnzYFWM+HjOIrY092KIpby+ihy9x1RxA/+qDAySCZBMHtL&#10;GDm38s8wYoJS48YQlP43wsgdRuG7PzCM+GE3jQf9wAtiP+wPUi/9Whjxo244CPxBBLPDII7D6NyK&#10;Joz4QVdfI6cicoM4yJGEXpqk/TQN0j6EtnNcm8DhJ90gTEAOPzHPo8vh9YEjv54ziYFdrvjLNV3S&#10;Kv87bSdN5suvBIq0ViGCs6dEfSDl4SWL9HsqTtJvqcDM+TM+l+v5nNH74lObFWiwE21J6n8UuVrZ&#10;xCWyFzrZvLdpW5D4URT2vdDcxocfYs9PTUGgs7ZdBgf32kTnjIfTW3xkRiDdXiI6XBQgui7RjBRl&#10;Ud2QjY5DgNB+Yq7TyQMdyeaW27JsbgSEoD4rFeTzWJXiVThyf6ZQvEFK7Ui+BpiuIeGnOebgOpct&#10;yb+4eCiypxsoyQzzCqph+7Gozn9UsAhMvJOgohv1wM1CkzaZLAqytbMJ2OUM/+MaiJWtaZ9HTrUx&#10;+fo3VhyJrTig7vh6xUGGlJyqRMgwk6foIKUpbrT4Nk8FN78lgmDJs6tRHu+tiqayMLpAhQhFq5zY&#10;7Bw9bedQ9hu1xsWS4p9UWHDxzTqsQZvN2YQtK0PLlNhRPy4WkjZZOSChLV7xmzVTxfUzA+u13AnO&#10;xc5x4UCe8uCWfC3H/IIHZ8OSWP1CvT3mFa91aVv6aA/9WRQ5nBhqAoqFmlXOCxSVUQAVbkbqkbuA&#10;VgcMyxr8W1ZLqHsBFugeACRYCFQc6wcAAUo8IdUVkfbga89DdMhQtzyMP5rqgS4WNFPXEks/cJAN&#10;Du3IWQtwqn+nfhB6l0HamcXJoBPOwqiTDrykA9HhMo29MA2vZv9BAaDvsCrynFZwBpvGEhC/tZ3h&#10;ez3TGfom5VunC47aVu7KJ2hZ5fzlATRzwWOlgg9QtOl/GjUoz60LDSKgGpjkiuQ2qKYtKlE33EZO&#10;32voeLT1fsen/FVmOABNcwBJm6e2BfqU9ggYfO4su7rc5KeHnQtHcDVyO1Fo1MVuIbyvuPhk1HxN&#10;UwNDDDoEttnajQzSNDKOwkqLfhBWdvSTYUXgFicbH7i/9k01hnvQwYvwv9vQOHGnQDg9vE1sbDlx&#10;m0DTBMUD0/x5mRg7HVj9y+2u77lMWumGvmhOXyb60yVVL5TaC2RuXqzRMD14rIrdJYJkOGe7C6K5&#10;6Vux1cTNFuH/KKbiKXtTpERYjpbu1f62GNbuEeL410J+rJjNnG3alheyvoT84klObI4AqawxGSbK&#10;V5h7f4RoBpnk0RXftBkbwx1ZC5Q4an29IfOaE0nxtv5yj9epC5WtZqQs2Hbk9qFxje1mSFhwmcHz&#10;u9IruCfwFwp2RRRxBPRBR654n5vyCXOoxxp/CTmEp71GOzqKZH4JGv8OAAD//wMAUEsDBBQABgAI&#10;AAAAIQBpsSFibAYAAFcbAAAcAAAAZHJzL3RoZW1lL3RoZW1lT3ZlcnJpZGU4LnhtbOxZT48bNRS/&#10;I/EdrLm3SXaTdLNqttpkky602642aVGPzsSZceMZj2xnt7mh9oiEhCiICxI3Dgio1EpcyqdZKIIi&#10;9SvwbM9MxpsJu9uuQJTmkMzYP7//7/nZuXrtQcTQIRGS8rjt1S5XPURin49pHLS9O8P+pQ0PSYXj&#10;MWY8Jm1vTqR3bev9967iTRWSiNyGtYKOCQI6sdzEbS9UKtmsVKQP01he5gmJYW7CRYQVvIqgMhb4&#10;COhHrLJWrTYrEaaxtwUEfSYGehVBMY6A1+3JhPrETI2nNY2Qc9llAh1i1vaAxJgfDckD5SGGpYKJ&#10;tlc1H6+ydbWCN9NFTK1YW1jXN590XbpgPF0zPEUwypnW+vXWlZ2cvgEwtYzr9XrdXi2nZwDY90mc&#10;ylKkWe9v1DoZzQLIPi7T7lYb1bqLL9BfX5K51el0Gq1UFkvUgOxjfQm/UW3Wt9ccvAFZfGMJX+9s&#10;d7tNB29AFt9cwvevtJp1F29AIaPxdAmtHdrvp9RzyISz3VL4BsA3qil8gYJoyKNLs5jwWK2KtQjf&#10;56IPAA1kWNEYqXlCJtiHmOziaCQo1gzwJsGFGTvky6UhzQtJX9BEtb0PExx7Bcir59+/ev4UvXr+&#10;5Pjhs+OHPx0/enT88EdLy1m4i+OguPDlt5/9+fXH6I+n37x8/EU5Xhbxv/7wyS8/f14OhAxaaPji&#10;yye/PXvy4qtPf//ucQl8W+BRET6kEZHoFjlCBzwC3YxhXMnJSJxvxTDE1FmBQ6BdQrqnQgd4a45Z&#10;Ga5DXOPdFVA8yoDXZ/cdWQehmClawvlGGDnAPc5Zh4tSA9zQvAoWHs7ioJy5mBVxBxgflvHu4thx&#10;bW+WQNXMgtKxfTckjpj7DMcKByQmCuk5PiWkRLt7lDp23aO+4JJPFLpHUQfTUpMM6cgJpMWiXRqB&#10;X+ZlOoOrHdvs3UUdzsq03iGHLhISArMS4YeEOWa8jmcKR2UkhzhiRYPfxCosE3IwF34R15MKPB0Q&#10;xlFvTKQsW3NbgL4Fp9/AUK9K3b7H5pGLFIpOy2jexJwXkTt82g1xlJRhBzQOi9gP5BRCFKN9rsrg&#10;e9zNEP0OfsDxSnffpcRx9+mF4A4NHJEWAaJnZqLEl9cJd+J3MGcTTEyVgZLuVOqIxn9XthmFum05&#10;vCvbbW8bNrGy5Nk9UaxX4f6DJXoHz+J9AlmxvEW9q9DvKrT31lfoVbl88XV5UYqhSuuGxPbapvOO&#10;VjbeE8rYQM0ZuSlN7y1hAxr3YVCvM+dJkh/EkhAedSYDAwcXCGzWIMHVR1SFgxAn0LfXPE0kkCnp&#10;QKKESzgvmuFS2hoPvb+yp82GPofYyiGx2uNjO7yuh7PjRk7GSBVIy9EyWtcEzsps/UpKFHR7HWY1&#10;LdSZudWMaKYoOtxylbWJzbkcTJ6rBoO5NaGzQdAPgZWbcKLXrOG8gxkZa7tbH2VuMTa5SBfJEMPt&#10;g7kRaGi9l31UM07KYmVJEa2H9ZE+O55itQK3lib7BtzO4qQiu/oKdpn33sRLWQQvvATUTqYji4vJ&#10;yWJ01PZajbWGh3yctL0JHJXhMUrA61I3k5gFcKXkK2HD/tRk1qFRVDhTzE2CGtx+WLsvKezUgURI&#10;tYNlaEPDTKUhwGLNycq/1gCzXpQCJdXobFKsb0Aw/GtSgB1d15LJhPiq6OzCiLadfU1LKZ8pIgbh&#10;+AiN2EwcYHC/DlXQZ0wl3HiYiqBf4HpOW9tMucU5TbripZjB2XHMkhCn5VanaJbJFm4KUi6DeSuI&#10;B7qVym6UO78qJuUvSJViGP/PVNH7CVxBrI+1B3y46xUY6Uxpe1yokEMVSkLq9wU0DqZ2QLTAFS9M&#10;Q1DBNbT5FeRQ/9qcszRMWsNJUh3QAAkK+5EKBSH7UJZM9J1CrJbuXZYkSwmZiCqIKxMr9ogcEjbU&#10;NbCp93YPhRDqppqkZcDgTsaf+55m0CjQTU4x35xKlu+9Ngf+6c7HJjMo5dZh09Bk9s9FzNuDxa5q&#10;15vl2d5bVERPLNqsepYV7lbQStP+NUU451ZrK9aSxmuNTDjw4rLGMJg3RAlcJCH9BfsfFT6zf2Lo&#10;DXXID6C2Ivj/QhODsIGovmQbD6QLpB0cQeNkB20waVLWtGnrpK2WbdYX3OnmfE8YW0t2Fn+f09h5&#10;c+ayc3LxIo2dWtixtR1baWrw7MkUhaFJdpAxjnH+DNv6CwAA//8DAFBLAwQUAAYACAAAACEAXDL7&#10;6mIBAACdAgAAIAAAAGRycy9jaGFydHMvX3JlbHMvY2hhcnQyLnhtbC5yZWxzrFLfS8MwEH4X/B9K&#10;QN9s2ipDdN2QTWUPYzImvgQkttc2W5qE5Cbrf+/NMnQw8MWX+5Hv8t3lyw3Hu1ZHn+CDsiZnaZyw&#10;CExhS2XqnL2unq5uWRRQmlJqayBnHQQ2Hp2fDZegJdKl0CgXImIxIWcNorvjPBQNtDLE1oEhpLK+&#10;lUipr7mTxUbWwLMkGXD/m4ONjjijWZkzPyszFq06R53/5rZVpQqY2mLbgsETLbjVsPhYQ4FEKn0N&#10;mLNKaaCRuRAt6PdU1N5uXRBzaxRaL5Kbiyx5s35DglD03KNpRvGkUbok77xFoiQtKLmUrbsn39kt&#10;NuTX24A0lMhiSpbgrEdxvY+nEmUfPRipu6ACHYYGAIPIknTwU36yT9FIT5WTF6oriYocfRLZHoh3&#10;OrSHR85tSfo97hA8tWL8tNDpfwqNtACwoL3yqoTDHDmLY/6N9PaAZzEtyX4sfrRUoy8AAAD//wMA&#10;UEsDBBQABgAIAAAAIQAMYMZaYgEAAJ0CAAAgAAAAZHJzL2NoYXJ0cy9fcmVscy9jaGFydDQueG1s&#10;LnJlbHOsUt9LwzAQfhf8H0pA32zaOobouiGbyh7GZCi+BCS21zZbmoTkKtt/780ydDDwxZf7ke/y&#10;3eXLjSbbVkef4IOyJmdpnLAITGFLZeqcvb48Xt2wKKA0pdTWQM52ENhkfH42WoGWSJdCo1yIiMWE&#10;nDWI7pbzUDTQyhBbB4aQyvpWIqW+5k4WG1kDz5JkyP1vDjY+4ozmZc78vMxY9LJz1PlvbltVqoCZ&#10;LboWDJ5owa2G5ccaCiRS6WvAnFVKA43MhWhBv6ei9rZzQSysUWi9SAYXWfJm/YYEoeipR9OM4mmj&#10;dEneeYtESVpQcilbd0d+ZztsyK+7gDSUyGJKVuCsR3G9j2cSZR/dG6l3QQU6DA0ABpEl6fCn/GSf&#10;opGeKqfPVFcSFTn6JLI9EG91aA+PXNiS9HvYInhqxfhpodP/FBppAWBJe+VVCYc5chbH/Bvp7QEf&#10;xLQk+7H40VKNvwAAAP//AwBQSwMEFAAGAAgAAAAhAO3CzeFiAQAAnQIAACAAAABkcnMvY2hhcnRz&#10;L19yZWxzL2NoYXJ0OC54bWwucmVsc6xS30vDMBB+F/wfSkDfbNoqMnTdkE1lD2MyJr4EJLbXNlua&#10;hOQq23/vzTJ0MPDFl/uR7/Ld5csNx9tWR5/gg7ImZ2mcsAhMYUtl6py9rp6uBiwKKE0ptTWQsx0E&#10;Nh6dnw2XoCXSpdAoFyJiMSFnDaK74zwUDbQyxNaBIaSyvpVIqa+5k8VG1sCzJLnl/jcHGx1xRrMy&#10;Z35WZixa7Rx1/pvbVpUqYGqLrgWDJ1pwq2HxsYYCiVT6GjBnldJAI3MhWtDvqai97VwQc2sUWi+S&#10;m4ssebN+Q4JQ9NyjaUbxpFG6JO+8RaIkLSi5lK27J7+zHTbk111AGkpkMSVLcNajuN7HU4myjx6M&#10;1LugAh2GBgCDyJL09qf8ZJ+ikZ4qJy9UVxIVOfoksj0Qb3VoD4+c25L0e9wieGrF+Gmh0/8UGmkB&#10;YEF75VUJhzlyFsf8G+ntAR/EtCT7sfjRUo2+AAAA//8DAFBLAwQUAAYACAAAACEAJMnYAmIBAACd&#10;AgAAIAAAAGRycy9jaGFydHMvX3JlbHMvY2hhcnQ3LnhtbC5yZWxzrFLfS8MwEH4X/B9KQN9s2ioq&#10;um7IprKHMRkTXwIS22ubLU1CcpP1v/dmGToY+OLL/ch3+e7y5QajbaujT/BBWZOzNE5YBKawpTJ1&#10;zl6XTxe3LAooTSm1NZCzDgIbDU9PBgvQEulSaJQLEbGYkLMG0d1xHooGWhli68AQUlnfSqTU19zJ&#10;Yi1r4FmSXHP/m4MNDzijaZkzPy0zFi07R53/5rZVpQqY2GLTgsEjLbjVMP9YQYFEKn0NmLNKaaCR&#10;uRAt6PdU1N5uXBAzaxRaL5Krsyx5s35NglD03KNpRvG4Ubok77xFoiQtKDmXrbsn39kNNuRXm4A0&#10;lMhiShbgrEdxuYsnEmUfPRipu6ACHYYGAIPIkvT6p/xon6KRnirHL1RXEhU5+iSyPRBvdWj3j5zZ&#10;kvR73CJ4asX4caHT/xQaaQFgTnvlVQn7OXIWx/wb6e0ev4lpSXZj8YOlGn4BAAD//wMAUEsDBBQA&#10;BgAIAAAAIQADrP2DYgEAAJ0CAAAgAAAAZHJzL2NoYXJ0cy9fcmVscy9jaGFydDYueG1sLnJlbHOs&#10;Ut9LwzAQfhf8H0pA32zaKkN03ZBNZQ9jMia+BCS21zZbmoTkJut/780ydDDwxZf7ke/y3eXLDce7&#10;Vkef4IOyJmdpnLAITGFLZeqcva6erm5ZFFCaUmprIGcdBDYenZ8Nl6Al0qXQKBciYjEhZw2iu+M8&#10;FA20MsTWgSGksr6VSKmvuZPFRtbAsyQZcP+bg42OOKNZmTM/KzMWrTpHnf/mtlWlCpjaYtuCwRMt&#10;uNWw+FhDgUQqfQ2Ys0ppoJG5EC3o91TU3m5dEHNrFFovkpuLLHmzfkOCUPTco2lG8aRRuiTvvEWi&#10;JC0ouZStuyff2S025NfbgDSUyGJKluCsR3G9j6cSZR89GKm7oAIdhgYAg8iSdPBTfrJP0UhPlZMX&#10;qiuJihx9EtkeiHc6tIdHzm1J+j3uEDy1Yvy00Ol/Co20ALCgvfKqhMMcOYtj/o309oAPYlqS/Vj8&#10;aKlGXwAAAP//AwBQSwMEFAAGAAgAAAAhACsF49tiAQAAnQIAACAAAABkcnMvY2hhcnRzL19yZWxz&#10;L2NoYXJ0NS54bWwucmVsc6xS30vDMBB+F/wfSkDfbNqqQ3TdkE1lDzIZE18CEttrmy1NQnKT9b/3&#10;Zhk6GPjiy/3Id/nu8uWG422ro0/wQVmTszROWASmsKUydc5el48XNywKKE0ptTWQsw4CG49OT4YL&#10;0BLpUmiUCxGxmJCzBtHdch6KBloZYuvAEFJZ30qk1NfcyWIta+BZkgy4/83BRgec0azMmZ+VGYuW&#10;naPOf3PbqlIFTG2xacHgkRbcaph/rKBAIpW+BsxZpTTQyFyIFvR7KmpvNy6IZ2sUWi+Sq7MsebN+&#10;TYJQ9NSjaUbxpFG6JO+8RaIkLSg5l627I9/ZDTbkV5uANJTIYkoW4KxHcbmLpxJlH90bqbugAh2G&#10;BgCDyJJ08FN+tE/RSE+VkxeqK4mKHH0S2R6Itzq0+0c+25L0e9gieGrF+HGh0/8UGmkBYE575VUJ&#10;+zlyFsf8G+ntHr+OaUl2Y/GDpRp9AQAA//8DAFBLAwQUAAYACAAAACEAe1fea2IBAACdAgAAIAAA&#10;AGRycy9jaGFydHMvX3JlbHMvY2hhcnQzLnhtbC5yZWxzrFLfS8MwEH4X/B9KQN9s2k6G6Lohm8oe&#10;xmQovgQkttc2W5qE5Crbf+/NMnQw8MWX+5Hv8t3ly40m21ZHn+CDsiZnaZywCExhS2XqnL2+PF7d&#10;sCigNKXU1kDOdhDYZHx+NlqBlkiXQqNciIjFhJw1iO6W81A00MoQWweGkMr6ViKlvuZOFhtZA8+S&#10;ZMj9bw42PuKM5mXO/LzMWPSyc9T5b25bVaqAmS26FgyeaMGthuXHGgokUulrwJxVSgONzIVoQb+n&#10;ova2c0EsrFFovUiuL7LkzfoNCULRU4+mGcXTRumSvPMWiZK0oORStu6O/M522JBfdwFpKJHFlKzA&#10;WY9isI9nEmUf3Rupd0EFOgwNAAaRJenwp/xkn6KRniqnz1RXEhU5+iSyPRBvdWgPj1zYkvR72CJ4&#10;asX4aaHT/xQaaQFgSXvlVQmHOXIWx/wb6e0BH8S0JPux+NFSjb8AAAD//wMAUEsDBBQABgAIAAAA&#10;IQBpsSFibAYAAFcbAAAcAAAAZHJzL3RoZW1lL3RoZW1lT3ZlcnJpZGU3LnhtbOxZT48bNRS/I/Ed&#10;rLm3SXaTdLNqttpkky602642aVGPzsSZceMZj2xnt7mh9oiEhCiICxI3Dgio1EpcyqdZKIIi9Svw&#10;bM9MxpsJu9uuQJTmkMzYP7//7/nZuXrtQcTQIRGS8rjt1S5XPURin49pHLS9O8P+pQ0PSYXjMWY8&#10;Jm1vTqR3bev9967iTRWSiNyGtYKOCQI6sdzEbS9UKtmsVKQP01he5gmJYW7CRYQVvIqgMhb4COhH&#10;rLJWrTYrEaaxtwUEfSYGehVBMY6A1+3JhPrETI2nNY2Qc9llAh1i1vaAxJgfDckD5SGGpYKJtlc1&#10;H6+ydbWCN9NFTK1YW1jXN590XbpgPF0zPEUwypnW+vXWlZ2cvgEwtYzr9XrdXi2nZwDY90mcylKk&#10;We9v1DoZzQLIPi7T7lYb1bqLL9BfX5K51el0Gq1UFkvUgOxjfQm/UW3Wt9ccvAFZfGMJX+9sd7tN&#10;B29AFt9cwvevtJp1F29AIaPxdAmtHdrvp9RzyISz3VL4BsA3qil8gYJoyKNLs5jwWK2KtQjf56IP&#10;AA1kWNEYqXlCJtiHmOziaCQo1gzwJsGFGTvky6UhzQtJX9BEtb0PExx7Bcir59+/ev4UvXr+5Pjh&#10;s+OHPx0/enT88EdLy1m4i+OguPDlt5/9+fXH6I+n37x8/EU5Xhbxv/7wyS8/f14OhAxaaPjiyye/&#10;PXvy4qtPf//ucQl8W+BRET6kEZHoFjlCBzwC3YxhXMnJSJxvxTDE1FmBQ6BdQrqnQgd4a45ZGa5D&#10;XOPdFVA8yoDXZ/cdWQehmClawvlGGDnAPc5Zh4tSA9zQvAoWHs7ioJy5mBVxBxgflvHu4thxbW+W&#10;QNXMgtKxfTckjpj7DMcKByQmCuk5PiWkRLt7lDp23aO+4JJPFLpHUQfTUpMM6cgJpMWiXRqBX+Zl&#10;OoOrHdvs3UUdzsq03iGHLhISArMS4YeEOWa8jmcKR2UkhzhiRYPfxCosE3IwF34R15MKPB0QxlFv&#10;TKQsW3NbgL4Fp9/AUK9K3b7H5pGLFIpOy2jexJwXkTt82g1xlJRhBzQOi9gP5BRCFKN9rsrge9zN&#10;EP0OfsDxSnffpcRx9+mF4A4NHJEWAaJnZqLEl9cJd+J3MGcTTEyVgZLuVOqIxn9XthmFum05vCvb&#10;bW8bNrGy5Nk9UaxX4f6DJXoHz+J9AlmxvEW9q9DvKrT31lfoVbl88XV5UYqhSuuGxPbapvOOVjbe&#10;E8rYQM0ZuSlN7y1hAxr3YVCvM+dJkh/EkhAedSYDAwcXCGzWIMHVR1SFgxAn0LfXPE0kkCnpQKKE&#10;SzgvmuFS2hoPvb+yp82GPofYyiGx2uNjO7yuh7PjRk7GSBVIy9EyWtcEzsps/UpKFHR7HWY1LdSZ&#10;udWMaKYoOtxylbWJzbkcTJ6rBoO5NaGzQdAPgZWbcKLXrOG8gxkZa7tbH2VuMTa5SBfJEMPtg7kR&#10;aGi9l31UM07KYmVJEa2H9ZE+O55itQK3lib7BtzO4qQiu/oKdpn33sRLWQQvvATUTqYji4vJyWJ0&#10;1PZajbWGh3yctL0JHJXhMUrA61I3k5gFcKXkK2HD/tRk1qFRVDhTzE2CGtx+WLsvKezUgURItYNl&#10;aEPDTKUhwGLNycq/1gCzXpQCJdXobFKsb0Aw/GtSgB1d15LJhPiq6OzCiLadfU1LKZ8pIgbh+AiN&#10;2EwcYHC/DlXQZ0wl3HiYiqBf4HpOW9tMucU5TbripZjB2XHMkhCn5VanaJbJFm4KUi6DeSuIB7qV&#10;ym6UO78qJuUvSJViGP/PVNH7CVxBrI+1B3y46xUY6Uxpe1yokEMVSkLq9wU0DqZ2QLTAFS9MQ1DB&#10;NbT5FeRQ/9qcszRMWsNJUh3QAAkK+5EKBSH7UJZM9J1CrJbuXZYkSwmZiCqIKxMr9ogcEjbUNbCp&#10;93YPhRDqppqkZcDgTsaf+55m0CjQTU4x35xKlu+9Ngf+6c7HJjMo5dZh09Bk9s9FzNuDxa5q15vl&#10;2d5bVERPLNqsepYV7lbQStP+NUU451ZrK9aSxmuNTDjw4rLGMJg3RAlcJCH9BfsfFT6zf2LoDXXI&#10;D6C2Ivj/QhODsIGovmQbD6QLpB0cQeNkB20waVLWtGnrpK2WbdYX3OnmfE8YW0t2Fn+f09h5c+ay&#10;c3LxIo2dWtixtR1baWrw7MkUhaFJdpAxjnH+DNv6CwAA//8DAFBLAwQUAAYACAAAACEAabEhYmwG&#10;AABXGwAAHAAAAGRycy90aGVtZS90aGVtZU92ZXJyaWRlNi54bWzsWU+PGzUUvyPxHay5t0l2k3Sz&#10;arbaZJMutNuuNmlRj87EmXHjGY9sZ7e5ofaIhIQoiAsSNw4IqNRKXMqnWSiCIvUr8GzPTMabCbvb&#10;rkCU5pDM2D+//+/52bl67UHE0CERkvK47dUuVz1EYp+PaRy0vTvD/qUND0mF4zFmPCZtb06kd23r&#10;/feu4k0VkojchrWCjgkCOrHcxG0vVCrZrFSkD9NYXuYJiWFuwkWEFbyKoDIW+AjoR6yyVq02KxGm&#10;sbcFBH0mBnoVQTGOgNftyYT6xEyNpzWNkHPZZQIdYtb2gMSYHw3JA+UhhqWCibZXNR+vsnW1gjfT&#10;RUytWFtY1zefdF26YDxdMzxFMMqZ1vr11pWdnL4BMLWM6/V63V4tp2cA2PdJnMpSpFnvb9Q6Gc0C&#10;yD4u0+5WG9W6iy/QX1+SudXpdBqtVBZL1IDsY30Jv1Ft1rfXHLwBWXxjCV/vbHe7TQdvQBbfXML3&#10;r7SadRdvQCGj8XQJrR3a76fUc8iEs91S+AbAN6opfIGCaMijS7OY8FitirUI3+eiDwANZFjRGKl5&#10;QibYh5js4mgkKNYM8CbBhRk75MulIc0LSV/QRLW9DxMcewXIq+ffv3r+FL16/uT44bPjhz8dP3p0&#10;/PBHS8tZuIvjoLjw5bef/fn1x+iPp9+8fPxFOV4W8b/+8MkvP39eDoQMWmj44ssnvz178uKrT3//&#10;7nEJfFvgURE+pBGR6BY5Qgc8At2MYVzJyUicb8UwxNRZgUOgXUK6p0IHeGuOWRmuQ1zj3RVQPMqA&#10;12f3HVkHoZgpWsL5Rhg5wD3OWYeLUgPc0LwKFh7O4qCcuZgVcQcYH5bx7uLYcW1vlkDVzILSsX03&#10;JI6Y+wzHCgckJgrpOT4lpES7e5Q6dt2jvuCSTxS6R1EH01KTDOnICaTFol0agV/mZTqDqx3b7N1F&#10;Hc7KtN4hhy4SEgKzEuGHhDlmvI5nCkdlJIc4YkWD38QqLBNyMBd+EdeTCjwdEMZRb0ykLFtzW4C+&#10;BaffwFCvSt2+x+aRixSKTsto3sScF5E7fNoNcZSUYQc0DovYD+QUQhSjfa7K4HvczRD9Dn7A8Up3&#10;36XEcffpheAODRyRFgGiZ2aixJfXCXfidzBnE0xMlYGS7lTqiMZ/V7YZhbptObwr221vGzaxsuTZ&#10;PVGsV+H+gyV6B8/ifQJZsbxFvavQ7yq099ZX6FW5fPF1eVGKoUrrhsT22qbzjlY23hPK2EDNGbkp&#10;Te8tYQMa92FQrzPnSZIfxJIQHnUmAwMHFwhs1iDB1UdUhYMQJ9C31zxNJJAp6UCihEs4L5rhUtoa&#10;D72/sqfNhj6H2MohsdrjYzu8roez40ZOxkgVSMvRMlrXBM7KbP1KShR0ex1mNS3UmbnVjGimKDrc&#10;cpW1ic25HEyeqwaDuTWhs0HQD4GVm3Ci16zhvIMZGWu7Wx9lbjE2uUgXyRDD7YO5EWhovZd9VDNO&#10;ymJlSRGth/WRPjueYrUCt5Ym+wbczuKkIrv6CnaZ997ES1kEL7wE1E6mI4uLyclidNT2Wo21hod8&#10;nLS9CRyV4TFKwOtSN5OYBXCl5Cthw/7UZNahUVQ4U8xNghrcfli7Lyns1IFESLWDZWhDw0ylIcBi&#10;zcnKv9YAs16UAiXV6GxSrG9AMPxrUoAdXdeSyYT4qujswoi2nX1NSymfKSIG4fgIjdhMHGBwvw5V&#10;0GdMJdx4mIqgX+B6TlvbTLnFOU264qWYwdlxzJIQp+VWp2iWyRZuClIug3kriAe6lcpulDu/Kibl&#10;L0iVYhj/z1TR+wlcQayPtQd8uOsVGOlMaXtcqJBDFUpC6vcFNA6mdkC0wBUvTENQwTW0+RXkUP/a&#10;nLM0TFrDSVId0AAJCvuRCgUh+1CWTPSdQqyW7l2WJEsJmYgqiCsTK/aIHBI21DWwqfd2D4UQ6qaa&#10;pGXA4E7Gn/ueZtAo0E1OMd+cSpbvvTYH/unOxyYzKOXWYdPQZPbPRczbg8Wuateb5dneW1RETyza&#10;rHqWFe5W0ErT/jVFOOdWayvWksZrjUw48OKyxjCYN0QJXCQh/QX7HxU+s39i6A11yA+gtiL4/0IT&#10;g7CBqL5kGw+kC6QdHEHjZAdtMGlS1rRp66Stlm3WF9zp5nxPGFtLdhZ/n9PYeXPmsnNy8SKNnVrY&#10;sbUdW2lq8OzJFIWhSXaQMY5x/gzb+gsAAP//AwBQSwMEFAAGAAgAAAAhAGmxIWJsBgAAVxsAABwA&#10;AABkcnMvdGhlbWUvdGhlbWVPdmVycmlkZTIueG1s7FlPjxs1FL8j8R2subdJdpN0s2q22mSTLrTb&#10;rjZpUY/OxJlx4xmPbGe3uaH2iISEKIgLEjcOCKjUSlzKp1kogiL1K/Bsz0zGmwm7265AlOaQzNg/&#10;v//v+dm5eu1BxNAhEZLyuO3VLlc9RGKfj2kctL07w/6lDQ9JheMxZjwmbW9OpHdt6/33ruJNFZKI&#10;3Ia1go4JAjqx3MRtL1Qq2axUpA/TWF7mCYlhbsJFhBW8iqAyFvgI6EesslatNisRprG3BQR9JgZ6&#10;FUExjoDX7cmE+sRMjac1jZBz2WUCHWLW9oDEmB8NyQPlIYalgom2VzUfr7J1tYI300VMrVhbWNc3&#10;n3RdumA8XTM8RTDKmdb69daVnZy+ATC1jOv1et1eLadnANj3SZzKUqRZ72/UOhnNAsg+LtPuVhvV&#10;uosv0F9fkrnV6XQarVQWS9SA7GN9Cb9Rbda31xy8AVl8Ywlf72x3u00Hb0AW31zC96+0mnUXb0Ah&#10;o/F0Ca0d2u+n1HPIhLPdUvgGwDeqKXyBgmjIo0uzmPBYrYq1CN/nog8ADWRY0RipeUIm2IeY7OJo&#10;JCjWDPAmwYUZO+TLpSHNC0lf0ES1vQ8THHsFyKvn3796/hS9ev7k+OGz44c/HT96dPzwR0vLWbiL&#10;46C48OW3n/359cfoj6ffvHz8RTleFvG//vDJLz9/Xg6EDFpo+OLLJ789e/Liq09//+5xCXxb4FER&#10;PqQRkegWOUIHPALdjGFcyclInG/FMMTUWYFDoF1CuqdCB3hrjlkZrkNc490VUDzKgNdn9x1ZB6GY&#10;KVrC+UYYOcA9zlmHi1ID3NC8ChYezuKgnLmYFXEHGB+W8e7i2HFtb5ZA1cyC0rF9NySOmPsMxwoH&#10;JCYK6Tk+JaREu3uUOnbdo77gkk8UukdRB9NSkwzpyAmkxaJdGoFf5mU6g6sd2+zdRR3OyrTeIYcu&#10;EhICsxLhh4Q5ZryOZwpHZSSHOGJFg9/EKiwTcjAXfhHXkwo8HRDGUW9MpCxbc1uAvgWn38BQr0rd&#10;vsfmkYsUik7LaN7EnBeRO3zaDXGUlGEHNA6L2A/kFEIUo32uyuB73M0Q/Q5+wPFKd9+lxHH36YXg&#10;Dg0ckRYBomdmosSX1wl34ncwZxNMTJWBku5U6ojGf1e2GYW6bTm8K9ttbxs2sbLk2T1RrFfh/oMl&#10;egfP4n0CWbG8Rb2r0O8qtPfWV+hVuXzxdXlRiqFK64bE9tqm845WNt4TythAzRm5KU3vLWEDGvdh&#10;UK8z50mSH8SSEB51JgMDBxcIbNYgwdVHVIWDECfQt9c8TSSQKelAooRLOC+a4VLaGg+9v7KnzYY+&#10;h9jKIbHa42M7vK6Hs+NGTsZIFUjL0TJa1wTOymz9SkoUdHsdZjUt1Jm51Yxopig63HKVtYnNuRxM&#10;nqsGg7k1obNB0A+BlZtwotes4byDGRlru1sfZW4xNrlIF8kQw+2DuRFoaL2XfVQzTspiZUkRrYf1&#10;kT47nmK1AreWJvsG3M7ipCK7+gp2mffexEtZBC+8BNROpiOLi8nJYnTU9lqNtYaHfJy0vQkcleEx&#10;SsDrUjeTmAVwpeQrYcP+1GTWoVFUOFPMTYIa3H5Yuy8p7NSBREi1g2VoQ8NMpSHAYs3Jyr/WALNe&#10;lAIl1ehsUqxvQDD8a1KAHV3XksmE+Kro7MKItp19TUspnykiBuH4CI3YTBxgcL8OVdBnTCXceJiK&#10;oF/gek5b20y5xTlNuuKlmMHZccySEKflVqdolskWbgpSLoN5K4gHupXKbpQ7vyom5S9IlWIY/89U&#10;0fsJXEGsj7UHfLjrFRjpTGl7XKiQQxVKQur3BTQOpnZAtMAVL0xDUME1tPkV5FD/2pyzNExaw0lS&#10;HdAACQr7kQoFIftQlkz0nUKslu5dliRLCZmIKogrEyv2iBwSNtQ1sKn3dg+FEOqmmqRlwOBOxp/7&#10;nmbQKNBNTjHfnEqW7702B/7pzscmMyjl1mHT0GT2z0XM24PFrmrXm+XZ3ltURE8s2qx6lhXuVtBK&#10;0/41RTjnVmsr1pLGa41MOPDissYwmDdECVwkIf0F+x8VPrN/YugNdcgPoLYi+P9CE4Owgai+ZBsP&#10;pAukHRxB42QHbTBpUta0aeukrZZt1hfc6eZ8TxhbS3YWf5/T2Hlz5rJzcvEijZ1a2LG1HVtpavDs&#10;yRSFoUl2kDGOcf4M2/oLAAD//wMAUEsDBBQABgAIAAAAIQC1j+4UCAgAAF4aAAAVAAAAZHJzL2No&#10;YXJ0cy9jaGFydDIueG1s7Fltb+M2Ev5eoP9BJwToJ9t6t2WsXThO3Vtc0g02yR5w32iJttVQokrS&#10;ib2H++83Q1K27DjZJG2BO6C7QEINySH5zPvkw4+bkjkPVMiCVyPX73quQ6uM50W1HLl3t7POwHWk&#10;IlVOGK/oyN1S6f44/v67D9kwWxGhbmqSUQeYVHKYjdyVUvWw15PZipZEdnlNK5hbcFESBZ9i2csF&#10;eQTmJesFnpf0NBPXMiDvYFCSomr2i9fs54tFkdELnq1LWilzC0EZUYCAXBW1dMfwuJwo6qde5DwQ&#10;NnI9t4dERqqlIdCqM7kzRMHXVU7zKRcVwNhaX2bDCVNUVMBqyisFp9l3lq9CqiTifl13Ml7WcLl5&#10;wQq11deFCwLv6YrDO5zP9Ld1IagcuZkfNUDA8AkUZZEJLvlCdYFjz6DQSAPZ9nuDXmDlAY/1o6FU&#10;W0bNg3wvwNf2dufqK8wIY3OS3SM2rcW7pft53HgMBu7KmLgi9acH4cyX/shlyncdtYFRfg+j+TJA&#10;WoA0GOX3MCJZBkDCCjtoKDBvKLs1YUMJmzUAilkDQJlB3FDihpI0lMR1Vqyo7gFI/OU6C87+bgjN&#10;yCiAVmF8jCoUo3qwwZ+iyFbjD2Q45/n2WgB6ZMikukFQ9UeNlPpa4K+cLj5fC0d+HbmpBzY4B1t0&#10;nQI1T+8DBagcta3pAsxt5E5EQZgWSLMVZLNjpjkKYIf6OnKNrr6LNzDB49X4S5HhAUofAzQ8DH42&#10;j4SB0m9mZMvXShsLB68Cny2DwFUNRGSt+C1+XFBGFc1by7JhzbiaCEoQxRbHORFT9DlIhvFFIcyu&#10;jGsssuESbLEG52LJbC3B/GhuxPRAxHbKGT+wUdBbCs/JhkW+ObgCFzm17K3xmwdKJT7TBe5YjH+4&#10;Wc+lQxZwiFNx5cTOVsgf/nb201mI0OhVsH5KwBvijlpNwVcoc45vblUrB442cs6GD+PQKcFVrCQy&#10;eNAI1wg62lfDyHzoW8DQXsvqkeSsyGcFYyg2KZbzKbOvCJJ4kk6szhwsY5Ve/OadoAO4Fa+jTwcQ&#10;K5C5+rj4hS5BYR+s77D4ZUQL7jUAnp9Fw7Pzs8G3UYxPowjuLO343iGIKAADtu+iOB7Gged7Hd9/&#10;blmwX+Z3/OC5ZeF+WdDxtej3ktsfGu2XhR0/OuT2goAtbhCH8NLVunyF/gF8P7Xgg007JTSxeMpz&#10;Ova6GqEW5VhJn4O368Ve6qdhv5/EAY4PX7N/9A7prhfEURDHcTQI+6Gfxs/t2IHeDQZJMAhCL/GT&#10;0Au+CX/UjYIoDqOBF8Z4RvysXBtJJN1wMAiSfpQEXhqkSZwcXgqEskfOfDRWp6WBQjPe49iJWONu&#10;ORFLeb0Tmf0OJ+IHf5YX6Q8mQTB7jxd5budfXsT4pP85LzJDJzz7E72I73UjP+z7aRqFURCkxz7x&#10;qRfxg24/HYCh9iPPhy3PWnjjRGBDNIi9QRolYRB4Sf/IwvdHNPD7cdePBn4/TPphGAz6oQ5CL/lz&#10;v9/FOALO0Pf9xAOH8l4vkl/OmUQnL1f88ZIuaZX/g7YTKDPzhUDF1qpKcPWUqF9IeRhwkX5DxUn6&#10;NRWYRj/hc76ezxm9Kb62WYGf211tSep/Frla2SQmtsGdbD7aFC5IQ5BnGiYmMrcm+uD7Yy/WE8Cy&#10;nc1BjJvo/LG1/JCPzAjk3ktEh4sCrq7rNXOLsqiuyEY7JUBovzDXqeXBG8nmmtsabW4uCB5+VipI&#10;7rFExbA4cn+mUMlBfu1IvgaYLiH7pzkm5DqvLcmvXNwW2f0V1GeGeQWlsZ0squcnFWwCEe9uUNGN&#10;uuVmo0mhTEYFmduzydj5DP/jHnCcrWVP3ajamOT9jeXHwJYfUIR8u/wgQ0pOlSVkmMlTdLilqXT0&#10;9W3OCmp+TQTB+mdXsNzd2CeaKsO8BcpFqGDlxGbqQVuh7By1wsXy4l9UWHDxyyqsQZvN2YQtK0PL&#10;lNhRPy0WkjYZOiChJV7xqzVTxeUDA+m11AmUeKe4YJBPNPjwfi3FfEGDs2FJ7PsifTwmGa9VaVsG&#10;aQ39WRQ5WAw1DsVCzSrnESrMOIByNyP1yF1A3wOGZQ36LaslFMEAC7QSABIsCiqOtQSAAOWekOqC&#10;SGv4WvMQHTLU/Q+jj6aSoIsFzdSlxDIQFGSDQzty1gKU6t+pH0TeeZB2Zsmg34lmUdxJ+96g4/np&#10;eZp4URpdzP6DF4AmxKrIc1qBDTZdJiC+tbfhez3TJnrT41vWBaa2lbtSCvpXOX+8hZe5oLFSwQQU&#10;cPqfRg1qdatC/RioBia5Irl1qmmLStQVt57Th0TarEbT1ucdW/mrxHAAmuYAN21+a1mgTmmNgMFT&#10;ZdnV6CZZPWxjOIKrkduJI/NcbB3C94qLr+aZ7BUdDnQxqBDYc2t3NUjT1ThyKy36gVvZ0U+6FYFH&#10;nOyC4PlaN9UY4qCDgfCPbW6ciCngTg+jifUtJ6IJNFDweiCav4KJkdOB1F/ufb07mBymGzrQnA4m&#10;euqcqkdKbQCZmw8rNEwP7qpiF0SQDHa2CxBNpG/5VuM3W4T/I5+KVvYuT4mwHG3dP/ttPqzdL8Tx&#10;l0J+qpjNnG3alheyPof84l5ObI4AqawRGSbKF5h7fwJvBpnkUYhvWo6N4I6kBY84aoO9I/OaE0kx&#10;Wr/c8HXqQmWrGSkLth25IXSxsfcMCQtuM3j+rvQK4gT+uYJdEEUcAT3RkSs+5qaYwhzqrsY/ixzC&#10;096jFV23w/Wfhcb/BQAA//8DAFBLAwQUAAYACAAAACEAabEhYmwGAABXGwAAHAAAAGRycy90aGVt&#10;ZS90aGVtZU92ZXJyaWRlMS54bWzsWU+PGzUUvyPxHay5t0l2k3SzarbaZJMutNuuNmlRj87EmXHj&#10;GY9sZ7e5ofaIhIQoiAsSNw4IqNRKXMqnWSiCIvUr8GzPTMabCbvbrkCU5pDM2D+//+/52bl67UHE&#10;0CERkvK47dUuVz1EYp+PaRy0vTvD/qUND0mF4zFmPCZtb06kd23r/feu4k0VkojchrWCjgkCOrHc&#10;xG0vVCrZrFSkD9NYXuYJiWFuwkWEFbyKoDIW+AjoR6yyVq02KxGmsbcFBH0mBnoVQTGOgNftyYT6&#10;xEyNpzWNkHPZZQIdYtb2gMSYHw3JA+UhhqWCibZXNR+vsnW1gjfTRUytWFtY1zefdF26YDxdMzxF&#10;MMqZ1vr11pWdnL4BMLWM6/V63V4tp2cA2PdJnMpSpFnvb9Q6Gc0CyD4u0+5WG9W6iy/QX1+SudXp&#10;dBqtVBZL1IDsY30Jv1Ft1rfXHLwBWXxjCV/vbHe7TQdvQBbfXML3r7SadRdvQCGj8XQJrR3a76fU&#10;c8iEs91S+AbAN6opfIGCaMijS7OY8FitirUI3+eiDwANZFjRGKl5QibYh5js4mgkKNYM8CbBhRk7&#10;5MulIc0LSV/QRLW9DxMcewXIq+ffv3r+FL16/uT44bPjhz8dP3p0/PBHS8tZuIvjoLjw5bef/fn1&#10;x+iPp9+8fPxFOV4W8b/+8MkvP39eDoQMWmj44ssnvz178uKrT3//7nEJfFvgURE+pBGR6BY5Qgc8&#10;At2MYVzJyUicb8UwxNRZgUOgXUK6p0IHeGuOWRmuQ1zj3RVQPMqA12f3HVkHoZgpWsL5Rhg5wD3O&#10;WYeLUgPc0LwKFh7O4qCcuZgVcQcYH5bx7uLYcW1vlkDVzILSsX03JI6Y+wzHCgckJgrpOT4lpES7&#10;e5Q6dt2jvuCSTxS6R1EH01KTDOnICaTFol0agV/mZTqDqx3b7N1FHc7KtN4hhy4SEgKzEuGHhDlm&#10;vI5nCkdlJIc4YkWD38QqLBNyMBd+EdeTCjwdEMZRb0ykLFtzW4C+BaffwFCvSt2+x+aRixSKTsto&#10;3sScF5E7fNoNcZSUYQc0DovYD+QUQhSjfa7K4HvczRD9Dn7A8Up336XEcffpheAODRyRFgGiZ2ai&#10;xJfXCXfidzBnE0xMlYGS7lTqiMZ/V7YZhbptObwr221vGzaxsuTZPVGsV+H+gyV6B8/ifQJZsbxF&#10;vavQ7yq099ZX6FW5fPF1eVGKoUrrhsT22qbzjlY23hPK2EDNGbkpTe8tYQMa92FQrzPnSZIfxJIQ&#10;HnUmAwMHFwhs1iDB1UdUhYMQJ9C31zxNJJAp6UCihEs4L5rhUtoaD72/sqfNhj6H2MohsdrjYzu8&#10;roez40ZOxkgVSMvRMlrXBM7KbP1KShR0ex1mNS3UmbnVjGimKDrccpW1ic25HEyeqwaDuTWhs0HQ&#10;D4GVm3Ci16zhvIMZGWu7Wx9lbjE2uUgXyRDD7YO5EWhovZd9VDNOymJlSRGth/WRPjueYrUCt5Ym&#10;+wbczuKkIrv6CnaZ997ES1kEL7wE1E6mI4uLyclidNT2Wo21hod8nLS9CRyV4TFKwOtSN5OYBXCl&#10;5Cthw/7UZNahUVQ4U8xNghrcfli7Lyns1IFESLWDZWhDw0ylIcBizcnKv9YAs16UAiXV6GxSrG9A&#10;MPxrUoAdXdeSyYT4qujswoi2nX1NSymfKSIG4fgIjdhMHGBwvw5V0GdMJdx4mIqgX+B6TlvbTLnF&#10;OU264qWYwdlxzJIQp+VWp2iWyRZuClIug3kriAe6lcpulDu/KiblL0iVYhj/z1TR+wlcQayPtQd8&#10;uOsVGOlMaXtcqJBDFUpC6vcFNA6mdkC0wBUvTENQwTW0+RXkUP/anLM0TFrDSVId0AAJCvuRCgUh&#10;+1CWTPSdQqyW7l2WJEsJmYgqiCsTK/aIHBI21DWwqfd2D4UQ6qaapGXA4E7Gn/ueZtAo0E1OMd+c&#10;SpbvvTYH/unOxyYzKOXWYdPQZPbPRczbg8Wuateb5dneW1RETyzarHqWFe5W0ErT/jVFOOdWayvW&#10;ksZrjUw48OKyxjCYN0QJXCQh/QX7HxU+s39i6A11yA+gtiL4/0ITg7CBqL5kGw+kC6QdHEHjZAdt&#10;MGlS1rRp66Stlm3WF9zp5nxPGFtLdhZ/n9PYeXPmsnNy8SKNnVrYsbUdW2lq8OzJFIWhSXaQMY5x&#10;/gzb+gsAAP//AwBQSwMEFAAGAAgAAAAhAKpaBTsQCAAAXRoAABUAAABkcnMvY2hhcnRzL2NoYXJ0&#10;MS54bWzsWVFv4zYSfi9w/0EnBOiTbVGWZMlYu3BsuLe4ZDfYJC1wb7RE22ooUaXoxN7D/febISlb&#10;duJtkl6BK9BdIKGG5JD8ZvhxZvLhh23BnUcm61yUI5d0PddhZSqyvFyN3Pu7eSd2nVrRMqNclGzk&#10;7ljt/jD+23cf0mG6plLdVjRlDigp62E6ctdKVcNer07XrKB1V1SshL6lkAVV8ClXvUzSJ1Be8J7v&#10;eVFPK3GtAvoOBQXNy2a+fM18sVzmKZuJdFOwUpldSMapAgTqdV7V7hgOl1HFSOIFziPlI9dzeyjk&#10;tFwZASs7k3sjlGJTZiybClkCjK3xRTqccMVkCaqmolSwmj1n8SqkCiofNlUnFUUFm1vkPFc7vV3Y&#10;IOiergWcw/nCft3kktUjNyVBAwQ0n0FR5KkUtViqLmjsGRQaa6DaQS/u+dYecFgSDGu148wciHg+&#10;nra3X1dvYU45X9D0AbFpDd4PPfTjxFMwcFbK5TWtPj9KZ7EiI5cr4jpqC63sAVqLlY8yH2XQyh6g&#10;RdMUgIQRttFIoN9I9mP6jaTfjAFQzBgAyjTCRhI2kqiRRK6z5nn5AEDiL9dZCv4PI2haxgG0C+Nh&#10;VK44040t/pR5uh5/oMOFyHY3EtCjQ16rWwRVf1QoqW4k/srY8suNdOqvIzfx4A4u4C66To6ep+eB&#10;A5SO2lVsCddt5E5kTrk2SDMVbLNXpjVKUIf+OnKNr75LNyjB5dX40+3PuIDSy4AMF4OfzSGhofSZ&#10;Od2JjdKXRQCrwGfrQuCoBiK6UeIOP2aMM8Wy1rB0WHGhJpJRRLGlcUHlFDkHxdCe5dLMSoXGIh2u&#10;4C5WQC5WzDc1XD+WGTM9UrmbCi6O7ij4LYPjpMM82x5tQciMWfX28psD1kp+YUucsRx/f7tZ1A5d&#10;wiJOKZQTOjtZf//3i+lFH6HRo2D8lAIb4oxKTYErlFmHmF1VyoGljZ3T4eO47xRAFesaFTxqhCsE&#10;He9Xo8h86F1A027L+lEteJ7Nc87RbLVcLabcnsKPwkkysT5zNIyXevCbZ4IP4FTcjl4dQCzB5urj&#10;8hNbgcM+Wu6w+KVUG+41AF5eBMOLy4v4t1EMX0YR6CzpEO8YRDSAAZu4aI7Hse8Rr0PIuWH+YRjp&#10;EP/csP5hmN8h2vQHyx0WDQ7D+h0SHGv7hoEtbvAO4abLTfEK/wP4pi34YNLeCc1bPBUZG3tdjVBL&#10;cuqkZ+Dtd2MvCeMkTqLIiwZhcnyYw5kboIMu8aM4DkkYBVGfkPDchAbyqNv3ByQOPJ8kYRBGg3MT&#10;GvCjbpCQAdidBDEJvD45O6OxQ9j1E3AAP4gHEVyOODnZFJjkgJv5aO6ctgWazHDHKYXYq92iECt5&#10;PYXMfgeFEP+P4pBBPPH9+Xs45NzMvzjEMFLjxuiQ/xccMkMKnv2BHEK8bhRGPiFRAnc2IN5Z4mxI&#10;hPjdAQkHSdBPIhKF/Tg6RwoNixCgkUES+kk/SWIPCOgs1Tf4w4wARnoJsEkYEWCIc2s0NEKA24IB&#10;MBRJBqQfJfG7aSS7WvAaOb5ei6crtmJl9k/Wjp9Mz08UErZWUoKjp1R9osXxe4vyWyZflN8wiVH0&#10;Mz2Xm8WCs9v8a1sVEN1+ayta/Zxnam1jmNC+7XT70UZw/iAIwpBEsXmY2x1h0CexpztAZTuYgydu&#10;osPH9vAjPXVKIfReITpC5rB1na6ZXRR5eU23mpUAocPATEeWR2ek2xthU7SF2SBQ/LxQENtjhoqv&#10;4sj9kUEiB+G1U4sNwHQFwT/LMB7XYW1BfxHyLk8friE9M8pLyIxtZ16e71QwCUy830HJtupOmIkm&#10;gjIBFQRuZ2Oxyzn+xznAnK1hz3lUbU3s/sbsI7bZB+Qgv5190CGjL2UldJjWL8lhlybR0du3ISu4&#10;+Q2VFNOffb5yf2uPaJIMcxbIFiGBrSc2UPcHLYeyfcwaF7OLfzFpwcUv67AGbb7gE74qjSxVci/9&#10;vFzWrAnQAQlt8VJcb7jKrx45WK/lTuDEe8eFC/ncg4/213LMb3hwOiyoPV+gl8co47UubbMg7aE/&#10;yjyDG8MMoVioeek8QYIZ+pDtprQauUsoe0CzqMC/63IFOTDAApUEgARzglJgKgEgQLYnazWjtb34&#10;2vMQHTrU5Q/jjyaRYMslS9VVjVkgOMgWm7blbCQ41b8TCLq8Sz/pzKN40AnmQdhJBl7c8UhymURe&#10;kASz+X9wA1CDWOdZxkq4g02RCYRvLW0Qr2eqRG86fOt2wVXb1ftMCspXmXi6g5O54LG1gg7I3/Q/&#10;jRqk6taFBiFIDUz1mmaWVJOWlKprYZmTeI0cr7Ze7/SWv8oMR6BpDbDT5re2BfqU9ghoPHeWfYpu&#10;otXjKoYjhRq5nTAwx8XKIXyvhfxqjslfUeBAikGHwJJbu6hBm6LGCa205Ee0spe/SCsSl3ixCILr&#10;a99UY3gHHXwI/7e1jRfeFKDT49fEcssLrwnUT3B7YJq/HhNjpyOrf7v09f7H5Cjc0A/Ny4+J7rpk&#10;6okx+4AszIc1GoYH92W+f0RQDPds/0A0L32LWw1vtgR/Ik7FW/YupkRYTqYejv02DmuXC7H9U15/&#10;LrmNnG3YluV1dQnxxUM9sTEChLLGZBgozzD2/gxsBpHkyRPfVBwbw51YCw5xUgV7R+S1oDXD1/rb&#10;9V6nylW6ntMi57uR24ciNpaeIWDBaQbP3xVewTuBf63gM6qoI6EkOnLlx8wkUxhD3Vf4V5FjeNpz&#10;tKPrarj+q9D4vwAAAP//AwBQSwMEFAAGAAgAAAAhAF2TIhYICAAAXxoAABUAAABkcnMvY2hhcnRz&#10;L2NoYXJ0My54bWzsWW1v47gR/l6g/0EVAtwn23q1JWPtg+Mgu4smt+kmuQL9Rku0rYYSdSSd2Fvc&#10;f78ZkrJlx84l2R7QApcANjUih+Qz7+MPP65L5jxSIQtejVy/67kOrTKeF9Vi5N7fXXYS15GKVDlh&#10;vKIjd0Ol++P4r3/5kA2zJRHqtiYZdYBJJYfZyF0qVQ97PZktaUlkl9e0gndzLkqi4FEserkgT8C8&#10;ZL3A8/o9zcS1DMg7GJSkqJr14jXr+XxeZPSCZ6uSVsqcQlBGFCAgl0Ut3TFcLieK+qkXOY+EjVzP&#10;7SGRkWphCLTqTO4NUfBVldN8ykUFMLbml9lwwhQVFbCa8krBbvae5auQKol4WNWdjJc1HG5WsEJt&#10;9HHhgMB7uuRwD+cr/WVVCCpHbuZHDRAwfAZFWWSCSz5XXeDYMyg00kC2g17SC6w84LJ+NJRqw6i5&#10;kO8FeNvedl99hEvC2IxkD4hNa/J26u49LjwEA1dlTFyT+sujcGYLf+Qy5buOWsMof4DRbBEgLUAa&#10;jPIHGJEsAyBhhh00FHhvKNs5YUMJmzkAipkDQJlB3FDihtJvKH3XWbKiegAg8ct15px9MoRmZBRA&#10;qzBeRhWKUT1Y46cosuX4AxnOeL65EYAeGTKpbhFU/VAjpb4R+JXT+dcb4chvIzf1wAZnYIuuU6Dm&#10;6XWgAJWjNjWdg7mN3IkoCNMCaZaCbLbMNEcB7FBfR67R1XfxBia4vRr/g+W4gdLbAA03g8/mkjBQ&#10;+s6MbPhKaWPh4FXgsWUQOKuBiKwUv8OHC8qoonlrWjasGVcTQQmi2OI4I2KKPgfJML4ohFmVcY1F&#10;NlyALdbgXCyZrSSYH82NmB6J2Ew543s2CnpL4TrZsMjXe0fgIqeWvTV+c0GpxFc6xxXz8Q+3q5l0&#10;yBw2cSqunNjZCPnD384+noUIjZ4F86cEvCGuqNUUfIUy+/jmVLVyYGsj52z4OA6dElzFUiKDR41w&#10;jaCjfTWMzIM+BQztsaweSc6K/LJgDMUmxWI2ZfYWQT+epBOrM3vTWKUnv3kl6AAuxePo3QHECmSu&#10;Ps9/ogtQ2EfrOyx+GdGCew2A52fR8Oz8LPl9FOPjKII7Szu+tw8iCsCA7bsojsdx4Plex/dPTQt2&#10;0/yOH5yaFu6mBR1fi34nud2m0W5a2PGjfW4vCNjiBnEID12tylfoH8D3sQUfLNoqoYnFU57TsdfV&#10;CLUoh0p6At6w6ydBEEZRaD/3L7O7cwN02A0CiKZBkqR+EPlJX4v2GEoN5mE38pIIwo43CPogzTA9&#10;tUcDf9T1BwPPiwdJmnqp58cn92gkEXb7/TRO/YEXxqGfwC77e4BQdsiZh8bqtDRQaMZ7HDoRa9wt&#10;J2Ipr3cin77DifjBH+VFBskkCC7f40VOrfzTixif1Kgx+KT/DS/yCZ3wpz/QiyRofr6XNJ9JvG9+&#10;z91I2o3jNAmiOIxglR8G/VMrGjeSdhMfHE8SDcDVgwM6NPHdHg3+vt+Nk/7A9waJF4BzOO2qGjfi&#10;e904jSMvgAP5YRQeBpTXu5H8asYkenm55E9XdEGr/O+0nUGZNz8TKNlaZQnOnhL1Eyn3Iy7Sb6k4&#10;Sr+hAvPoZ3zOV7MZo7fFtzYruMH2aAtS/7PI1dJmMbGN7mT92eZwwQDcexokR1+AKPy+dh86hdum&#10;cxDkJjqBPMlHZgSS7wWiw0UBR9cFmzlFWVTXZG3ZtibmOrfcuyNZ33BbpM1M7gAu/rJUkN1jjYpx&#10;ceR+pFDKQYLtSL4CmK4g/ac5ZuQ6sS3Jv7m4K7KHayjQDPMKamP7sqhOv1SwCES8PUFF1+qOm4Um&#10;hzIpFaRuJ7Ox80v8xzXgOVvTnvtRtTbZ+xvrD4iDuv6Az9+vP8iQkmN1CRlm8hgdTmlKHX18m7SC&#10;mt8QQbAA2lYs97f2iqbMMHeBehFKWDmxqTpq2lah7DtqhYv1xb+osODik1VYgzabsQlbVIaWKbGl&#10;fpnPJW1SdEBCS7zi1yumiqtHBtJrqRPYxVZxwSCPaXDrfC3FfEGDs2FJ7P0ivT1mGTvdf1mlbR2k&#10;NfSjKHKwGGocioWaVc4TlJhxAPVuRuqRO4fGBwzLGvRbVguoggEW6CUAJFgVVByLCQAB6j0h1QWR&#10;1vC15iE6ZKgbIEYfTSlB53OaqSuJdSAoyBqHduSsBCjVfzAL9M6DtHPZTwad6DKKO+nASzqen56n&#10;fS9Ko4vLX/EA0IVYFnlOK7DBps0ExLc2N3yvZ/pEb7p8y7rA1DZyW0tBAyvnT3dwMxc0Vip4ARWc&#10;/tOoQbFuVWgQA9XAJJckt041bVGJuubWc/peQ0fT1vsdWvmrxLAHmuYAJ22+tSxQp7RGwOC5smyL&#10;dJOt7vcxHMHVyO1AvMM/F3uH8Lzk4pu55mtaHOhiUCGw6dZua5CmrXHgVlr0PbeypR91KwK3ONoG&#10;wf21bqoxxEEHA+F/t7txJKYAVPvRxPqWI9EEOih4PBDNn8HEyGlP6i83v74nmLTSFh1ojgcT/eqc&#10;qidKbQCZmQcrNEwP7qtiG0SQDHa2DRBNpG/5VuM3W4T/I5+KVvYuT4mwHCzdXfttPqzdMMTxz4X8&#10;UjGbOdu0LS9kfQ75xYOc2BwBUlkjMkyULzD3/gLeDDLJgxDf9BwbwR1ICy5x0Ad7R+Y1I5JitH65&#10;4+vUhcqWl6Qs2GbkhtDGxuYzJCy4zOD5XekVxAn8vYJdEEUcAU3RkSs+56aYwhzqvsbfRfbhaa/R&#10;io5HMr8LjX8DAAD//wMAUEsDBBQABgAIAAAAIQBpsSFibAYAAFcbAAAcAAAAZHJzL3RoZW1lL3Ro&#10;ZW1lT3ZlcnJpZGUzLnhtbOxZT48bNRS/I/EdrLm3SXaTdLNqttpkky602642aVGPzsSZceMZj2xn&#10;t7mh9oiEhCiICxI3Dgio1EpcyqdZKIIi9SvwbM9MxpsJu9uuQJTmkMzYP7//7/nZuXrtQcTQIRGS&#10;8rjt1S5XPURin49pHLS9O8P+pQ0PSYXjMWY8Jm1vTqR3bev9967iTRWSiNyGtYKOCQI6sdzEbS9U&#10;KtmsVKQP01he5gmJYW7CRYQVvIqgMhb4COhHrLJWrTYrEaaxtwUEfSYGehVBMY6A1+3JhPrETI2n&#10;NY2Qc9llAh1i1vaAxJgfDckD5SGGpYKJtlc1H6+ydbWCN9NFTK1YW1jXN590XbpgPF0zPEUwypnW&#10;+vXWlZ2cvgEwtYzr9XrdXi2nZwDY90mcylKkWe9v1DoZzQLIPi7T7lYb1bqLL9BfX5K51el0Gq1U&#10;FkvUgOxjfQm/UW3Wt9ccvAFZfGMJX+9sd7tNB29AFt9cwvevtJp1F29AIaPxdAmtHdrvp9RzyISz&#10;3VL4BsA3qil8gYJoyKNLs5jwWK2KtQjf56IPAA1kWNEYqXlCJtiHmOziaCQo1gzwJsGFGTvky6Uh&#10;zQtJX9BEtb0PExx7Bcir59+/ev4UvXr+5Pjhs+OHPx0/enT88EdLy1m4i+OguPDlt5/9+fXH6I+n&#10;37x8/EU5Xhbxv/7wyS8/f14OhAxaaPjiyye/PXvy4qtPf//ucQl8W+BRET6kEZHoFjlCBzwC3Yxh&#10;XMnJSJxvxTDE1FmBQ6BdQrqnQgd4a45ZGa5DXOPdFVA8yoDXZ/cdWQehmClawvlGGDnAPc5Zh4tS&#10;A9zQvAoWHs7ioJy5mBVxBxgflvHu4thxbW+WQNXMgtKxfTckjpj7DMcKByQmCuk5PiWkRLt7lDp2&#10;3aO+4JJPFLpHUQfTUpMM6cgJpMWiXRqBX+ZlOoOrHdvs3UUdzsq03iGHLhISArMS4YeEOWa8jmcK&#10;R2UkhzhiRYPfxCosE3IwF34R15MKPB0QxlFvTKQsW3NbgL4Fp9/AUK9K3b7H5pGLFIpOy2jexJwX&#10;kTt82g1xlJRhBzQOi9gP5BRCFKN9rsrge9zNEP0OfsDxSnffpcRx9+mF4A4NHJEWAaJnZqLEl9cJ&#10;d+J3MGcTTEyVgZLuVOqIxn9XthmFum05vCvbbW8bNrGy5Nk9UaxX4f6DJXoHz+J9AlmxvEW9q9Dv&#10;KrT31lfoVbl88XV5UYqhSuuGxPbapvOOVjbeE8rYQM0ZuSlN7y1hAxr3YVCvM+dJkh/EkhAedSYD&#10;AwcXCGzWIMHVR1SFgxAn0LfXPE0kkCnpQKKESzgvmuFS2hoPvb+yp82GPofYyiGx2uNjO7yuh7Pj&#10;Rk7GSBVIy9EyWtcEzsps/UpKFHR7HWY1LdSZudWMaKYoOtxylbWJzbkcTJ6rBoO5NaGzQdAPgZWb&#10;cKLXrOG8gxkZa7tbH2VuMTa5SBfJEMPtg7kRaGi9l31UM07KYmVJEa2H9ZE+O55itQK3lib7BtzO&#10;4qQiu/oKdpn33sRLWQQvvATUTqYji4vJyWJ01PZajbWGh3yctL0JHJXhMUrA61I3k5gFcKXkK2HD&#10;/tRk1qFRVDhTzE2CGtx+WLsvKezUgURItYNlaEPDTKUhwGLNycq/1gCzXpQCJdXobFKsb0Aw/GtS&#10;gB1d15LJhPiq6OzCiLadfU1LKZ8pIgbh+AiN2EwcYHC/DlXQZ0wl3HiYiqBf4HpOW9tMucU5Tbri&#10;pZjB2XHMkhCn5VanaJbJFm4KUi6DeSuIB7qVym6UO78qJuUvSJViGP/PVNH7CVxBrI+1B3y46xUY&#10;6Uxpe1yokEMVSkLq9wU0DqZ2QLTAFS9MQ1DBNbT5FeRQ/9qcszRMWsNJUh3QAAkK+5EKBSH7UJZM&#10;9J1CrJbuXZYkSwmZiCqIKxMr9ogcEjbUNbCp93YPhRDqppqkZcDgTsaf+55m0CjQTU4x35xKlu+9&#10;Ngf+6c7HJjMo5dZh09Bk9s9FzNuDxa5q15vl2d5bVERPLNqsepYV7lbQStP+NUU451ZrK9aSxmuN&#10;TDjw4rLGMJg3RAlcJCH9BfsfFT6zf2LoDXXID6C2Ivj/QhODsIGovmQbD6QLpB0cQeNkB20waVLW&#10;tGnrpK2WbdYX3OnmfE8YW0t2Fn+f09h5c+ayc3LxIo2dWtixtR1baWrw7MkUhaFJdpAxjnH+DNv6&#10;CwAA//8DAFBLAwQUAAYACAAAACEApHDXGR0IAABgGgAAFQAAAGRycy9jaGFydHMvY2hhcnQ0Lnht&#10;bOxZbW/juBH+XqD/QRUC3CfberUkY+2D48DXbJPbYJPcAf1GS7SthhJVinbsLfrfO0NStuzYuSTb&#10;A1rgdoGEGpEj8pnhMy/59OOmYNaaijrn5dB2u45t0TLlWV4uhvbjw7QT21YtSZkRxks6tLe0tn8c&#10;/flPn9JBuiRC3lckpRYoKetBOrSXUlaDXq9Ol7QgdZdXtIR3cy4KIuFRLHqZIM+gvGA9z3H6PaXE&#10;NgrIBxQUJC+b9eIt6/l8nqf0iqergpZS70JQRiQgUC/zqrZHcLiMSOomTmCtCRvajt1DISPlQgto&#10;2Rk/aqHgqzKj2YSLEmBszS/SwZhJKkpQNeGlhK+ZcxZvQqog4mlVdVJeVLC5Wc5yuVXbhQ2C7smS&#10;wzmsr/Sfq1zQeminbtAAAcMXUBR5KnjN57ILGnsahcYaqDbqxT3P2AMO6waDWm4Z1QdyHQ9P29t9&#10;V21hShibkfQJsWlN3k3dv8eFx2DgqpSJW1J9WQtrtnCHNpOubckNjLInGM0WHso8lMEoe4IRSVMA&#10;EmaYQSOB91qym+M3Er+ZA6DoOQCUHoSNJGwk/UbSt60ly8snABJ/2dacs79qQTPSDqBcGA8jc8mo&#10;Gmzwp8jT5egTGcx4tr0TgB4ZsFreI6jqoUJJdSfwV0bnX++EVX8b2okDd3AGd9G2cvQ8tQ4coLTk&#10;tqJzuG5DeyxywpRBmqVgm50ypVGAOvTXoa199UO6QQl+Xo5+HaN+qb4CIvwW/GzOCAOpjszIlq+k&#10;uiscSAUeW/cBZzUIkZXkD/hwRRmVNGtNSwcV43IsKEEQWxpnREyQclAM46tc6FUpV1CkgwVcxQq4&#10;xYjZqobbRzNtpTUR2wln/OCKgttSOE46yLPNwRa4yKhRb+6+PmAtxVc6xxXz0Q/3q1ltkTl8xCq5&#10;tEJrK+of/nJxfeEjNGoWzJ8QIENcUckJUIXU33H1rippwae1mdPBeuRbBTDFskYFa4VwhaDj9WoU&#10;6Qe1CxiabRk3qjnLs2nOGFqtFovZhJlTeP1wnIyNyxxMY6Wa/O6V4AO4FLejvg4glmBzeT3/mS7A&#10;X9eGOgx+KVGGewuAlxfB4OLyIv5tFMPTKAKbJR3XOQQRDaDBdm00x3rkOa7Tcd1z07z9NLfjeuem&#10;+ftpXsdVpt9bbv/RYD/N77jBobZXDGxwgzCEmy5XxRv8D+C7bsEHi3ZOqEPxhGd05HQVQi3JsZOe&#10;gdfpho7vh2HkBP0kSuJ+eBacBmq36/ajKIpjv5/EUd+Jzq5oUHe7/TgJYydxo34U+IEbHUK2R7Yx&#10;gN91vTBIfC9xPT9xgyg8t2Jni66Pm3E9L46cyOkHyeEKMMseO/3Q3DtlDzSb5o9jGjHXu0UjRvJ2&#10;Gvn8HTTier8Xj0Tx2POmH+GRcyv/4BHNSo0bAyv9b/DIZ6Thz78jj7jdKImAD5Ig9IMkCb2zVNzQ&#10;SNR1fCd0Qi/wnRh4JzxLCg2NRN1+P/Ejz3OCyI+C0FNR5RRBN/jH3SR0vKiP30j8xPOOuHpPPA2N&#10;xN0YJodOFDgO0FwYHBHP22kku5mxGnm+XvLnG7qgZfY32s6h9JtfCNRsrboEZ0+I/JkUhzEX5fdU&#10;nJTfUYGJ9As9l6vZjNH7/FtbFZxgt7UFqX7NM7k0eUxo4jvZXJsszouATeO+E+vgfPjCddwgUPSh&#10;krhdQgdhbqxSyMPpLT11SiD7XiA6XOSwdVWx6V0UeXlLNkZta2KmssuDM5LNHTdV2kxvECh+WkhI&#10;77FIxcg4tH+iUMtBhm3VfAUw3UD+TzNMyVVqW5B/cPGQp0+3UKFp5SUUx+ZlXp5/KWERmHi3g5Ju&#10;5APXC3UWpZMqSN7O5mOXU/yPa4A5W9Ne8qjc6PT9nQVIbAoQKEN+uwAhA0pOFSZkkNan5LBLXeuo&#10;7Zu0Fdz8jgjytV2yPN6bI+pCQ58FCkaoYeuxSdbR03YOZd5RY1ysMP5OhQEXn4zDarTZjI3ZotSy&#10;VIqd9Mt8XtMmSQcklMVLfrtiMr9ZM7Bey53gXuwcFy7kKQ9u7a/lmK94cDooiDlfoD6PWcbe9193&#10;aVMJKQ/9SeQZ3BiqCcVAzUrrGWrM0IOCNyXV0J5D5wOGRQX+XZcLKIMBFmgmACRYF5QcywkAASo+&#10;UcsrUpuLrzwP0SED1QHR/qiLCTqf01Te1FgJgoNscGhG1kqAU/0LUrTAufSSzrQfR51gGoSdBEij&#10;47jJZdJ3giS4mv4bNwBtiGWeZbSEO9j0mUD43u6G6/R0o+hdh2/dLrhq23pXTUEHK+PPD3AyG4rs&#10;WsILqOHUP4UaVOvGhaIQpBqmekkyQ6oQYXZSIm+5YU4XYpuW49VW3zu+5W8ywwFoSgPstPmtbIE+&#10;pTwCBi+dZVem62z1sJFhCS6HdieEYIebxeYhPC+5+KaP+ZYeB1IMOgR23dp9DdL0NY5opSU/oJWd&#10;/CStCPwEtDBe9kHw+8o35QjioIWB8L/b3zgRUwCqw2hiuOVENIEeCm4PTPNHMNF2OrD6692v7wkm&#10;rXRDBZrTwUS9uqTymVITQGb6wRgN04PHMt8FERTDPdsFiCbSt7hV82ZL8H/EqXjLPsSUCMvR0v2x&#10;38dh7ZYhjn/J6y8lM5mzSduyvK4uoSX6VI9NjgCprDYZJspXmHt/ATaDTPIoxDddx8ZwR9aCQxx1&#10;wj6Qec1ITTFav97ytapcpsspKXK2Hdo+9LGx+wwJCy7TeH5XegVxAv9gwa6IJJaAtujQFteZLqYw&#10;h3qs8A8jh/C01yhHxy3pPwyN/gMAAP//AwBQSwMEFAAGAAgAAAAhAMnrX/sRCAAAXxoAABUAAABk&#10;cnMvY2hhcnRzL2NoYXJ0Ni54bWzsWeFv6jgS/77S/g+5qNJ+AuIkQEAPVpSKvadr+6rXdk/abyYx&#10;kKsTZ23Twjvd/34ztkMDhV7bdyvdSfv6BM7EHtu/Gf88M3z6eVNw75FJlYty5JN24HusTEWWl8uR&#10;f383ayW+pzQtM8pFyUb+lin/5/GPP3xKh+mKSn1b0ZR5oKRUw3Tkr7Suhp2OSlesoKotKlbCu4WQ&#10;BdXwKJedTNInUF7wThgEvY5R4jsF9AMKCpqX9Xj5lvFischTdiHSdcFKbVchGacaEFCrvFL+GDaX&#10;Uc3IIIi9R8pHfuB3UMhpubQCVrYm91YoxbrMWDYVsgQYG/2LdDjhmskSVE1FqWE2t8/iTUgVVD6s&#10;q1YqigoWN895rrdmubBA0D1dCdiH95X9vs4lUyM/JXENBDRfQFHkqRRKLHQbNHYsCrU1UG2/k3RC&#10;Zw/YLImHSm85sxsiQYi77ezmNUuYUc7nNH1AbBqdd12f3+PAQzBwVMrlFa2+PEpvviQjn2vie3oD&#10;rewBWvNliLIQZdDKHqBF0xSAhB6uUUvgvZXs+kS1JKr7ACi2DwBlG91a0q0lvVrS870Vz8sHABK/&#10;fG8h+F+toG5ZBzAujJvRuebMNDb4KfN0Nf5Eh3ORbW8koEeHXOlbBNU8VCipbiR+ZWzx9UZ66tvI&#10;HwRwBudwFn0vR88z48ABSk9vK7aA4zbyJzKn3BikHgq22SkzGiWoQ38d+dZXP6QblOD0enxHFU6g&#10;zTQgw8ngs94kNLTZM6dbsdbmsAhgFXhsHAjsVUNE11rc4cMF40yzrNEtHVZc6IlkFFFsaJxTOUXO&#10;QTG0L3JpR6XCYJEOl3AWKyAXJ+ZrBcePZdZMj1Rup4KLvTMKfstgO+kwzzZ7SxAyY069O/x2g0rL&#10;r2yBIxbjn27Xc+XRBUzilUJ7XW8r1U9/Obs6ixAa0wv6TymwIY6o9BS4Qtt5iF1VpT2Y2to5HT6O&#10;I68AqlgB2viEnxWCjuerVmQfzCqg6Zbl/EgJnmeznHM0m5LL+ZS7XYS97mQwcT6z142XpvO7R4IP&#10;4FBcjpkdQCzB5vrz4potwWEfHXc4/FJqDPcWAM/P4uHZ+VmCul9HsXscRaCzQYsEOP4ZRITSgk18&#10;NMfjOAxI0CLkVLfwuRtpkfBUt+i5W9gixvTHJo2fu0UtEu9rQxBPGNjhBvcQLrpcF2/wP4DvqgEf&#10;DNo5ob2LpyJj46BtEGpIDp30BLy9djck/WhAoiCO4n4Sntx0jXS/HfW7SdLrhnEShr1Bd3/7z6ap&#10;MY/bhIQkHnSjsA+XTxIYZziGaw1/3A4jEhHSD3q9cBB0496pOWpLwBwxuABJojgig27Yf2mUZ+TA&#10;QjX26FVoDTSaZY9DEnGHu0EiTvJ2Ern+DhIh4R/FIv1kEoazj7DIqZF/sojlpNqNwSH/N1jkGkn4&#10;+g9kEZK0w16QABkALRg6OXVgaxYh/XYc94ALuiToRUk4GJwaUdMICdpJ3GSSk0xV40+idi8hIQxK&#10;4n6vH/ZPzlHTCAE6hEXF/SiC7gkJDkZY5nAE/CqNZJdzrpDl1Uo8XbIlK7O/sWYEZd/8SiFla6Ql&#10;2HtK9TUt9m9clN8yeVR+wyTG0S/0nK/nc85u829NVbDo3dKWtPp7numVi2K67nanm88uhgPE4H+c&#10;JPZq3n8B6ISxoQ8Twu3CObjkJiaA3O/e0KNSCsH3EtERMoelm4TNrqLIyyu6cWobHTMTW+7tkW5u&#10;hEvS5naBwOqzQkN0jzkq3osj/xcGqRwE2J4Sa4DpEsJ/lmFEbgLbgv5DyLs8fbiCBM0qLyE3di/z&#10;8vRLDYPAxLsVlGyj74QdaGMoG1JB6HYyGjuf4R+OAeZsdHvJo3pjo/d35h+Jyz8gC/nP+QcdMnos&#10;L6HDVB2TwyptqmOW74JWcPMbKikmQLuM5f7WbdGmGXYvkC9CCqsmLlRHT9s5lHvHnHExv/iNSQcu&#10;PjmHtWjzOZ/wZWllqZY76ZfFQrE6RAckjMVLcbXmOr985GC9hjvBudg5LhzIYx7cWF/DMV/x4HRY&#10;ULe/2EwPkzRGvu7SLg8yHvqLzDM4McwSioOal94TpJjdEPLdlFYjfwGFD2gWFfi3KpeQBQMsUEsA&#10;SDArKAUmEwAC5HtS6Quq3ME3nofo0KEpgFh/tKkEWyxYqi8V5oHgIBtsupa3luBU/xwAwQbn4aA1&#10;6yX9VjyLu61BP0haARmcD3pBPIgvZv/CBUAVYpVnGSvhDNZlJhC+t7hBgo6tE71r843TBUdtq3a5&#10;FBSwMvF0BzvzwWOVhheQwZl/BjVI1p0L9bsgtTCpFc0cqQ4aUqqvhGNOEtRyPNpmvsNT/iYz7IFm&#10;NMBK629jC/Qp4xHQeOksuyTdRqv7dQxPCj3yW93Ybhdrh/C8EvKb3SZ/Q4kDKQYdAotuzbIGrcsa&#10;B7TSkO/Ryk5+lFYkTnG0DILzG9/UY7gHPbwI/7vVjSN3CtDp/m3iuOXIbQIVFFwemObPy8Taac/q&#10;rxe/vucyaYQb5qI5fpmYV+dMPzHmLpC5fXBGw/Dgvsx3lwiK4ZztLoj6pm9wq+XNhuD/iFPxlH2I&#10;KRGWg6HP234fhzULhtj+NVdfSu4iZxe2ZbmqziG+eFATFyNAKGtNhoHyBcbeX4DNIJI8uOLrmmNt&#10;uANrwSYO6mAfiLzmVDG8rV+v+HpVrtPVjBY53478CMrYWHyGgAWHWTy/K7yCewJ/r+AXVFNPQlF0&#10;5MvPmU2mMIa6r/B3kX14mmOMo+OS7O9C438DAAD//wMAUEsDBBQABgAIAAAAIQBpsSFibAYAAFcb&#10;AAAcAAAAZHJzL3RoZW1lL3RoZW1lT3ZlcnJpZGU1LnhtbOxZT48bNRS/I/EdrLm3SXaTdLNqttpk&#10;ky602642aVGPzsSZceMZj2xnt7mh9oiEhCiICxI3Dgio1EpcyqdZKIIi9SvwbM9MxpsJu9uuQJTm&#10;kMzYP7//7/nZuXrtQcTQIRGS8rjt1S5XPURin49pHLS9O8P+pQ0PSYXjMWY8Jm1vTqR3bev9967i&#10;TRWSiNyGtYKOCQI6sdzEbS9UKtmsVKQP01he5gmJYW7CRYQVvIqgMhb4COhHrLJWrTYrEaaxtwUE&#10;fSYGehVBMY6A1+3JhPrETI2nNY2Qc9llAh1i1vaAxJgfDckD5SGGpYKJtlc1H6+ydbWCN9NFTK1Y&#10;W1jXN590XbpgPF0zPEUwypnW+vXWlZ2cvgEwtYzr9XrdXi2nZwDY90mcylKkWe9v1DoZzQLIPi7T&#10;7lYb1bqLL9BfX5K51el0Gq1UFkvUgOxjfQm/UW3Wt9ccvAFZfGMJX+9sd7tNB29AFt9cwvevtJp1&#10;F29AIaPxdAmtHdrvp9RzyISz3VL4BsA3qil8gYJoyKNLs5jwWK2KtQjf56IPAA1kWNEYqXlCJtiH&#10;mOziaCQo1gzwJsGFGTvky6UhzQtJX9BEtb0PExx7Bcir59+/ev4UvXr+5Pjhs+OHPx0/enT88EdL&#10;y1m4i+OguPDlt5/9+fXH6I+n37x8/EU5Xhbxv/7wyS8/f14OhAxaaPjiyye/PXvy4qtPf//ucQl8&#10;W+BRET6kEZHoFjlCBzwC3YxhXMnJSJxvxTDE1FmBQ6BdQrqnQgd4a45ZGa5DXOPdFVA8yoDXZ/cd&#10;WQehmClawvlGGDnAPc5Zh4tSA9zQvAoWHs7ioJy5mBVxBxgflvHu4thxbW+WQNXMgtKxfTckjpj7&#10;DMcKByQmCuk5PiWkRLt7lDp23aO+4JJPFLpHUQfTUpMM6cgJpMWiXRqBX+ZlOoOrHdvs3UUdzsq0&#10;3iGHLhISArMS4YeEOWa8jmcKR2UkhzhiRYPfxCosE3IwF34R15MKPB0QxlFvTKQsW3NbgL4Fp9/A&#10;UK9K3b7H5pGLFIpOy2jexJwXkTt82g1xlJRhBzQOi9gP5BRCFKN9rsrge9zNEP0OfsDxSnffpcRx&#10;9+mF4A4NHJEWAaJnZqLEl9cJd+J3MGcTTEyVgZLuVOqIxn9XthmFum05vCvbbW8bNrGy5Nk9UaxX&#10;4f6DJXoHz+J9AlmxvEW9q9DvKrT31lfoVbl88XV5UYqhSuuGxPbapvOOVjbeE8rYQM0ZuSlN7y1h&#10;Axr3YVCvM+dJkh/EkhAedSYDAwcXCGzWIMHVR1SFgxAn0LfXPE0kkCnpQKKESzgvmuFS2hoPvb+y&#10;p82GPofYyiGx2uNjO7yuh7PjRk7GSBVIy9EyWtcEzsps/UpKFHR7HWY1LdSZudWMaKYoOtxylbWJ&#10;zbkcTJ6rBoO5NaGzQdAPgZWbcKLXrOG8gxkZa7tbH2VuMTa5SBfJEMPtg7kRaGi9l31UM07KYmVJ&#10;Ea2H9ZE+O55itQK3lib7BtzO4qQiu/oKdpn33sRLWQQvvATUTqYji4vJyWJ01PZajbWGh3yctL0J&#10;HJXhMUrA61I3k5gFcKXkK2HD/tRk1qFRVDhTzE2CGtx+WLsvKezUgURItYNlaEPDTKUhwGLNycq/&#10;1gCzXpQCJdXobFKsb0Aw/GtSgB1d15LJhPiq6OzCiLadfU1LKZ8pIgbh+AiN2EwcYHC/DlXQZ0wl&#10;3HiYiqBf4HpOW9tMucU5TbripZjB2XHMkhCn5VanaJbJFm4KUi6DeSuIB7qVym6UO78qJuUvSJVi&#10;GP/PVNH7CVxBrI+1B3y46xUY6Uxpe1yokEMVSkLq9wU0DqZ2QLTAFS9MQ1DBNbT5FeRQ/9qcszRM&#10;WsNJUh3QAAkK+5EKBSH7UJZM9J1CrJbuXZYkSwmZiCqIKxMr9ogcEjbUNbCp93YPhRDqppqkZcDg&#10;Tsaf+55m0CjQTU4x35xKlu+9Ngf+6c7HJjMo5dZh09Bk9s9FzNuDxa5q15vl2d5bVERPLNqsepYV&#10;7lbQStP+NUU451ZrK9aSxmuNTDjw4rLGMJg3RAlcJCH9BfsfFT6zf2LoDXXID6C2Ivj/QhODsIGo&#10;vmQbD6QLpB0cQeNkB20waVLWtGnrpK2WbdYX3OnmfE8YW0t2Fn+f09h5c+ayc3LxIo2dWtixtR1b&#10;aWrw7MkUhaFJdpAxjnH+DNv6CwAA//8DAFBLAwQUAAYACAAAACEA56YgbQsIAABfGgAAFQAAAGRy&#10;cy9jaGFydHMvY2hhcnQ1LnhtbOxZbW/jNhL+XqD/QScE6Cfbol4sy1i7cBy4t9ikG2ySHtBvtETb&#10;ulCiStGJvYf77zdDUrbsxNkkbYEe0ASwqRE5JJ8ZPpwZf/hxU3Dngck6F+XIJV3PdViZiiwvlyP3&#10;7nbWGbhOrWiZUS5KNnK3rHZ/HH//3Yd0mK6oVDcVTZkDSsp6mI7clVLVsNer0xUraN0VFSvh3ULI&#10;gip4lMteJukjKC94z/e8fk8rca0C+g4FBc3LZrx8zXixWOQpuxDpumClMquQjFMFCNSrvKrdMWwu&#10;o4qRxAudB8pHruf2UMhpuTQCVnYmd0YoxbrMWDYVsgQYW/2LdDjhiskSVE1FqWA2u8/iVUgVVN6v&#10;q04qigoWN895rrZ6ubBA0D1dCdiH84X9ts4lq0duSsIGCGg+gaLIUylqsVBd0NgzKDTWQLVxb9Dz&#10;rT1gsyQc1mrLmdkQ8XzcbW83r17CjHI+p+k9YtPqvOu6f48Dj8HAUSmXV7T6/CCd+ZKMXK6I66gN&#10;tLJ7aM2XPsp8lEEru4cWTVMAEnrYRiOB90ay6xM0kqDpA6CYPgCUaUSNJGok/UbSd50Vz8t7ABK/&#10;XGch+D+NoGkZB9AujJtRueJMNzb4KfN0Nf5Ah3ORba8loEeHvFY3CKp+qFBSXUv8ytjiy7V06q8j&#10;N/HgDM7hLLpOjp6nx4EDlI7aVmwBx23kTmROuTZIMxRss1OmNUpQh/46co2vvks3KMHp1fhmgvqV&#10;ngVEOBd8NnuEhtJb5nQr1kqfFQGkAo+t84C9GoToWolbfLhgnCmWtbqlw4oLNZGMIogtjXMqp0g5&#10;KIb2RS7NqFRoKNLhEo5iBdxixXxdw+ljmbHSA5XbqeDi4IiC2zLYTjrMs83BEoTMmFVvz77ZYK3k&#10;F7bAEYvxDzfree3QBUzilEI5kbOV9Q//OPt0FiA0uhf0n1IgQxxRqSlQhTLzELOqSjkwtTFzOnwY&#10;B04BTLGqUcGDRrhC0PF4NYrMg14FNO2yrBvVgufZLOccrVbL5XzK7S78fjRJJtZlDrrxUnd+80jw&#10;ARyKy9GzA4gl2Fx9XPzMluCvD5Y6LH4p1YZ7DYDnZ+Hw7Pxs8G0Uo+dRBDZLOsQ7BBENYMAmLprj&#10;Yex7xOsQcqqbv+9GOsQ/1S3Yd/M7RJt+b7n9pOG+W9Ah4aG2FwxscYNrCBddrotX+B/A96kFHwza&#10;OaG5iqciY2OvqxFqSY6d9AS8QTcMk34cBX5oPpPD3ew33SAddePID4OkH3lxGMZBdBKmBvSo64ck&#10;Djw/TgbJwCcD7Q3PAdvgH3dBexT6CYyLYhLFJ+doTBF3g4EXwCSx/T6aA6yyh848NMdOmwOtZujj&#10;mEXs6W6xiJW8nkUufweLEP/PopF4MPH92Xto5NTIv2nEkFLjxkBKfw0auUQWvvwTaYSQbhL7oedH&#10;SWw+v0UjJOh6SezBIJIQrx+QowO7J56GRkgII/r9xCeEJFHiD05SVYM/ibqDJAgGEbCOH3hJEp9a&#10;VUMjMCIKiA9kGJnvoxGvp5Hscs5rpPl6JR4v2ZKV2SfWDqHMm18opGyttAR7T6n6mRaHVy7Kb5h8&#10;Vn7NJMbRT/Scr+dzzm7yr21VsIPd0pa0+leeqZUNYyJ7vdPNRxvE+fEgJkk4GJi7uf0i8ft9L9Qv&#10;QGU7noNbbqIjyHb3Az11SiH4XiI6QuawdJ2wmVUUeXlFN5qVAKF9x0wHlwd7pJtrYZO0uVkgUPys&#10;UBDdY46KF+PI/YlBKgcBtlOLNcB0CeE/yzAi15FtQf8t5G2e3l9BgmaUl5Ab25d5efqlgkFg4t0K&#10;SrZRt8IMNEGUiakgdjsZjp3P8B/HAHO2uj3lUbUx0fsb84+BzT8gC/l2/kGHjD6Xl9BhWj8nh1Wa&#10;VEcv30at4ObXVNIv7Yzl7sZu0eQZZi+QL0IKW09srA6xwd6h7DtmjYsJxq9MWnDxyTqsQZvP+YQv&#10;SyNLldxJPy8WNWtidEBCW7wUV2uu8ssHDtZruRM48c5x4UA+9eCD9bUc8wUPTocFtfsL9fQwSWvk&#10;yy5tEyHtoT/JPIMTwwyhWKh56TxCihn5kO+mtBq5Cyh8QLOowL/rcglZMMACtQSABNOCUmA2ASBA&#10;widrdUFre/C15yE6dKgLIMYfTS7BFguWqssaE0FwkA02bctZS3Cq/yQEeP/cTzqz/iDuhLMw6gCv&#10;DzoeSc4ToIgkvJj9FxcAVYhVnmWshDPYlJlA+NbiBvF6pk70ps23ThcctW29S6aggJWJx1vYmQs5&#10;dq3gBaRw+k+jBsm6daE4AqmBqV7RzJJq0pJSdSUscxKvkePR1vMdn/JXmeEANK0BVtp8a1ugT2mP&#10;gMZTZ9ll6SZaPaxjOFKokduJQrNdrB3C80rIr2abrylxIMWgQ2DRrV3WoE1Z44hWWvIDWtnJn6UV&#10;iVNABeNpGQTn176pxnAPOngR/rHljWfuFKDTw9vEcssztwmUUHB5YJq/LxNjpwOrv1z8ev9lchBu&#10;6Ivm+ctEvzpn6pExe4HMzYM1GoYHd2W+u0RQDOdsd0E0N32LWw1vtgT/R5yKp+xdTImwHA3db/tt&#10;HNauGGL7l7z+XHIbOduwLcvr6hwqovf1xMYIEMoak2GgfIGx92dgM4gkj674pujYGO7IWrCJo0LY&#10;OyKvOa0Z3tYvV3ydKlfpakaLnG9HbgBlbCw+Q8CCwwyevyu8gnsCf6/gF1RRR0JVdOTKj5lJpjCG&#10;uqvwd5FDeNpjtKPrerj+XWj8PwAAAP//AwBQSwMEFAAGAAgAAAAhAGmxIWJsBgAAVxsAABwAAABk&#10;cnMvdGhlbWUvdGhlbWVPdmVycmlkZTQueG1s7FlPjxs1FL8j8R2subdJdpN0s2q22mSTLrTbrjZp&#10;UY/OxJlx4xmPbGe3uaH2iISEKIgLEjcOCKjUSlzKp1kogiL1K/Bsz0zGmwm7265AlOaQzNg/v//v&#10;+dm5eu1BxNAhEZLyuO3VLlc9RGKfj2kctL07w/6lDQ9JheMxZjwmbW9OpHdt6/33ruJNFZKI3Ia1&#10;go4JAjqx3MRtL1Qq2axUpA/TWF7mCYlhbsJFhBW8iqAyFvgI6EesslatNisRprG3BQR9JgZ6FUEx&#10;joDX7cmE+sRMjac1jZBz2WUCHWLW9oDEmB8NyQPlIYalgom2VzUfr7J1tYI300VMrVhbWNc3n3Rd&#10;umA8XTM8RTDKmdb69daVnZy+ATC1jOv1et1eLadnANj3SZzKUqRZ72/UOhnNAsg+LtPuVhvVuosv&#10;0F9fkrnV6XQarVQWS9SA7GN9Cb9Rbda31xy8AVl8Ywlf72x3u00Hb0AW31zC96+0mnUXb0Aho/F0&#10;Ca0d2u+n1HPIhLPdUvgGwDeqKXyBgmjIo0uzmPBYrYq1CN/nog8ADWRY0RipeUIm2IeY7OJoJCjW&#10;DPAmwYUZO+TLpSHNC0lf0ES1vQ8THHsFyKvn3796/hS9ev7k+OGz44c/HT96dPzwR0vLWbiL46C4&#10;8OW3n/359cfoj6ffvHz8RTleFvG//vDJLz9/Xg6EDFpo+OLLJ789e/Liq09//+5xCXxb4FERPqQR&#10;kegWOUIHPALdjGFcyclInG/FMMTUWYFDoF1CuqdCB3hrjlkZrkNc490VUDzKgNdn9x1ZB6GYKVrC&#10;+UYYOcA9zlmHi1ID3NC8ChYezuKgnLmYFXEHGB+W8e7i2HFtb5ZA1cyC0rF9NySOmPsMxwoHJCYK&#10;6Tk+JaREu3uUOnbdo77gkk8UukdRB9NSkwzpyAmkxaJdGoFf5mU6g6sd2+zdRR3OyrTeIYcuEhIC&#10;sxLhh4Q5ZryOZwpHZSSHOGJFg9/EKiwTcjAXfhHXkwo8HRDGUW9MpCxbc1uAvgWn38BQr0rdvsfm&#10;kYsUik7LaN7EnBeRO3zaDXGUlGEHNA6L2A/kFEIUo32uyuB73M0Q/Q5+wPFKd9+lxHH36YXgDg0c&#10;kRYBomdmosSX1wl34ncwZxNMTJWBku5U6ojGf1e2GYW6bTm8K9ttbxs2sbLk2T1RrFfh/oMlegfP&#10;4n0CWbG8Rb2r0O8qtPfWV+hVuXzxdXlRiqFK64bE9tqm845WNt4TythAzRm5KU3vLWEDGvdhUK8z&#10;50mSH8SSEB51JgMDBxcIbNYgwdVHVIWDECfQt9c8TSSQKelAooRLOC+a4VLaGg+9v7KnzYY+h9jK&#10;IbHa42M7vK6Hs+NGTsZIFUjL0TJa1wTOymz9SkoUdHsdZjUt1Jm51Yxopig63HKVtYnNuRxMnqsG&#10;g7k1obNB0A+BlZtwotes4byDGRlru1sfZW4xNrlIF8kQw+2DuRFoaL2XfVQzTspiZUkRrYf1kT47&#10;nmK1AreWJvsG3M7ipCK7+gp2mffexEtZBC+8BNROpiOLi8nJYnTU9lqNtYaHfJy0vQkcleExSsDr&#10;UjeTmAVwpeQrYcP+1GTWoVFUOFPMTYIa3H5Yuy8p7NSBREi1g2VoQ8NMpSHAYs3Jyr/WALNelAIl&#10;1ehsUqxvQDD8a1KAHV3XksmE+Kro7MKItp19TUspnykiBuH4CI3YTBxgcL8OVdBnTCXceJiKoF/g&#10;ek5b20y5xTlNuuKlmMHZccySEKflVqdolskWbgpSLoN5K4gHupXKbpQ7vyom5S9IlWIY/89U0fsJ&#10;XEGsj7UHfLjrFRjpTGl7XKiQQxVKQur3BTQOpnZAtMAVL0xDUME1tPkV5FD/2pyzNExaw0lSHdAA&#10;CQr7kQoFIftQlkz0nUKslu5dliRLCZmIKogrEyv2iBwSNtQ1sKn3dg+FEOqmmqRlwOBOxp/7nmbQ&#10;KNBNTjHfnEqW7702B/7pzscmMyjl1mHT0GT2z0XM24PFrmrXm+XZ3ltURE8s2qx6lhXuVtBK0/41&#10;RTjnVmsr1pLGa41MOPDissYwmDdECVwkIf0F+x8VPrN/YugNdcgPoLYi+P9CE4Owgai+ZBsPpAuk&#10;HRxB42QHbTBpUta0aeukrZZt1hfc6eZ8TxhbS3YWf5/T2Hlz5rJzcvEijZ1a2LG1HVtpavDsyRSF&#10;oUl2kDGOcf4M2/oLAAD//wMAUEsDBBQABgAIAAAAIQAOJIWn+QcAAGAaAAAVAAAAZHJzL2NoYXJ0&#10;cy9jaGFydDcueG1s7Fnhb+o4Ev9+0v0PuajSfgLikABBD1aUit2na7fVa7sn3TeTGMjViXO2aeGd&#10;7n+/GduBwINu23cr3UlbpOJM7LH9m/HPM8OnHzcF956ZVLkoRz5pB77HylRkebkc+Y8Ps9bA95Sm&#10;ZUa5KNnI3zLl/zj+858+pcN0RaW+r2jKPFBSqmE68ldaV8NOR6UrVlDVFhUr4d1CyIJqeJTLTibp&#10;CygveCcMgl7HKPGdAvoBBQXNy3q8fMt4sVjkKbsS6bpgpbarkIxTDQioVV4pfwyby6hmJAki75ny&#10;kR/4HRRyWi6tgJWtyaMVSrEuM5ZNhSwBxkb/Ih1OuGayBFVTUWqYze2zeBNSBZVP66qViqKCxc1z&#10;nuutWS4sEHRPVwL24X1h/1znkqmRn5KoBgKa30BR5KkUSix0GzR2LAq1NVBtvzPohM4esFkSDZXe&#10;cmY3RIIQd9vZzWuWMKOcz2n6hNg0Ou+67t/jwGMwcFTK5Q2tbp+lN1+Skc818T29gVb2BK35MkRZ&#10;iDJoZU/QomkKQEIP16gl8N5Kdn26taRb9wFQbB8AyjbiWhLXkl4t6fneiuflEwCJX763EPxnK6hb&#10;1gGMC+NmdK45M40N/pd5uhp/osO5yLZ3EtCjQ670PYJqHiqUVHcSvzK2+HInPfV15CcBnME5nEXf&#10;y9HzzDhwgNLT24ot4LiN/InMKTcGqYeCbXbKjEYJ6tBfR7711Q/pBiU4vR5Ppg84gTbTgAwng//1&#10;JqGhzZ453Yq1NodFAKvAY+NAYK8aIrrW4gEfrhhnmmWNbumw4kJPJKOIYkPjnMopcg6KoX2VSzsq&#10;FQaLdLiEs1gBuTgxXys4fiyzZnqmcjsVXBycUfBbBttJh3m2OViCkBlz6t3htxtUWn5hCxyxGP9w&#10;v54rjy5gEq8U2ou9rVQ//OXi9qKL0Jhe0H9KgQ1xRKWnwBXazkPsqirtwdTWzunwedz1CqCKlUIF&#10;zwbhCkHH81Ursg9mFdB0y3J+pATPs1nOOZpNyeV8yt0uwl48SSbOZw668dJ0fvdI8AEcissxswOI&#10;Jdhcf178wpbgsM+OOxx+KTWGewuAlxfR8OLyYvDbKManUQQ6S1okOAQRDWDBJj6a43kcBiRoEXKu&#10;W7jvRlokPNetu+8Wtogx/d5y+0mjfbdui0SH2l4xsMMN7iFcdLku3uB/AN9tAz4YtHNCexdPRcbG&#10;Qdsg1JAcO+kZeEnQjuLm5+yma6T7bRKQKErCftzthV2SnB1Rg95rR/24T3pBz3zHSXKI2B7YGv+o&#10;PUgS0o2jqNcbxIP+oH9uRG2KbjsZhN0gGAyiJI77cXhkY7DKHjr7UB87Yw60mqWPYxZxp7vBIk7y&#10;dha5+w4WIeHvRSP9wSQMZx+hkXMj/6ARS0q1GwMp/W/QyB2y8N3vSCNh1A6jg8+5A1vTCOm1ewd/&#10;RzS6J4WaRki/HccJibukb7/PEk+NPyHtsJsAQwWDbtzvRgNzDb3G6CRCOgz7/XDQA/7pJUerejuN&#10;ZNdzrpDm1Uq8XLMlK7O/smYIZd/8SiFna+Ql2HtK9S+0OLxyUX7P5En5HZMYSH+j53I9n3N2n39t&#10;qoId7Ja2pNXf8kyvXBgTu+udbj67IC7sJ11CSBDZu/noRdiLzAhQ2Yzn4JabmAjyqPtej0opRN9L&#10;REfIHJZuMja7iiIvb+jGsBIgtO+YmeDyYI90cydclja3CwSKnxUawntMUvFiHPk/McjlIML2lFgD&#10;TNcQ/7MMQ3IT2Rb0H0I+5OnTDWRoVnkJybF7mZfnX2oYBCberaBkG/0g7EAbRNmYCmK3s+HY5Qw/&#10;OAaYs9HtWx7VGxu+vzMBGbgEBNKQ305A6JDRU4kJHabqlBxWaXMds3wXtYKb31FJMQPapSyP926L&#10;Ns+we4GEEXJYNXGxuvG02qHcO+aMiwnG35l04OKTc1iLNp/zCV+WVpZquZPeLhaK1TE6IGEsXoqb&#10;Ndf59TMH6zXcCZx457hwIE968H59Dcd8xYPTYUHd/nYnpTHydZd2iZDx0J9knsGJYZZQHNS89F4g&#10;x4xDSHhTWo38BVQ+oFlU4N+qXEIaDLBAMQEgwbSgFJhNAAiQ8Emlr6hyB994HqJDh6YCYv3R5hJs&#10;sWCpvlaYCIKDbLDpWt5aglP9KyFhFFyGSWvWG/Rb0SyKW0k/GLQCklwmvSBKoqvZv3EBUIZY5VnG&#10;SjiDdZ0JhO+tbpCgYwtF79p843TBUduqXTIFFaxMvDzAznzwWKXhBaRw5s+gBtm6c6F+DFILk1rR&#10;zJFq0pBSfSMcc5KgluPRNvMdn/I3meEANKMBVlp/G1uA41q+gca3zrLL0m20eljI8KTQI78VR3a7&#10;WDyE55WQX+0231LjQIpBh8CqW7OuQeu6xhGtNOQHtLKTn6QViVOcrIPg/MY39RjuQQ8vwv9ueePE&#10;nQJ0enibOG45cZtACQWXB6b54zKxdjqw+uvVr++6TPbhhrloTl8m5tUl0y+MuQtkbh+c0TA8eCzz&#10;3SWCYjhnuwuivukb3Gp5syH4P+JUPGUfYkqE5Wjoftvv47BmxRDbv+bqtuQucnZhW5ar6hLiiyc1&#10;cTEChLLWZBgoX2HsfQtsBpHk0RVfFx1rwx1ZCzZxVAj7QOQ1p4rhbf16ydercp2uZrTI+Xbkd6GO&#10;jdVnCFhwmMXzu8IruCfwBwt+RTX1JFRFR778nNlkCmOoxwp/GDmEpznGOLopiJsfhsb/AQAA//8D&#10;AFBLAQItABQABgAIAAAAIQBgU6FPcAEAANkJAAATAAAAAAAAAAAAAAAAAAAAAABbQ29udGVudF9U&#10;eXBlc10ueG1sUEsBAi0AFAAGAAgAAAAhADj9If/WAAAAlAEAAAsAAAAAAAAAAAAAAAAAoQEAAF9y&#10;ZWxzLy5yZWxzUEsBAi0AFAAGAAgAAAAhALHMAqJiAwAAgxIAAA4AAAAAAAAAAAAAAAAAoAIAAGRy&#10;cy9lMm9Eb2MueG1sUEsBAi0AFAAGAAgAAAAhAHSb5bJiAQAAnQIAACAAAAAAAAAAAAAAAAAALgYA&#10;AGRycy9jaGFydHMvX3JlbHMvY2hhcnQxLnhtbC5yZWxzUEsBAi0AFAAGAAgAAAAhAOAZSkLrAAAA&#10;xQQAABkAAAAAAAAAAAAAAAAAzgcAAGRycy9fcmVscy9lMm9Eb2MueG1sLnJlbHNQSwECLQAUAAYA&#10;CAAAACEAxJVQOuIAAAAKAQAADwAAAAAAAAAAAAAAAADwCAAAZHJzL2Rvd25yZXYueG1sUEsBAi0A&#10;FAAGAAgAAAAhACYK7PQHCAAAURoAABUAAAAAAAAAAAAAAAAA/wkAAGRycy9jaGFydHMvY2hhcnQ4&#10;LnhtbFBLAQItABQABgAIAAAAIQBpsSFibAYAAFcbAAAcAAAAAAAAAAAAAAAAADkSAABkcnMvdGhl&#10;bWUvdGhlbWVPdmVycmlkZTgueG1sUEsBAi0AFAAGAAgAAAAhAFwy++piAQAAnQIAACAAAAAAAAAA&#10;AAAAAAAA3xgAAGRycy9jaGFydHMvX3JlbHMvY2hhcnQyLnhtbC5yZWxzUEsBAi0AFAAGAAgAAAAh&#10;AAxgxlpiAQAAnQIAACAAAAAAAAAAAAAAAAAAfxoAAGRycy9jaGFydHMvX3JlbHMvY2hhcnQ0Lnht&#10;bC5yZWxzUEsBAi0AFAAGAAgAAAAhAO3CzeFiAQAAnQIAACAAAAAAAAAAAAAAAAAAHxwAAGRycy9j&#10;aGFydHMvX3JlbHMvY2hhcnQ4LnhtbC5yZWxzUEsBAi0AFAAGAAgAAAAhACTJ2AJiAQAAnQIAACAA&#10;AAAAAAAAAAAAAAAAvx0AAGRycy9jaGFydHMvX3JlbHMvY2hhcnQ3LnhtbC5yZWxzUEsBAi0AFAAG&#10;AAgAAAAhAAOs/YNiAQAAnQIAACAAAAAAAAAAAAAAAAAAXx8AAGRycy9jaGFydHMvX3JlbHMvY2hh&#10;cnQ2LnhtbC5yZWxzUEsBAi0AFAAGAAgAAAAhACsF49tiAQAAnQIAACAAAAAAAAAAAAAAAAAA/yAA&#10;AGRycy9jaGFydHMvX3JlbHMvY2hhcnQ1LnhtbC5yZWxzUEsBAi0AFAAGAAgAAAAhAHtX3mtiAQAA&#10;nQIAACAAAAAAAAAAAAAAAAAAnyIAAGRycy9jaGFydHMvX3JlbHMvY2hhcnQzLnhtbC5yZWxzUEsB&#10;Ai0AFAAGAAgAAAAhAGmxIWJsBgAAVxsAABwAAAAAAAAAAAAAAAAAPyQAAGRycy90aGVtZS90aGVt&#10;ZU92ZXJyaWRlNy54bWxQSwECLQAUAAYACAAAACEAabEhYmwGAABXGwAAHAAAAAAAAAAAAAAAAADl&#10;KgAAZHJzL3RoZW1lL3RoZW1lT3ZlcnJpZGU2LnhtbFBLAQItABQABgAIAAAAIQBpsSFibAYAAFcb&#10;AAAcAAAAAAAAAAAAAAAAAIsxAABkcnMvdGhlbWUvdGhlbWVPdmVycmlkZTIueG1sUEsBAi0AFAAG&#10;AAgAAAAhALWP7hQICAAAXhoAABUAAAAAAAAAAAAAAAAAMTgAAGRycy9jaGFydHMvY2hhcnQyLnht&#10;bFBLAQItABQABgAIAAAAIQBpsSFibAYAAFcbAAAcAAAAAAAAAAAAAAAAAGxAAABkcnMvdGhlbWUv&#10;dGhlbWVPdmVycmlkZTEueG1sUEsBAi0AFAAGAAgAAAAhAKpaBTsQCAAAXRoAABUAAAAAAAAAAAAA&#10;AAAAEkcAAGRycy9jaGFydHMvY2hhcnQxLnhtbFBLAQItABQABgAIAAAAIQBdkyIWCAgAAF8aAAAV&#10;AAAAAAAAAAAAAAAAAFVPAABkcnMvY2hhcnRzL2NoYXJ0My54bWxQSwECLQAUAAYACAAAACEAabEh&#10;YmwGAABXGwAAHAAAAAAAAAAAAAAAAACQVwAAZHJzL3RoZW1lL3RoZW1lT3ZlcnJpZGUzLnhtbFBL&#10;AQItABQABgAIAAAAIQCkcNcZHQgAAGAaAAAVAAAAAAAAAAAAAAAAADZeAABkcnMvY2hhcnRzL2No&#10;YXJ0NC54bWxQSwECLQAUAAYACAAAACEAyetf+xEIAABfGgAAFQAAAAAAAAAAAAAAAACGZgAAZHJz&#10;L2NoYXJ0cy9jaGFydDYueG1sUEsBAi0AFAAGAAgAAAAhAGmxIWJsBgAAVxsAABwAAAAAAAAAAAAA&#10;AAAAym4AAGRycy90aGVtZS90aGVtZU92ZXJyaWRlNS54bWxQSwECLQAUAAYACAAAACEA56YgbQsI&#10;AABfGgAAFQAAAAAAAAAAAAAAAABwdQAAZHJzL2NoYXJ0cy9jaGFydDUueG1sUEsBAi0AFAAGAAgA&#10;AAAhAGmxIWJsBgAAVxsAABwAAAAAAAAAAAAAAAAArn0AAGRycy90aGVtZS90aGVtZU92ZXJyaWRl&#10;NC54bWxQSwECLQAUAAYACAAAACEADiSFp/kHAABgGgAAFQAAAAAAAAAAAAAAAABUhAAAZHJzL2No&#10;YXJ0cy9jaGFydDcueG1sUEsFBgAAAAAdAB0AEggAAICMAAAAAA==&#10;">
                      <v:shape id="1" o:spid="_x0000_s1027" type="#_x0000_t75" style="position:absolute;left:175;width:25853;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o0E&#10;3b8AAADbAAAADwAAAGRycy9kb3ducmV2LnhtbESP3YrCMBSE7xd8h3AE79a0grJUo4j/Xq76AIfm&#10;2BSbk9pErW9vBMHLYWa+YSaz1lbiTo0vHStI+wkI4tzpkgsFp+P69w+ED8gaK8ek4EkeZtPOzwQz&#10;7R78T/dDKESEsM9QgQmhzqT0uSGLvu9q4uidXWMxRNkUUjf4iHBbyUGSjKTFkuOCwZoWhvLL4WYV&#10;eLnfpoMNXzfmeUtSW1zr1XKkVK/bzscgArXhG/60d1rBMIX3l/gD5PQFAAD//wMAUEsBAi0AFAAG&#10;AAgAAAAhALaDOJL+AAAA4QEAABMAAAAAAAAAAAAAAAAAAAAAAFtDb250ZW50X1R5cGVzXS54bWxQ&#10;SwECLQAUAAYACAAAACEAOP0h/9YAAACUAQAACwAAAAAAAAAAAAAAAAAvAQAAX3JlbHMvLnJlbHNQ&#10;SwECLQAUAAYACAAAACEAMy8FnkEAAAA5AAAADgAAAAAAAAAAAAAAAAAuAgAAZHJzL2Uyb0RvYy54&#10;bWxQSwECLQAUAAYACAAAACEAvo0E3b8AAADbAAAADwAAAAAAAAAAAAAAAACbAgAAZHJzL2Rvd25y&#10;ZXYueG1sUEsFBgAAAAAEAAQA8wAAAIcDAAAAAA==&#10;">
                        <v:imagedata r:id="rId51" o:title=""/>
                        <o:lock v:ext="edit" aspectratio="f"/>
                      </v:shape>
                      <v:shape id="2" o:spid="_x0000_s1028" type="#_x0000_t75" style="position:absolute;left:29063;top:548;width:25854;height:122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juc5&#10;bsMAAADbAAAADwAAAGRycy9kb3ducmV2LnhtbESPT2vCQBTE70K/w/KE3nSjRSmpqxQh4kGQpKXQ&#10;2yP7mgSzb8PuNn++vVsoeBxm5jfM7jCaVvTkfGNZwWqZgCAurW64UvD5kS1eQfiArLG1TAom8nDY&#10;P812mGo7cE59ESoRIexTVFCH0KVS+rImg35pO+Lo/VhnMETpKqkdDhFuWrlOkq002HBcqLGjY03l&#10;rfg1CnKXYdHJbGK+ePq+vpxu5fFLqef5+P4GItAYHuH/9lkr2Kzh70v8AXJ/BwAA//8DAFBLAQIt&#10;ABQABgAIAAAAIQC2gziS/gAAAOEBAAATAAAAAAAAAAAAAAAAAAAAAABbQ29udGVudF9UeXBlc10u&#10;eG1sUEsBAi0AFAAGAAgAAAAhADj9If/WAAAAlAEAAAsAAAAAAAAAAAAAAAAALwEAAF9yZWxzLy5y&#10;ZWxzUEsBAi0AFAAGAAgAAAAhADMvBZ5BAAAAOQAAAA4AAAAAAAAAAAAAAAAALgIAAGRycy9lMm9E&#10;b2MueG1sUEsBAi0AFAAGAAgAAAAhAI7nOW7DAAAA2wAAAA8AAAAAAAAAAAAAAAAAmwIAAGRycy9k&#10;b3ducmV2LnhtbFBLBQYAAAAABAAEAPMAAACLAwAAAAA=&#10;">
                        <v:imagedata r:id="rId52" o:title=""/>
                        <o:lock v:ext="edit" aspectratio="f"/>
                      </v:shape>
                      <v:shape id="3" o:spid="_x0000_s1029" type="#_x0000_t75" style="position:absolute;top:14209;width:25853;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gs8o&#10;9cUAAADbAAAADwAAAGRycy9kb3ducmV2LnhtbESPQWvCQBSE7wX/w/KEXorZ2GKpaVbRUtFDL0m1&#10;50f2mQ1m34bsVuO/d4VCj8PMfMPky8G24ky9bxwrmCYpCOLK6YZrBfvvzeQNhA/IGlvHpOBKHpaL&#10;0UOOmXYXLuhchlpECPsMFZgQukxKXxmy6BPXEUfv6HqLIcq+lrrHS4TbVj6n6au02HBcMNjRh6Hq&#10;VP5aBdunefPTdp+aruvZujjMN6b4Oij1OB5W7yACDeE//NfeaQWzF7h/iT9ALm4AAAD//wMAUEsB&#10;Ai0AFAAGAAgAAAAhALaDOJL+AAAA4QEAABMAAAAAAAAAAAAAAAAAAAAAAFtDb250ZW50X1R5cGVz&#10;XS54bWxQSwECLQAUAAYACAAAACEAOP0h/9YAAACUAQAACwAAAAAAAAAAAAAAAAAvAQAAX3JlbHMv&#10;LnJlbHNQSwECLQAUAAYACAAAACEAMy8FnkEAAAA5AAAADgAAAAAAAAAAAAAAAAAuAgAAZHJzL2Uy&#10;b0RvYy54bWxQSwECLQAUAAYACAAAACEAgs8o9cUAAADbAAAADwAAAAAAAAAAAAAAAACbAgAAZHJz&#10;L2Rvd25yZXYueG1sUEsFBgAAAAAEAAQA8wAAAI0DAAAAAA==&#10;">
                        <v:imagedata r:id="rId53" o:title=""/>
                        <o:lock v:ext="edit" aspectratio="f"/>
                      </v:shape>
                      <v:shape id="4" o:spid="_x0000_s1030" type="#_x0000_t75" style="position:absolute;left:29297;top:14087;width:25853;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G1r&#10;c8gAAADbAAAADwAAAGRycy9kb3ducmV2LnhtbESPQUvDQBSE7wX/w/KEXord2KpI7CZIwaKHQlsl&#10;6O2RfSYx2bdxd9vG/nq3IHgcZuYbZpEPphMHcr6xrOB6moAgLq1uuFLw9vp0dQ/CB2SNnWVS8EMe&#10;8uxitMBU2yNv6bALlYgQ9ikqqEPoUyl9WZNBP7U9cfQ+rTMYonSV1A6PEW46OUuSO2mw4bhQY0/L&#10;msp2tzcK5pN2+TX/bothtXHrd3d6Kdr9h1Ljy+HxAUSgIfyH/9rPWsHtDZy/xB8gs18AAAD//wMA&#10;UEsBAi0AFAAGAAgAAAAhALaDOJL+AAAA4QEAABMAAAAAAAAAAAAAAAAAAAAAAFtDb250ZW50X1R5&#10;cGVzXS54bWxQSwECLQAUAAYACAAAACEAOP0h/9YAAACUAQAACwAAAAAAAAAAAAAAAAAvAQAAX3Jl&#10;bHMvLnJlbHNQSwECLQAUAAYACAAAACEAMy8FnkEAAAA5AAAADgAAAAAAAAAAAAAAAAAuAgAAZHJz&#10;L2Uyb0RvYy54bWxQSwECLQAUAAYACAAAACEANG1rc8gAAADbAAAADwAAAAAAAAAAAAAAAACbAgAA&#10;ZHJzL2Rvd25yZXYueG1sUEsFBgAAAAAEAAQA8wAAAJADAAAAAA==&#10;">
                        <v:imagedata r:id="rId54" o:title=""/>
                        <o:lock v:ext="edit" aspectratio="f"/>
                      </v:shape>
                      <v:shape id="5" o:spid="_x0000_s1031" type="#_x0000_t75" style="position:absolute;left:641;top:29028;width:25854;height:122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7rDK&#10;8cQAAADbAAAADwAAAGRycy9kb3ducmV2LnhtbESP3WrCQBSE7wt9h+UUvKsbBX+IbkRCI5WCoO0D&#10;HHZPfjR7NmS3mrx9t1Do5TAz3zDb3WBbcafeN44VzKYJCGLtTMOVgq/P4nUNwgdkg61jUjCSh132&#10;/LTF1LgHn+l+CZWIEPYpKqhD6FIpva7Jop+6jjh6pesthij7SpoeHxFuWzlPkqW02HBcqLGjvCZ9&#10;u3xbBboodbHPV/O35vhxHcfDeMpDrtTkZdhvQAQawn/4r/1uFCwW8Psl/gCZ/QAAAP//AwBQSwEC&#10;LQAUAAYACAAAACEAtoM4kv4AAADhAQAAEwAAAAAAAAAAAAAAAAAAAAAAW0NvbnRlbnRfVHlwZXNd&#10;LnhtbFBLAQItABQABgAIAAAAIQA4/SH/1gAAAJQBAAALAAAAAAAAAAAAAAAAAC8BAABfcmVscy8u&#10;cmVsc1BLAQItABQABgAIAAAAIQAzLwWeQQAAADkAAAAOAAAAAAAAAAAAAAAAAC4CAABkcnMvZTJv&#10;RG9jLnhtbFBLAQItABQABgAIAAAAIQDusMrxxAAAANsAAAAPAAAAAAAAAAAAAAAAAJsCAABkcnMv&#10;ZG93bnJldi54bWxQSwUGAAAAAAQABADzAAAAjAMAAAAA&#10;">
                        <v:imagedata r:id="rId55" o:title=""/>
                        <o:lock v:ext="edit" aspectratio="f"/>
                      </v:shape>
                      <v:shape id="6" o:spid="_x0000_s1032" type="#_x0000_t75" style="position:absolute;left:29413;top:28967;width:25854;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lp6e&#10;msIAAADbAAAADwAAAGRycy9kb3ducmV2LnhtbESPwWrDMBBE74X8g9hCbo3c0ibFiWycUIOvcXrp&#10;bSttbBNrZSw1dv6+KhRyHGbeDLPLZ9uLK42+c6zgeZWAINbOdNwo+DyVT+8gfEA22DsmBTfykGeL&#10;hx2mxk18pGsdGhFL2KeooA1hSKX0uiWLfuUG4uid3WgxRDk20ow4xXLby5ckWUuLHceFFgc6tKQv&#10;9Y9V8Ka/y0vv9vrjdQiF+dpUm0PhlFo+zsUWRKA53MP/dGUit4a/L/EHyOwXAAD//wMAUEsBAi0A&#10;FAAGAAgAAAAhALaDOJL+AAAA4QEAABMAAAAAAAAAAAAAAAAAAAAAAFtDb250ZW50X1R5cGVzXS54&#10;bWxQSwECLQAUAAYACAAAACEAOP0h/9YAAACUAQAACwAAAAAAAAAAAAAAAAAvAQAAX3JlbHMvLnJl&#10;bHNQSwECLQAUAAYACAAAACEAMy8FnkEAAAA5AAAADgAAAAAAAAAAAAAAAAAuAgAAZHJzL2Uyb0Rv&#10;Yy54bWxQSwECLQAUAAYACAAAACEAlp6emsIAAADbAAAADwAAAAAAAAAAAAAAAACbAgAAZHJzL2Rv&#10;d25yZXYueG1sUEsFBgAAAAAEAAQA8wAAAIoDAAAAAA==&#10;">
                        <v:imagedata r:id="rId56" o:title=""/>
                        <o:lock v:ext="edit" aspectratio="f"/>
                      </v:shape>
                      <v:shape id="7" o:spid="_x0000_s1033" type="#_x0000_t75" style="position:absolute;left:58;top:43177;width:25854;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6jO&#10;f8UAAADbAAAADwAAAGRycy9kb3ducmV2LnhtbESPS2/CMBCE75X6H6xF6q049AEoYBBqVan0xlPi&#10;tsRLkhKvU9sk4d/XlZB6HM3MN5rpvDOVaMj50rKCQT8BQZxZXXKuYLv5eByD8AFZY2WZFFzJw3x2&#10;fzfFVNuWV9SsQy4ihH2KCooQ6lRKnxVk0PdtTRy9k3UGQ5Qul9phG+Gmkk9JMpQGS44LBdb0VlB2&#10;Xl+MgmPrm+fv3dfy5wX37nLqDu/jpFbqodctJiACdeE/fGt/agWvI/j7En+AnP0CAAD//wMAUEsB&#10;Ai0AFAAGAAgAAAAhALaDOJL+AAAA4QEAABMAAAAAAAAAAAAAAAAAAAAAAFtDb250ZW50X1R5cGVz&#10;XS54bWxQSwECLQAUAAYACAAAACEAOP0h/9YAAACUAQAACwAAAAAAAAAAAAAAAAAvAQAAX3JlbHMv&#10;LnJlbHNQSwECLQAUAAYACAAAACEAMy8FnkEAAAA5AAAADgAAAAAAAAAAAAAAAAAuAgAAZHJzL2Uy&#10;b0RvYy54bWxQSwECLQAUAAYACAAAACEAq6jOf8UAAADbAAAADwAAAAAAAAAAAAAAAACbAgAAZHJz&#10;L2Rvd25yZXYueG1sUEsFBgAAAAAEAAQA8wAAAI0DAAAAAA==&#10;">
                        <v:imagedata r:id="rId57" o:title=""/>
                        <o:lock v:ext="edit" aspectratio="f"/>
                      </v:shape>
                      <v:shape id="8" o:spid="_x0000_s1034" type="#_x0000_t75" style="position:absolute;left:28946;top:43177;width:25854;height:1219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eE1b&#10;QMEAAADbAAAADwAAAGRycy9kb3ducmV2LnhtbERPz2vCMBS+C/sfwht403RjFVdNyxhOdhurMvD2&#10;aJ5tMXkpSdT2v18Ogx0/vt/barRG3MiH3rGCp2UGgrhxuudWwfHwsViDCBFZo3FMCiYKUJUPsy0W&#10;2t35m251bEUK4VCggi7GoZAyNB1ZDEs3ECfu7LzFmKBvpfZ4T+HWyOcsW0mLPaeGDgd676i51Fer&#10;YJ+/mJ8pt1Nc+eFoXnfh1H+tlZo/jm8bEJHG+C/+c39qBXkam76kHyDLXwAAAP//AwBQSwECLQAU&#10;AAYACAAAACEAtoM4kv4AAADhAQAAEwAAAAAAAAAAAAAAAAAAAAAAW0NvbnRlbnRfVHlwZXNdLnht&#10;bFBLAQItABQABgAIAAAAIQA4/SH/1gAAAJQBAAALAAAAAAAAAAAAAAAAAC8BAABfcmVscy8ucmVs&#10;c1BLAQItABQABgAIAAAAIQAzLwWeQQAAADkAAAAOAAAAAAAAAAAAAAAAAC4CAABkcnMvZTJvRG9j&#10;LnhtbFBLAQItABQABgAIAAAAIQB4TVtAwQAAANsAAAAPAAAAAAAAAAAAAAAAAJsCAABkcnMvZG93&#10;bnJldi54bWxQSwUGAAAAAAQABADzAAAAiQMAAAAA&#10;">
                        <v:imagedata r:id="rId58" o:title=""/>
                        <o:lock v:ext="edit" aspectratio="f"/>
                      </v:shape>
                    </v:group>
                  </w:pict>
                </mc:Fallback>
              </mc:AlternateContent>
            </w: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p>
          <w:p w:rsidR="00DC29F0" w:rsidRPr="00D16196" w:rsidRDefault="00DC29F0" w:rsidP="00D16196">
            <w:pPr>
              <w:pStyle w:val="Figure"/>
            </w:pPr>
            <w:r w:rsidRPr="00D16196">
              <w:rPr>
                <w:noProof/>
              </w:rPr>
              <w:drawing>
                <wp:inline distT="0" distB="0" distL="0" distR="0" wp14:anchorId="77C0A3C9" wp14:editId="34585673">
                  <wp:extent cx="5400000" cy="247650"/>
                  <wp:effectExtent l="0" t="0" r="0" b="0"/>
                  <wp:docPr id="59" name="Chart 59" descr="Legend to Figure 15.14 Improved safety — substantiation rate within 3 and/or 12 months after a decision not to substanti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c>
      </w:tr>
      <w:tr w:rsidR="0010799F" w:rsidRPr="00D16196" w:rsidTr="00C321E6">
        <w:tc>
          <w:tcPr>
            <w:tcW w:w="8771" w:type="dxa"/>
            <w:tcBorders>
              <w:top w:val="nil"/>
              <w:left w:val="nil"/>
              <w:bottom w:val="nil"/>
              <w:right w:val="nil"/>
            </w:tcBorders>
            <w:shd w:val="clear" w:color="auto" w:fill="auto"/>
          </w:tcPr>
          <w:p w:rsidR="0010799F" w:rsidRPr="00D16196" w:rsidRDefault="0012127E" w:rsidP="005C2D7C">
            <w:pPr>
              <w:pStyle w:val="Note"/>
            </w:pPr>
            <w:r w:rsidRPr="00D16196">
              <w:rPr>
                <w:rStyle w:val="NoteLabel"/>
              </w:rPr>
              <w:t>a</w:t>
            </w:r>
            <w:r w:rsidR="00A54037" w:rsidRPr="00D16196">
              <w:t xml:space="preserve"> See </w:t>
            </w:r>
            <w:r w:rsidR="000B48A6" w:rsidRPr="00D16196">
              <w:t>box 15.</w:t>
            </w:r>
            <w:r w:rsidR="005C2D7C">
              <w:t>19</w:t>
            </w:r>
            <w:r w:rsidR="000B48A6" w:rsidRPr="00D16196">
              <w:t xml:space="preserve"> and table </w:t>
            </w:r>
            <w:proofErr w:type="spellStart"/>
            <w:r w:rsidR="000B48A6" w:rsidRPr="00D16196">
              <w:t>15A.10</w:t>
            </w:r>
            <w:proofErr w:type="spellEnd"/>
            <w:r w:rsidR="00A54037" w:rsidRPr="00D16196">
              <w:t xml:space="preserve"> for detailed </w:t>
            </w:r>
            <w:r w:rsidR="000B48A6" w:rsidRPr="00D16196">
              <w:t xml:space="preserve">definitions, </w:t>
            </w:r>
            <w:r w:rsidR="00A54037" w:rsidRPr="00D16196">
              <w:t>footnotes</w:t>
            </w:r>
            <w:r w:rsidR="000B48A6" w:rsidRPr="00D16196">
              <w:t xml:space="preserve"> and caveats</w:t>
            </w:r>
            <w:r w:rsidR="00A54037" w:rsidRPr="00D16196">
              <w:t>.</w:t>
            </w:r>
          </w:p>
        </w:tc>
      </w:tr>
      <w:tr w:rsidR="0010799F" w:rsidRPr="00D16196" w:rsidTr="00C321E6">
        <w:tc>
          <w:tcPr>
            <w:tcW w:w="8771" w:type="dxa"/>
            <w:tcBorders>
              <w:top w:val="nil"/>
              <w:left w:val="nil"/>
              <w:bottom w:val="nil"/>
              <w:right w:val="nil"/>
            </w:tcBorders>
            <w:shd w:val="clear" w:color="auto" w:fill="auto"/>
          </w:tcPr>
          <w:p w:rsidR="0010799F" w:rsidRPr="00D16196" w:rsidRDefault="0010799F" w:rsidP="00D16196">
            <w:pPr>
              <w:pStyle w:val="Source"/>
            </w:pPr>
            <w:r w:rsidRPr="00D16196">
              <w:rPr>
                <w:i/>
              </w:rPr>
              <w:t>Source</w:t>
            </w:r>
            <w:r w:rsidRPr="00D16196">
              <w:t xml:space="preserve">: </w:t>
            </w:r>
            <w:proofErr w:type="spellStart"/>
            <w:r w:rsidRPr="00D16196">
              <w:t>AIHW</w:t>
            </w:r>
            <w:proofErr w:type="spellEnd"/>
            <w:r w:rsidRPr="00D16196">
              <w:t xml:space="preserve"> data collection (unpublished); table</w:t>
            </w:r>
            <w:r w:rsidR="00203E9E" w:rsidRPr="00D16196">
              <w:t xml:space="preserve"> </w:t>
            </w:r>
            <w:proofErr w:type="spellStart"/>
            <w:r w:rsidR="00203E9E" w:rsidRPr="00D16196">
              <w:t>15A.10</w:t>
            </w:r>
            <w:proofErr w:type="spellEnd"/>
            <w:r w:rsidRPr="00D16196">
              <w:t>.</w:t>
            </w:r>
          </w:p>
        </w:tc>
      </w:tr>
      <w:tr w:rsidR="0010799F" w:rsidRPr="00D16196" w:rsidTr="00C321E6">
        <w:tc>
          <w:tcPr>
            <w:tcW w:w="8771" w:type="dxa"/>
            <w:tcBorders>
              <w:top w:val="nil"/>
              <w:left w:val="nil"/>
              <w:bottom w:val="single" w:sz="6" w:space="0" w:color="78A22F"/>
              <w:right w:val="nil"/>
            </w:tcBorders>
            <w:shd w:val="clear" w:color="auto" w:fill="auto"/>
          </w:tcPr>
          <w:p w:rsidR="0010799F" w:rsidRPr="00D16196" w:rsidRDefault="0010799F" w:rsidP="00D16196">
            <w:pPr>
              <w:pStyle w:val="Figurespace"/>
            </w:pPr>
          </w:p>
        </w:tc>
      </w:tr>
      <w:tr w:rsidR="0010799F" w:rsidRPr="00D16196" w:rsidTr="00C321E6">
        <w:tc>
          <w:tcPr>
            <w:tcW w:w="8771" w:type="dxa"/>
            <w:tcBorders>
              <w:top w:val="single" w:sz="6" w:space="0" w:color="78A22F"/>
              <w:left w:val="nil"/>
              <w:bottom w:val="nil"/>
              <w:right w:val="nil"/>
            </w:tcBorders>
          </w:tcPr>
          <w:p w:rsidR="0010799F" w:rsidRPr="00D16196" w:rsidRDefault="0010799F" w:rsidP="00D16196">
            <w:pPr>
              <w:pStyle w:val="BoxSpaceBelow"/>
            </w:pPr>
          </w:p>
        </w:tc>
      </w:tr>
    </w:tbl>
    <w:p w:rsidR="00DC29F0" w:rsidRPr="00D16196" w:rsidRDefault="00DC29F0" w:rsidP="00D16196">
      <w:pPr>
        <w:pStyle w:val="BodyText"/>
      </w:pPr>
      <w:r w:rsidRPr="00D16196">
        <w:br w:type="page"/>
      </w:r>
    </w:p>
    <w:p w:rsidR="0010799F" w:rsidRPr="00D16196" w:rsidRDefault="0010799F"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99F" w:rsidRPr="00D16196" w:rsidTr="0010799F">
        <w:tc>
          <w:tcPr>
            <w:tcW w:w="8771" w:type="dxa"/>
            <w:tcBorders>
              <w:top w:val="single" w:sz="6" w:space="0" w:color="78A22F"/>
              <w:left w:val="nil"/>
              <w:bottom w:val="nil"/>
              <w:right w:val="nil"/>
            </w:tcBorders>
            <w:shd w:val="clear" w:color="auto" w:fill="auto"/>
          </w:tcPr>
          <w:p w:rsidR="0010799F" w:rsidRPr="00D16196" w:rsidRDefault="0010799F" w:rsidP="00D16196">
            <w:pPr>
              <w:pStyle w:val="FigureTitle"/>
            </w:pPr>
            <w:r w:rsidRPr="00D16196">
              <w:rPr>
                <w:b w:val="0"/>
              </w:rPr>
              <w:t xml:space="preserve">Figure </w:t>
            </w:r>
            <w:bookmarkStart w:id="45" w:name="OLE_LINK49"/>
            <w:r w:rsidR="009E5608" w:rsidRPr="00D16196">
              <w:rPr>
                <w:b w:val="0"/>
              </w:rPr>
              <w:t>15.</w:t>
            </w:r>
            <w:bookmarkEnd w:id="45"/>
            <w:r w:rsidR="00850EE7" w:rsidRPr="00D16196">
              <w:rPr>
                <w:b w:val="0"/>
              </w:rPr>
              <w:t>1</w:t>
            </w:r>
            <w:r w:rsidR="00434CDF" w:rsidRPr="00D16196">
              <w:rPr>
                <w:b w:val="0"/>
              </w:rPr>
              <w:t>5</w:t>
            </w:r>
            <w:r w:rsidRPr="00D16196">
              <w:tab/>
              <w:t xml:space="preserve">Improved safety — </w:t>
            </w:r>
            <w:proofErr w:type="spellStart"/>
            <w:r w:rsidRPr="00D16196">
              <w:t>resubstantiation</w:t>
            </w:r>
            <w:proofErr w:type="spellEnd"/>
            <w:r w:rsidRPr="00D16196">
              <w:t xml:space="preserve"> rate within 3 or 12 months of a prior substantiation</w:t>
            </w:r>
            <w:r w:rsidRPr="00D16196">
              <w:rPr>
                <w:rStyle w:val="NoteLabel"/>
                <w:b/>
              </w:rPr>
              <w:t>a</w:t>
            </w:r>
          </w:p>
        </w:tc>
      </w:tr>
      <w:tr w:rsidR="0010799F" w:rsidRPr="00D16196" w:rsidTr="001857F6">
        <w:tblPrEx>
          <w:tblCellMar>
            <w:left w:w="108" w:type="dxa"/>
            <w:right w:w="108" w:type="dxa"/>
          </w:tblCellMar>
        </w:tblPrEx>
        <w:tc>
          <w:tcPr>
            <w:tcW w:w="8771" w:type="dxa"/>
            <w:tcBorders>
              <w:top w:val="nil"/>
              <w:left w:val="nil"/>
              <w:bottom w:val="nil"/>
              <w:right w:val="nil"/>
            </w:tcBorders>
            <w:shd w:val="clear" w:color="auto" w:fill="auto"/>
          </w:tcPr>
          <w:p w:rsidR="001857F6" w:rsidRPr="00D16196" w:rsidRDefault="001857F6" w:rsidP="00D16196">
            <w:pPr>
              <w:pStyle w:val="Figure"/>
            </w:pPr>
            <w:r w:rsidRPr="00D16196">
              <w:rPr>
                <w:noProof/>
              </w:rPr>
              <mc:AlternateContent>
                <mc:Choice Requires="wpg">
                  <w:drawing>
                    <wp:anchor distT="0" distB="0" distL="114300" distR="114300" simplePos="0" relativeHeight="251663360" behindDoc="0" locked="0" layoutInCell="1" allowOverlap="1" wp14:anchorId="3BF939FE" wp14:editId="6332924C">
                      <wp:simplePos x="0" y="0"/>
                      <wp:positionH relativeFrom="column">
                        <wp:posOffset>-137795</wp:posOffset>
                      </wp:positionH>
                      <wp:positionV relativeFrom="paragraph">
                        <wp:posOffset>150495</wp:posOffset>
                      </wp:positionV>
                      <wp:extent cx="5676900" cy="5490210"/>
                      <wp:effectExtent l="0" t="0" r="0" b="0"/>
                      <wp:wrapNone/>
                      <wp:docPr id="7" name="Group 1" descr="Figure 15.15 Improved safety — resubstantiation rate within 3 or 12 months of a prior substantiation&#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676900" cy="5490210"/>
                                <a:chOff x="0" y="0"/>
                                <a:chExt cx="5610087" cy="5486786"/>
                              </a:xfrm>
                            </wpg:grpSpPr>
                            <wpg:graphicFrame>
                              <wpg:cNvPr id="9" name="1"/>
                              <wpg:cNvFrPr>
                                <a:graphicFrameLocks/>
                              </wpg:cNvFrPr>
                              <wpg:xfrm>
                                <a:off x="0" y="28563"/>
                                <a:ext cx="2667991" cy="1219598"/>
                              </wpg:xfrm>
                              <a:graphic>
                                <a:graphicData uri="http://schemas.openxmlformats.org/drawingml/2006/chart">
                                  <c:chart xmlns:c="http://schemas.openxmlformats.org/drawingml/2006/chart" xmlns:r="http://schemas.openxmlformats.org/officeDocument/2006/relationships" r:id="rId60"/>
                                </a:graphicData>
                              </a:graphic>
                            </wpg:graphicFrame>
                            <wpg:graphicFrame>
                              <wpg:cNvPr id="12" name="2"/>
                              <wpg:cNvFrPr>
                                <a:graphicFrameLocks/>
                              </wpg:cNvFrPr>
                              <wpg:xfrm>
                                <a:off x="2942096" y="0"/>
                                <a:ext cx="2667991" cy="1219598"/>
                              </wpg:xfrm>
                              <a:graphic>
                                <a:graphicData uri="http://schemas.openxmlformats.org/drawingml/2006/chart">
                                  <c:chart xmlns:c="http://schemas.openxmlformats.org/drawingml/2006/chart" xmlns:r="http://schemas.openxmlformats.org/officeDocument/2006/relationships" r:id="rId61"/>
                                </a:graphicData>
                              </a:graphic>
                            </wpg:graphicFrame>
                            <wpg:graphicFrame>
                              <wpg:cNvPr id="13" name="3"/>
                              <wpg:cNvFrPr>
                                <a:graphicFrameLocks/>
                              </wpg:cNvFrPr>
                              <wpg:xfrm>
                                <a:off x="28575" y="1409688"/>
                                <a:ext cx="2667991" cy="1219598"/>
                              </wpg:xfrm>
                              <a:graphic>
                                <a:graphicData uri="http://schemas.openxmlformats.org/drawingml/2006/chart">
                                  <c:chart xmlns:c="http://schemas.openxmlformats.org/drawingml/2006/chart" xmlns:r="http://schemas.openxmlformats.org/officeDocument/2006/relationships" r:id="rId62"/>
                                </a:graphicData>
                              </a:graphic>
                            </wpg:graphicFrame>
                            <wpg:graphicFrame>
                              <wpg:cNvPr id="14" name="4"/>
                              <wpg:cNvFrPr>
                                <a:graphicFrameLocks/>
                              </wpg:cNvFrPr>
                              <wpg:xfrm>
                                <a:off x="2847975" y="1419213"/>
                                <a:ext cx="2667991" cy="1219598"/>
                              </wpg:xfrm>
                              <a:graphic>
                                <a:graphicData uri="http://schemas.openxmlformats.org/drawingml/2006/chart">
                                  <c:chart xmlns:c="http://schemas.openxmlformats.org/drawingml/2006/chart" xmlns:r="http://schemas.openxmlformats.org/officeDocument/2006/relationships" r:id="rId63"/>
                                </a:graphicData>
                              </a:graphic>
                            </wpg:graphicFrame>
                            <wpg:graphicFrame>
                              <wpg:cNvPr id="15" name="5"/>
                              <wpg:cNvFrPr>
                                <a:graphicFrameLocks/>
                              </wpg:cNvFrPr>
                              <wpg:xfrm>
                                <a:off x="19050" y="2847963"/>
                                <a:ext cx="2667991" cy="1219598"/>
                              </wpg:xfrm>
                              <a:graphic>
                                <a:graphicData uri="http://schemas.openxmlformats.org/drawingml/2006/chart">
                                  <c:chart xmlns:c="http://schemas.openxmlformats.org/drawingml/2006/chart" xmlns:r="http://schemas.openxmlformats.org/officeDocument/2006/relationships" r:id="rId64"/>
                                </a:graphicData>
                              </a:graphic>
                            </wpg:graphicFrame>
                            <wpg:graphicFrame>
                              <wpg:cNvPr id="16" name="6"/>
                              <wpg:cNvFrPr>
                                <a:graphicFrameLocks/>
                              </wpg:cNvFrPr>
                              <wpg:xfrm>
                                <a:off x="2857500" y="2838438"/>
                                <a:ext cx="2667991" cy="1219598"/>
                              </wpg:xfrm>
                              <a:graphic>
                                <a:graphicData uri="http://schemas.openxmlformats.org/drawingml/2006/chart">
                                  <c:chart xmlns:c="http://schemas.openxmlformats.org/drawingml/2006/chart" xmlns:r="http://schemas.openxmlformats.org/officeDocument/2006/relationships" r:id="rId65"/>
                                </a:graphicData>
                              </a:graphic>
                            </wpg:graphicFrame>
                            <wpg:graphicFrame>
                              <wpg:cNvPr id="17" name="7"/>
                              <wpg:cNvFrPr>
                                <a:graphicFrameLocks/>
                              </wpg:cNvFrPr>
                              <wpg:xfrm>
                                <a:off x="9524" y="4267188"/>
                                <a:ext cx="2667991" cy="1219598"/>
                              </wpg:xfrm>
                              <a:graphic>
                                <a:graphicData uri="http://schemas.openxmlformats.org/drawingml/2006/chart">
                                  <c:chart xmlns:c="http://schemas.openxmlformats.org/drawingml/2006/chart" xmlns:r="http://schemas.openxmlformats.org/officeDocument/2006/relationships" r:id="rId66"/>
                                </a:graphicData>
                              </a:graphic>
                            </wpg:graphicFrame>
                            <wpg:graphicFrame>
                              <wpg:cNvPr id="18" name="8"/>
                              <wpg:cNvFrPr>
                                <a:graphicFrameLocks/>
                              </wpg:cNvFrPr>
                              <wpg:xfrm>
                                <a:off x="2894471" y="4248145"/>
                                <a:ext cx="2667991" cy="1219598"/>
                              </wpg:xfrm>
                              <a:graphic>
                                <a:graphicData uri="http://schemas.openxmlformats.org/drawingml/2006/chart">
                                  <c:chart xmlns:c="http://schemas.openxmlformats.org/drawingml/2006/chart" xmlns:r="http://schemas.openxmlformats.org/officeDocument/2006/relationships" r:id="rId67"/>
                                </a:graphicData>
                              </a:graphic>
                            </wpg:graphicFrame>
                          </wpg:wgp>
                        </a:graphicData>
                      </a:graphic>
                    </wp:anchor>
                  </w:drawing>
                </mc:Choice>
                <mc:Fallback>
                  <w:pict>
                    <v:group id="Group 1" o:spid="_x0000_s1026" alt="Figure 15.15 Improved safety — resubstantiation rate within 3 or 12 months of a prior substantiation&#10;&#10;More details can be found within the text surrounding this image." style="position:absolute;margin-left:-10.85pt;margin-top:11.85pt;width:447pt;height:432.3pt;z-index:251663360" coordsize="56100,54867"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EWTRgMAAHQSAAAOAAAAZHJzL2Uyb0RvYy54bWzsmEtu2zAQhvcFeoeBCnRXS5T1bpygQJog&#10;QB8B2h6AoagHaokCScfOrofoCXuSDilZdeIEcQMtvZFDKRzOzDc/NdTJ2aZZwi2XqhbtwiEzzwHe&#10;MpHXbblwfny/eJc4oDRtc7oULV84d1w5Z6evX52su4z7ohLLnEtAI63K1t3CqbTuMtdVrOINVTPR&#10;8RYfFkI2VONQlm4u6RqtN0vX97zIXQuZd1IwrhTePe8fOqfWflFwpr8WheIalgsHfdP2Ku31xlzd&#10;0xOalZJ2Vc0GN+gLvGho3eKio6lzqimsZL1nqqmZFEoUesZE44qiqBm3MWA0xHsQzaUUq87GUmbr&#10;shvThKl9kKcXm2Vfbq8l1PnCiR1oaYOI7KpAHMi5Ypiqi7pcSQ4knJEQrhpM9i3PQdGC6zv48+s3&#10;SK5WNwayrqnGOgBJNYd1rau6hTkICcSHRrS6UiAKoNDJGm/en/T2zebDe3v5LHC1nGtaLxUw2sIN&#10;h0Ks2nxrUlccNN9otCAxQ60pNsDFFNQNLfnMQF13ZYaxXcruW3cthxtlPzKcNoVszC8SgI0th7ux&#10;HIxphjfDKI5SD6uG4bMwSD2fDAXDKqyqvXms+jjOJJ6XYEb7mUkUJ5Hxyt0u7Br/Rnf6ga3BC4kM&#10;RvcHNOkWDdkJ7UJey52KsxM/CfZTmXWG8Pv/MYNH4/WTMJobkzTbxuxHUZymCN94TnyShmliPd81&#10;MuhlZ/Un6/15AbOKSo1FzjL711DkbK/ED7U0GMDCfaCRRwz0+jsXbNXwVvcbiuRLW8WqqjvlgMyM&#10;OORVbnOPAIfgTcQW6JiMgelDjMPzR8ESf0vWn4qsnwa+l0YO7Nfzke1TbG32p2Y737K1ErunyLGK&#10;/k+1qNc4tGRJgIwTq8yjdp/XriUwNd9gyzeYTLtJEKcjYZL65Lg788N2Z8tgasKotb4lCqciTFIv&#10;xIYC92bfsD6+fdmBfC2BqfniW7Lna5uzyXZo0zJawvMkmB/36AMJbxvkSfur8VATT6XgNPRx40e8&#10;gR/F5PgKPlTAFsDUAsaPC72ArcqmEXAaBDGefyzhICGB3XmOTdbzTVZ/Thxb24MOSPbMhJ82dk9S&#10;j07897Ho9C8AAAD//wMAUEsDBBQABgAIAAAAIQB0m+WyYgEAAJ0CAAAgAAAAZHJzL2NoYXJ0cy9f&#10;cmVscy9jaGFydDEueG1sLnJlbHOsUt9LwzAQfhf8H0pA32zaKkN03ZBNZQ9jMia+BCS21zZbmoTk&#10;Jut/780ydDDwxZf7ke/y3eXLDce7Vkef4IOyJmdpnLAITGFLZeqcva6erm5ZFFCaUmprIGcdBDYe&#10;nZ8Nl6Al0qXQKBciYjEhZw2iu+M8FA20MsTWgSGksr6VSKmvuZPFRtbAsyQZcP+bg42OOKNZmTM/&#10;KzMWrTpHnf/mtlWlCpjaYtuCwRMtuNWw+FhDgUQqfQ2Ys0ppoJG5EC3o91TU3m5dEHNrFFovkpuL&#10;LHmzfkOCUPTco2lG8aRRuiTvvEWiJC0ouZStuyff2S025NfbgDSUyGJKluCsR3G9j6cSZR89GKm7&#10;oAIdhgYAg8iSdPBTfrJP0UhPlZMXqiuJihx9EtkeiHc6tIdHzm1J+j3uEDy1Yvy00Ol/Co20ALCg&#10;vfKqhMMcOYtj/o309oCnMS3Jfix+tFSjLwAAAP//AwBQSwMEFAAGAAgAAAAhAOAZSkLrAAAAxQQA&#10;ABkAAABkcnMvX3JlbHMvZTJvRG9jLnhtbC5yZWxzvNRNasMwEAXgfaF3ELOvZTuJE0rkbEIh25Ie&#10;YJDHP9SWhEYpze0rWgoNBHWn5WjQe99q9ofPZRYf5HmyRkFVlCDIaNtNZlDwdn552oHggKbD2RpS&#10;cCWGQ/v4sH+lGUP8xOPkWMQUwwrGENyzlKxHWpAL68jETW/9giGOfpAO9TsOJOuybKT/mwHtTaY4&#10;dQr8qYv956uLzf9n276fNB2tvixkwp0KqUf0IQaiHygo+B7553VXRCnI+4hVJsQqhdhmQmxTiDoT&#10;ok4hqkyIKoVoMiGaFGKTCbFJIdaZEOtfhLw5Pu0XAAAA//8DAFBLAwQUAAYACAAAACEAnl4Fw+AA&#10;AAAKAQAADwAAAGRycy9kb3ducmV2LnhtbEyPTWvDMAyG74P9B6PBbq3zwdaQxSmlbDuVwdrB2E2N&#10;1SQ0tkPsJum/n3ZaT5LQw6tHxXo2nRhp8K2zCuJlBIJs5XRrawVfh7dFBsIHtBo7Z0nBlTysy/u7&#10;AnPtJvtJ4z7UgkOsz1FBE0KfS+mrhgz6pevJ8u7kBoOBx6GWesCJw00nkyh6lgZbyxca7GnbUHXe&#10;X4yC9wmnTRq/jrvzaXv9OTx9fO9iUurxYd68gAg0h38Y/vRZHUp2OrqL1V50ChZJvGJUQZJyZSBb&#10;JSmIIzdZloIsC3n7QvkLAAD//wMAUEsDBBQABgAIAAAAIQBd528sDQgAAAAaAAAVAAAAZHJzL2No&#10;YXJ0cy9jaGFydDgueG1s7Flbb+u4EX4v0P+gFQLsk21RN8vGsReOA28PmpyTzWUL9I2WaFsNdVmS&#10;TuxT9L/vDEk5smPnJGmLosAmQUyNyCH5zfDjzPjTT5uCO49MyLwqRy7peq7DyrTK8nI5cu/vZp3E&#10;daSiZUZ5VbKRu2XS/Wn85z99Sofpigp1W9OUOaCklMN05K6Uqoe9nkxXrKCyW9WshHeLShRUwaNY&#10;9jJBn0B5wXu+58U9rcS1CugHFBQ0L5vx4i3jq8UiT9lFla4LViqzCsE4VYCAXOW1dMewuYwqRgZe&#10;6DxSPnI9t4dCTsulEbCyM7k3QlGty4xl00qUAGOrf5EOJ1wxUYKqaVUqmM3us3gTUgUVD+u6k1ZF&#10;DYub5zxXW71cWCDonq4q2Idzw35b54LJkZuSsAECmi+gKPJUVLJaqC5o7BkUGmug2n4v6fnWHrBZ&#10;Eg6l2nJmNkQ8H3fb282rlzCjnM9p+oDYtDrvuj6/x4GHYOColIsrWn99FM58SUYuV8R11AZa2QO0&#10;5ksfZT7KoJU9QIumKQAJPWyjkcB7I9n1CRpJ0PQBUEwfAMo0okYSNZK4kcSus+J5+QBA4ofrLCr+&#10;FyNoWsYBtAvjZlSuONONDf4Xeboaf6LDeZVtrwWgR4dcqlsEVT/UKKmvBX5kbHFzLRz5beQOPDiD&#10;cziLrpOj5+lx4AClo7Y1W8BxG7kTkVOuDdIMBdvslGmNAtShv45c46sf0g1KcHo1/nKH+pWeBUQ4&#10;F/xv9ggNpbfM6bZaK31WKiAVeGydB+zVIETXqrrDhwvGmWJZq1s6rHmlJoJRBLGlcU7FFCkHxdC+&#10;yIUZlVYainS4hKNYA7dYMV9LOH0sM1Z6pGI7rXi1d0TBbRlsJx3m2WZvCZXImFVvz77ZoFTihi1w&#10;xGL84w2T67l0Imcr5I8/nP1y5iMk+i30m1IgQexZqylQhDL6iVlNrRyY0pg3HT5qfPETFdQIMx6o&#10;RoV50PNC0y7EOo6seJ7Ncs7RTlIs51Nu1+3H0WQwsU6y142XuvO7R4LVcSguR88OsJVgZfV58YUt&#10;wUMfLVlYxFKqTfUaZOdn4fDs/Cz5Pm7RcdyAtwYd4uH4Z/AQQgMvcdEAj2PfI16HkFPd/OdupEO0&#10;FY9pC567+R0SnNIWPncLOiTc72ZsaX3DPDSGtXjBhYOLLtfFK54GsP3Sgg0679zNXLbTKmNjr6uR&#10;aUkO3fEErEk3iSM/THw/HkReEIX9/V28RLjfjeKIxD4hXkziOIpPotiAHXfDIAoC4geenwQD4p2c&#10;o8E97oK5Sb9Pwv6AJBHxT87RmCDpkjiAgxDAonw/DAcHI8AAz9CZh8Ya2gxoIEMQhzxhz3GLJ6zk&#10;+zxx82aeMP5x1FneygL9ZOL7s4+wwKmRf7DAjlP+tyxwg+R5819kAZ90SdIfhHCC/JCQIIy+xwK+&#10;1w37Xhgge/hRnAQnRzQsQJJuEA2AN8IIqCOEv1NzNCyAc8RelIRRkpCAeIm+PY7xdcMCvt8Nw2TQ&#10;H0RAG0HcD+L9Od7OAtnlnEs0v1xVT5dsycrsr6wd45g3v1LIqVp5A/aeUvWFFvs3JMpvmTgqv2YC&#10;A90Xes7X8zlnt/m3tirYwW5pS1r/Lc/UysYbkb2N6eazjbL8hAAOYRyaK7X9AqiyHwWxpgsdZO0C&#10;LricJjrEa3ff0yNTCtHxEtGpRA5L1xmVWUWRl1d0Y9W2OmY6+tvbI91cVzaLmpsFAkPPCgXhNyaR&#10;eK+N3J8Z5FoQATuyWgNMlxCfswxDZh16FvQflbjL04cryKCM8hKSV/syL0+/VDAITLxbQck26q4y&#10;A03MY0IgCLVORk/nM/zFMcCUrW4veVNtTHj9zgQhsQkCpAnfTxDokNFjiQMdpvKYHFZpchG9fBtk&#10;gptfU0Fv2inF/a3dokkEzF4goYMcU05sMO0nLYey75g1LmYAf2fCgotP1mEN2nzOJ3xZGlmqxE76&#10;dbGQrAmmAQlt8bK6WnOVXz5ysF7LneBc7BwXDuRLD95bX8sxX/HgdFhQu79QT4+39LPvv+7SNlPR&#10;HvqzyDM4McwQioWal84T5ICRDwlpSuuRu4DKBDSLGvxblktIUwEWSPYBEoziywqDfwABMjIh1QWV&#10;9uBrz0N06FBXKIw/mtCfLRYsVZcSMzVwkA02bctZC3Cqfw6IH3rn/qAzi5N+J5yFUWfQ95KORwbn&#10;g9gLB+HF7F+4ACgTrPIsYyWcwaYOBML3Vh+I1zOFnHdtvnW64Kht5S73gQpTVj3dwc5cSIKlgheQ&#10;a+kfjRpk09aF+hFIDUxyRTNLqhD07qRUXVWWOYnXyPFo6/kOT/mbzLAHmtYAK20+tS3Qp7RHQOOl&#10;s+zSaBMF7hcaHFGpkduJQrNdLO7B86oS38w231KDQIpBh8CqWLvuQJu6wwGttOR7tLKTH6UVgVOI&#10;NqlATU3XKXB+7ZtqDPeggxfhf7b+cOROATrdv00stxy5TaDGgcsD0/xxmRg77Vn99erUxy+TvXBD&#10;XzTHLxP96pypJ8bsBTI3D9ZoGB7cl/nuEkExnLPdBdHc9C1uNbzZEvwfcSqesg8xJcJyMPR52+/j&#10;sHZJD9u/5vJryW3kbMO2LJf1OZQsH+TExggQyhqTYaB8gbH3V2AziCQPrvimKtgY7sBasImDutUH&#10;Iq85lQxv69dLsk6dq3Q1o0XOtyM3gDozVochYMFhBs9/K7yCewK/UOAXVFFHQNly5IrPmUmmMIa6&#10;r/GLi3142mO0o+OSzBc3498BAAD//wMAUEsDBBQABgAIAAAAIQBpsSFibAYAAFcbAAAcAAAAZHJz&#10;L3RoZW1lL3RoZW1lT3ZlcnJpZGU4LnhtbOxZT48bNRS/I/EdrLm3SXaTdLNqttpkky602642aVGP&#10;zsSZceMZj2xnt7mh9oiEhCiICxI3Dgio1EpcyqdZKIIi9SvwbM9MxpsJu9uuQJTmkMzYP7//7/nZ&#10;uXrtQcTQIRGS8rjt1S5XPURin49pHLS9O8P+pQ0PSYXjMWY8Jm1vTqR3bev9967iTRWSiNyGtYKO&#10;CQI6sdzEbS9UKtmsVKQP01he5gmJYW7CRYQVvIqgMhb4COhHrLJWrTYrEaaxtwUEfSYGehVBMY6A&#10;1+3JhPrETI2nNY2Qc9llAh1i1vaAxJgfDckD5SGGpYKJtlc1H6+ydbWCN9NFTK1YW1jXN590Xbpg&#10;PF0zPEUwypnW+vXWlZ2cvgEwtYzr9XrdXi2nZwDY90mcylKkWe9v1DoZzQLIPi7T7lYb1bqLL9Bf&#10;X5K51el0Gq1UFkvUgOxjfQm/UW3Wt9ccvAFZfGMJX+9sd7tNB29AFt9cwvevtJp1F29AIaPxdAmt&#10;Hdrvp9RzyISz3VL4BsA3qil8gYJoyKNLs5jwWK2KtQjf56IPAA1kWNEYqXlCJtiHmOziaCQo1gzw&#10;JsGFGTvky6UhzQtJX9BEtb0PExx7Bcir59+/ev4UvXr+5Pjhs+OHPx0/enT88EdLy1m4i+OguPDl&#10;t5/9+fXH6I+n37x8/EU5Xhbxv/7wyS8/f14OhAxaaPjiyye/PXvy4qtPf//ucQl8W+BRET6kEZHo&#10;FjlCBzwC3YxhXMnJSJxvxTDE1FmBQ6BdQrqnQgd4a45ZGa5DXOPdFVA8yoDXZ/cdWQehmClawvlG&#10;GDnAPc5Zh4tSA9zQvAoWHs7ioJy5mBVxBxgflvHu4thxbW+WQNXMgtKxfTckjpj7DMcKByQmCuk5&#10;PiWkRLt7lDp23aO+4JJPFLpHUQfTUpMM6cgJpMWiXRqBX+ZlOoOrHdvs3UUdzsq03iGHLhISArMS&#10;4YeEOWa8jmcKR2UkhzhiRYPfxCosE3IwF34R15MKPB0QxlFvTKQsW3NbgL4Fp9/AUK9K3b7H5pGL&#10;FIpOy2jexJwXkTt82g1xlJRhBzQOi9gP5BRCFKN9rsrge9zNEP0OfsDxSnffpcRx9+mF4A4NHJEW&#10;AaJnZqLEl9cJd+J3MGcTTEyVgZLuVOqIxn9XthmFum05vCvbbW8bNrGy5Nk9UaxX4f6DJXoHz+J9&#10;AlmxvEW9q9DvKrT31lfoVbl88XV5UYqhSuuGxPbapvOOVjbeE8rYQM0ZuSlN7y1hAxr3YVCvM+dJ&#10;kh/EkhAedSYDAwcXCGzWIMHVR1SFgxAn0LfXPE0kkCnpQKKESzgvmuFS2hoPvb+yp82GPofYyiGx&#10;2uNjO7yuh7PjRk7GSBVIy9EyWtcEzsps/UpKFHR7HWY1LdSZudWMaKYoOtxylbWJzbkcTJ6rBoO5&#10;NaGzQdAPgZWbcKLXrOG8gxkZa7tbH2VuMTa5SBfJEMPtg7kRaGi9l31UM07KYmVJEa2H9ZE+O55i&#10;tQK3lib7BtzO4qQiu/oKdpn33sRLWQQvvATUTqYji4vJyWJ01PZajbWGh3yctL0JHJXhMUrA61I3&#10;k5gFcKXkK2HD/tRk1qFRVDhTzE2CGtx+WLsvKezUgURItYNlaEPDTKUhwGLNycq/1gCzXpQCJdXo&#10;bFKsb0Aw/GtSgB1d15LJhPiq6OzCiLadfU1LKZ8pIgbh+AiN2EwcYHC/DlXQZ0wl3HiYiqBf4HpO&#10;W9tMucU5TbripZjB2XHMkhCn5VanaJbJFm4KUi6DeSuIB7qVym6UO78qJuUvSJViGP/PVNH7CVxB&#10;rI+1B3y46xUY6Uxpe1yokEMVSkLq9wU0DqZ2QLTAFS9MQ1DBNbT5FeRQ/9qcszRMWsNJUh3QAAkK&#10;+5EKBSH7UJZM9J1CrJbuXZYkSwmZiCqIKxMr9ogcEjbUNbCp93YPhRDqppqkZcDgTsaf+55m0CjQ&#10;TU4x35xKlu+9Ngf+6c7HJjMo5dZh09Bk9s9FzNuDxa5q15vl2d5bVERPLNqsepYV7lbQStP+NUU4&#10;51ZrK9aSxmuNTDjw4rLGMJg3RAlcJCH9BfsfFT6zf2LoDXXID6C2Ivj/QhODsIGovmQbD6QLpB0c&#10;QeNkB20waVLWtGnrpK2WbdYX3OnmfE8YW0t2Fn+f09h5c+ayc3LxIo2dWtixtR1baWrw7MkUhaFJ&#10;dpAxjnH+DNv6CwAA//8DAFBLAwQUAAYACAAAACEAXDL76mIBAACdAgAAIAAAAGRycy9jaGFydHMv&#10;X3JlbHMvY2hhcnQyLnhtbC5yZWxzrFLfS8MwEH4X/B9KQN9s2ipDdN2QTWUPYzImvgQkttc2W5qE&#10;5Cbrf+/NMnQw8MWX+5Hv8t3lyw3Hu1ZHn+CDsiZnaZywCExhS2XqnL2unq5uWRRQmlJqayBnHQQ2&#10;Hp2fDZegJdKl0CgXImIxIWcNorvjPBQNtDLE1oEhpLK+lUipr7mTxUbWwLMkGXD/m4ONjjijWZkz&#10;PyszFq06R53/5rZVpQqY2mLbgsETLbjVsPhYQ4FEKn0NmLNKaaCRuRAt6PdU1N5uXRBzaxRaL5Kb&#10;iyx5s35DglD03KNpRvGkUbok77xFoiQtKLmUrbsn39ktNuTX24A0lMhiSpbgrEdxvY+nEmUfPRip&#10;u6ACHYYGAIPIknTwU36yT9FIT5WTF6oriYocfRLZHoh3OrSHR85tSfo97hA8tWL8tNDpfwqNtACw&#10;oL3yqoTDHDmLY/6N9PaAZzEtyX4sfrRUoy8AAAD//wMAUEsDBBQABgAIAAAAIQAMYMZaYgEAAJ0C&#10;AAAgAAAAZHJzL2NoYXJ0cy9fcmVscy9jaGFydDQueG1sLnJlbHOsUt9LwzAQfhf8H0pA32zaOobo&#10;uiGbyh7GZCi+BCS21zZbmoTkKtt/780ydDDwxZf7ke/y3eXLjSbbVkef4IOyJmdpnLAITGFLZeqc&#10;vb48Xt2wKKA0pdTWQM52ENhkfH42WoGWSJdCo1yIiMWEnDWI7pbzUDTQyhBbB4aQyvpWIqW+5k4W&#10;G1kDz5JkyP1vDjY+4ozmZc78vMxY9LJz1PlvbltVqoCZLboWDJ5owa2G5ccaCiRS6WvAnFVKA43M&#10;hWhBv6ei9rZzQSysUWi9SAYXWfJm/YYEoeipR9OM4mmjdEneeYtESVpQcilbd0d+ZztsyK+7gDSU&#10;yGJKVuCsR3G9j2cSZR/dG6l3QQU6DA0ABpEl6fCn/GSfopGeKqfPVFcSFTn6JLI9EG91aA+PXNiS&#10;9HvYInhqxfhpodP/FBppAWBJe+VVCYc5chbH/Bvp7QEfxLQk+7H40VKNvwAAAP//AwBQSwMEFAAG&#10;AAgAAAAhAO3CzeFiAQAAnQIAACAAAABkcnMvY2hhcnRzL19yZWxzL2NoYXJ0OC54bWwucmVsc6xS&#10;30vDMBB+F/wfSkDfbNoqMnTdkE1lD2MyJr4EJLbXNluahOQq23/vzTJ0MPDFl/uR7/Ld5csNx9tW&#10;R5/gg7ImZ2mcsAhMYUtl6py9rp6uBiwKKE0ptTWQsx0ENh6dnw2XoCXSpdAoFyJiMSFnDaK74zwU&#10;DbQyxNaBIaSyvpVIqa+5k8VG1sCzJLnl/jcHGx1xRrMyZ35WZixa7Rx1/pvbVpUqYGqLrgWDJ1pw&#10;q2HxsYYCiVT6GjBnldJAI3MhWtDvqai97VwQc2sUWi+Sm4ssebN+Q4JQ9NyjaUbxpFG6JO+8RaIk&#10;LSi5lK27J7+zHTbk111AGkpkMSVLcNajuN7HU4myjx6M1LugAh2GBgCDyJL09qf8ZJ+ikZ4qJy9U&#10;VxIVOfoksj0Qb3VoD4+c25L0e9wieGrF+Gmh0/8UGmkBYEF75VUJhzlyFsf8G+ntAR/EtCT7sfjR&#10;Uo2+AAAA//8DAFBLAwQUAAYACAAAACEAJMnYAmIBAACdAgAAIAAAAGRycy9jaGFydHMvX3JlbHMv&#10;Y2hhcnQ3LnhtbC5yZWxzrFLfS8MwEH4X/B9KQN9s2ioqum7IprKHMRkTXwIS22ubLU1CcpP1v/dm&#10;GToY+OLL/ch3+e7y5QajbaujT/BBWZOzNE5YBKawpTJ1zl6XTxe3LAooTSm1NZCzDgIbDU9PBgvQ&#10;EulSaJQLEbGYkLMG0d1xHooGWhli68AQUlnfSqTU19zJYi1r4FmSXHP/m4MNDzijaZkzPy0zFi07&#10;R53/5rZVpQqY2GLTgsEjLbjVMP9YQYFEKn0NmLNKaaCRuRAt6PdU1N5uXBAzaxRaL5Krsyx5s35N&#10;glD03KNpRvG4Ubok77xFoiQtKDmXrbsn39kNNuRXm4A0lMhiShbgrEdxuYsnEmUfPRipu6ACHYYG&#10;AIPIkvT6p/xon6KRnirHL1RXEhU5+iSyPRBvdWj3j5zZkvR73CJ4asX4caHT/xQaaQFgTnvlVQn7&#10;OXIWx/wb6e0ev4lpSXZj8YOlGn4BAAD//wMAUEsDBBQABgAIAAAAIQADrP2DYgEAAJ0CAAAgAAAA&#10;ZHJzL2NoYXJ0cy9fcmVscy9jaGFydDYueG1sLnJlbHOsUt9LwzAQfhf8H0pA32zaKkN03ZBNZQ9j&#10;Mia+BCS21zZbmoTkJut/780ydDDwxZf7ke/y3eXLDce7Vkef4IOyJmdpnLAITGFLZeqcva6erm5Z&#10;FFCaUmprIGcdBDYenZ8Nl6Al0qXQKBciYjEhZw2iu+M8FA20MsTWgSGksr6VSKmvuZPFRtbAsyQZ&#10;cP+bg42OOKNZmTM/KzMWrTpHnf/mtlWlCpjaYtuCwRMtuNWw+FhDgUQqfQ2Ys0ppoJG5EC3o91TU&#10;3m5dEHNrFFovkpuLLHmzfkOCUPTco2lG8aRRuiTvvEWiJC0ouZStuyff2S025NfbgDSUyGJKluCs&#10;R3G9j6cSZR89GKm7oAIdhgYAg8iSdPBTfrJP0UhPlZMXqiuJihx9EtkeiHc6tIdHzm1J+j3uEDy1&#10;Yvy00Ol/Co20ALCgvfKqhMMcOYtj/o309oAPYlqS/Vj8aKlGXwAAAP//AwBQSwMEFAAGAAgAAAAh&#10;ACsF49tiAQAAnQIAACAAAABkcnMvY2hhcnRzL19yZWxzL2NoYXJ0NS54bWwucmVsc6xS30vDMBB+&#10;F/wfSkDfbNqqQ3TdkE1lDzIZE18CEttrmy1NQnKT9b/3Zhk6GPjiy/3Id/nu8uWG422ro0/wQVmT&#10;szROWASmsKUydc5el48XNywKKE0ptTWQsw4CG49OT4YL0BLpUmiUCxGxmJCzBtHdch6KBloZYuvA&#10;EFJZ30qk1NfcyWIta+BZkgy4/83BRgec0azMmZ+VGYuWnaPOf3PbqlIFTG2xacHgkRbcaph/rKBA&#10;IpW+BsxZpTTQyFyIFvR7KmpvNy6IZ2sUWi+Sq7MsebN+TYJQ9NSjaUbxpFG6JO+8RaIkLSg5l627&#10;I9/ZDTbkV5uANJTIYkoW4KxHcbmLpxJlH90bqbugAh2GBgCDyJJ08FN+tE/RSE+VkxeqK4mKHH0S&#10;2R6Itzq0+0c+25L0e9gieGrF+HGh0/8UGmkBYE575VUJ+zlyFsf8G+ntHr+OaUl2Y/GDpRp9AQAA&#10;//8DAFBLAwQUAAYACAAAACEAe1fea2IBAACdAgAAIAAAAGRycy9jaGFydHMvX3JlbHMvY2hhcnQz&#10;LnhtbC5yZWxzrFLfS8MwEH4X/B9KQN9s2k6G6Lohm8oexmQovgQkttc2W5qE5Crbf+/NMnQw8MWX&#10;+5Hv8t3ly40m21ZHn+CDsiZnaZywCExhS2XqnL2+PF7dsCigNKXU1kDOdhDYZHx+NlqBlkiXQqNc&#10;iIjFhJw1iO6W81A00MoQWweGkMr6ViKlvuZOFhtZA8+SZMj9bw42PuKM5mXO/LzMWPSyc9T5b25b&#10;VaqAmS26FgyeaMGthuXHGgokUulrwJxVSgONzIVoQb+nova2c0EsrFFovUiuL7LkzfoNCULRU4+m&#10;GcXTRumSvPMWiZK0oORStu6O/M522JBfdwFpKJHFlKzAWY9isI9nEmUf3Rupd0EFOgwNAAaRJenw&#10;p/xkn6KRniqnz1RXEhU5+iSyPRBvdWgPj1zYkvR72CJ4asX4aaHT/xQaaQFgSXvlVQmHOXIWx/wb&#10;6e0BH8S0JPux+NFSjb8AAAD//wMAUEsDBBQABgAIAAAAIQBpsSFibAYAAFcbAAAcAAAAZHJzL3Ro&#10;ZW1lL3RoZW1lT3ZlcnJpZGU3LnhtbOxZT48bNRS/I/EdrLm3SXaTdLNqttpkky602642aVGPzsSZ&#10;ceMZj2xnt7mh9oiEhCiICxI3Dgio1EpcyqdZKIIi9SvwbM9MxpsJu9uuQJTmkMzYP7//7/nZuXrt&#10;QcTQIRGS8rjt1S5XPURin49pHLS9O8P+pQ0PSYXjMWY8Jm1vTqR3bev9967iTRWSiNyGtYKOCQI6&#10;sdzEbS9UKtmsVKQP01he5gmJYW7CRYQVvIqgMhb4COhHrLJWrTYrEaaxtwUEfSYGehVBMY6A1+3J&#10;hPrETI2nNY2Qc9llAh1i1vaAxJgfDckD5SGGpYKJtlc1H6+ydbWCN9NFTK1YW1jXN590XbpgPF0z&#10;PEUwypnW+vXWlZ2cvgEwtYzr9XrdXi2nZwDY90mcylKkWe9v1DoZzQLIPi7T7lYb1bqLL9BfX5K5&#10;1el0Gq1UFkvUgOxjfQm/UW3Wt9ccvAFZfGMJX+9sd7tNB29AFt9cwvevtJp1F29AIaPxdAmtHdrv&#10;p9RzyISz3VL4BsA3qil8gYJoyKNLs5jwWK2KtQjf56IPAA1kWNEYqXlCJtiHmOziaCQo1gzwJsGF&#10;GTvky6UhzQtJX9BEtb0PExx7Bcir59+/ev4UvXr+5Pjhs+OHPx0/enT88EdLy1m4i+OguPDlt5/9&#10;+fXH6I+n37x8/EU5Xhbxv/7wyS8/f14OhAxaaPjiyye/PXvy4qtPf//ucQl8W+BRET6kEZHoFjlC&#10;BzwC3YxhXMnJSJxvxTDE1FmBQ6BdQrqnQgd4a45ZGa5DXOPdFVA8yoDXZ/cdWQehmClawvlGGDnA&#10;Pc5Zh4tSA9zQvAoWHs7ioJy5mBVxBxgflvHu4thxbW+WQNXMgtKxfTckjpj7DMcKByQmCuk5PiWk&#10;RLt7lDp23aO+4JJPFLpHUQfTUpMM6cgJpMWiXRqBX+ZlOoOrHdvs3UUdzsq03iGHLhISArMS4YeE&#10;OWa8jmcKR2UkhzhiRYPfxCosE3IwF34R15MKPB0QxlFvTKQsW3NbgL4Fp9/AUK9K3b7H5pGLFIpO&#10;y2jexJwXkTt82g1xlJRhBzQOi9gP5BRCFKN9rsrge9zNEP0OfsDxSnffpcRx9+mF4A4NHJEWAaJn&#10;ZqLEl9cJd+J3MGcTTEyVgZLuVOqIxn9XthmFum05vCvbbW8bNrGy5Nk9UaxX4f6DJXoHz+J9Almx&#10;vEW9q9DvKrT31lfoVbl88XV5UYqhSuuGxPbapvOOVjbeE8rYQM0ZuSlN7y1hAxr3YVCvM+dJkh/E&#10;khAedSYDAwcXCGzWIMHVR1SFgxAn0LfXPE0kkCnpQKKESzgvmuFS2hoPvb+yp82GPofYyiGx2uNj&#10;O7yuh7PjRk7GSBVIy9EyWtcEzsps/UpKFHR7HWY1LdSZudWMaKYoOtxylbWJzbkcTJ6rBoO5NaGz&#10;QdAPgZWbcKLXrOG8gxkZa7tbH2VuMTa5SBfJEMPtg7kRaGi9l31UM07KYmVJEa2H9ZE+O55itQK3&#10;lib7BtzO4qQiu/oKdpn33sRLWQQvvATUTqYji4vJyWJ01PZajbWGh3yctL0JHJXhMUrA61I3k5gF&#10;cKXkK2HD/tRk1qFRVDhTzE2CGtx+WLsvKezUgURItYNlaEPDTKUhwGLNycq/1gCzXpQCJdXobFKs&#10;b0Aw/GtSgB1d15LJhPiq6OzCiLadfU1LKZ8pIgbh+AiN2EwcYHC/DlXQZ0wl3HiYiqBf4HpOW9tM&#10;ucU5TbripZjB2XHMkhCn5VanaJbJFm4KUi6DeSuIB7qVym6UO78qJuUvSJViGP/PVNH7CVxBrI+1&#10;B3y46xUY6Uxpe1yokEMVSkLq9wU0DqZ2QLTAFS9MQ1DBNbT5FeRQ/9qcszRMWsNJUh3QAAkK+5EK&#10;BSH7UJZM9J1CrJbuXZYkSwmZiCqIKxMr9ogcEjbUNbCp93YPhRDqppqkZcDgTsaf+55m0CjQTU4x&#10;35xKlu+9Ngf+6c7HJjMo5dZh09Bk9s9FzNuDxa5q15vl2d5bVERPLNqsepYV7lbQStP+NUU451Zr&#10;K9aSxmuNTDjw4rLGMJg3RAlcJCH9BfsfFT6zf2LoDXXID6C2Ivj/QhODsIGovmQbD6QLpB0cQeNk&#10;B20waVLWtGnrpK2WbdYX3OnmfE8YW0t2Fn+f09h5c+ayc3LxIo2dWtixtR1baWrw7MkUhaFJdpAx&#10;jnH+DNv6CwAA//8DAFBLAwQUAAYACAAAACEAabEhYmwGAABXGwAAHAAAAGRycy90aGVtZS90aGVt&#10;ZU92ZXJyaWRlNi54bWzsWU+PGzUUvyPxHay5t0l2k3SzarbaZJMutNuuNmlRj87EmXHjGY9sZ7e5&#10;ofaIhIQoiAsSNw4IqNRKXMqnWSiCIvUr8GzPTMabCbvbrkCU5pDM2D+//+/52bl67UHE0CERkvK4&#10;7dUuVz1EYp+PaRy0vTvD/qUND0mF4zFmPCZtb06kd23r/feu4k0VkojchrWCjgkCOrHcxG0vVCrZ&#10;rFSkD9NYXuYJiWFuwkWEFbyKoDIW+AjoR6yyVq02KxGmsbcFBH0mBnoVQTGOgNftyYT6xEyNpzWN&#10;kHPZZQIdYtb2gMSYHw3JA+UhhqWCibZXNR+vsnW1gjfTRUytWFtY1zefdF26YDxdMzxFMMqZ1vr1&#10;1pWdnL4BMLWM6/V63V4tp2cA2PdJnMpSpFnvb9Q6Gc0CyD4u0+5WG9W6iy/QX1+SudXpdBqtVBZL&#10;1IDsY30Jv1Ft1rfXHLwBWXxjCV/vbHe7TQdvQBbfXML3r7SadRdvQCGj8XQJrR3a76fUc8iEs91S&#10;+AbAN6opfIGCaMijS7OY8FitirUI3+eiDwANZFjRGKl5QibYh5js4mgkKNYM8CbBhRk75MulIc0L&#10;SV/QRLW9DxMcewXIq+ffv3r+FL16/uT44bPjhz8dP3p0/PBHS8tZuIvjoLjw5bef/fn1x+iPp9+8&#10;fPxFOV4W8b/+8MkvP39eDoQMWmj44ssnvz178uKrT3//7nEJfFvgURE+pBGR6BY5Qgc8At2MYVzJ&#10;yUicb8UwxNRZgUOgXUK6p0IHeGuOWRmuQ1zj3RVQPMqA12f3HVkHoZgpWsL5Rhg5wD3OWYeLUgPc&#10;0LwKFh7O4qCcuZgVcQcYH5bx7uLYcW1vlkDVzILSsX03JI6Y+wzHCgckJgrpOT4lpES7e5Q6dt2j&#10;vuCSTxS6R1EH01KTDOnICaTFol0agV/mZTqDqx3b7N1FHc7KtN4hhy4SEgKzEuGHhDlmvI5nCkdl&#10;JIc4YkWD38QqLBNyMBd+EdeTCjwdEMZRb0ykLFtzW4C+BaffwFCvSt2+x+aRixSKTsto3sScF5E7&#10;fNoNcZSUYQc0DovYD+QUQhSjfa7K4HvczRD9Dn7A8Up336XEcffpheAODRyRFgGiZ2aixJfXCXfi&#10;dzBnE0xMlYGS7lTqiMZ/V7YZhbptObwr221vGzaxsuTZPVGsV+H+gyV6B8/ifQJZsbxFvavQ7yq0&#10;99ZX6FW5fPF1eVGKoUrrhsT22qbzjlY23hPK2EDNGbkpTe8tYQMa92FQrzPnSZIfxJIQHnUmAwMH&#10;Fwhs1iDB1UdUhYMQJ9C31zxNJJAp6UCihEs4L5rhUtoaD72/sqfNhj6H2MohsdrjYzu8roez40ZO&#10;xkgVSMvRMlrXBM7KbP1KShR0ex1mNS3UmbnVjGimKDrccpW1ic25HEyeqwaDuTWhs0HQD4GVm3Ci&#10;16zhvIMZGWu7Wx9lbjE2uUgXyRDD7YO5EWhovZd9VDNOymJlSRGth/WRPjueYrUCt5Ym+wbczuKk&#10;Irv6CnaZ997ES1kEL7wE1E6mI4uLyclidNT2Wo21hod8nLS9CRyV4TFKwOtSN5OYBXCl5Cthw/7U&#10;ZNahUVQ4U8xNghrcfli7Lyns1IFESLWDZWhDw0ylIcBizcnKv9YAs16UAiXV6GxSrG9AMPxrUoAd&#10;XdeSyYT4qujswoi2nX1NSymfKSIG4fgIjdhMHGBwvw5V0GdMJdx4mIqgX+B6TlvbTLnFOU264qWY&#10;wdlxzJIQp+VWp2iWyRZuClIug3kriAe6lcpulDu/KiblL0iVYhj/z1TR+wlcQayPtQd8uOsVGOlM&#10;aXtcqJBDFUpC6vcFNA6mdkC0wBUvTENQwTW0+RXkUP/anLM0TFrDSVId0AAJCvuRCgUh+1CWTPSd&#10;QqyW7l2WJEsJmYgqiCsTK/aIHBI21DWwqfd2D4UQ6qaapGXA4E7Gn/ueZtAo0E1OMd+cSpbvvTYH&#10;/unOxyYzKOXWYdPQZPbPRczbg8Wuateb5dneW1RETyzarHqWFe5W0ErT/jVFOOdWayvWksZrjUw4&#10;8OKyxjCYN0QJXCQh/QX7HxU+s39i6A11yA+gtiL4/0ITg7CBqL5kGw+kC6QdHEHjZAdtMGlS1rRp&#10;66Stlm3WF9zp5nxPGFtLdhZ/n9PYeXPmsnNy8SKNnVrYsbUdW2lq8OzJFIWhSXaQMY5x/gzb+gsA&#10;AP//AwBQSwMEFAAGAAgAAAAhAGmxIWJsBgAAVxsAABwAAABkcnMvdGhlbWUvdGhlbWVPdmVycmlk&#10;ZTIueG1s7FlPjxs1FL8j8R2subdJdpN0s2q22mSTLrTbrjZpUY/OxJlx4xmPbGe3uaH2iISEKIgL&#10;EjcOCKjUSlzKp1kogiL1K/Bsz0zGmwm7265AlOaQzNg/v//v+dm5eu1BxNAhEZLyuO3VLlc9RGKf&#10;j2kctL07w/6lDQ9JheMxZjwmbW9OpHdt6/33ruJNFZKI3Ia1go4JAjqx3MRtL1Qq2axUpA/TWF7m&#10;CYlhbsJFhBW8iqAyFvgI6EesslatNisRprG3BQR9JgZ6FUExjoDX7cmE+sRMjac1jZBz2WUCHWLW&#10;9oDEmB8NyQPlIYalgom2VzUfr7J1tYI300VMrVhbWNc3n3RdumA8XTM8RTDKmdb69daVnZy+ATC1&#10;jOv1et1eLadnANj3SZzKUqRZ72/UOhnNAsg+LtPuVhvVuosv0F9fkrnV6XQarVQWS9SA7GN9Cb9R&#10;bda31xy8AVl8Ywlf72x3u00Hb0AW31zC96+0mnUXb0Aho/F0Ca0d2u+n1HPIhLPdUvgGwDeqKXyB&#10;gmjIo0uzmPBYrYq1CN/nog8ADWRY0RipeUIm2IeY7OJoJCjWDPAmwYUZO+TLpSHNC0lf0ES1vQ8T&#10;HHsFyKvn3796/hS9ev7k+OGz44c/HT96dPzwR0vLWbiL46C48OW3n/359cfoj6ffvHz8RTleFvG/&#10;/vDJLz9/Xg6EDFpo+OLLJ789e/Liq09//+5xCXxb4FERPqQRkegWOUIHPALdjGFcyclInG/FMMTU&#10;WYFDoF1CuqdCB3hrjlkZrkNc490VUDzKgNdn9x1ZB6GYKVrC+UYYOcA9zlmHi1ID3NC8ChYezuKg&#10;nLmYFXEHGB+W8e7i2HFtb5ZA1cyC0rF9NySOmPsMxwoHJCYK6Tk+JaREu3uUOnbdo77gkk8UukdR&#10;B9NSkwzpyAmkxaJdGoFf5mU6g6sd2+zdRR3OyrTeIYcuEhICsxLhh4Q5ZryOZwpHZSSHOGJFg9/E&#10;KiwTcjAXfhHXkwo8HRDGUW9MpCxbc1uAvgWn38BQr0rdvsfmkYsUik7LaN7EnBeRO3zaDXGUlGEH&#10;NA6L2A/kFEIUo32uyuB73M0Q/Q5+wPFKd9+lxHH36YXgDg0ckRYBomdmosSX1wl34ncwZxNMTJWB&#10;ku5U6ojGf1e2GYW6bTm8K9ttbxs2sbLk2T1RrFfh/oMlegfP4n0CWbG8Rb2r0O8qtPfWV+hVuXzx&#10;dXlRiqFK64bE9tqm845WNt4TythAzRm5KU3vLWEDGvdhUK8z50mSH8SSEB51JgMDBxcIbNYgwdVH&#10;VIWDECfQt9c8TSSQKelAooRLOC+a4VLaGg+9v7KnzYY+h9jKIbHa42M7vK6Hs+NGTsZIFUjL0TJa&#10;1wTOymz9SkoUdHsdZjUt1Jm51Yxopig63HKVtYnNuRxMnqsGg7k1obNB0A+BlZtwotes4byDGRlr&#10;u1sfZW4xNrlIF8kQw+2DuRFoaL2XfVQzTspiZUkRrYf1kT47nmK1AreWJvsG3M7ipCK7+gp2mffe&#10;xEtZBC+8BNROpiOLi8nJYnTU9lqNtYaHfJy0vQkcleExSsDrUjeTmAVwpeQrYcP+1GTWoVFUOFPM&#10;TYIa3H5Yuy8p7NSBREi1g2VoQ8NMpSHAYs3Jyr/WALNelAIl1ehsUqxvQDD8a1KAHV3XksmE+Kro&#10;7MKItp19TUspnykiBuH4CI3YTBxgcL8OVdBnTCXceJiKoF/gek5b20y5xTlNuuKlmMHZccySEKfl&#10;VqdolskWbgpSLoN5K4gHupXKbpQ7vyom5S9IlWIY/89U0fsJXEGsj7UHfLjrFRjpTGl7XKiQQxVK&#10;Qur3BTQOpnZAtMAVL0xDUME1tPkV5FD/2pyzNExaw0lSHdAACQr7kQoFIftQlkz0nUKslu5dliRL&#10;CZmIKogrEyv2iBwSNtQ1sKn3dg+FEOqmmqRlwOBOxp/7nmbQKNBNTjHfnEqW7702B/7pzscmMyjl&#10;1mHT0GT2z0XM24PFrmrXm+XZ3ltURE8s2qx6lhXuVtBK0/41RTjnVmsr1pLGa41MOPDissYwmDdE&#10;CVwkIf0F+x8VPrN/YugNdcgPoLYi+P9CE4Owgai+ZBsPpAukHRxB42QHbTBpUta0aeukrZZt1hfc&#10;6eZ8TxhbS3YWf5/T2Hlz5rJzcvEijZ1a2LG1HVtpavDsyRSFoUl2kDGOcf4M2/oLAAD//wMAUEsD&#10;BBQABgAIAAAAIQBSGri3DggAAAIaAAAVAAAAZHJzL2NoYXJ0cy9jaGFydDIueG1s7FlRb+O4EX4v&#10;0P+gExa4J9uSLFmysfbBcc7XRZPbYJNsgb7REm2roUQdSSf2Fv3vN0NSsuzY2SRtURS4JIipETkk&#10;v5n5OEN//GlbMOeRCpnzcuz6Xc91aJnyLC9XY/f+bt5JXEcqUmaE8ZKO3R2V7k+TP//pYzpK10So&#10;24qk1AElpRylY3etVDXq9WS6pgWRXV7REt4tuSiIgkex6mWCPIHygvUCzxv0tBLXKiDvUFCQvKzH&#10;i9eM58tlntJLnm4KWiqzCkEZUYCAXOeVdCewuYwo6g+90HkkbOx6bg+FjJQrI6BlZ3pvhIJvyoxm&#10;My5KgLHVv0hHU6aoKEHVjJcKZrP7LF6FVEHEw6bqpLyoYHGLnOVqp5cLCwTdszWHfThf6G+bXFA5&#10;dlM/rIGA5jMoijwVXPKl6oLGnkGhtgaqjXtJL7D2gM364UiqHaNmQ74X4G57zbx6CXPC2IKkD4hN&#10;q3PTdf8eBx6DgaNSJq5J9flROIuVP3aZ8l1HbaGVPUBrsQpQFqAMWtkDtEiaApDQwzZqCbw3kqZP&#10;v5b06z4AiukDQJlGVEuiWjKoJQPXWbO8fAAg8cN1lpz9xQjqlnEA7cK4GZUrRnVji/9Fnq4nH8lo&#10;wbPdjQD0yIhJdYug6ocKJdWNwI+MLr/cCEd+G7tDD2JwAbHoOjl6nh4HDlA6alfRJYTb2J2KnDBt&#10;kHoo2KZRpjUKUIf+OnaNr75LNyjB6dXka57iBEpPAzKcDP7Xm4SG0ntmZMc3SgcLB1aBx1ZAYK8a&#10;IrJR/A4fLimjimatbumoYlxNBSWIYkvjgogZcg6KoX2ZCzMq5RqLdLSCWKyAXKyYbSSEH82MmR6J&#10;2M044wcxCn5LYTvpKM+2B0vgIqNWvQ1+s0GpxBe6xBHLyY9fqNwspBM5OyF//OHDzx8ChES/hX4z&#10;AiyIPSs1A45QRr9vVlMpB6Y09k1Hj5Ovn2Y49lGDWiHOGFK1DvOgJ4amXYl1HclZns1zxtBSUqwW&#10;M2YXHgyi6XBq3eSgGyt15zePBLPjUFyOnh1wK8HM6tPyV7oCH320dGEhS4m21UuYXXwIRx8uPiTf&#10;By46DRww17Dje4fgIeYGX99FCzxOAs/3Or5/rluw7+Z3fG3GvSn22vr7bkHH75/TFu679Tt+eNjt&#10;BcNavODIwUWXm+IFVwPYfm7BBp0bfzPH7YxndOJ1NTItybE/noHV68Z+6MVxFCShH/dj3zvaxh6U&#10;GmK/G4T9QR8MEsbDMA4ibdRTMNZo+10/CsN+AhOEQRAMzg5ocO9GSRAFYRD7SRgOBucX1ZigO4gC&#10;WJIfeFEURpE3fGaNPXRgmhp0aGozoLUMQxwThQ3kFlFYyfeJYv5qonjBWV7LAnEyDYL5e1jg3Mg/&#10;WKDhlP8tC8yRPOf/RRaIu6HX9xKI5iRIBoHfPxuhDQl4XR+6xSFwRpwkYf8slzYk4HWjaDAYRnEI&#10;jBMl4dk5ahbw+10b/v4QyCmMB4cxvaemmgX8CLjJj/rDQdRP+rCR+HCECXxLoOahPmyPWCC7WjCJ&#10;5pdr/nRFV7TM/krbSY5585VAVdWqHLD3jKhfSXF4QqL8loqT8hsqMNV9pudis1gwept/a6uCRTdL&#10;W5Hqb3mm1jbhiOxpTLafbJoVxEP4S2KdqKej1ovEH/iDfhJqutBZVpNxweE01Tleq/uhHpkSyI9X&#10;iA4XOSxd11RmFUVeXpOtVdvqmOn072CPZHvDbR21MGc+kPK8UJCAYxmJ59rY/YVCtQU5sCP5BmC6&#10;ggydZpg069yzIP/g4i5PH66hhjLKSyhf7cu8PP9SwSAwcbOCkm7VHTcDTc5jUiBItc5mTxdz/MUx&#10;wJStbs95U21Ngv3GEiGxJQIUCt8vEciIklOlAxml8pQcVmmqEb18m2SCm98QQbBGaYqK+1u7RVMJ&#10;mL1ASQdVppzabDpoO5R9R61xsQT4OxUWXHyyDmvQZgs2ZavSyFIlGunn5VLSOpsGJLTFS369YSq/&#10;emRgvZY7QVw0jgsB+cyDD9fXcswXPDgdFcTuL9TTwyStkS+7tC1VtIf+IvIMIoYaQrFQs9J5giow&#10;CqAkTUk1dpdwNwHNogL/luUKClWABcp9gASz+JJj8g8gQEkmpLok0ga+9jxEh4z0HYXxR5P60+WS&#10;pupKYqkGDrLFpm05GwFO9c+hH4TeRTDszAdJ3AnnYdQZxl7S8fzhxRASr2F4Of8XLgAuCtZ5ltES&#10;YrC+CQLhW+8ffK9nrnLetPlWdEGo7WRT+8AdU8af7mBnLnisVPACii39o1GDetq6UByB1MAk1ySz&#10;pDpsSYm65pY5fa+WY2jr+Y6j/FVmOABNa4CV1p/aFuhT2iOg8dxZmjraZIGHVw2O4GrsdqLQbBev&#10;9+B5zcU3s83X3EIgxaBD4L1Y++aB1DcPR7TSkh/QSiM/SSsCpzh5U4Hza99UEzgHHTwI/7MXECfO&#10;FKDTw9PEcsuJ0wQuOXB5YJo/DhNjpwOrv3w/9e7D5DDd0AfN6cNEv7qg6olSe4AszIM1GqYH92Xe&#10;HCIohjhrDoj6pG9xq+HNluD/iFMxyt7FlAjL0dD9tt/GYe07PWx/zeXnktnM2aZtWS6rC8gvHuTU&#10;5giQyhqTYaJ8ibn3Z2AzyCSPjvj6WrA23JG1YBNH91bvyLwWRFI8rV++lHWqXKXrOSlythu7fbhp&#10;xvthSFhwmMHz30qv4JzArxTYJVHEEXBvOXbFp8wUU5hD3Vf41cUhPO0x2tFxSearm8nvAAAA//8D&#10;AFBLAwQUAAYACAAAACEAabEhYmwGAABXGwAAHAAAAGRycy90aGVtZS90aGVtZU92ZXJyaWRlMS54&#10;bWzsWU+PGzUUvyPxHay5t0l2k3SzarbaZJMutNuuNmlRj87EmXHjGY9sZ7e5ofaIhIQoiAsSNw4I&#10;qNRKXMqnWSiCIvUr8GzPTMabCbvbrkCU5pDM2D+//+/52bl67UHE0CERkvK47dUuVz1EYp+PaRy0&#10;vTvD/qUND0mF4zFmPCZtb06kd23r/feu4k0VkojchrWCjgkCOrHcxG0vVCrZrFSkD9NYXuYJiWFu&#10;wkWEFbyKoDIW+AjoR6yyVq02KxGmsbcFBH0mBnoVQTGOgNftyYT6xEyNpzWNkHPZZQIdYtb2gMSY&#10;Hw3JA+UhhqWCibZXNR+vsnW1gjfTRUytWFtY1zefdF26YDxdMzxFMMqZ1vr11pWdnL4BMLWM6/V6&#10;3V4tp2cA2PdJnMpSpFnvb9Q6Gc0CyD4u0+5WG9W6iy/QX1+SudXpdBqtVBZL1IDsY30Jv1Ft1rfX&#10;HLwBWXxjCV/vbHe7TQdvQBbfXML3r7SadRdvQCGj8XQJrR3a76fUc8iEs91S+AbAN6opfIGCaMij&#10;S7OY8FitirUI3+eiDwANZFjRGKl5QibYh5js4mgkKNYM8CbBhRk75MulIc0LSV/QRLW9DxMcewXI&#10;q+ffv3r+FL16/uT44bPjhz8dP3p0/PBHS8tZuIvjoLjw5bef/fn1x+iPp9+8fPxFOV4W8b/+8Mkv&#10;P39eDoQMWmj44ssnvz178uKrT3//7nEJfFvgURE+pBGR6BY5Qgc8At2MYVzJyUicb8UwxNRZgUOg&#10;XUK6p0IHeGuOWRmuQ1zj3RVQPMqA12f3HVkHoZgpWsL5Rhg5wD3OWYeLUgPc0LwKFh7O4qCcuZgV&#10;cQcYH5bx7uLYcW1vlkDVzILSsX03JI6Y+wzHCgckJgrpOT4lpES7e5Q6dt2jvuCSTxS6R1EH01KT&#10;DOnICaTFol0agV/mZTqDqx3b7N1FHc7KtN4hhy4SEgKzEuGHhDlmvI5nCkdlJIc4YkWD38QqLBNy&#10;MBd+EdeTCjwdEMZRb0ykLFtzW4C+BaffwFCvSt2+x+aRixSKTsto3sScF5E7fNoNcZSUYQc0DovY&#10;D+QUQhSjfa7K4HvczRD9Dn7A8Up336XEcffpheAODRyRFgGiZ2aixJfXCXfidzBnE0xMlYGS7lTq&#10;iMZ/V7YZhbptObwr221vGzaxsuTZPVGsV+H+gyV6B8/ifQJZsbxFvavQ7yq099ZX6FW5fPF1eVGK&#10;oUrrhsT22qbzjlY23hPK2EDNGbkpTe8tYQMa92FQrzPnSZIfxJIQHnUmAwMHFwhs1iDB1UdUhYMQ&#10;J9C31zxNJJAp6UCihEs4L5rhUtoaD72/sqfNhj6H2MohsdrjYzu8roez40ZOxkgVSMvRMlrXBM7K&#10;bP1KShR0ex1mNS3UmbnVjGimKDrccpW1ic25HEyeqwaDuTWhs0HQD4GVm3Ci16zhvIMZGWu7Wx9l&#10;bjE2uUgXyRDD7YO5EWhovZd9VDNOymJlSRGth/WRPjueYrUCt5Ym+wbczuKkIrv6CnaZ997ES1kE&#10;L7wE1E6mI4uLyclidNT2Wo21hod8nLS9CRyV4TFKwOtSN5OYBXCl5Cthw/7UZNahUVQ4U8xNghrc&#10;fli7Lyns1IFESLWDZWhDw0ylIcBizcnKv9YAs16UAiXV6GxSrG9AMPxrUoAdXdeSyYT4qujswoi2&#10;nX1NSymfKSIG4fgIjdhMHGBwvw5V0GdMJdx4mIqgX+B6TlvbTLnFOU264qWYwdlxzJIQp+VWp2iW&#10;yRZuClIug3kriAe6lcpulDu/KiblL0iVYhj/z1TR+wlcQayPtQd8uOsVGOlMaXtcqJBDFUpC6vcF&#10;NA6mdkC0wBUvTENQwTW0+RXkUP/anLM0TFrDSVId0AAJCvuRCgUh+1CWTPSdQqyW7l2WJEsJmYgq&#10;iCsTK/aIHBI21DWwqfd2D4UQ6qaapGXA4E7Gn/ueZtAo0E1OMd+cSpbvvTYH/unOxyYzKOXWYdPQ&#10;ZPbPRczbg8Wuateb5dneW1RETyzarHqWFe5W0ErT/jVFOOdWayvWksZrjUw48OKyxjCYN0QJXCQh&#10;/QX7HxU+s39i6A11yA+gtiL4/0ITg7CBqL5kGw+kC6QdHEHjZAdtMGlS1rRp66Stlm3WF9zp5nxP&#10;GFtLdhZ/n9PYeXPmsnNy8SKNnVrYsbUdW2lq8OzJFIWhSXaQMY5x/gzb+gsAAP//AwBQSwMEFAAG&#10;AAgAAAAhAPPv1eYGCAAA/xkAABUAAABkcnMvY2hhcnRzL2NoYXJ0MS54bWzsWVFv4zYSfj/g/oNO&#10;CNAn25IsWZKxTuHYcLtoshtskha4N1qibV1oUUfSib1F/3tnSMqWEjub5FoUB3QDbKgROSK/mflm&#10;hvnw/XbNnAcqZMHLket3PdehZcbzolyO3LvbWSdxHalImRPGSzpyd1S635//8x8fsmG2IkLdVCSj&#10;Digp5TAbuSulqmGvJ7MVXRPZ5RUt4d2CizVR8CiWvVyQR1C+Zr3A8wY9rcS1Csg7FKxJUdbrxWvW&#10;88WiyOiUZ5s1LZXZhaCMKEBAropKuudwuJwo6qde6DwQNnI9t4dCRsqlEdCyM74zQsE3ZU7zCRcl&#10;wNiYv86GY6aoKEHVhJcKvmbPuX4VUmsi7jdVJ+PrCjY3L1ihdnq7sEHQPVlxOIfzhf53UwgqR27m&#10;hzUQMHwGxbrIBJd8obqgsWdQqK2BauNe0gusPeCwfjiUaseoOZDvBXja3v67egszwticZPeITWPy&#10;furhPS58Cgauypi4ItXnB+HMl/7IZcp3HbWFUX4Po/kyQFmAMhjl9zAiWQZAwgw7qCXw3kj2c/q1&#10;pF/PAVDMHADKDKJaEtWSQS0ZuM6KFeU9AIm/XGfB2Y9GUI+MA2gXxsOoQjGqB1v8XxTZ6vwDGc55&#10;vrsWgB4ZMqluEFT9UKGkuhb4K6eLL9fCkV9HbupBDM4hFl2nQM/T68ABSkftKrqAcBu5Y1EQpg1S&#10;LwXb7JVpjQLUob+OXOOr79INSvDz6vzTzS/4AaU/AzL8GPxfHxIGSp+ZkR3fKB0sHFgFHhsBgbNq&#10;iMhG8Vt8mFJGFc0b07JhxbgaC0oQxYbGORET5BwUw3haCLMq4xqLbLiEWKyAXKyYbSSEH82NmR6I&#10;2E04460YBb+lcJxsWOTb1ha4yKlVb4PfHFAq8YUucMXi/LsvVG7m0omcnZDf/etschYgJPotzJsQ&#10;YEGcWakJcIQy+n2zm0o58Elj32z4YADGAWqoEGcMqVqHedAfhqHdiXUdyVmRzwrG0FJSLOcTZjce&#10;DKJxOrZu0prGSj35zSvB7LgUt6O/DriVYGb1cfGJLsFHHyxdWMgyom31EmYXZ+Hw7OIs+TZw0XHg&#10;gLnSju/h+gN4CKHB13fRAg/nged7Hd8/NS04TPM7vjbjMW39w7Sg4/dPaQsP0/odP2xPM7a0zmEe&#10;asNavCDl4KbLzfoFVwPYJg3YYPLe30y6nfCcnntdjUxD8tQfT8CadJOwH/aDOElT34vTwcnD1ggn&#10;XT8aBLEf+kkcp2kSt499MEmNddwN0iiK074f9PtxGEenFtSo454GQZj4Ay8Z9P1BetKctQF8rxt4&#10;/TQMkjRKkxQ+1P4GwH8AzjzUttBGQPMYfnhKEzaMGzRhJd+miemracJ4x1FXeS0HxMk4CGbv4YBT&#10;K//mgD2j/LUcMEXqnP6JHOCn3RADDetgD2K1fzLeag6AFYM4jeLIi/zQi7xvckDgdVPfjxII60Ec&#10;pvDTDtADa9QkEARdH+gl9XwI59gLAp06jpF1TQKwIkhCII2wDztK/PjJiteTQH45ZxKtL1f88ZIu&#10;aZn/RJsVjnnzM4GWqtE24OwJUZ/Iup0eUX5DxVH5NRVY5z7Tc7GZzxm9Kb42VcEJ9ltbkuqXIlcr&#10;W21ENhWT7UdbYwVxFALfBonJp40XiQ9sDLbWbKFLrH25BZlprAu8xvS2HpkRKI6XiA4XBWxdN1Rm&#10;F+uivCJbq7YxMde1X+uMZHvNbRM1NxsEgp6tFVTf2ENiUhu5P1BotaAAdiTfAEyXUJ7THCtmXXiu&#10;yX+4uC2y+ytooIzyEnpX+7IoT79UsAhMvN9BSbfqlpuFpuAx9Q/UWSdLp4sZ/uAaIMrGtOe0qbam&#10;un5jf5DY/gC6hG/3B2RIybG+gQwzeUwOuzStiN6+rTDBza+JINig7DuKuxt7RNMGmLNAPwctphzb&#10;UjpoOpR9R61xsf7/NxUWXHyyDmvQZnM2ZsvSyDIl9tLPi4WkdSkNSGiLl/xqw1Rx+cDAeg13grjY&#10;Oy4E5DMPbu+v4ZgveHA2XBN7vlB/HpP0wfdfdmnbp2gP/UEUOUQMNYRioWal8wgtYBRAP5qRauQu&#10;4GIChusK/FuWS+hSARbo9QESLOFLjpU/gAD9mJBqSqQNfO15iA4Z6gsK44+m7qeLBc3UpcQ+DRxk&#10;i0M7cjYCnOpXoNbQuwjSzmyQxJ1wFkadNPaSDpDuRQpEmobT2W+4AbglWBV5TkuIwfoaCIRvvXzw&#10;vZ65x3nT4RvRBaG2k/vGBy6Ycv54CydzwWOlghfQael/GjVopq0LQaYyTgQKViS3pJo2pERdccuc&#10;PmQ0MxtDW3/vaZS/ygwt0LQG2Gn9W9sCfUp7BAyeO8u+iTZFYPuewRFcjdxOFJrj4t0ePK+4+Gq8&#10;4TVXEEgx6BB4Kda8diD1tcMTWmnIW7Sylx+lFYGfOHpNgd/XvqnOIQ86mAj/2NuHIzkF6LSdTSy3&#10;HMkmcMNheAfy2t/JBK3YsvrLl1PvTibtckMnmuPJRL+6oOqRUptA5ubBGg3Lg7uy2CcRFEOc7RNE&#10;nekb3Gp4syH4P+JUtM+7mNKkjNbSw7HfxmHNCz0c/1zIzyWzlbMt2/JCVhdQX9zLsa0RoJQ1JsNC&#10;eYq192dgM6gkn6T4+k6wNtwTa/0hldecSIrZ+uUbWacqVLaakXXBdiO3D9fMeDkMBQsuM3j+T+UV&#10;5An8ewKbEkUcAZeWI1d8zM2FCtZQdxX+3aINT3ONdnTckvm7zfnvAAAA//8DAFBLAwQUAAYACAAA&#10;ACEAthH8wAEIAAABGgAAFQAAAGRycy9jaGFydHMvY2hhcnQzLnhtbOxZ62/juBH/XqD/gyoscJ9s&#10;i3rLWPvgOPDuosltbpNcgX6jJdpWQz2OohN7i/vfb4akbNlxnteiKHAJYFMjcjjzmwdn6I8/bgpu&#10;3TPR5FU5sknfsS1WplWWl8uRfXsz68W21UhaZpRXJRvZW9bYP47/+peP6TBdUSGva5oyC5iUzTAd&#10;2Ssp6+Fg0KQrVtCmX9WshHeLShRUwqNYDjJBH4B5wQeu44QDxcQ2DOg7GBQ0L9v14jXrq8UiT9l5&#10;la4LVkothWCcSkCgWeV1Y49BuYxKRhLHt+4pH9mOPUAip+VSE1jZm9xqoqjWZcayaSVKgLEzv0iH&#10;Ey6ZKIHVtCol7Gb0LF6FVEHF3brupVVRg3DznOdyq8QFAYH3dFWBHtY39us6F6wZ2SnxWyBg+AiK&#10;Ik9F1VQL2QeOA41Caw1kGw3igWvsAcoSf9jILWdaIeK4qO1gt68SYUY5n9P0DrHpTN5N3b/Hhcdg&#10;4KqUi0taf70X1nxJRjaXxLbkBkbZHYzmSxdpLtJglN3BiKYpAAkzzKClwHtN2c3xWorXzgFQ9BwA&#10;Sg+ClhK0lLClhLa14nl5B0Dil20tKv5ZE9qRdgDlwqiMzCVnarDBT5Gnq/FHOpxX2fZKAHp0yBt5&#10;jaCqhxop9ZXAr4wtvl0Jq/k+shMHYnAOsWhbOXqeWgcOUFpyW7MFhNvInoiccmWQdinYZsdMcRTA&#10;Dv11ZGtffRdvYILby/HPPMMNpNoGaLgZfLZKwkAqnTndVmupgqWCrAKPnYDAWS1EdC2rG3w4Z5xJ&#10;lnWmpcOaV3IiGEUUOxznVEwx5yAZxue50KvSSmGRDpcQizUkF0Pm6wbCj2XaTPdUbKcVrw5iFPyW&#10;gTrpMM82ByJUImOGvQl+rWAjxTe2wBWL8Q/fWLOeN1ZgbUXzw98+fPrgIiTqLcybUsiCOLOWU8gR&#10;UvMnWppaWrCltm86vB//fHGOa+8VqDXijCHV8tAPamMYGkmM6zQVz7NZzjlaqhHL+ZQbwd0wmCQT&#10;4yYH03ipJr95JZgdl6I4anfArQQzyy+Ln9gSfPTepAsDWUqVrZ7D7OyDP/xw9iF+GbjgNHCQuZIe&#10;cQ7BQ8w1vsRGC9yPXYc4PUKemubup5EeUWbcm2LPzdtPc3vEe4qbv5/m9Yh/OO0Zwxq84MhBoct1&#10;8YyrAWyfOrDB5J2/6eN2WmVs7PQVMh3KsT8+AWvUTyIv9MIgiUPHdxMnONRij0mLcNyPCYn8OIEV&#10;oR/H0ZHe+xUt2HHfC8PY9ZPEiWEjcozUfkWLe9wP4shLYk9/+M6LJoj6XhAEJAy9yI9i4sRHtgVr&#10;7KHTD22YKTOgtXSGOE4UJpA7icJQXk4Un1+dKJ5xltdmgSieuO7sPVngqZV/ZoFdTvnfZoHPmDw/&#10;/xezAIn6EYmiIAzc0PV8EiYvZQES95MgDiGWY5JEQRKqzH4ql7ZZwHX6vhc6juPHEQmIdxyhj7MA&#10;Sfqx7/pREkJM48eTUrWJGKRy3Yh4BNKSF0VOdKjG65NAdjHnDVq/WVUPF2zJyuzvrFvj6De/UGiq&#10;Oo0Dzp5S+RMtDg9IpF8zcZJ+xQRWuo/4nK3nc86u8+9dVqDBTrQlrf+RZ3Jl6o3AHMZ088VUWW5M&#10;QjeBxKtP1MMXHgFjqGyhiqxdwQVn00SVeIfTO3yalEJ5vER0KpGD6Kql0lIUeXlJN4ZtZ2Kmqr8D&#10;HenmqjJt1FwLCAl6Vkiov7GLxGNtZH9i0GxBCWw11RpguoACnWVYM6vSs6D/qsRNnt5dQgulmZfQ&#10;vZqXefn0SwmLwMQ7CUq2kTeVXqhLHl0BQaX1ZPF0NsN/XAOJsjPtcdqUG11fv7FDiE2HAH3Cyx0C&#10;HTJ6qnOgw7Q5RQcpdTOixDc1Jrj5FRUUW5RdT3F7bVTUjYDWBTo6aDKbiSmm0dN2DmXeMWNc7AD+&#10;yYQBF5+Mw2q0+ZxP+LLUtFSKHfXrYtGwtpgGJJTFy+pyzWV+cc/Beh13grjYOS4E5CkP7sjXccxn&#10;PDgdFtTo57eR0ln5vEubTkV56CeRZxAxTCcUAzUvrQdoAgMXOtKU1iN7AVcTMCxq8O+mXEKfCrBA&#10;tw+QYBFfVlj7AwjQkYlGntPGBL7yPESHDtUVhfZHXfmzxYKl8qLBTg0cZINDM7LWApzq3wlxfefM&#10;TXqzMI56/swPeknkxD2HJGcJVISJfz77DQWAe4JVnmWshBhsL4KA+NbrB+IM9E3Om5TvRBeE2rbZ&#10;tT5wxZRVDzegmQ0e20h4Ab2W+lOoQTttXCgKgKphalY0M0k16VCpvKxM5iROS8fQVvsdR/mrzHAA&#10;muIAkrbfyhZY+CmPgMFjZ9m10boIPLxpsEQlR3Yv8LW6eLsHz6tKfNdqvuYSAlMMOgRei3UvHmh7&#10;8XCUVjr0g7Syo59MKwK3OHlRgfsr35RjOActPAj/s/cPJ84USKeHp4nJLSdOE7jjQPHANH8eJtpO&#10;B1Z//nrqjxwmnXJDHTSnDxP16ozJB8bMATLXD8ZoWB7clvnuEEEyxNnugGhP+k5u1XmzQ/g/yqkY&#10;Ze/KlAjL0dK92m/LYd0rPRz/kjdfS24qZ1O2ZXlTn0F9cddMTI0Apaw2GRbK51h7f4VsBpXk0RHf&#10;3gq2hjuyFihxdG31jsprThuGp/Xzd7JWnct0NaNFzrcj24OLZrwehoIFl2k8/1B5BecE/qLAz6mk&#10;loBry5EtvmS6l8Ia6rbGXy4O4emuUY6OIulfbsa/AwAA//8DAFBLAwQUAAYACAAAACEAabEhYmwG&#10;AABXGwAAHAAAAGRycy90aGVtZS90aGVtZU92ZXJyaWRlMy54bWzsWU+PGzUUvyPxHay5t0l2k3Sz&#10;arbaZJMutNuuNmlRj87EmXHjGY9sZ7e5ofaIhIQoiAsSNw4IqNRKXMqnWSiCIvUr8GzPTMabCbvb&#10;rkCU5pDM2D+//+/52bl67UHE0CERkvK47dUuVz1EYp+PaRy0vTvD/qUND0mF4zFmPCZtb06kd23r&#10;/feu4k0VkojchrWCjgkCOrHcxG0vVCrZrFSkD9NYXuYJiWFuwkWEFbyKoDIW+AjoR6yyVq02KxGm&#10;sbcFBH0mBnoVQTGOgNftyYT6xEyNpzWNkHPZZQIdYtb2gMSYHw3JA+UhhqWCibZXNR+vsnW1gjfT&#10;RUytWFtY1zefdF26YDxdMzxFMMqZ1vr11pWdnL4BMLWM6/V63V4tp2cA2PdJnMpSpFnvb9Q6Gc0C&#10;yD4u0+5WG9W6iy/QX1+SudXpdBqtVBZL1IDsY30Jv1Ft1rfXHLwBWXxjCV/vbHe7TQdvQBbfXML3&#10;r7SadRdvQCGj8XQJrR3a76fUc8iEs91S+AbAN6opfIGCaMijS7OY8FitirUI3+eiDwANZFjRGKl5&#10;QibYh5js4mgkKNYM8CbBhRk75MulIc0LSV/QRLW9DxMcewXIq+ffv3r+FL16/uT44bPjhz8dP3p0&#10;/PBHS8tZuIvjoLjw5bef/fn1x+iPp9+8fPxFOV4W8b/+8MkvP39eDoQMWmj44ssnvz178uKrT3//&#10;7nEJfFvgURE+pBGR6BY5Qgc8At2MYVzJyUicb8UwxNRZgUOgXUK6p0IHeGuOWRmuQ1zj3RVQPMqA&#10;12f3HVkHoZgpWsL5Rhg5wD3OWYeLUgPc0LwKFh7O4qCcuZgVcQcYH5bx7uLYcW1vlkDVzILSsX03&#10;JI6Y+wzHCgckJgrpOT4lpES7e5Q6dt2jvuCSTxS6R1EH01KTDOnICaTFol0agV/mZTqDqx3b7N1F&#10;Hc7KtN4hhy4SEgKzEuGHhDlmvI5nCkdlJIc4YkWD38QqLBNyMBd+EdeTCjwdEMZRb0ykLFtzW4C+&#10;BaffwFCvSt2+x+aRixSKTsto3sScF5E7fNoNcZSUYQc0DovYD+QUQhSjfa7K4HvczRD9Dn7A8Up3&#10;36XEcffpheAODRyRFgGiZ2aixJfXCXfidzBnE0xMlYGS7lTqiMZ/V7YZhbptObwr221vGzaxsuTZ&#10;PVGsV+H+gyV6B8/ifQJZsbxFvavQ7yq099ZX6FW5fPF1eVGKoUrrhsT22qbzjlY23hPK2EDNGbkp&#10;Te8tYQMa92FQrzPnSZIfxJIQHnUmAwMHFwhs1iDB1UdUhYMQJ9C31zxNJJAp6UCihEs4L5rhUtoa&#10;D72/sqfNhj6H2MohsdrjYzu8roez40ZOxkgVSMvRMlrXBM7KbP1KShR0ex1mNS3UmbnVjGimKDrc&#10;cpW1ic25HEyeqwaDuTWhs0HQD4GVm3Ci16zhvIMZGWu7Wx9lbjE2uUgXyRDD7YO5EWhovZd9VDNO&#10;ymJlSRGth/WRPjueYrUCt5Ym+wbczuKkIrv6CnaZ997ES1kEL7wE1E6mI4uLyclidNT2Wo21hod8&#10;nLS9CRyV4TFKwOtSN5OYBXCl5Cthw/7UZNahUVQ4U8xNghrcfli7Lyns1IFESLWDZWhDw0ylIcBi&#10;zcnKv9YAs16UAiXV6GxSrG9AMPxrUoAdXdeSyYT4qujswoi2nX1NSymfKSIG4fgIjdhMHGBwvw5V&#10;0GdMJdx4mIqgX+B6TlvbTLnFOU264qWYwdlxzJIQp+VWp2iWyRZuClIug3kriAe6lcpulDu/Kibl&#10;L0iVYhj/z1TR+wlcQayPtQd8uOsVGOlMaXtcqJBDFUpC6vcFNA6mdkC0wBUvTENQwTW0+RXkUP/a&#10;nLM0TFrDSVId0AAJCvuRCgUh+1CWTPSdQqyW7l2WJEsJmYgqiCsTK/aIHBI21DWwqfd2D4UQ6qaa&#10;pGXA4E7Gn/ueZtAo0E1OMd+cSpbvvTYH/unOxyYzKOXWYdPQZPbPRczbg8Wuateb5dneW1RETyza&#10;rHqWFe5W0ErT/jVFOOdWayvWksZrjUw48OKyxjCYN0QJXCQh/QX7HxU+s39i6A11yA+gtiL4/0IT&#10;g7CBqL5kGw+kC6QdHEHjZAdtMGlS1rRp66Stlm3WF9zp5nxPGFtLdhZ/n9PYeXPmsnNy8SKNnVrY&#10;sbUdW2lq8OzJFIWhSXaQMY5x/gzb+gsAAP//AwBQSwMEFAAGAAgAAAAhALWjt6fzBwAA/hkAABUA&#10;AABkcnMvY2hhcnRzL2NoYXJ0NC54bWzsWW1v47gR/l6g/0EVAtwn26IsyZKxzsFx4Gu2yW2wSe6A&#10;fqMl2lZDvRxJJ/YW/e+dISlbduxskmtRFLjNwqZG5JB85n386cd1wZ0nJmRelSOXdD3XYWVaZXm5&#10;GLkP99NO7DpS0TKjvCrZyN0w6f54/uc/fUqH6ZIKdVfTlDnApJTDdOQulaqHvZ5Ml6ygslvVrIR3&#10;80oUVMGjWPQyQZ+BecF7vudFPc3EtQzoBxgUNC+b9eIt66v5PE/ZZZWuClYqcwrBOFWAgFzmtXTP&#10;4XIZVYwkXuA8UT5yPbeHRE7LhSGwsjN+MERRrcqMZZNKlABja36RDsdcMVECq0lVKtjN3rN4E1IF&#10;FY+rupNWRQ2Hm+U8Vxt9XDgg8J4sK7iH85X9tsoFkyM3JUEDBAxfQFHkqahkNVdd4NgzKDTSQLaD&#10;XtzzrTzgsiQYSrXhzFyIeD7etrfdVx9hSjmf0fQRsWlN3k7dvceFh2DgqpSLG1p/eRLObEFGLlfE&#10;ddQaRtkjjGYLH2k+0mCUPcKIpikACTPsoKHAe0PZzuk3lH4zB0AxcwAoMwgbSthQooYSuc6S5+Uj&#10;AIlfrjOv+F8NoRkZBdAqjJdRueJMD9b4KfJ0ef6JDmdVtrkVgB4dcqnuEFT9UCOlvhX4lbH511vh&#10;yG8jN/HABmdgi66To+bpdaAApaM2NZuDuY3cscgp1wJploJstsw0RwHsUF9HrtHVD/EGJri9Ov91&#10;jPyV3gVIuBd8NneEgdJX5nRTrZS2lQqcCjy27AFnNQjRlaru8eGScaZY1pqWDmteqbFgFEFscZxR&#10;MUGXg2QYX+bCrEorDUU6XIAp1uBbLJmvJFgfy4yUnqjYTCpe7ZkoqC2D66TDPFvvHaESGbPsre2b&#10;C0olvrI5rpif//CVydVMOqGzEfKHv5xdnfkIiX4L8yYUnCDOrNUEXIQy/Ik5Ta0c2NKINx0+aXzx&#10;GxnUCDMaVMPCPOh9YWgPYhVHVjzPpjnnKCcpFrMJt+f2o3CcjK2S7E3jpZ787pUgdVyKx9G7A2wl&#10;SFldzX9mC9DQJ+ssLGIp1aJ6DbKLs2B4dnEWfx+38Dhu4LeSDvFw/Q48hNDAS1wUwNO57xGvQ8ip&#10;af5uGukQLcVj3Pq7aX6H9E9xC3bT+h0S7E8zsrS6YR4awVq8IODgoctV8YqmAWxXLdhg8lbdTLCd&#10;VBk797oamRblUB1PwEq6pJ/0QxIEkZckCfFPXrZBmHSDmLT/R/v33smkAbvfJV4cRGG0/Ty1osE9&#10;7MYDEiV+FPh+RKI4PrlHI4Kw6yWe70UkDsNo4B0oAMC/A848NLLQQkDxGPdw6CWsFbe8hKV830t8&#10;frOXMNpxVFXe6gMG8dj3px/xAadW/uEDth7lf+sDPqPr/Pxf9AFgn4T0vTAe+F4ANhSHp+yz8QEx&#10;WHQQDkIS9ftJDIZ64Pte+gDid4N+P4785vPkisYHkH43IB56jX4wSEKfnDxV4wNgxSCMgqDvJ3ES&#10;Jd7gwJe93Qtk1zMuUfxyWT1fswUrs7+xdoZj3vxCoaJqVQ04e0LVz7TYj49Iv2PiKP2WCUxzX/C5&#10;WM1mnN3l39qs4Abboy1o/WueqaXNNkIbi+n6yuZYfkyiwEui4y/8IIm0u9Ap1jbdgtA01gneST4y&#10;pZAbLxCdSuRwdF1PmVMUeXlD15Zta2Kmc7+9O9L1bWVrqJmJ+OChp4WC5BtLSIxqI/cnBpUW5L+O&#10;rFYA0zVk5yzDhFknngX9RyXu8/TxBuonw7yE0tW+zMvTLxUsAhFvT1CytbqvzEKT8ZgECBKtk7nT&#10;xRT/cA14yta0l35TrU1y/c7yILblARQJ3y8P6JDRY2UDHabyGB1OaSoRfXybYoKa31JBsT7ZFhQP&#10;d/aKpgwwd4FyDipMObaptNa0RqHsO2aFi/n/35mw4OKTVViDNp/xMV+UhpYqsaV+mc8la1JpQEJL&#10;vKxuVlzl108cpNdSJ7CLreKCQR7V4N35Wor5iganw4La+wV6e4zSO91/XaVtnaI19CeRZ2AxzDgU&#10;CzUvnWeoAEMfytGU1iN3Dn0JGBY16LcsF1CkAixQ6gMkmMOXFab+AALUY0KqSyqt4WvNQ3ToUPcn&#10;jD6axJ/N5yxV1xLrNFCQNQ7tyFkJUKp/QsIXeBd+0plG8aATTIOwkwy8uOOR5AI8R5AEl9N/4QGg&#10;SbDMs4yVYINNFwiI7+09EK9n2jjvunzLusDUNnJb+UB/Kaue7+FmLmisVPACKi39T6MGtbRVoUEI&#10;VAOTXNLMOtWkRaXqprKek3gNHU1b73do5W8Swx5omgOctPnWskCd0hoBg5fKsi2iTRa432ZwRKVG&#10;bicMzHWxtQfPy0p8M9d8SwcCXQwqBPbE2l0H2nQdDtxKi77nVrb0o25F4BZHuxS4v9ZNdQ5x0MFA&#10;+J/tPhyJKeBO96OJ9S1Hogl0OPB4IJo/gomR057UX+9N/a5gsktbdKA5Hkz0qwumnhmzAWRmHqzQ&#10;MD14KPNtEEEy2Nk2QDSRvuVbjd9sEf6PfCpa2Yc8JcJysHR37ff5sHZDD8e/5PJLyW3mbNO2LJf1&#10;BeQXj3JscwRIZY3IMFG+xNz7C3gzyCQPQnzTE2wEdyAtuMRB1+oDmdeMSobR+vWGrFPnKl1OaZHz&#10;zcjtQ5cZe8OQsOAyg+fvSq8gTuDPCfySKuoIaFqOXHGVmYYK5lAPNf5ssQ9Pe41WdDyS+dnm/N8A&#10;AAD//wMAUEsDBBQABgAIAAAAIQDcENjIAQgAAAAaAAAVAAAAZHJzL2NoYXJ0cy9jaGFydDYueG1s&#10;7Flbb+O4FX4v0P+gCgH2ybaulmSMs3AceHfQJBPksgX6Rku0rYYWVZJO7Cn2v+85JGXLjp1JZrco&#10;CuwMkFCH5CH5nfvJpx/XS+Y8UyFLXg1dv+u5Dq1yXpTVfOg+Pkw6qetIRaqCMF7Robuh0v3x/K9/&#10;+ZQP8gUR6r4mOXWASSUH+dBdKFUPej2ZL+iSyC6vaQVzMy6WRMGnmPcKQV6A+ZL1As/r9zQT1zIg&#10;38FgScqq2S/es5/PZmVOL3m+WtJKmVsIyogCBOSirKV7Do8riKJ+5kXOM2FD13N7SGSkmhsCrTqj&#10;R0MUfFUVtBhzUQGMrfXLfDBiiooKWI15peA0+87lu5BaEvG0qjs5X9ZwuWnJSrXR14ULAu/xgsM7&#10;nDv671UpqBy6uR81QMDwFRTLMhdc8pnqAseeQaGRBrJNemkvsPKAx/rRQKoNo+ZBvhfga3vbc/UV&#10;JoSxKcmfEJvW4u3S3TxuPAQDd+VMXJP6y7NwpnN/6DLlu45aw6h4gtF0HiAtQBqMiicYkTwHIGGF&#10;HTQUmDeU7ZqwoYTNGgDFrAGgzCBuKHFD6TeUvussWFk9AZD4y3VmnP1sCM3IKIBWYXyMKhWjerDG&#10;n6LMF+efyGDKi82tAPTIgEl1j6Dqjxop9a3AXwWd3d0KR34dupkHNjgFW3SdEjVP7wMFqBy1qekM&#10;zG3ojkRJmBZIsxVks2WmOQpgh/o6dI2ufhdvYILHq/MHIvEApY8BGh4GP5tHwkDpNzOy4SuljYWD&#10;V4HPlkHgqgYislL8AT8uKaOKFq1l+aBmXI0EJYhii+OUiDH6HCTD+LIUZlfONRb5YA62WINzsWS2&#10;kmB+tDBieiZiM+aM79ko6C2F5+SDsljvXYGLglr21vjNA6USd3SGO2bnP9xRuZpKJ3Y2Qv7wt7Pr&#10;swAh0bOwbkzAC+LKWo3BRyjD3ze3qZUDRxr55oNnAzAOkEONOKNJNTzMhz4YhvYmVnUkZ2UxKRlD&#10;SUkxn46ZvXjQj0fZyKrJ3jJW6cUf3glix614HX064FaBmNXn2Q2dg44+W3dhIcuJltVbmF2cRYOz&#10;i7P028DFx4EDz5V1fA/378BDCA2+vosSeD4PPN/r+P6pZcFumd/xtRiPcQt3y4KOH57iFu2WhR0/&#10;2l9mZGmVw3w0grV4QcjBS1er5RuqBrBdt2CDxVt9M+F2zAt67nU1Mi3KoT6egDXt+l4c9rPUS6Is&#10;ifpJf/8VrxFOukmUeGEcJ6EfBHGQnYSnATvuRnE/iOM0yeK07yXJAVK7Mxrck24QergjzNIg8IIo&#10;O3WrRgRx1w+jJE39NMvSxO+HB7IFAeygMx+NNLQYUEDGQxw6CmvILUdhKd92FDfvdhRGP44qy3u9&#10;QJKOgmDyPV7g1M4/vcDWp/xvvcANOs+b/6IXCMB/gGFmXpCAYfeD8KRNN37WT7txknhJ7GVgdFFw&#10;ckPjBPyk20/jJIsy8ORh0j+5ofEBgQ8nZHEYaPapF53c0fgAuFOUxkGYROA34jBJD7zG+31AcTVl&#10;EoUvF/zlis5pVfydtlMcM/MLgZqqVTfg6jFRN2S5Hx+Rfk/FUfotFZjovuJzsZpOGb0vv7ZZwQu2&#10;V5uT+h9loRY23YhtLCbrzzbJAuCSNE7jvgmoBxNJmJn8XedY23wLQtNIZ3gHy3d8ZE4gO54jOlyU&#10;cHVdUZlbLMvqmqy1DwKEdgsLnfztvZGsb7mtoqbmguCfJ0sF6TcWkRjVhu5PFGotyIAdyVcA0xXk&#10;57TAlFlnnkvyLy4eyvzpGioow7yC4tVOltXpSQWbQMTbG1R0rR642WgyHpMAQaJ1Mne6mOB/3AN+&#10;srXstddUa5Nef7BASG2BAGXCtwsEMqDkWOFABrk8RodbmlpEX9+mmKDmt0SQu3ZJ8Xhvn2jqAPMW&#10;KOigxpQjm0trTWsUys5RK1wsAP5JhQUXv6zCGrTZlI3YvDK0XIkt9ctsJmmTSwMSWuIVv14xVV49&#10;M5BeS53ALraKCwZ5VIN392sp5hsanA+WxL4v0sdjjH6vSttCRWvoT6IswGKocSgWalY5L1ADxgEU&#10;pDmph+4MOhMwXNag37KaQ5kKsECxD5BgDl9xTP0BBCjIhFSXRFrD15qH6JCB7lAYfTSJP53NaK6u&#10;JBZqoCBrHNqRsxKgVP/J/CDyLoKsM+mnSSeaRHEnS7y04/nZRdb3oiy6nPyKF4A2waIsClqBDTZ9&#10;ICB+tPvgez3TyPnQ41vWBaa2kdvKBzpMBX95gJe5UARLBRNQaul/GjWopq0KQaAySgQMFqSwTjVr&#10;UYm65tZzQkpsV6Np6/MOrfxdYtgDTXOAmza/tSxQp7RGwOC1smyraJMD7jcaHMHV0O3EkXkuNvfg&#10;e8HFV6MN7+lBoItBhcCuWLvvQJq+w4FbadH33MqWftStCDwCWgyv+xR4vtZNdQ5x0MFA+Me2H47E&#10;FHCn+9HE+pYj0QRaHMbvQFz7M5igFPek/nZ36ncFk126oQPN8WCipy6oeqHUBpCp+bBCw/TgsSq3&#10;QQTJYGfbANFE+pZvNX6zRfg/8qkon+/ylCZk7G3dPftjPqzd0cPxL6X8UjGbOdu0rShlfQEtyyc5&#10;sjkCpLJGZJgoX2Lu/QW8GWSSByG+aQo2gjuQ1h+SeU2JpBit327JOnWp8sWELEu2Gboh9JmxOwwJ&#10;C24zeP6u9AriBP5BgV0SRRwBXcuhKz4XppbCHOqxxj9c7MPT3qMVHa9k/nBz/hsAAAD//wMAUEsD&#10;BBQABgAIAAAAIQBpsSFibAYAAFcbAAAcAAAAZHJzL3RoZW1lL3RoZW1lT3ZlcnJpZGU1LnhtbOxZ&#10;T48bNRS/I/EdrLm3SXaTdLNqttpkky602642aVGPzsSZceMZj2xnt7mh9oiEhCiICxI3Dgio1Epc&#10;yqdZKIIi9SvwbM9MxpsJu9uuQJTmkMzYP7//7/nZuXrtQcTQIRGS8rjt1S5XPURin49pHLS9O8P+&#10;pQ0PSYXjMWY8Jm1vTqR3bev9967iTRWSiNyGtYKOCQI6sdzEbS9UKtmsVKQP01he5gmJYW7CRYQV&#10;vIqgMhb4COhHrLJWrTYrEaaxtwUEfSYGehVBMY6A1+3JhPrETI2nNY2Qc9llAh1i1vaAxJgfDckD&#10;5SGGpYKJtlc1H6+ydbWCN9NFTK1YW1jXN590XbpgPF0zPEUwypnW+vXWlZ2cvgEwtYzr9XrdXi2n&#10;ZwDY90mcylKkWe9v1DoZzQLIPi7T7lYb1bqLL9BfX5K51el0Gq1UFkvUgOxjfQm/UW3Wt9ccvAFZ&#10;fGMJX+9sd7tNB29AFt9cwvevtJp1F29AIaPxdAmtHdrvp9RzyISz3VL4BsA3qil8gYJoyKNLs5jw&#10;WK2KtQjf56IPAA1kWNEYqXlCJtiHmOziaCQo1gzwJsGFGTvky6UhzQtJX9BEtb0PExx7Bcir59+/&#10;ev4UvXr+5Pjhs+OHPx0/enT88EdLy1m4i+OguPDlt5/9+fXH6I+n37x8/EU5Xhbxv/7wyS8/f14O&#10;hAxaaPjiyye/PXvy4qtPf//ucQl8W+BRET6kEZHoFjlCBzwC3YxhXMnJSJxvxTDE1FmBQ6BdQrqn&#10;Qgd4a45ZGa5DXOPdFVA8yoDXZ/cdWQehmClawvlGGDnAPc5Zh4tSA9zQvAoWHs7ioJy5mBVxBxgf&#10;lvHu4thxbW+WQNXMgtKxfTckjpj7DMcKByQmCuk5PiWkRLt7lDp23aO+4JJPFLpHUQfTUpMM6cgJ&#10;pMWiXRqBX+ZlOoOrHdvs3UUdzsq03iGHLhISArMS4YeEOWa8jmcKR2UkhzhiRYPfxCosE3IwF34R&#10;15MKPB0QxlFvTKQsW3NbgL4Fp9/AUK9K3b7H5pGLFIpOy2jexJwXkTt82g1xlJRhBzQOi9gP5BRC&#10;FKN9rsrge9zNEP0OfsDxSnffpcRx9+mF4A4NHJEWAaJnZqLEl9cJd+J3MGcTTEyVgZLuVOqIxn9X&#10;thmFum05vCvbbW8bNrGy5Nk9UaxX4f6DJXoHz+J9AlmxvEW9q9DvKrT31lfoVbl88XV5UYqhSuuG&#10;xPbapvOOVjbeE8rYQM0ZuSlN7y1hAxr3YVCvM+dJkh/EkhAedSYDAwcXCGzWIMHVR1SFgxAn0LfX&#10;PE0kkCnpQKKESzgvmuFS2hoPvb+yp82GPofYyiGx2uNjO7yuh7PjRk7GSBVIy9EyWtcEzsps/UpK&#10;FHR7HWY1LdSZudWMaKYoOtxylbWJzbkcTJ6rBoO5NaGzQdAPgZWbcKLXrOG8gxkZa7tbH2VuMTa5&#10;SBfJEMPtg7kRaGi9l31UM07KYmVJEa2H9ZE+O55itQK3lib7BtzO4qQiu/oKdpn33sRLWQQvvATU&#10;TqYji4vJyWJ01PZajbWGh3yctL0JHJXhMUrA61I3k5gFcKXkK2HD/tRk1qFRVDhTzE2CGtx+WLsv&#10;KezUgURItYNlaEPDTKUhwGLNycq/1gCzXpQCJdXobFKsb0Aw/GtSgB1d15LJhPiq6OzCiLadfU1L&#10;KZ8pIgbh+AiN2EwcYHC/DlXQZ0wl3HiYiqBf4HpOW9tMucU5TbripZjB2XHMkhCn5VanaJbJFm4K&#10;Ui6DeSuIB7qVym6UO78qJuUvSJViGP/PVNH7CVxBrI+1B3y46xUY6Uxpe1yokEMVSkLq9wU0DqZ2&#10;QLTAFS9MQ1DBNbT5FeRQ/9qcszRMWsNJUh3QAAkK+5EKBSH7UJZM9J1CrJbuXZYkSwmZiCqIKxMr&#10;9ogcEjbUNbCp93YPhRDqppqkZcDgTsaf+55m0CjQTU4x35xKlu+9Ngf+6c7HJjMo5dZh09Bk9s9F&#10;zNuDxa5q15vl2d5bVERPLNqsepYV7lbQStP+NUU451ZrK9aSxmuNTDjw4rLGMJg3RAlcJCH9Bfsf&#10;FT6zf2LoDXXID6C2Ivj/QhODsIGovmQbD6QLpB0cQeNkB20waVLWtGnrpK2WbdYX3OnmfE8YW0t2&#10;Fn+f09h5c+ayc3LxIo2dWtixtR1baWrw7MkUhaFJdpAxjnH+DNv6CwAA//8DAFBLAwQUAAYACAAA&#10;ACEAiyr2yAMIAAALGgAAFQAAAGRycy9jaGFydHMvY2hhcnQ1LnhtbOxZbW/juBH+XqD/QScEuE+2&#10;9W7JWOfgOPDdYpPbYJNcgX6jJdpWQ4sqSSf2Fv3vN0NStuzYebsWRYFLAJsaDYfDZ4bDmfGnn9ZL&#10;5jxSIUteDV2/67kOrXJelNV86N7fTTqp60hFqoIwXtGhu6HS/en8r3/5lA/yBRHqtiY5dUBIJQf5&#10;0F0oVQ96PZkv6JLILq9pBe9mXCyJgkcx7xWCPIHwJesFnpf0tBDXCiAfELAkZdXMF2+Zz2ezMqeX&#10;PF8taaWMFoIyogABuShr6Z7D5gqiqJ95kfNI2ND13B4SGanmhkCrzujeEAVfVQUtxlxUAGOLf5kP&#10;RkxRUYGoMa8UrGb3uXwTUksiHlZ1J+fLGpSblqxUG60uKAiyxwsO+3C+0X+uSkHl0M39qAEChs+g&#10;WJa54JLPVBck9gwKjTVQbL+X9gJrD9isHw2k2jBqNuR7Ae62t11XqzAhjE1J/oDYtJi3rLv3OPEQ&#10;DJyVM3FN6q+PwpnO/aHLlO86ag2j4gFG03mAtABpMCoeYETyHIAEDjtoKPDeULY8YUMJGx4AxfAA&#10;UGYQN5S4oSQNJXGdBSurBwASv1xnxtkvhtCMjANoF8bNqFIxqgdr/BRlvjj/RAZTXmxuBKBHBkyq&#10;WwRVP9RIqW8EfhV09u1GOPL70M08OINTOIuuU6Ln6XngAJWjNjWdwXEbuiNREqYN0kwF22yFaYkC&#10;xKG/Dl3jqx+SDUJweXV+O0L5Sq8CJFwLPps9wkDpLTOy4SulzwqHoAKPrfOAXA1CZKX4HT5cUkYV&#10;LVps+aBmXI0EJQhiS+KUiDGGHCTD+LIUZlbONRT5YA5HsYbYYslsJeH00cJY6ZGIzZgzvndEwW0p&#10;bCcflMV6TwUuCmrF27NvNiiV+EZnOGN2/uM3KldT6cTORsgffzj7chYgJPot8I0JBEHkrNUYQoQy&#10;8n2jTa0cWNKYNx88anzxGwXUCDMeqEaEedDrwtAqYh1HclYWk5IxtJMU8+mYWb2DJB5lI+ske2ys&#10;0szvnglWx6mojl4dYKvAyurz7Fc6Bw99tMHCIpYTbaqXILs4iwZnF2fp67jFx3GDuJV1fA/n78BD&#10;CA28vosGeDwPPN/r+P4ptmDH5nd8bcVj0sIdW9Dxw1PSoh1b2PGjfTZjS+sb5qExrMULLhxUulot&#10;X/A0gO1LCzZg3rqbuWzHvKDnXlcj06IcuuMJWJNu1I9SQC0K0zRKM19b6BgmDcK+380SYA4SP419&#10;z4+z/X3vbNKAnXaDJInD0EsSPwyCJDo5o8E97UZpEidBFoHZQa0kPrVGYwLQKvE94IQthGncTw7W&#10;AAPsoDMPjTW0GdBAJkAcxgl7jltxwlJejxNXb44Txj+OOstbo0A/HQXB5CNR4NTMP6PANqb8b6PA&#10;FQbPq/9iFPDjbj/ph2niZb4f9L2sf+q8NVEgCLppHMehB+HDi7wkPIh+z6OAn3ZhgX4/jCNYIPLT&#10;k2s0USDwuhAtQi8No9gPvCB4PRD73TQJgyxOU4hoWXoYut8eBYqrKZNofrngT1d0TqviC23nOObN&#10;bwRqqlbdgNxjon4ly/0bEum3VByl31CBie4zORer6ZTR2/J7WxTsYKvanNR/Kwu1sPlGbG9jsv5s&#10;s6wg9ftBHCepuVL3X4RgPpO/6yRrm3DB5TTSKd4+e0uOzAlkx3NEh4sSVNcVldFiWVbXZK2jECC0&#10;Yyx09re3R7K+4baKmhoFIUJPlgrSbywi8V4buj9TqLUgA3YkXwFMV5Cf0wJTZp16Lsk/uLgr84dr&#10;qKCM8AqKV/uyrE6/VDAJTLzVoKJrdcfNRJPzmBQIUq2T2dPFBP9xDkTKFtvzuKnWJr1+Z4GQ2gIB&#10;yoTXCwQyoORY4UAGuTxGBy1NLaLVt0kmuPkNEQQrlG1JcX9rt2gKAbMXKOigxpQjm0yjp20dyr6j&#10;1rhYAfydCgsuPlmHNWizKRuxeWVouRJb6tfZTNImmQYktMUrfr1iqrx6ZGC9ljvBudg6LhzIYx7c&#10;0q/lmC94cD5YEru/SC+Pt/RbXdpWKtpDfxZlASeGmoBioWaV8wQ1YBxAQZqTeujOoDMBw2UN/i2r&#10;OZSpAAsU+wAJZvEVx+QfQICKTEh1SaQ9+NrzEB0y0B0K448m9aezGc3VlcRKDRxkjUM7clYCnOpf&#10;mR9E3kWQdSZJ2u9EkyjuZH0v7Xh+dpElXpRFl5N/owLQJliURUErOINNHwiI7+0++F7PNHLetfnW&#10;6YKjtpHb2gc6TAV/uoOdueCxUsELqLX0n0YNqmnrQv0YqAYmuSCFDapZi0rUNbeR0/caOh5tvd7h&#10;KX+TGfZA0xJA0+Zb2wJ9SnsEDJ47y7aMNlngfqPBEVwN3U4cme1icw+eF1x8N9t8Sw8CQww6BHbF&#10;2n0H0vQdDsJKi74XVrb0o2FF4BJH+xS4vvZNdQ73oIMX4X+2/3DkToFwun+b2Nhy5DaBHgeqB6b5&#10;8zIxdtqz+svdqT9ymbTSDX3RHL9M9KsLqp4otRfI1DxYo2F6cF+V20sEyXDOthdEc9O3YquJmy3C&#10;/1FMxVP2oUiJsBxM3W37fTGs3dLD8W+l/FoxmznbtK0oZX0B+cWDHNkcAVJZYzJMlC8x9/4K0Qwy&#10;yYMrvukKvm442M9BC+sDSdiUSIoX98vdWacuVb6YkGXJNkM3hJYzNoohd8FpBto/lGnBlYG/LbBL&#10;oogjoIM5dMXnwnRXMJ26r/E3jH2k2nO0z6NK5jec898BAAD//wMAUEsDBBQABgAIAAAAIQBpsSFi&#10;bAYAAFcbAAAcAAAAZHJzL3RoZW1lL3RoZW1lT3ZlcnJpZGU0LnhtbOxZT48bNRS/I/EdrLm3SXaT&#10;dLNqttpkky602642aVGPzsSZceMZj2xnt7mh9oiEhCiICxI3Dgio1EpcyqdZKIIi9SvwbM9MxpsJ&#10;u9uuQJTmkMzYP7//7/nZuXrtQcTQIRGS8rjt1S5XPURin49pHLS9O8P+pQ0PSYXjMWY8Jm1vTqR3&#10;bev9967iTRWSiNyGtYKOCQI6sdzEbS9UKtmsVKQP01he5gmJYW7CRYQVvIqgMhb4COhHrLJWrTYr&#10;EaaxtwUEfSYGehVBMY6A1+3JhPrETI2nNY2Qc9llAh1i1vaAxJgfDckD5SGGpYKJtlc1H6+ydbWC&#10;N9NFTK1YW1jXN590XbpgPF0zPEUwypnW+vXWlZ2cvgEwtYzr9XrdXi2nZwDY90mcylKkWe9v1DoZ&#10;zQLIPi7T7lYb1bqLL9BfX5K51el0Gq1UFkvUgOxjfQm/UW3Wt9ccvAFZfGMJX+9sd7tNB29AFt9c&#10;wvevtJp1F29AIaPxdAmtHdrvp9RzyISz3VL4BsA3qil8gYJoyKNLs5jwWK2KtQjf56IPAA1kWNEY&#10;qXlCJtiHmOziaCQo1gzwJsGFGTvky6UhzQtJX9BEtb0PExx7Bcir59+/ev4UvXr+5Pjhs+OHPx0/&#10;enT88EdLy1m4i+OguPDlt5/9+fXH6I+n37x8/EU5Xhbxv/7wyS8/f14OhAxaaPjiyye/PXvy4qtP&#10;f//ucQl8W+BRET6kEZHoFjlCBzwC3YxhXMnJSJxvxTDE1FmBQ6BdQrqnQgd4a45ZGa5DXOPdFVA8&#10;yoDXZ/cdWQehmClawvlGGDnAPc5Zh4tSA9zQvAoWHs7ioJy5mBVxBxgflvHu4thxbW+WQNXMgtKx&#10;fTckjpj7DMcKByQmCuk5PiWkRLt7lDp23aO+4JJPFLpHUQfTUpMM6cgJpMWiXRqBX+ZlOoOrHdvs&#10;3UUdzsq03iGHLhISArMS4YeEOWa8jmcKR2UkhzhiRYPfxCosE3IwF34R15MKPB0QxlFvTKQsW3Nb&#10;gL4Fp9/AUK9K3b7H5pGLFIpOy2jexJwXkTt82g1xlJRhBzQOi9gP5BRCFKN9rsrge9zNEP0OfsDx&#10;SnffpcRx9+mF4A4NHJEWAaJnZqLEl9cJd+J3MGcTTEyVgZLuVOqIxn9XthmFum05vCvbbW8bNrGy&#10;5Nk9UaxX4f6DJXoHz+J9AlmxvEW9q9DvKrT31lfoVbl88XV5UYqhSuuGxPbapvOOVjbeE8rYQM0Z&#10;uSlN7y1hAxr3YVCvM+dJkh/EkhAedSYDAwcXCGzWIMHVR1SFgxAn0LfXPE0kkCnpQKKESzgvmuFS&#10;2hoPvb+yp82GPofYyiGx2uNjO7yuh7PjRk7GSBVIy9EyWtcEzsps/UpKFHR7HWY1LdSZudWMaKYo&#10;OtxylbWJzbkcTJ6rBoO5NaGzQdAPgZWbcKLXrOG8gxkZa7tbH2VuMTa5SBfJEMPtg7kRaGi9l31U&#10;M07KYmVJEa2H9ZE+O55itQK3lib7BtzO4qQiu/oKdpn33sRLWQQvvATUTqYji4vJyWJ01PZajbWG&#10;h3yctL0JHJXhMUrA61I3k5gFcKXkK2HD/tRk1qFRVDhTzE2CGtx+WLsvKezUgURItYNlaEPDTKUh&#10;wGLNycq/1gCzXpQCJdXobFKsb0Aw/GtSgB1d15LJhPiq6OzCiLadfU1LKZ8pIgbh+AiN2EwcYHC/&#10;DlXQZ0wl3HiYiqBf4HpOW9tMucU5TbripZjB2XHMkhCn5VanaJbJFm4KUi6DeSuIB7qVym6UO78q&#10;JuUvSJViGP/PVNH7CVxBrI+1B3y46xUY6Uxpe1yokEMVSkLq9wU0DqZ2QLTAFS9MQ1DBNbT5FeRQ&#10;/9qcszRMWsNJUh3QAAkK+5EKBSH7UJZM9J1CrJbuXZYkSwmZiCqIKxMr9ogcEjbUNbCp93YPhRDq&#10;ppqkZcDgTsaf+55m0CjQTU4x35xKlu+9Ngf+6c7HJjMo5dZh09Bk9s9FzNuDxa5q15vl2d5bVERP&#10;LNqsepYV7lbQStP+NUU451ZrK9aSxmuNTDjw4rLGMJg3RAlcJCH9BfsfFT6zf2LoDXXID6C2Ivj/&#10;QhODsIGovmQbD6QLpB0cQeNkB20waVLWtGnrpK2WbdYX3OnmfE8YW0t2Fn+f09h5c+ayc3LxIo2d&#10;WtixtR1baWrw7MkUhaFJdpAxjnH+DNv6CwAA//8DAFBLAwQUAAYACAAAACEAXSd+mf8HAAABGgAA&#10;FQAAAGRycy9jaGFydHMvY2hhcnQ3LnhtbOxZbW/jNhL+XqD/QRUC9JNtvb8Y6xSOA/cWlzTBJukB&#10;942WaFsXSlQpOrH3cP+9MyRly46dTdIeDgd0F0ioIWc4fGY4nJl8+mldMuuJiqbg1ch2+45t0Srj&#10;eVEtRvbD/bSX2FYjSZUTxis6sje0sX86//67T9kwWxIh72qSUQuEVM0wG9lLKevhYNBkS1qSps9r&#10;WsHcnIuSSPgUi0EuyDMIL9nAc5xooITYRgD5gICSFFXLL97Cz+fzIqOXPFuVtJJaC0EZkYBAsyzq&#10;xj6Hw+VEUjd1AuuJsJHt2AMkMlItNIFWvfGDJgq+qnKaT7ioAMbO+jIbjpmkogJRE15J2M2cs3wT&#10;UiURj6u6l/GyBuVmBSvkRqkLCoLsyZLDOawv9LdVIWgzsjM3aIGA4QsoyiITvOFz2QeJA41Caw0U&#10;Gw+SgWfsAYd1g2EjN4zqA7mOh6cdbPdVKkwJYzOSPSI2ncXbpbt5ZDwEA7kyJq5JffMkrNnCHdlM&#10;urYl1zDKH2E0W3hI85AGo/wRRiTLAEhYYQYtBeY1ZbvGbyl+uwZA0WsAKD0IW0rYUqKWEtnWkhXV&#10;IwCJv2xrztnfNKEdaQdQLoyHkYVkVA3W+FMU2fL8ExnOeL65FYAeGbJG3iGo6qNGSn0r8FdO519u&#10;hdV8HdmpA3dwBnfRtgr0PMUHDlBZclPTOVy3kT0WBWHKIC0r2GYrTEkUIA79dWRrX/2QbBCC28vz&#10;8eQeN5BqG6DhZvCzPSQMpDozIxu+kuqycIgq8Nm5ELiqhYisJL/Hj0vKqKR5Z1k2rBmXY0EJotiR&#10;OCNigjEHyTC+LITmyrjCIhsu4C7WEFwMma0auH4012Z6ImIz4Yzv3VHwWwrHyYZFvt5TgYucGvHm&#10;8usDNlJ8oXPkmJ//+IU2q1ljhdZGND/+cHZz5iEkahbWTQhEQVxZywnECKnlu1qbWlqwpbZvNnzS&#10;AOMAJdSIM16pVob+UBvD0GhiXKfhrMinBWNoqUYsZhNmFPeicJyOjZvsLWOVWvxuTjA7sqI6anfA&#10;rQIzy8/zX+gCfPTJhAsDWUaUrV7D7OIsGJ5dnCXfBi48DhxErrTnOsi/Aw8h1Pi6Nlrg6dxzXKfn&#10;uqeWebtlbs9VZjwmzd8t83quf0pasFvm99xgf5m2pXEO/dEa1uAFTw4qXa3KV1wNYLvpwAaLt/6m&#10;n9sJz+m501fIdCiH/ngCVtftJ2ESOLETp1EQOW68f4qXCCOHn/qeH0Sx5ztBcBKeFmw36oduGHhR&#10;kMZeHEfxyT1a3IEj8cMoTeM0diPHC8JTWrUmSPpu6Lmxn7qgkh/EyQEHGGAHnf5oraHMgAbSEeIw&#10;UJiL3AkUhvLtQHH75kCh/eOos7w1CsTJ2POmH4kCpzj/igLbmPK/jQK3GDxv/4tRwAv7ru/Fge9H&#10;XuK7SXTqurVh1nf7qecnkMNEfuAFaZCe4miDgO/34zBKnDBx4sjzQufkHm0Q8JK+nwJPmHpe6jlJ&#10;ehBgd6GpDQJuDBxtAPAi5/Acbw8C+dWMNWj9Zsmfr+iCVvnfaTfH0TO/EiiqOoUDrp4Q+Qsp9x9I&#10;pN9RcZR+SwVmui/kXKxmM0bviq9dUXCCrWoLUv+jyOXS5BuheYzJ+rPJsrzETSCue8cnwAaRihYq&#10;ydomXPA2jVWKd1JOkxFIjxeIDhcFqK5KKq1FWVTXZG3EdhbmKvvbOyNZ33JTRs30kw8BelpKyL+x&#10;isRnbWT/TKHYghTYavgKYLqCBJ3mmDOr1LMk/+Livsger6GE0sIrqF7NZFGdnpTABCbealDRtbzn&#10;mlGnPDoDgkzrZPJ0McX/yAOBsrPsZdiUa51fv7NCSEyFAHXCtysEMqTkWOVAhllzjA5a6mJEqW9y&#10;THDzWyIIlijbmuLhzhxRFwL6LFDRQZHZjE0yrTytdSgzR41xsQL4JxUGXPwyDqvRZjM2ZotK0zIp&#10;ttSb+byhbTINSCiLV/x6xWRx9cTAeh13gnuxdVy4kEc9eKdfxzFf8eBsWBJzvkBtj4/0zvdfd2lT&#10;qSgP/VkUOdwYqgOKgZpV1jMUgaEHFWlG6pE9h9YEDMsa/LupFlCnAixQ7QMkmMRXHHN/AAEqMtHI&#10;S9KYi688D9EhQ9Wi0P6oM386n9NMXjVYqYGDrHFoRtZKgFP9O3W9wLnw0t40SuJeMA3CXho7Sc9x&#10;04s0ciCyX07/gwpAn2BZ5Dmt4A62jSAgvrf94DoD3cl51+E7twuu2qbZlj7QYsr58z2czAaPbSRM&#10;QK2l/inUoJw2LhSHQNUwNUuSm6CadqhEXnMTOV2npePVVvsd3vI3mWEPNCUBNG1/K1ugTymPgMFL&#10;Z9mW0ToJ3O80WILLkd0LA31c7O7B95KLr/qYb2lCYIhBh8C2WLfxQNrGw0FY6dD3wsqWfjSsCNzi&#10;aKMC91e+Kc/hHbTwIfxz+w9H3hQIp/uviYktR14T6HGgemCavx4Tbac9q7/envpDj8kubVEPzfHH&#10;RE1dUPlMqXlAZvrDGA3Tg4eq2D4iSIZ7tn0g2pe+E1t13OwQ/o9iKt6yD0VKhOWAdXfs98WwbksP&#10;x78WzU3FTOZs0ra8aOoLyC8em7HJESCV1SbDRPkSc+8biGaQSR488W1XsDXcgbXgEAdtqw9kXjPS&#10;UHytX+/JWnUhs+WUlAXbjGwfGs3YHoaEBdk0nn8ovYJ3Av+iwC6JJJaAtuXIFp9zXUxhDvVQ418u&#10;9uHp8ihHR5X0X27OfwcAAP//AwBQSwECLQAUAAYACAAAACEAYFOhT3ABAADZCQAAEwAAAAAAAAAA&#10;AAAAAAAAAAAAW0NvbnRlbnRfVHlwZXNdLnhtbFBLAQItABQABgAIAAAAIQA4/SH/1gAAAJQBAAAL&#10;AAAAAAAAAAAAAAAAAKEBAABfcmVscy8ucmVsc1BLAQItABQABgAIAAAAIQCsfEWTRgMAAHQSAAAO&#10;AAAAAAAAAAAAAAAAAKACAABkcnMvZTJvRG9jLnhtbFBLAQItABQABgAIAAAAIQB0m+WyYgEAAJ0C&#10;AAAgAAAAAAAAAAAAAAAAABIGAABkcnMvY2hhcnRzL19yZWxzL2NoYXJ0MS54bWwucmVsc1BLAQIt&#10;ABQABgAIAAAAIQDgGUpC6wAAAMUEAAAZAAAAAAAAAAAAAAAAALIHAABkcnMvX3JlbHMvZTJvRG9j&#10;LnhtbC5yZWxzUEsBAi0AFAAGAAgAAAAhAJ5eBcPgAAAACgEAAA8AAAAAAAAAAAAAAAAA1AgAAGRy&#10;cy9kb3ducmV2LnhtbFBLAQItABQABgAIAAAAIQBd528sDQgAAAAaAAAVAAAAAAAAAAAAAAAAAOEJ&#10;AABkcnMvY2hhcnRzL2NoYXJ0OC54bWxQSwECLQAUAAYACAAAACEAabEhYmwGAABXGwAAHAAAAAAA&#10;AAAAAAAAAAAhEgAAZHJzL3RoZW1lL3RoZW1lT3ZlcnJpZGU4LnhtbFBLAQItABQABgAIAAAAIQBc&#10;MvvqYgEAAJ0CAAAgAAAAAAAAAAAAAAAAAMcYAABkcnMvY2hhcnRzL19yZWxzL2NoYXJ0Mi54bWwu&#10;cmVsc1BLAQItABQABgAIAAAAIQAMYMZaYgEAAJ0CAAAgAAAAAAAAAAAAAAAAAGcaAABkcnMvY2hh&#10;cnRzL19yZWxzL2NoYXJ0NC54bWwucmVsc1BLAQItABQABgAIAAAAIQDtws3hYgEAAJ0CAAAgAAAA&#10;AAAAAAAAAAAAAAccAABkcnMvY2hhcnRzL19yZWxzL2NoYXJ0OC54bWwucmVsc1BLAQItABQABgAI&#10;AAAAIQAkydgCYgEAAJ0CAAAgAAAAAAAAAAAAAAAAAKcdAABkcnMvY2hhcnRzL19yZWxzL2NoYXJ0&#10;Ny54bWwucmVsc1BLAQItABQABgAIAAAAIQADrP2DYgEAAJ0CAAAgAAAAAAAAAAAAAAAAAEcfAABk&#10;cnMvY2hhcnRzL19yZWxzL2NoYXJ0Ni54bWwucmVsc1BLAQItABQABgAIAAAAIQArBePbYgEAAJ0C&#10;AAAgAAAAAAAAAAAAAAAAAOcgAABkcnMvY2hhcnRzL19yZWxzL2NoYXJ0NS54bWwucmVsc1BLAQIt&#10;ABQABgAIAAAAIQB7V95rYgEAAJ0CAAAgAAAAAAAAAAAAAAAAAIciAABkcnMvY2hhcnRzL19yZWxz&#10;L2NoYXJ0My54bWwucmVsc1BLAQItABQABgAIAAAAIQBpsSFibAYAAFcbAAAcAAAAAAAAAAAAAAAA&#10;ACckAABkcnMvdGhlbWUvdGhlbWVPdmVycmlkZTcueG1sUEsBAi0AFAAGAAgAAAAhAGmxIWJsBgAA&#10;VxsAABwAAAAAAAAAAAAAAAAAzSoAAGRycy90aGVtZS90aGVtZU92ZXJyaWRlNi54bWxQSwECLQAU&#10;AAYACAAAACEAabEhYmwGAABXGwAAHAAAAAAAAAAAAAAAAABzMQAAZHJzL3RoZW1lL3RoZW1lT3Zl&#10;cnJpZGUyLnhtbFBLAQItABQABgAIAAAAIQBSGri3DggAAAIaAAAVAAAAAAAAAAAAAAAAABk4AABk&#10;cnMvY2hhcnRzL2NoYXJ0Mi54bWxQSwECLQAUAAYACAAAACEAabEhYmwGAABXGwAAHAAAAAAAAAAA&#10;AAAAAABaQAAAZHJzL3RoZW1lL3RoZW1lT3ZlcnJpZGUxLnhtbFBLAQItABQABgAIAAAAIQDz79Xm&#10;BggAAP8ZAAAVAAAAAAAAAAAAAAAAAABHAABkcnMvY2hhcnRzL2NoYXJ0MS54bWxQSwECLQAUAAYA&#10;CAAAACEAthH8wAEIAAABGgAAFQAAAAAAAAAAAAAAAAA5TwAAZHJzL2NoYXJ0cy9jaGFydDMueG1s&#10;UEsBAi0AFAAGAAgAAAAhAGmxIWJsBgAAVxsAABwAAAAAAAAAAAAAAAAAbVcAAGRycy90aGVtZS90&#10;aGVtZU92ZXJyaWRlMy54bWxQSwECLQAUAAYACAAAACEAtaO3p/MHAAD+GQAAFQAAAAAAAAAAAAAA&#10;AAATXgAAZHJzL2NoYXJ0cy9jaGFydDQueG1sUEsBAi0AFAAGAAgAAAAhANwQ2MgBCAAAABoAABUA&#10;AAAAAAAAAAAAAAAAOWYAAGRycy9jaGFydHMvY2hhcnQ2LnhtbFBLAQItABQABgAIAAAAIQBpsSFi&#10;bAYAAFcbAAAcAAAAAAAAAAAAAAAAAG1uAABkcnMvdGhlbWUvdGhlbWVPdmVycmlkZTUueG1sUEsB&#10;Ai0AFAAGAAgAAAAhAIsq9sgDCAAACxoAABUAAAAAAAAAAAAAAAAAE3UAAGRycy9jaGFydHMvY2hh&#10;cnQ1LnhtbFBLAQItABQABgAIAAAAIQBpsSFibAYAAFcbAAAcAAAAAAAAAAAAAAAAAEl9AABkcnMv&#10;dGhlbWUvdGhlbWVPdmVycmlkZTQueG1sUEsBAi0AFAAGAAgAAAAhAF0nfpn/BwAAARoAABUAAAAA&#10;AAAAAAAAAAAA74MAAGRycy9jaGFydHMvY2hhcnQ3LnhtbFBLBQYAAAAAHQAdABIIAAAhjAAAAAA=&#10;">
                      <v:shape id="1" o:spid="_x0000_s1027" type="#_x0000_t75" style="position:absolute;top:304;width:26687;height:121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Iv5&#10;b8MAAADaAAAADwAAAGRycy9kb3ducmV2LnhtbESPzWrDMBCE74W8g9hALiWR3UJJnCghMZS0l0B+&#10;HmCxNraxtTKW/Pf2VaHQ4zAz3zC7w2hq0VPrSssK4lUEgjizuuRcweP+uVyDcB5ZY22ZFEzk4LCf&#10;veww0XbgK/U3n4sAYZeggsL7JpHSZQUZdCvbEAfvaVuDPsg2l7rFIcBNLd+i6EMaLDksFNhQWlBW&#10;3Tqj4HSZzu9VX02X+3cWV8dNh336qtRiPh63IDyN/j/81/7SCjbweyXcALn/AQAA//8DAFBLAQIt&#10;ABQABgAIAAAAIQC2gziS/gAAAOEBAAATAAAAAAAAAAAAAAAAAAAAAABbQ29udGVudF9UeXBlc10u&#10;eG1sUEsBAi0AFAAGAAgAAAAhADj9If/WAAAAlAEAAAsAAAAAAAAAAAAAAAAALwEAAF9yZWxzLy5y&#10;ZWxzUEsBAi0AFAAGAAgAAAAhADMvBZ5BAAAAOQAAAA4AAAAAAAAAAAAAAAAALgIAAGRycy9lMm9E&#10;b2MueG1sUEsBAi0AFAAGAAgAAAAhAJyL+W/DAAAA2gAAAA8AAAAAAAAAAAAAAAAAmwIAAGRycy9k&#10;b3ducmV2LnhtbFBLBQYAAAAABAAEAPMAAACLAwAAAAA=&#10;">
                        <v:imagedata r:id="rId68" o:title=""/>
                        <o:lock v:ext="edit" aspectratio="f"/>
                      </v:shape>
                      <v:shape id="2" o:spid="_x0000_s1028" type="#_x0000_t75" style="position:absolute;left:29398;width:26687;height:12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5NjZ&#10;usAAAADbAAAADwAAAGRycy9kb3ducmV2LnhtbERPTWsCMRC9F/wPYQRvNauHpaxGEUGUSqG1RTwO&#10;m3GzuJksSerGf98UCr3N433Ocp1sJ+7kQ+tYwWxagCCunW65UfD1uXt+AREissbOMSl4UID1avS0&#10;xEq7gT/ofoqNyCEcKlRgYuwrKUNtyGKYup44c1fnLcYMfSO1xyGH207Oi6KUFlvODQZ72hqqb6dv&#10;q6B8T2abLse3bv+wrhj8q+dzqdRknDYLEJFS/Bf/uQ86z5/D7y/5ALn6AQAA//8DAFBLAQItABQA&#10;BgAIAAAAIQC2gziS/gAAAOEBAAATAAAAAAAAAAAAAAAAAAAAAABbQ29udGVudF9UeXBlc10ueG1s&#10;UEsBAi0AFAAGAAgAAAAhADj9If/WAAAAlAEAAAsAAAAAAAAAAAAAAAAALwEAAF9yZWxzLy5yZWxz&#10;UEsBAi0AFAAGAAgAAAAhADMvBZ5BAAAAOQAAAA4AAAAAAAAAAAAAAAAALgIAAGRycy9lMm9Eb2Mu&#10;eG1sUEsBAi0AFAAGAAgAAAAhAOTY2brAAAAA2wAAAA8AAAAAAAAAAAAAAAAAmwIAAGRycy9kb3du&#10;cmV2LnhtbFBLBQYAAAAABAAEAPMAAACIAwAAAAA=&#10;">
                        <v:imagedata r:id="rId69" o:title=""/>
                        <o:lock v:ext="edit" aspectratio="f"/>
                      </v:shape>
                      <v:shape id="3" o:spid="_x0000_s1029" type="#_x0000_t75" style="position:absolute;left:301;top:14072;width:26687;height:122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2hh&#10;OsEAAADbAAAADwAAAGRycy9kb3ducmV2LnhtbERPS4vCMBC+C/6HMII3TV3FXapRpIuiR3Vh9zg2&#10;0wc2k9JErf56Iwh7m4/vOfNlaypxpcaVlhWMhhEI4tTqknMFP8f14AuE88gaK8uk4E4OlotuZ46x&#10;tjfe0/XgcxFC2MWooPC+jqV0aUEG3dDWxIHLbGPQB9jkUjd4C+Gmkh9RNJUGSw4NBdaUFJSeDxej&#10;IPuNTp+b3TjZP/z0KM/JX5t9T5Tq99rVDISn1v+L3+6tDvPH8PolHCAXTwAAAP//AwBQSwECLQAU&#10;AAYACAAAACEAtoM4kv4AAADhAQAAEwAAAAAAAAAAAAAAAAAAAAAAW0NvbnRlbnRfVHlwZXNdLnht&#10;bFBLAQItABQABgAIAAAAIQA4/SH/1gAAAJQBAAALAAAAAAAAAAAAAAAAAC8BAABfcmVscy8ucmVs&#10;c1BLAQItABQABgAIAAAAIQAzLwWeQQAAADkAAAAOAAAAAAAAAAAAAAAAAC4CAABkcnMvZTJvRG9j&#10;LnhtbFBLAQItABQABgAIAAAAIQAraGE6wQAAANsAAAAPAAAAAAAAAAAAAAAAAJsCAABkcnMvZG93&#10;bnJldi54bWxQSwUGAAAAAAQABADzAAAAiQMAAAAA&#10;">
                        <v:imagedata r:id="rId70" o:title=""/>
                        <o:lock v:ext="edit" aspectratio="f"/>
                      </v:shape>
                      <v:shape id="4" o:spid="_x0000_s1030" type="#_x0000_t75" style="position:absolute;left:28494;top:14194;width:26688;height:121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W4n&#10;V74AAADbAAAADwAAAGRycy9kb3ducmV2LnhtbERPzYrCMBC+C/sOYQRvNlVWV7pGKcLC3tTqAwzN&#10;2BabSWmyafftjSB4m4/vd7b70bQiUO8aywoWSQqCuLS64UrB9fIz34BwHllja5kU/JOD/e5jssVM&#10;24HPFApfiRjCLkMFtfddJqUrazLoEtsRR+5me4M+wr6SuschhptWLtN0LQ02HBtq7OhQU3kv/oyC&#10;/LhaFJuvbshP6Jd2uAV7CEGp2XTMv0F4Gv1b/HL/6jj/E56/xAPk7gEAAP//AwBQSwECLQAUAAYA&#10;CAAAACEAtoM4kv4AAADhAQAAEwAAAAAAAAAAAAAAAAAAAAAAW0NvbnRlbnRfVHlwZXNdLnhtbFBL&#10;AQItABQABgAIAAAAIQA4/SH/1gAAAJQBAAALAAAAAAAAAAAAAAAAAC8BAABfcmVscy8ucmVsc1BL&#10;AQItABQABgAIAAAAIQAzLwWeQQAAADkAAAAOAAAAAAAAAAAAAAAAAC4CAABkcnMvZTJvRG9jLnht&#10;bFBLAQItABQABgAIAAAAIQCpbidXvgAAANsAAAAPAAAAAAAAAAAAAAAAAJsCAABkcnMvZG93bnJl&#10;di54bWxQSwUGAAAAAAQABADzAAAAhgMAAAAA&#10;">
                        <v:imagedata r:id="rId71" o:title=""/>
                        <o:lock v:ext="edit" aspectratio="f"/>
                      </v:shape>
                      <v:shape id="5" o:spid="_x0000_s1031" type="#_x0000_t75" style="position:absolute;left:2048;top:29547;width:23374;height:102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90kX&#10;6cMAAADbAAAADwAAAGRycy9kb3ducmV2LnhtbERPS2vCQBC+F/wPyxR6aza1tJHoKkEQemkhj0O9&#10;DdkxiWZnQ3arqb/eFQq9zcf3nNVmMr040+g6ywpeohgEcW11x42Cqtw9L0A4j6yxt0wKfsnBZj17&#10;WGGq7YVzOhe+ESGEXYoKWu+HVEpXt2TQRXYgDtzBjgZ9gGMj9YiXEG56OY/jd2mw49DQ4kDblupT&#10;8WMUXPMk2R++vzJ3KoaKy9dj9mmvSj09TtkShKfJ/4v/3B86zH+D+y/hALm+AQAA//8DAFBLAQIt&#10;ABQABgAIAAAAIQC2gziS/gAAAOEBAAATAAAAAAAAAAAAAAAAAAAAAABbQ29udGVudF9UeXBlc10u&#10;eG1sUEsBAi0AFAAGAAgAAAAhADj9If/WAAAAlAEAAAsAAAAAAAAAAAAAAAAALwEAAF9yZWxzLy5y&#10;ZWxzUEsBAi0AFAAGAAgAAAAhADMvBZ5BAAAAOQAAAA4AAAAAAAAAAAAAAAAALgIAAGRycy9lMm9E&#10;b2MueG1sUEsBAi0AFAAGAAgAAAAhAPdJF+nDAAAA2wAAAA8AAAAAAAAAAAAAAAAAmwIAAGRycy9k&#10;b3ducmV2LnhtbFBLBQYAAAAABAAEAPMAAACLAwAAAAA=&#10;">
                        <v:imagedata r:id="rId72" o:title=""/>
                        <o:lock v:ext="edit" aspectratio="f"/>
                      </v:shape>
                      <v:shape id="6" o:spid="_x0000_s1032" type="#_x0000_t75" style="position:absolute;left:28554;top:28389;width:26688;height:121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CD+&#10;7bsAAADbAAAADwAAAGRycy9kb3ducmV2LnhtbERPyQrCMBC9C/5DGMGbTfUgUo0ibnjx4HYfmrEt&#10;NpPaRFv/3giCt3m8dWaL1pTiRbUrLCsYRjEI4tTqgjMFl/N2MAHhPLLG0jIpeJODxbzbmWGibcNH&#10;ep18JkIIuwQV5N5XiZQuzcmgi2xFHLibrQ36AOtM6hqbEG5KOYrjsTRYcGjIsaJVTun99DQK+Hy4&#10;rjea2qwpH6bZv3dueTBK9XvtcgrCU+v/4p97r8P8MXx/CQfI+QcAAP//AwBQSwECLQAUAAYACAAA&#10;ACEAtoM4kv4AAADhAQAAEwAAAAAAAAAAAAAAAAAAAAAAW0NvbnRlbnRfVHlwZXNdLnhtbFBLAQIt&#10;ABQABgAIAAAAIQA4/SH/1gAAAJQBAAALAAAAAAAAAAAAAAAAAC8BAABfcmVscy8ucmVsc1BLAQIt&#10;ABQABgAIAAAAIQAzLwWeQQAAADkAAAAOAAAAAAAAAAAAAAAAAC4CAABkcnMvZTJvRG9jLnhtbFBL&#10;AQItABQABgAIAAAAIQCgIP7tuwAAANsAAAAPAAAAAAAAAAAAAAAAAJsCAABkcnMvZG93bnJldi54&#10;bWxQSwUGAAAAAAQABADzAAAAgwMAAAAA&#10;">
                        <v:imagedata r:id="rId73" o:title=""/>
                        <o:lock v:ext="edit" aspectratio="f"/>
                      </v:shape>
                      <v:shape id="7" o:spid="_x0000_s1033" type="#_x0000_t75" style="position:absolute;left:120;top:42645;width:26627;height:12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cNP&#10;Xr8AAADbAAAADwAAAGRycy9kb3ducmV2LnhtbERPyWrDMBC9F/oPYgK5NXJ6SIoT2ZSCobcmTpPz&#10;YE1tU2skJHnJ31eFQm/zeOscy8UMYiIfessKtpsMBHFjdc+tgs9L9fQCIkRkjYNlUnCnAGXx+HDE&#10;XNuZzzTVsRUphEOOCroYXS5laDoyGDbWESfuy3qDMUHfSu1xTuFmkM9ZtpMGe04NHTp666j5rkej&#10;wJ2lI68veF1uH7g/VeNYz6NS69XyegARaYn/4j/3u07z9/D7SzpAFj8AAAD//wMAUEsBAi0AFAAG&#10;AAgAAAAhALaDOJL+AAAA4QEAABMAAAAAAAAAAAAAAAAAAAAAAFtDb250ZW50X1R5cGVzXS54bWxQ&#10;SwECLQAUAAYACAAAACEAOP0h/9YAAACUAQAACwAAAAAAAAAAAAAAAAAvAQAAX3JlbHMvLnJlbHNQ&#10;SwECLQAUAAYACAAAACEAMy8FnkEAAAA5AAAADgAAAAAAAAAAAAAAAAAuAgAAZHJzL2Uyb0RvYy54&#10;bWxQSwECLQAUAAYACAAAACEAQcNPXr8AAADbAAAADwAAAAAAAAAAAAAAAACbAgAAZHJzL2Rvd25y&#10;ZXYueG1sUEsFBgAAAAAEAAQA8wAAAIcDAAAAAA==&#10;">
                        <v:imagedata r:id="rId74" o:title=""/>
                        <o:lock v:ext="edit" aspectratio="f"/>
                      </v:shape>
                      <v:shape id="8" o:spid="_x0000_s1034" type="#_x0000_t75" style="position:absolute;left:28916;top:42462;width:26687;height:1218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5H0U&#10;u8EAAADbAAAADwAAAGRycy9kb3ducmV2LnhtbESPQWsCMRCF7wX/QxjBW80qYmU1iogFL61U/QHD&#10;ZswubiZhk67bf985FHqb4b1575vNbvCt6qlLTWADs2kBirgKtmFn4HZ9f12BShnZYhuYDPxQgt12&#10;9LLB0oYnf1F/yU5JCKcSDdQ5x1LrVNXkMU1DJBbtHjqPWdbOadvhU8J9q+dFsdQeG5aGGiMdaqoe&#10;l29vIDty4ciLRXQfeItv/rz6LHpjJuNhvwaVacj/5r/rkxV8gZVfZAC9/QUAAP//AwBQSwECLQAU&#10;AAYACAAAACEAtoM4kv4AAADhAQAAEwAAAAAAAAAAAAAAAAAAAAAAW0NvbnRlbnRfVHlwZXNdLnht&#10;bFBLAQItABQABgAIAAAAIQA4/SH/1gAAAJQBAAALAAAAAAAAAAAAAAAAAC8BAABfcmVscy8ucmVs&#10;c1BLAQItABQABgAIAAAAIQAzLwWeQQAAADkAAAAOAAAAAAAAAAAAAAAAAC4CAABkcnMvZTJvRG9j&#10;LnhtbFBLAQItABQABgAIAAAAIQDkfRS7wQAAANsAAAAPAAAAAAAAAAAAAAAAAJsCAABkcnMvZG93&#10;bnJldi54bWxQSwUGAAAAAAQABADzAAAAiQMAAAAA&#10;">
                        <v:imagedata r:id="rId75" o:title=""/>
                        <o:lock v:ext="edit" aspectratio="f"/>
                      </v:shape>
                    </v:group>
                  </w:pict>
                </mc:Fallback>
              </mc:AlternateContent>
            </w: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857F6" w:rsidRPr="00D16196" w:rsidRDefault="001857F6" w:rsidP="00D16196">
            <w:pPr>
              <w:pStyle w:val="Figure"/>
            </w:pPr>
          </w:p>
          <w:p w:rsidR="0010799F" w:rsidRPr="00D16196" w:rsidRDefault="001857F6" w:rsidP="00D16196">
            <w:pPr>
              <w:pStyle w:val="Figure"/>
            </w:pPr>
            <w:r w:rsidRPr="00D16196">
              <w:rPr>
                <w:noProof/>
              </w:rPr>
              <w:drawing>
                <wp:inline distT="0" distB="0" distL="0" distR="0" wp14:anchorId="26236353" wp14:editId="36A62857">
                  <wp:extent cx="5400000" cy="247650"/>
                  <wp:effectExtent l="0" t="0" r="0" b="0"/>
                  <wp:docPr id="28" name="Chart 28" descr="Legend to Figure 15.15 Improved safety — resubstantiation rate within 3 or 12 months of a prior substanti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tc>
      </w:tr>
      <w:tr w:rsidR="0010799F" w:rsidRPr="00D16196" w:rsidTr="0010799F">
        <w:tc>
          <w:tcPr>
            <w:tcW w:w="8771" w:type="dxa"/>
            <w:tcBorders>
              <w:top w:val="nil"/>
              <w:left w:val="nil"/>
              <w:bottom w:val="nil"/>
              <w:right w:val="nil"/>
            </w:tcBorders>
            <w:shd w:val="clear" w:color="auto" w:fill="auto"/>
          </w:tcPr>
          <w:p w:rsidR="0010799F" w:rsidRPr="00D16196" w:rsidRDefault="0012127E" w:rsidP="005C2D7C">
            <w:pPr>
              <w:pStyle w:val="Note"/>
            </w:pPr>
            <w:r w:rsidRPr="00D16196">
              <w:rPr>
                <w:rStyle w:val="NoteLabel"/>
              </w:rPr>
              <w:t>a</w:t>
            </w:r>
            <w:r w:rsidR="00A54037" w:rsidRPr="00D16196">
              <w:t xml:space="preserve"> </w:t>
            </w:r>
            <w:r w:rsidR="000B48A6" w:rsidRPr="00D16196">
              <w:t>See box 15.</w:t>
            </w:r>
            <w:r w:rsidR="005C2D7C">
              <w:t>19</w:t>
            </w:r>
            <w:r w:rsidR="000B48A6" w:rsidRPr="00D16196">
              <w:t xml:space="preserve"> and table </w:t>
            </w:r>
            <w:proofErr w:type="spellStart"/>
            <w:r w:rsidR="000B48A6" w:rsidRPr="00D16196">
              <w:t>15A.11</w:t>
            </w:r>
            <w:proofErr w:type="spellEnd"/>
            <w:r w:rsidR="000B48A6" w:rsidRPr="00D16196">
              <w:t xml:space="preserve"> for detailed definitions, footnotes and caveats.</w:t>
            </w:r>
            <w:r w:rsidR="00A54037" w:rsidRPr="00D16196">
              <w:t xml:space="preserve"> </w:t>
            </w:r>
          </w:p>
        </w:tc>
      </w:tr>
      <w:tr w:rsidR="0010799F" w:rsidRPr="00D16196" w:rsidTr="0010799F">
        <w:tc>
          <w:tcPr>
            <w:tcW w:w="8771" w:type="dxa"/>
            <w:tcBorders>
              <w:top w:val="nil"/>
              <w:left w:val="nil"/>
              <w:bottom w:val="nil"/>
              <w:right w:val="nil"/>
            </w:tcBorders>
            <w:shd w:val="clear" w:color="auto" w:fill="auto"/>
          </w:tcPr>
          <w:p w:rsidR="0010799F" w:rsidRPr="00D16196" w:rsidRDefault="0010799F" w:rsidP="00D16196">
            <w:pPr>
              <w:pStyle w:val="Source"/>
            </w:pPr>
            <w:r w:rsidRPr="00D16196">
              <w:rPr>
                <w:i/>
              </w:rPr>
              <w:t>Source</w:t>
            </w:r>
            <w:r w:rsidRPr="00D16196">
              <w:t xml:space="preserve">: </w:t>
            </w:r>
            <w:proofErr w:type="spellStart"/>
            <w:r w:rsidRPr="00D16196">
              <w:t>AIHW</w:t>
            </w:r>
            <w:proofErr w:type="spellEnd"/>
            <w:r w:rsidRPr="00D16196">
              <w:t xml:space="preserve"> data collection (unpublished); table</w:t>
            </w:r>
            <w:r w:rsidR="00203E9E" w:rsidRPr="00D16196">
              <w:t xml:space="preserve"> </w:t>
            </w:r>
            <w:proofErr w:type="spellStart"/>
            <w:r w:rsidR="00203E9E" w:rsidRPr="00D16196">
              <w:t>15A.11</w:t>
            </w:r>
            <w:proofErr w:type="spellEnd"/>
            <w:r w:rsidRPr="00D16196">
              <w:t>.</w:t>
            </w:r>
          </w:p>
        </w:tc>
      </w:tr>
      <w:tr w:rsidR="0010799F" w:rsidRPr="00D16196" w:rsidTr="0010799F">
        <w:tc>
          <w:tcPr>
            <w:tcW w:w="8771" w:type="dxa"/>
            <w:tcBorders>
              <w:top w:val="nil"/>
              <w:left w:val="nil"/>
              <w:bottom w:val="single" w:sz="6" w:space="0" w:color="78A22F"/>
              <w:right w:val="nil"/>
            </w:tcBorders>
            <w:shd w:val="clear" w:color="auto" w:fill="auto"/>
          </w:tcPr>
          <w:p w:rsidR="0010799F" w:rsidRPr="00D16196" w:rsidRDefault="0010799F" w:rsidP="00D16196">
            <w:pPr>
              <w:pStyle w:val="Figurespace"/>
            </w:pPr>
          </w:p>
        </w:tc>
      </w:tr>
      <w:tr w:rsidR="0010799F" w:rsidRPr="00D16196" w:rsidTr="0010799F">
        <w:tc>
          <w:tcPr>
            <w:tcW w:w="8771" w:type="dxa"/>
            <w:tcBorders>
              <w:top w:val="single" w:sz="6" w:space="0" w:color="78A22F"/>
              <w:left w:val="nil"/>
              <w:bottom w:val="nil"/>
              <w:right w:val="nil"/>
            </w:tcBorders>
          </w:tcPr>
          <w:p w:rsidR="0010799F" w:rsidRPr="00D16196" w:rsidRDefault="0010799F" w:rsidP="00D16196">
            <w:pPr>
              <w:pStyle w:val="BoxSpaceBelow"/>
            </w:pPr>
          </w:p>
        </w:tc>
      </w:tr>
    </w:tbl>
    <w:p w:rsidR="006842D6" w:rsidRPr="00D16196" w:rsidRDefault="007E1C5B" w:rsidP="00D16196">
      <w:pPr>
        <w:pStyle w:val="Heading4"/>
      </w:pPr>
      <w:r w:rsidRPr="00D16196">
        <w:t>Improved education</w:t>
      </w:r>
    </w:p>
    <w:p w:rsidR="006842D6" w:rsidRPr="00D16196" w:rsidRDefault="006842D6" w:rsidP="00D16196">
      <w:pPr>
        <w:pStyle w:val="BodyText"/>
      </w:pPr>
      <w:r w:rsidRPr="00D16196">
        <w:t xml:space="preserve">‘Improved education’ </w:t>
      </w:r>
      <w:r w:rsidR="00C563C3" w:rsidRPr="00D16196">
        <w:t>is an indicator of governments’ objective to maximise children’s life chances by ensuring children in care have their educational needs met</w:t>
      </w:r>
      <w:r w:rsidRPr="00D16196">
        <w:t xml:space="preserve"> (box</w:t>
      </w:r>
      <w:r w:rsidR="00203E9E" w:rsidRPr="00D16196">
        <w:t xml:space="preserve"> 15.20</w:t>
      </w:r>
      <w:r w:rsidRPr="00D16196">
        <w:t>).</w:t>
      </w:r>
    </w:p>
    <w:p w:rsidR="0010799F" w:rsidRPr="00D16196" w:rsidRDefault="0010799F"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799F" w:rsidRPr="00D16196" w:rsidTr="0010799F">
        <w:tc>
          <w:tcPr>
            <w:tcW w:w="8771" w:type="dxa"/>
            <w:tcBorders>
              <w:top w:val="single" w:sz="6" w:space="0" w:color="78A22F"/>
              <w:left w:val="nil"/>
              <w:bottom w:val="nil"/>
              <w:right w:val="nil"/>
            </w:tcBorders>
            <w:shd w:val="clear" w:color="auto" w:fill="F2F2F2" w:themeFill="background1" w:themeFillShade="F2"/>
          </w:tcPr>
          <w:p w:rsidR="0010799F" w:rsidRPr="00D16196" w:rsidRDefault="0010799F" w:rsidP="00D16196">
            <w:pPr>
              <w:pStyle w:val="BoxTitle"/>
            </w:pPr>
            <w:r w:rsidRPr="00D16196">
              <w:rPr>
                <w:b w:val="0"/>
              </w:rPr>
              <w:t>Box</w:t>
            </w:r>
            <w:r w:rsidR="00203E9E" w:rsidRPr="00D16196">
              <w:rPr>
                <w:b w:val="0"/>
              </w:rPr>
              <w:t xml:space="preserve"> 15.20</w:t>
            </w:r>
            <w:r w:rsidRPr="00D16196">
              <w:tab/>
              <w:t>Improved education</w:t>
            </w:r>
          </w:p>
        </w:tc>
      </w:tr>
      <w:tr w:rsidR="0010799F" w:rsidRPr="00D16196" w:rsidTr="0010799F">
        <w:trPr>
          <w:cantSplit/>
        </w:trPr>
        <w:tc>
          <w:tcPr>
            <w:tcW w:w="8771" w:type="dxa"/>
            <w:tcBorders>
              <w:top w:val="nil"/>
              <w:left w:val="nil"/>
              <w:bottom w:val="nil"/>
              <w:right w:val="nil"/>
            </w:tcBorders>
            <w:shd w:val="clear" w:color="auto" w:fill="F2F2F2" w:themeFill="background1" w:themeFillShade="F2"/>
          </w:tcPr>
          <w:p w:rsidR="0010799F" w:rsidRPr="00D16196" w:rsidRDefault="0010799F" w:rsidP="00D16196">
            <w:pPr>
              <w:pStyle w:val="Box"/>
            </w:pPr>
            <w:r w:rsidRPr="00D16196">
              <w:t xml:space="preserve">‘Improved education’ is defined as </w:t>
            </w:r>
            <w:r w:rsidR="0056415B" w:rsidRPr="00D16196">
              <w:t xml:space="preserve">the </w:t>
            </w:r>
            <w:r w:rsidRPr="00D16196">
              <w:t xml:space="preserve">proportion of children on guardianship and custody orders </w:t>
            </w:r>
            <w:r w:rsidRPr="00D16196">
              <w:rPr>
                <w:shd w:val="clear" w:color="auto" w:fill="F2F2F2" w:themeFill="background1" w:themeFillShade="F2"/>
              </w:rPr>
              <w:t xml:space="preserve">achieving </w:t>
            </w:r>
            <w:r w:rsidR="0056415B" w:rsidRPr="00D16196">
              <w:rPr>
                <w:shd w:val="clear" w:color="auto" w:fill="F2F2F2" w:themeFill="background1" w:themeFillShade="F2"/>
              </w:rPr>
              <w:t xml:space="preserve">at or above </w:t>
            </w:r>
            <w:r w:rsidRPr="00D16196">
              <w:rPr>
                <w:shd w:val="clear" w:color="auto" w:fill="F2F2F2" w:themeFill="background1" w:themeFillShade="F2"/>
              </w:rPr>
              <w:t xml:space="preserve">national </w:t>
            </w:r>
            <w:r w:rsidR="0056415B" w:rsidRPr="00D16196">
              <w:rPr>
                <w:shd w:val="clear" w:color="auto" w:fill="F2F2F2" w:themeFill="background1" w:themeFillShade="F2"/>
              </w:rPr>
              <w:t xml:space="preserve">minimum standards </w:t>
            </w:r>
            <w:r w:rsidRPr="00D16196">
              <w:rPr>
                <w:shd w:val="clear" w:color="auto" w:fill="F2F2F2" w:themeFill="background1" w:themeFillShade="F2"/>
              </w:rPr>
              <w:t xml:space="preserve">in reading and numeracy, compared </w:t>
            </w:r>
            <w:r w:rsidR="008B2BD8" w:rsidRPr="00D16196">
              <w:rPr>
                <w:shd w:val="clear" w:color="auto" w:fill="F2F2F2" w:themeFill="background1" w:themeFillShade="F2"/>
              </w:rPr>
              <w:t>with</w:t>
            </w:r>
            <w:r w:rsidRPr="00D16196">
              <w:rPr>
                <w:shd w:val="clear" w:color="auto" w:fill="F2F2F2" w:themeFill="background1" w:themeFillShade="F2"/>
              </w:rPr>
              <w:t xml:space="preserve"> all children. </w:t>
            </w:r>
            <w:r w:rsidR="008B2BD8" w:rsidRPr="00D16196">
              <w:rPr>
                <w:shd w:val="clear" w:color="auto" w:fill="F2F2F2" w:themeFill="background1" w:themeFillShade="F2"/>
              </w:rPr>
              <w:t>Only children on orders in government schools are reported.</w:t>
            </w:r>
          </w:p>
          <w:p w:rsidR="0010799F" w:rsidRPr="00D16196" w:rsidRDefault="0010799F" w:rsidP="00D16196">
            <w:pPr>
              <w:pStyle w:val="Box"/>
            </w:pPr>
            <w:r w:rsidRPr="00D16196">
              <w:t xml:space="preserve">A high or increasing rate of children on guardianship and custody orders achieving </w:t>
            </w:r>
            <w:r w:rsidR="0056415B" w:rsidRPr="00D16196">
              <w:t xml:space="preserve">at or above </w:t>
            </w:r>
            <w:r w:rsidRPr="00D16196">
              <w:t xml:space="preserve">national </w:t>
            </w:r>
            <w:r w:rsidR="0056415B" w:rsidRPr="00D16196">
              <w:t xml:space="preserve">minimum standards </w:t>
            </w:r>
            <w:r w:rsidRPr="00D16196">
              <w:t>in reading and numeracy is desirable.</w:t>
            </w:r>
          </w:p>
          <w:p w:rsidR="0010799F" w:rsidRPr="00D16196" w:rsidRDefault="0010799F" w:rsidP="00D16196">
            <w:pPr>
              <w:pStyle w:val="Box"/>
            </w:pPr>
            <w:r w:rsidRPr="00D16196">
              <w:t xml:space="preserve">Factors outside the control of child protection services have an influence on the educational outcomes of children on guardianship and custody </w:t>
            </w:r>
            <w:r w:rsidRPr="00D16196">
              <w:rPr>
                <w:shd w:val="clear" w:color="auto" w:fill="F2F2F2" w:themeFill="background1" w:themeFillShade="F2"/>
              </w:rPr>
              <w:t xml:space="preserve">orders, and care </w:t>
            </w:r>
            <w:r w:rsidR="008B2BD8" w:rsidRPr="00D16196">
              <w:rPr>
                <w:shd w:val="clear" w:color="auto" w:fill="F2F2F2" w:themeFill="background1" w:themeFillShade="F2"/>
              </w:rPr>
              <w:t>should</w:t>
            </w:r>
            <w:r w:rsidRPr="00D16196">
              <w:rPr>
                <w:shd w:val="clear" w:color="auto" w:fill="F2F2F2" w:themeFill="background1" w:themeFillShade="F2"/>
              </w:rPr>
              <w:t xml:space="preserve"> be exercised when interpreting results. Specifically, children in the child protection system </w:t>
            </w:r>
            <w:r w:rsidR="00684CE6" w:rsidRPr="00D16196">
              <w:rPr>
                <w:shd w:val="clear" w:color="auto" w:fill="F2F2F2" w:themeFill="background1" w:themeFillShade="F2"/>
              </w:rPr>
              <w:t xml:space="preserve">often have high needs </w:t>
            </w:r>
            <w:r w:rsidR="007D001C" w:rsidRPr="00D16196">
              <w:rPr>
                <w:shd w:val="clear" w:color="auto" w:fill="F2F2F2" w:themeFill="background1" w:themeFillShade="F2"/>
              </w:rPr>
              <w:t xml:space="preserve">and </w:t>
            </w:r>
            <w:r w:rsidRPr="00D16196">
              <w:rPr>
                <w:shd w:val="clear" w:color="auto" w:fill="F2F2F2" w:themeFill="background1" w:themeFillShade="F2"/>
              </w:rPr>
              <w:t>have often experienced significant disadvantage (for example, family stress, trau</w:t>
            </w:r>
            <w:r w:rsidR="008B2BD8" w:rsidRPr="00D16196">
              <w:rPr>
                <w:shd w:val="clear" w:color="auto" w:fill="F2F2F2" w:themeFill="background1" w:themeFillShade="F2"/>
              </w:rPr>
              <w:t>ma and violence, mental illness</w:t>
            </w:r>
            <w:r w:rsidRPr="00D16196">
              <w:rPr>
                <w:shd w:val="clear" w:color="auto" w:fill="F2F2F2" w:themeFill="background1" w:themeFillShade="F2"/>
              </w:rPr>
              <w:t xml:space="preserve"> and disability).</w:t>
            </w:r>
            <w:r w:rsidRPr="00D16196">
              <w:t xml:space="preserve"> </w:t>
            </w:r>
          </w:p>
          <w:p w:rsidR="0010799F" w:rsidRPr="00D16196" w:rsidRDefault="00B43736" w:rsidP="00D16196">
            <w:pPr>
              <w:pStyle w:val="Box"/>
            </w:pPr>
            <w:r w:rsidRPr="00D16196">
              <w:t xml:space="preserve">When interpreting </w:t>
            </w:r>
            <w:proofErr w:type="spellStart"/>
            <w:r w:rsidRPr="00D16196">
              <w:t>NAPLAN</w:t>
            </w:r>
            <w:proofErr w:type="spellEnd"/>
            <w:r w:rsidRPr="00D16196">
              <w:t xml:space="preserve"> data, i</w:t>
            </w:r>
            <w:r w:rsidR="0010799F" w:rsidRPr="00D16196">
              <w:t xml:space="preserve">t is important to </w:t>
            </w:r>
            <w:r w:rsidRPr="00D16196">
              <w:t>take into account student participation rates. C</w:t>
            </w:r>
            <w:r w:rsidR="0010799F" w:rsidRPr="00D16196">
              <w:t xml:space="preserve">hildren exempted from </w:t>
            </w:r>
            <w:proofErr w:type="spellStart"/>
            <w:r w:rsidR="0010799F" w:rsidRPr="00D16196">
              <w:t>NAPLAN</w:t>
            </w:r>
            <w:proofErr w:type="spellEnd"/>
            <w:r w:rsidR="0010799F" w:rsidRPr="00D16196">
              <w:t xml:space="preserve"> testing are recorded as </w:t>
            </w:r>
            <w:r w:rsidR="00043F2D" w:rsidRPr="00D16196">
              <w:t xml:space="preserve">not having met </w:t>
            </w:r>
            <w:r w:rsidR="0010799F" w:rsidRPr="00D16196">
              <w:t xml:space="preserve">the national minimum </w:t>
            </w:r>
            <w:r w:rsidR="00043F2D" w:rsidRPr="00D16196">
              <w:t xml:space="preserve">standards </w:t>
            </w:r>
            <w:r w:rsidR="0010799F" w:rsidRPr="00D16196">
              <w:t xml:space="preserve">in reading and numeracy. Experimental data indicate that children on guardianship and custody orders are exempted from </w:t>
            </w:r>
            <w:proofErr w:type="spellStart"/>
            <w:r w:rsidR="0010799F" w:rsidRPr="00D16196">
              <w:t>NAPLAN</w:t>
            </w:r>
            <w:proofErr w:type="spellEnd"/>
            <w:r w:rsidR="0010799F" w:rsidRPr="00D16196">
              <w:t xml:space="preserve"> testing at significantly higher rates than the general student population, which </w:t>
            </w:r>
            <w:r w:rsidRPr="00D16196">
              <w:t xml:space="preserve">might </w:t>
            </w:r>
            <w:r w:rsidR="0010799F" w:rsidRPr="00D16196">
              <w:t xml:space="preserve">contribute to poorer reported </w:t>
            </w:r>
            <w:proofErr w:type="spellStart"/>
            <w:r w:rsidR="0010799F" w:rsidRPr="00D16196">
              <w:t>NAPLAN</w:t>
            </w:r>
            <w:proofErr w:type="spellEnd"/>
            <w:r w:rsidR="0010799F" w:rsidRPr="00D16196">
              <w:t xml:space="preserve"> results for children on orders</w:t>
            </w:r>
            <w:r w:rsidRPr="00D16196">
              <w:t xml:space="preserve">, compared with </w:t>
            </w:r>
            <w:r w:rsidR="0010799F" w:rsidRPr="00D16196">
              <w:t>the general student population.</w:t>
            </w:r>
            <w:r w:rsidR="00043F2D" w:rsidRPr="00D16196">
              <w:t xml:space="preserve"> </w:t>
            </w:r>
            <w:r w:rsidRPr="00D16196">
              <w:t>D</w:t>
            </w:r>
            <w:r w:rsidR="00043F2D" w:rsidRPr="00D16196">
              <w:t xml:space="preserve">ata on the </w:t>
            </w:r>
            <w:proofErr w:type="spellStart"/>
            <w:r w:rsidRPr="00D16196">
              <w:t>NAPLAN</w:t>
            </w:r>
            <w:proofErr w:type="spellEnd"/>
            <w:r w:rsidRPr="00D16196">
              <w:t xml:space="preserve"> </w:t>
            </w:r>
            <w:r w:rsidR="00043F2D" w:rsidRPr="00D16196">
              <w:t xml:space="preserve">participation rates of children on orders </w:t>
            </w:r>
            <w:r w:rsidRPr="00D16196">
              <w:t>are</w:t>
            </w:r>
            <w:r w:rsidR="00043F2D" w:rsidRPr="00D16196">
              <w:t xml:space="preserve"> provided.</w:t>
            </w:r>
          </w:p>
          <w:p w:rsidR="0010799F" w:rsidRPr="00D16196" w:rsidRDefault="0010799F" w:rsidP="00D16196">
            <w:pPr>
              <w:pStyle w:val="Box"/>
            </w:pPr>
            <w:r w:rsidRPr="00D16196">
              <w:t>Data reported for this measure are:</w:t>
            </w:r>
          </w:p>
          <w:p w:rsidR="0010799F" w:rsidRPr="00D16196" w:rsidRDefault="0010799F" w:rsidP="00D16196">
            <w:pPr>
              <w:pStyle w:val="BoxListBullet"/>
            </w:pPr>
            <w:r w:rsidRPr="00D16196">
              <w:t>comparable (subject to caveats) across jurisdictions and over time</w:t>
            </w:r>
          </w:p>
          <w:p w:rsidR="0010799F" w:rsidRPr="00D16196" w:rsidRDefault="0010799F" w:rsidP="00D16196">
            <w:pPr>
              <w:pStyle w:val="BoxListBullet"/>
            </w:pPr>
            <w:r w:rsidRPr="00D16196">
              <w:t>incomplete for the current reporting period. All required data were not available for NSW, Victoria, WA, Tasmania, the ACT and the NT.</w:t>
            </w:r>
          </w:p>
          <w:p w:rsidR="0010799F" w:rsidRPr="00D16196" w:rsidRDefault="0010799F" w:rsidP="00D16196">
            <w:pPr>
              <w:pStyle w:val="Box"/>
            </w:pPr>
            <w:r w:rsidRPr="00D16196">
              <w:t>Data quality information for this indicator</w:t>
            </w:r>
            <w:r w:rsidR="00EE00CE" w:rsidRPr="00D16196">
              <w:t xml:space="preserve"> is at </w:t>
            </w:r>
            <w:proofErr w:type="spellStart"/>
            <w:r w:rsidR="00EE00CE" w:rsidRPr="00D16196">
              <w:t>www.pc.gov.au</w:t>
            </w:r>
            <w:proofErr w:type="spellEnd"/>
            <w:r w:rsidR="00466D07" w:rsidRPr="00D16196">
              <w:t>/</w:t>
            </w:r>
            <w:proofErr w:type="spellStart"/>
            <w:r w:rsidR="00466D07" w:rsidRPr="00D16196">
              <w:t>rogs</w:t>
            </w:r>
            <w:proofErr w:type="spellEnd"/>
            <w:r w:rsidR="00466D07" w:rsidRPr="00D16196">
              <w:t>/2016</w:t>
            </w:r>
            <w:r w:rsidRPr="00D16196">
              <w:t>.</w:t>
            </w:r>
          </w:p>
        </w:tc>
      </w:tr>
      <w:tr w:rsidR="0010799F" w:rsidRPr="00D16196" w:rsidTr="0010799F">
        <w:trPr>
          <w:cantSplit/>
        </w:trPr>
        <w:tc>
          <w:tcPr>
            <w:tcW w:w="8771" w:type="dxa"/>
            <w:tcBorders>
              <w:top w:val="nil"/>
              <w:left w:val="nil"/>
              <w:bottom w:val="single" w:sz="6" w:space="0" w:color="78A22F"/>
              <w:right w:val="nil"/>
            </w:tcBorders>
            <w:shd w:val="clear" w:color="auto" w:fill="F2F2F2" w:themeFill="background1" w:themeFillShade="F2"/>
          </w:tcPr>
          <w:p w:rsidR="0010799F" w:rsidRPr="00D16196" w:rsidRDefault="0010799F" w:rsidP="00D16196">
            <w:pPr>
              <w:pStyle w:val="Box"/>
              <w:spacing w:before="0" w:line="120" w:lineRule="exact"/>
            </w:pPr>
          </w:p>
        </w:tc>
      </w:tr>
      <w:tr w:rsidR="0010799F" w:rsidRPr="00D16196" w:rsidTr="0010799F">
        <w:tc>
          <w:tcPr>
            <w:tcW w:w="8771" w:type="dxa"/>
            <w:tcBorders>
              <w:top w:val="single" w:sz="6" w:space="0" w:color="78A22F"/>
              <w:left w:val="nil"/>
              <w:bottom w:val="nil"/>
              <w:right w:val="nil"/>
            </w:tcBorders>
          </w:tcPr>
          <w:p w:rsidR="0010799F" w:rsidRPr="00D16196" w:rsidRDefault="0010799F" w:rsidP="00D16196">
            <w:pPr>
              <w:pStyle w:val="BoxSpaceBelow"/>
            </w:pPr>
          </w:p>
        </w:tc>
      </w:tr>
    </w:tbl>
    <w:p w:rsidR="00965E74" w:rsidRPr="00D16196" w:rsidRDefault="00B43736" w:rsidP="00D16196">
      <w:pPr>
        <w:pStyle w:val="BodyText"/>
      </w:pPr>
      <w:r w:rsidRPr="00D16196">
        <w:t xml:space="preserve">Experimental data for 2010 to 2012 for Queensland and SA have been published in previous reports. </w:t>
      </w:r>
      <w:r w:rsidR="00A33CA6" w:rsidRPr="00D16196">
        <w:t xml:space="preserve">In this </w:t>
      </w:r>
      <w:r w:rsidR="00883CB5" w:rsidRPr="00D16196">
        <w:t>Report</w:t>
      </w:r>
      <w:r w:rsidR="00A33CA6" w:rsidRPr="00D16196">
        <w:t xml:space="preserve">, </w:t>
      </w:r>
      <w:r w:rsidR="00A43D28" w:rsidRPr="00D16196">
        <w:t xml:space="preserve">experimental data for </w:t>
      </w:r>
      <w:r w:rsidR="00883CB5" w:rsidRPr="00D16196">
        <w:t xml:space="preserve">2013 </w:t>
      </w:r>
      <w:r w:rsidR="00E165EB" w:rsidRPr="00D16196">
        <w:t xml:space="preserve">were </w:t>
      </w:r>
      <w:r w:rsidR="00C14451" w:rsidRPr="00D16196">
        <w:t xml:space="preserve">also </w:t>
      </w:r>
      <w:r w:rsidR="00E165EB" w:rsidRPr="00D16196">
        <w:t>available for Queensland</w:t>
      </w:r>
      <w:r w:rsidR="008770D0" w:rsidRPr="00D16196">
        <w:t xml:space="preserve"> and</w:t>
      </w:r>
      <w:r w:rsidR="00E165EB" w:rsidRPr="00D16196">
        <w:t xml:space="preserve"> S</w:t>
      </w:r>
      <w:r w:rsidR="0034095B" w:rsidRPr="00D16196">
        <w:t>A</w:t>
      </w:r>
      <w:r w:rsidR="008770D0" w:rsidRPr="00D16196">
        <w:t>.</w:t>
      </w:r>
      <w:r w:rsidR="00E165EB" w:rsidRPr="00D16196">
        <w:t xml:space="preserve"> These data </w:t>
      </w:r>
      <w:r w:rsidR="00965E74" w:rsidRPr="00D16196">
        <w:t xml:space="preserve">indicate that the proportion of year 5 children on orders achieving at or above the national minimum standards in the </w:t>
      </w:r>
      <w:proofErr w:type="spellStart"/>
      <w:r w:rsidR="00965E74" w:rsidRPr="00D16196">
        <w:t>NAPLAN</w:t>
      </w:r>
      <w:proofErr w:type="spellEnd"/>
      <w:r w:rsidR="00965E74" w:rsidRPr="00D16196">
        <w:t xml:space="preserve"> domains ‘reading’ and ‘numeracy’ are significantly lower tha</w:t>
      </w:r>
      <w:r w:rsidR="000E0D68" w:rsidRPr="00D16196">
        <w:t>n</w:t>
      </w:r>
      <w:r w:rsidR="00965E74" w:rsidRPr="00D16196">
        <w:t xml:space="preserve"> the results for all studen</w:t>
      </w:r>
      <w:r w:rsidR="00883CB5" w:rsidRPr="00D16196">
        <w:t>t</w:t>
      </w:r>
      <w:r w:rsidR="00965E74" w:rsidRPr="00D16196">
        <w:t xml:space="preserve">s in year 5. </w:t>
      </w:r>
      <w:r w:rsidR="00406B0B" w:rsidRPr="00D16196">
        <w:t>For year 5 students on orders i</w:t>
      </w:r>
      <w:r w:rsidR="00965E74" w:rsidRPr="00D16196">
        <w:t>n 201</w:t>
      </w:r>
      <w:r w:rsidR="00883CB5" w:rsidRPr="00D16196">
        <w:t>3</w:t>
      </w:r>
      <w:r w:rsidR="00965E74" w:rsidRPr="00D16196">
        <w:t xml:space="preserve">: </w:t>
      </w:r>
    </w:p>
    <w:p w:rsidR="00965E74" w:rsidRPr="00D16196" w:rsidRDefault="008C014C" w:rsidP="00D16196">
      <w:pPr>
        <w:pStyle w:val="ListBullet"/>
      </w:pPr>
      <w:r w:rsidRPr="00D16196">
        <w:t>78.0</w:t>
      </w:r>
      <w:r w:rsidR="00E165EB" w:rsidRPr="00D16196">
        <w:t xml:space="preserve"> </w:t>
      </w:r>
      <w:r w:rsidR="00965E74" w:rsidRPr="00D16196">
        <w:t xml:space="preserve">per cent in Queensland and </w:t>
      </w:r>
      <w:r w:rsidR="00883CB5" w:rsidRPr="00D16196">
        <w:t>78.9</w:t>
      </w:r>
      <w:r w:rsidR="00965E74" w:rsidRPr="00D16196">
        <w:t xml:space="preserve"> per cent in S</w:t>
      </w:r>
      <w:r w:rsidR="00A01C23" w:rsidRPr="00D16196">
        <w:t>A</w:t>
      </w:r>
      <w:r w:rsidR="0099012C" w:rsidRPr="00D16196">
        <w:t xml:space="preserve"> achieved at or above the national minimum standard </w:t>
      </w:r>
      <w:r w:rsidR="00406B0B" w:rsidRPr="00D16196">
        <w:t>for</w:t>
      </w:r>
      <w:r w:rsidR="0099012C" w:rsidRPr="00D16196">
        <w:t xml:space="preserve"> reading</w:t>
      </w:r>
      <w:r w:rsidR="00713FF4" w:rsidRPr="00D16196">
        <w:t xml:space="preserve">, compared with </w:t>
      </w:r>
      <w:r w:rsidR="00173F92" w:rsidRPr="00D16196">
        <w:t>96.1</w:t>
      </w:r>
      <w:r w:rsidR="00713FF4" w:rsidRPr="00D16196">
        <w:t xml:space="preserve"> per cent of all year 5 students</w:t>
      </w:r>
      <w:r w:rsidR="00965E74" w:rsidRPr="00D16196">
        <w:t xml:space="preserve"> </w:t>
      </w:r>
      <w:r w:rsidR="00173F92" w:rsidRPr="00D16196">
        <w:t>(and 96.2 per cent and 95.7 per cent</w:t>
      </w:r>
      <w:r w:rsidR="00666C49" w:rsidRPr="00D16196">
        <w:t xml:space="preserve"> for Queensland and SA respectively)</w:t>
      </w:r>
    </w:p>
    <w:p w:rsidR="001C6086" w:rsidRPr="00D16196" w:rsidRDefault="008C014C" w:rsidP="00D16196">
      <w:pPr>
        <w:pStyle w:val="ListBullet"/>
      </w:pPr>
      <w:r w:rsidRPr="00D16196">
        <w:t>64.5</w:t>
      </w:r>
      <w:r w:rsidR="00E165EB" w:rsidRPr="00D16196">
        <w:t xml:space="preserve"> </w:t>
      </w:r>
      <w:r w:rsidR="00965E74" w:rsidRPr="00D16196">
        <w:t xml:space="preserve">per cent in Queensland and </w:t>
      </w:r>
      <w:r w:rsidR="00883CB5" w:rsidRPr="00D16196">
        <w:t>62.9</w:t>
      </w:r>
      <w:r w:rsidR="00CB1515" w:rsidRPr="00D16196">
        <w:t xml:space="preserve"> </w:t>
      </w:r>
      <w:r w:rsidR="00965E74" w:rsidRPr="00D16196">
        <w:t>per cent in S</w:t>
      </w:r>
      <w:r w:rsidR="0034095B" w:rsidRPr="00D16196">
        <w:t>A</w:t>
      </w:r>
      <w:r w:rsidR="0099012C" w:rsidRPr="00D16196">
        <w:t xml:space="preserve"> achieved at or above the national minimum standard </w:t>
      </w:r>
      <w:r w:rsidR="00406B0B" w:rsidRPr="00D16196">
        <w:t>for</w:t>
      </w:r>
      <w:r w:rsidR="0099012C" w:rsidRPr="00D16196">
        <w:t xml:space="preserve"> numeracy</w:t>
      </w:r>
      <w:r w:rsidR="0010799F" w:rsidRPr="00D16196">
        <w:t xml:space="preserve">, compared with </w:t>
      </w:r>
      <w:r w:rsidR="00173F92" w:rsidRPr="00D16196">
        <w:t>93.4</w:t>
      </w:r>
      <w:r w:rsidR="00FA3DB6" w:rsidRPr="00D16196">
        <w:t xml:space="preserve"> per cent of</w:t>
      </w:r>
      <w:r w:rsidR="0010799F" w:rsidRPr="00D16196">
        <w:t xml:space="preserve"> all year </w:t>
      </w:r>
      <w:r w:rsidR="00FA3DB6" w:rsidRPr="00D16196">
        <w:t>5 students</w:t>
      </w:r>
      <w:r w:rsidR="00965E74" w:rsidRPr="00D16196">
        <w:t xml:space="preserve"> </w:t>
      </w:r>
      <w:r w:rsidR="00666C49" w:rsidRPr="00D16196">
        <w:t xml:space="preserve">(and </w:t>
      </w:r>
      <w:r w:rsidR="00173F92" w:rsidRPr="00D16196">
        <w:t>93.6 per cent and 92.0 per cent</w:t>
      </w:r>
      <w:r w:rsidR="00666C49" w:rsidRPr="00D16196">
        <w:t xml:space="preserve"> for Queensland and SA</w:t>
      </w:r>
      <w:r w:rsidR="00173F92" w:rsidRPr="00D16196">
        <w:t xml:space="preserve"> respectively</w:t>
      </w:r>
      <w:r w:rsidR="00666C49" w:rsidRPr="00D16196">
        <w:t xml:space="preserve">) </w:t>
      </w:r>
      <w:r w:rsidR="00965E74" w:rsidRPr="00D16196">
        <w:t>(</w:t>
      </w:r>
      <w:proofErr w:type="spellStart"/>
      <w:r w:rsidR="001C6086" w:rsidRPr="00D16196">
        <w:t>ACARA</w:t>
      </w:r>
      <w:proofErr w:type="spellEnd"/>
      <w:r w:rsidR="00AF2ECC" w:rsidRPr="00D16196">
        <w:t> </w:t>
      </w:r>
      <w:r w:rsidR="00FA3DB6" w:rsidRPr="00D16196">
        <w:t>201</w:t>
      </w:r>
      <w:r w:rsidR="00A43D28" w:rsidRPr="00D16196">
        <w:t>2</w:t>
      </w:r>
      <w:r w:rsidR="00FA3DB6" w:rsidRPr="00D16196">
        <w:t xml:space="preserve">; </w:t>
      </w:r>
      <w:r w:rsidR="00FF5C64" w:rsidRPr="00D16196">
        <w:t xml:space="preserve">Queensland </w:t>
      </w:r>
      <w:r w:rsidR="00F6485B" w:rsidRPr="00D16196">
        <w:t>and</w:t>
      </w:r>
      <w:r w:rsidR="00AF05F1" w:rsidRPr="00D16196">
        <w:t xml:space="preserve"> S</w:t>
      </w:r>
      <w:r w:rsidR="001C6086" w:rsidRPr="00D16196">
        <w:t>A</w:t>
      </w:r>
      <w:r w:rsidR="00AF05F1" w:rsidRPr="00D16196">
        <w:t xml:space="preserve"> </w:t>
      </w:r>
      <w:r w:rsidR="00CB1515" w:rsidRPr="00D16196">
        <w:t>g</w:t>
      </w:r>
      <w:r w:rsidR="00AF05F1" w:rsidRPr="00D16196">
        <w:t>overnment</w:t>
      </w:r>
      <w:r w:rsidR="00430D6A" w:rsidRPr="00D16196">
        <w:t>s</w:t>
      </w:r>
      <w:r w:rsidR="00965E74" w:rsidRPr="00D16196">
        <w:t xml:space="preserve"> unpublished). </w:t>
      </w:r>
    </w:p>
    <w:p w:rsidR="002B357B" w:rsidRPr="00D16196" w:rsidRDefault="0099012C" w:rsidP="00D16196">
      <w:pPr>
        <w:pStyle w:val="BodyText"/>
      </w:pPr>
      <w:r w:rsidRPr="00D16196">
        <w:t>It is important to take s</w:t>
      </w:r>
      <w:r w:rsidR="000E0D68" w:rsidRPr="00D16196">
        <w:t xml:space="preserve">tudent </w:t>
      </w:r>
      <w:r w:rsidR="00965E74" w:rsidRPr="00D16196">
        <w:t xml:space="preserve">participation rates into account when analysing </w:t>
      </w:r>
      <w:proofErr w:type="spellStart"/>
      <w:r w:rsidR="00965E74" w:rsidRPr="00D16196">
        <w:t>NAPLAN</w:t>
      </w:r>
      <w:proofErr w:type="spellEnd"/>
      <w:r w:rsidR="00965E74" w:rsidRPr="00D16196">
        <w:t xml:space="preserve"> data. </w:t>
      </w:r>
      <w:r w:rsidR="002B357B" w:rsidRPr="00D16196">
        <w:t xml:space="preserve">Participation rates are calculated as all assessed and exempt students as a percentage of the total number of students in the year level, including students who were absent or withdrawn. </w:t>
      </w:r>
      <w:r w:rsidR="00406B0B" w:rsidRPr="00D16196">
        <w:t>For year 5 students on orders i</w:t>
      </w:r>
      <w:r w:rsidR="002B357B" w:rsidRPr="00D16196">
        <w:t>n 201</w:t>
      </w:r>
      <w:r w:rsidR="00B43736" w:rsidRPr="00D16196">
        <w:t>3</w:t>
      </w:r>
      <w:r w:rsidR="002B357B" w:rsidRPr="00D16196">
        <w:t>:</w:t>
      </w:r>
    </w:p>
    <w:p w:rsidR="002B357B" w:rsidRPr="00D16196" w:rsidRDefault="002B357B" w:rsidP="00D16196">
      <w:pPr>
        <w:pStyle w:val="ListBullet"/>
      </w:pPr>
      <w:r w:rsidRPr="00D16196">
        <w:lastRenderedPageBreak/>
        <w:t>t</w:t>
      </w:r>
      <w:r w:rsidR="005E4528" w:rsidRPr="00D16196">
        <w:t xml:space="preserve">he participation rate </w:t>
      </w:r>
      <w:r w:rsidR="00406B0B" w:rsidRPr="00D16196">
        <w:t xml:space="preserve">for </w:t>
      </w:r>
      <w:r w:rsidR="005E4528" w:rsidRPr="00D16196">
        <w:t>reading</w:t>
      </w:r>
      <w:r w:rsidR="00406B0B" w:rsidRPr="00D16196">
        <w:t xml:space="preserve"> </w:t>
      </w:r>
      <w:r w:rsidRPr="00D16196">
        <w:t xml:space="preserve">was </w:t>
      </w:r>
      <w:r w:rsidR="008C014C" w:rsidRPr="00D16196">
        <w:t>85.4</w:t>
      </w:r>
      <w:r w:rsidRPr="00D16196">
        <w:t xml:space="preserve"> per cent in Queensland and </w:t>
      </w:r>
      <w:r w:rsidR="00883CB5" w:rsidRPr="00D16196">
        <w:t>85.7</w:t>
      </w:r>
      <w:r w:rsidRPr="00D16196">
        <w:t xml:space="preserve"> per cent in S</w:t>
      </w:r>
      <w:r w:rsidR="0034095B" w:rsidRPr="00D16196">
        <w:t>A</w:t>
      </w:r>
      <w:r w:rsidRPr="00D16196">
        <w:t xml:space="preserve">, compared </w:t>
      </w:r>
      <w:r w:rsidR="00FC57F3" w:rsidRPr="00D16196">
        <w:t>with</w:t>
      </w:r>
      <w:r w:rsidRPr="00D16196">
        <w:t xml:space="preserve"> </w:t>
      </w:r>
      <w:r w:rsidR="00173F92" w:rsidRPr="00D16196">
        <w:t>95.8</w:t>
      </w:r>
      <w:r w:rsidRPr="00D16196">
        <w:t> per cent of all year 5 students</w:t>
      </w:r>
      <w:r w:rsidR="00173F92" w:rsidRPr="00D16196">
        <w:t xml:space="preserve"> (and 94.9 per cent and 94.0 per cent</w:t>
      </w:r>
      <w:r w:rsidR="00666C49" w:rsidRPr="00D16196">
        <w:t xml:space="preserve"> for Queensland and SA respectively)</w:t>
      </w:r>
    </w:p>
    <w:p w:rsidR="002B357B" w:rsidRPr="00D16196" w:rsidRDefault="002B357B" w:rsidP="00D16196">
      <w:pPr>
        <w:pStyle w:val="ListBullet"/>
      </w:pPr>
      <w:r w:rsidRPr="00D16196">
        <w:t xml:space="preserve">the participation rate </w:t>
      </w:r>
      <w:r w:rsidR="00406B0B" w:rsidRPr="00D16196">
        <w:t xml:space="preserve">for </w:t>
      </w:r>
      <w:r w:rsidRPr="00D16196">
        <w:t xml:space="preserve">numeracy was </w:t>
      </w:r>
      <w:r w:rsidR="008C014C" w:rsidRPr="00D16196">
        <w:t>86.5</w:t>
      </w:r>
      <w:r w:rsidR="00E165EB" w:rsidRPr="00D16196">
        <w:t xml:space="preserve"> </w:t>
      </w:r>
      <w:r w:rsidRPr="00D16196">
        <w:t xml:space="preserve">per cent in Queensland and </w:t>
      </w:r>
      <w:r w:rsidR="00883CB5" w:rsidRPr="00D16196">
        <w:t>87.2</w:t>
      </w:r>
      <w:r w:rsidR="00CB1515" w:rsidRPr="00D16196">
        <w:t xml:space="preserve"> </w:t>
      </w:r>
      <w:r w:rsidRPr="00D16196">
        <w:t>per cent in S</w:t>
      </w:r>
      <w:r w:rsidR="0034095B" w:rsidRPr="00D16196">
        <w:t>A</w:t>
      </w:r>
      <w:r w:rsidRPr="00D16196">
        <w:t xml:space="preserve">, compared </w:t>
      </w:r>
      <w:r w:rsidR="00FC57F3" w:rsidRPr="00D16196">
        <w:t>with</w:t>
      </w:r>
      <w:r w:rsidRPr="00D16196">
        <w:t xml:space="preserve"> </w:t>
      </w:r>
      <w:r w:rsidR="00975927" w:rsidRPr="00D16196">
        <w:t>95.</w:t>
      </w:r>
      <w:r w:rsidR="00173F92" w:rsidRPr="00D16196">
        <w:t>4</w:t>
      </w:r>
      <w:r w:rsidR="00B90C10" w:rsidRPr="00D16196">
        <w:t> </w:t>
      </w:r>
      <w:r w:rsidRPr="00D16196">
        <w:t>per cent of all year 5 students</w:t>
      </w:r>
      <w:r w:rsidR="00975927" w:rsidRPr="00D16196">
        <w:t xml:space="preserve"> </w:t>
      </w:r>
      <w:r w:rsidR="00173F92" w:rsidRPr="00D16196">
        <w:t>(and 94.5 per cent and 93.8 per cent</w:t>
      </w:r>
      <w:r w:rsidR="00666C49" w:rsidRPr="00D16196">
        <w:t xml:space="preserve"> for Queensland and SA respectively) </w:t>
      </w:r>
      <w:r w:rsidR="00975927" w:rsidRPr="00D16196">
        <w:t>(</w:t>
      </w:r>
      <w:proofErr w:type="spellStart"/>
      <w:r w:rsidR="0034095B" w:rsidRPr="00D16196">
        <w:t>ACARA</w:t>
      </w:r>
      <w:proofErr w:type="spellEnd"/>
      <w:r w:rsidR="00975927" w:rsidRPr="00D16196">
        <w:t xml:space="preserve"> 201</w:t>
      </w:r>
      <w:r w:rsidR="00B43736" w:rsidRPr="00D16196">
        <w:t>3</w:t>
      </w:r>
      <w:r w:rsidR="00975927" w:rsidRPr="00D16196">
        <w:t xml:space="preserve">; Queensland </w:t>
      </w:r>
      <w:r w:rsidR="00076A21" w:rsidRPr="00D16196">
        <w:t xml:space="preserve">and </w:t>
      </w:r>
      <w:r w:rsidR="00975927" w:rsidRPr="00D16196">
        <w:t>S</w:t>
      </w:r>
      <w:r w:rsidR="0034095B" w:rsidRPr="00D16196">
        <w:t>A</w:t>
      </w:r>
      <w:r w:rsidR="00975927" w:rsidRPr="00D16196">
        <w:t xml:space="preserve"> </w:t>
      </w:r>
      <w:r w:rsidR="00CB1515" w:rsidRPr="00D16196">
        <w:t>g</w:t>
      </w:r>
      <w:r w:rsidR="00975927" w:rsidRPr="00D16196">
        <w:t>overnment</w:t>
      </w:r>
      <w:r w:rsidR="00076A21" w:rsidRPr="00D16196">
        <w:t>s</w:t>
      </w:r>
      <w:r w:rsidR="00975927" w:rsidRPr="00D16196">
        <w:t xml:space="preserve"> unpublished).</w:t>
      </w:r>
    </w:p>
    <w:p w:rsidR="005F669F" w:rsidRPr="00D16196" w:rsidRDefault="005F669F" w:rsidP="00D16196">
      <w:pPr>
        <w:pStyle w:val="BodyText"/>
      </w:pPr>
      <w:r w:rsidRPr="00D16196">
        <w:t xml:space="preserve">In 2015, the </w:t>
      </w:r>
      <w:proofErr w:type="spellStart"/>
      <w:r w:rsidRPr="00D16196">
        <w:t>AIHW</w:t>
      </w:r>
      <w:proofErr w:type="spellEnd"/>
      <w:r w:rsidRPr="00D16196">
        <w:t xml:space="preserve"> released a report that presents a snapshot of the academic performance of Australian children in the care of child protection services in 2013</w:t>
      </w:r>
      <w:r w:rsidR="00E56776" w:rsidRPr="00D16196">
        <w:t>.</w:t>
      </w:r>
      <w:r w:rsidR="00B24E44" w:rsidRPr="00D16196">
        <w:t xml:space="preserve"> </w:t>
      </w:r>
      <w:r w:rsidR="00E56776" w:rsidRPr="00D16196">
        <w:t>Six jurisdictions provided data for the study (NSW, Victoria, WA, Tasmania, the ACT and the NT)</w:t>
      </w:r>
      <w:r w:rsidR="00B24E44" w:rsidRPr="00D16196">
        <w:t>, although data were not published by states and territories</w:t>
      </w:r>
      <w:r w:rsidR="00E56776" w:rsidRPr="00D16196">
        <w:t xml:space="preserve">. </w:t>
      </w:r>
      <w:r w:rsidRPr="00D16196">
        <w:t xml:space="preserve">The findings in the report are based on data from the Child Protection National Minimum Data Set and </w:t>
      </w:r>
      <w:proofErr w:type="spellStart"/>
      <w:r w:rsidRPr="00D16196">
        <w:t>NAPLAN</w:t>
      </w:r>
      <w:proofErr w:type="spellEnd"/>
      <w:r w:rsidRPr="00D16196">
        <w:t xml:space="preserve">. </w:t>
      </w:r>
      <w:r w:rsidR="00B24E44" w:rsidRPr="00D16196">
        <w:t xml:space="preserve">Where possible, the study included </w:t>
      </w:r>
      <w:proofErr w:type="spellStart"/>
      <w:r w:rsidR="00B24E44" w:rsidRPr="00D16196">
        <w:t>NAPLAN</w:t>
      </w:r>
      <w:proofErr w:type="spellEnd"/>
      <w:r w:rsidR="00B24E44" w:rsidRPr="00D16196">
        <w:t xml:space="preserve"> data for government and non</w:t>
      </w:r>
      <w:r w:rsidR="00B24E44" w:rsidRPr="00D16196">
        <w:noBreakHyphen/>
        <w:t xml:space="preserve">government school students. However, available data varied across jurisdictions. </w:t>
      </w:r>
      <w:r w:rsidRPr="00D16196">
        <w:t>The proportion of children in care across Australia who achieved or exceeded the national minimum standards for literacy and numeracy varied (ranging from 44 per cent to 83 per cent across assessment domains and year levels) (</w:t>
      </w:r>
      <w:proofErr w:type="spellStart"/>
      <w:r w:rsidRPr="00D16196">
        <w:t>AIHW</w:t>
      </w:r>
      <w:proofErr w:type="spellEnd"/>
      <w:r w:rsidRPr="00D16196">
        <w:t xml:space="preserve"> </w:t>
      </w:r>
      <w:proofErr w:type="spellStart"/>
      <w:r w:rsidRPr="00D16196">
        <w:t>2015b</w:t>
      </w:r>
      <w:proofErr w:type="spellEnd"/>
      <w:r w:rsidRPr="00D16196">
        <w:t xml:space="preserve">). More detailed information on </w:t>
      </w:r>
      <w:proofErr w:type="spellStart"/>
      <w:r w:rsidRPr="00D16196">
        <w:t>NAPLAN</w:t>
      </w:r>
      <w:proofErr w:type="spellEnd"/>
      <w:r w:rsidRPr="00D16196">
        <w:t xml:space="preserve"> testing can be found in chapter 4 ‘School education’</w:t>
      </w:r>
      <w:r w:rsidRPr="00D16196">
        <w:rPr>
          <w:i/>
        </w:rPr>
        <w:t xml:space="preserve"> </w:t>
      </w:r>
      <w:r w:rsidRPr="00D16196">
        <w:t>of this Report.</w:t>
      </w:r>
    </w:p>
    <w:p w:rsidR="00C046DF" w:rsidRPr="00D16196" w:rsidRDefault="00850EE7" w:rsidP="00D16196">
      <w:pPr>
        <w:pStyle w:val="BodyText"/>
      </w:pPr>
      <w:r w:rsidRPr="00D16196">
        <w:t>In addition to the above experimental data, h</w:t>
      </w:r>
      <w:r w:rsidR="00372118" w:rsidRPr="00D16196">
        <w:t xml:space="preserve">istorical pilot study data on the proportion of children in years 3, 5 and 7 on guardianship or custody orders achieving national reading and numeracy benchmarks </w:t>
      </w:r>
      <w:r w:rsidRPr="00D16196">
        <w:t>for</w:t>
      </w:r>
      <w:r w:rsidR="00372118" w:rsidRPr="00D16196">
        <w:t xml:space="preserve"> 2003</w:t>
      </w:r>
      <w:r w:rsidRPr="00D16196">
        <w:t xml:space="preserve"> to </w:t>
      </w:r>
      <w:r w:rsidR="00372118" w:rsidRPr="00D16196">
        <w:t xml:space="preserve">2006 relative to all children are reported in tables </w:t>
      </w:r>
      <w:proofErr w:type="spellStart"/>
      <w:r w:rsidR="00203E9E" w:rsidRPr="00D16196">
        <w:t>15A.12</w:t>
      </w:r>
      <w:proofErr w:type="spellEnd"/>
      <w:r w:rsidR="00203E9E" w:rsidRPr="00D16196">
        <w:t>–</w:t>
      </w:r>
      <w:proofErr w:type="spellStart"/>
      <w:r w:rsidR="00203E9E" w:rsidRPr="00D16196">
        <w:t>15A.14</w:t>
      </w:r>
      <w:proofErr w:type="spellEnd"/>
      <w:r w:rsidR="00372118" w:rsidRPr="00D16196">
        <w:t>.</w:t>
      </w:r>
    </w:p>
    <w:p w:rsidR="007E1C5B" w:rsidRPr="00D16196" w:rsidRDefault="007E1C5B" w:rsidP="00D16196">
      <w:pPr>
        <w:pStyle w:val="Heading4"/>
      </w:pPr>
      <w:r w:rsidRPr="00D16196">
        <w:t>Improved health and wellbeing of the child</w:t>
      </w:r>
    </w:p>
    <w:p w:rsidR="007E1C5B" w:rsidRPr="00D16196" w:rsidRDefault="007E1C5B" w:rsidP="00D16196">
      <w:pPr>
        <w:pStyle w:val="BodyText"/>
      </w:pPr>
      <w:r w:rsidRPr="00D16196">
        <w:t xml:space="preserve">‘Improved health and wellbeing of the child’ is an indicator of governments’ objective to maximise children’s life chances by ensuring children in care have their health and wellbeing needs met (box </w:t>
      </w:r>
      <w:r w:rsidR="00203E9E" w:rsidRPr="00D16196">
        <w:t>15.21)</w:t>
      </w:r>
      <w:r w:rsidRPr="00D16196">
        <w:t>.</w:t>
      </w:r>
    </w:p>
    <w:p w:rsidR="003A37E3" w:rsidRPr="00D16196" w:rsidRDefault="003A37E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RPr="00D16196" w:rsidTr="001E75A0">
        <w:tc>
          <w:tcPr>
            <w:tcW w:w="8771" w:type="dxa"/>
            <w:tcBorders>
              <w:top w:val="single" w:sz="6" w:space="0" w:color="78A22F"/>
              <w:left w:val="nil"/>
              <w:bottom w:val="nil"/>
              <w:right w:val="nil"/>
            </w:tcBorders>
            <w:shd w:val="clear" w:color="auto" w:fill="F2F2F2" w:themeFill="background1" w:themeFillShade="F2"/>
          </w:tcPr>
          <w:p w:rsidR="003A37E3" w:rsidRPr="00D16196" w:rsidRDefault="003A37E3" w:rsidP="00D16196">
            <w:pPr>
              <w:pStyle w:val="BoxTitle"/>
            </w:pPr>
            <w:r w:rsidRPr="00D16196">
              <w:rPr>
                <w:b w:val="0"/>
              </w:rPr>
              <w:t>Box</w:t>
            </w:r>
            <w:r w:rsidR="00203E9E" w:rsidRPr="00D16196">
              <w:rPr>
                <w:b w:val="0"/>
              </w:rPr>
              <w:t xml:space="preserve"> 15.21</w:t>
            </w:r>
            <w:r w:rsidRPr="00D16196">
              <w:tab/>
              <w:t>Improved health and wellbeing of the child</w:t>
            </w:r>
          </w:p>
        </w:tc>
      </w:tr>
      <w:tr w:rsidR="003A37E3" w:rsidRPr="00D16196" w:rsidTr="001E75A0">
        <w:trPr>
          <w:cantSplit/>
        </w:trPr>
        <w:tc>
          <w:tcPr>
            <w:tcW w:w="8771" w:type="dxa"/>
            <w:tcBorders>
              <w:top w:val="nil"/>
              <w:left w:val="nil"/>
              <w:bottom w:val="nil"/>
              <w:right w:val="nil"/>
            </w:tcBorders>
            <w:shd w:val="clear" w:color="auto" w:fill="F2F2F2" w:themeFill="background1" w:themeFillShade="F2"/>
          </w:tcPr>
          <w:p w:rsidR="003A37E3" w:rsidRPr="00D16196" w:rsidRDefault="003A37E3" w:rsidP="00D16196">
            <w:pPr>
              <w:pStyle w:val="Box"/>
            </w:pPr>
            <w:r w:rsidRPr="00D16196">
              <w:t xml:space="preserve">‘Improved health and wellbeing of the child’ is yet to be defined. </w:t>
            </w:r>
          </w:p>
          <w:p w:rsidR="003A37E3" w:rsidRPr="00D16196" w:rsidRDefault="003A37E3" w:rsidP="00D16196">
            <w:pPr>
              <w:pStyle w:val="Box"/>
            </w:pPr>
            <w:r w:rsidRPr="00D16196">
              <w:t>Good health and wellbeing are considered vital ingredients for optimising children’s life chances. Therefore, ensuring the health and wellbeing of children in the child protection system is considered a high priority.</w:t>
            </w:r>
          </w:p>
          <w:p w:rsidR="003A37E3" w:rsidRPr="00D16196" w:rsidRDefault="003A37E3" w:rsidP="00D16196">
            <w:pPr>
              <w:pStyle w:val="Box"/>
            </w:pPr>
            <w:r w:rsidRPr="00D16196">
              <w:t xml:space="preserve">This indicator has been identified for development and </w:t>
            </w:r>
            <w:r w:rsidR="00717DAE" w:rsidRPr="00D16196">
              <w:t xml:space="preserve">future </w:t>
            </w:r>
            <w:r w:rsidRPr="00D16196">
              <w:t>reporting.</w:t>
            </w:r>
          </w:p>
        </w:tc>
      </w:tr>
      <w:tr w:rsidR="003A37E3" w:rsidRPr="00D16196"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Pr="00D16196" w:rsidRDefault="003A37E3" w:rsidP="00D16196">
            <w:pPr>
              <w:pStyle w:val="Box"/>
              <w:spacing w:before="0" w:line="120" w:lineRule="exact"/>
            </w:pPr>
          </w:p>
        </w:tc>
      </w:tr>
      <w:tr w:rsidR="003A37E3" w:rsidRPr="00D16196" w:rsidTr="001E75A0">
        <w:tc>
          <w:tcPr>
            <w:tcW w:w="8771" w:type="dxa"/>
            <w:tcBorders>
              <w:top w:val="single" w:sz="6" w:space="0" w:color="78A22F"/>
              <w:left w:val="nil"/>
              <w:bottom w:val="nil"/>
              <w:right w:val="nil"/>
            </w:tcBorders>
          </w:tcPr>
          <w:p w:rsidR="003A37E3" w:rsidRPr="00D16196" w:rsidRDefault="003A37E3" w:rsidP="00D16196">
            <w:pPr>
              <w:pStyle w:val="BoxSpaceBelow"/>
            </w:pPr>
          </w:p>
        </w:tc>
      </w:tr>
    </w:tbl>
    <w:p w:rsidR="006842D6" w:rsidRPr="00D16196" w:rsidRDefault="006842D6" w:rsidP="00D16196">
      <w:pPr>
        <w:pStyle w:val="Heading4"/>
      </w:pPr>
      <w:r w:rsidRPr="00D16196">
        <w:lastRenderedPageBreak/>
        <w:t>Safe return home</w:t>
      </w:r>
    </w:p>
    <w:p w:rsidR="006842D6" w:rsidRPr="00D16196" w:rsidRDefault="006842D6" w:rsidP="00D16196">
      <w:pPr>
        <w:pStyle w:val="BodyText"/>
      </w:pPr>
      <w:r w:rsidRPr="00D16196">
        <w:t xml:space="preserve">‘Safe return home’ </w:t>
      </w:r>
      <w:r w:rsidR="00893FF2" w:rsidRPr="00D16196">
        <w:t xml:space="preserve">is an indicator of governments’ objective to remove the risk of </w:t>
      </w:r>
      <w:r w:rsidR="00633772" w:rsidRPr="00D16196">
        <w:t>abuse or neglect</w:t>
      </w:r>
      <w:r w:rsidR="00893FF2" w:rsidRPr="00D16196">
        <w:t xml:space="preserve"> to the child while maintaining family cohesion </w:t>
      </w:r>
      <w:r w:rsidRPr="00D16196">
        <w:t>(box</w:t>
      </w:r>
      <w:r w:rsidR="00203E9E" w:rsidRPr="00D16196">
        <w:t xml:space="preserve"> 15.22)</w:t>
      </w:r>
      <w:r w:rsidRPr="00D16196">
        <w:t>.</w:t>
      </w:r>
    </w:p>
    <w:p w:rsidR="003A37E3" w:rsidRPr="00D16196" w:rsidRDefault="003A37E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RPr="00D16196" w:rsidTr="001E75A0">
        <w:tc>
          <w:tcPr>
            <w:tcW w:w="8771" w:type="dxa"/>
            <w:tcBorders>
              <w:top w:val="single" w:sz="6" w:space="0" w:color="78A22F"/>
              <w:left w:val="nil"/>
              <w:bottom w:val="nil"/>
              <w:right w:val="nil"/>
            </w:tcBorders>
            <w:shd w:val="clear" w:color="auto" w:fill="F2F2F2" w:themeFill="background1" w:themeFillShade="F2"/>
          </w:tcPr>
          <w:p w:rsidR="003A37E3" w:rsidRPr="00D16196" w:rsidRDefault="003A37E3" w:rsidP="00D16196">
            <w:pPr>
              <w:pStyle w:val="BoxTitle"/>
            </w:pPr>
            <w:r w:rsidRPr="00D16196">
              <w:rPr>
                <w:b w:val="0"/>
              </w:rPr>
              <w:t>Box</w:t>
            </w:r>
            <w:r w:rsidR="00203E9E" w:rsidRPr="00D16196">
              <w:rPr>
                <w:b w:val="0"/>
              </w:rPr>
              <w:t xml:space="preserve"> 15.22</w:t>
            </w:r>
            <w:r w:rsidRPr="00D16196">
              <w:tab/>
              <w:t>Safe return home</w:t>
            </w:r>
          </w:p>
        </w:tc>
      </w:tr>
      <w:tr w:rsidR="003A37E3" w:rsidRPr="00D16196" w:rsidTr="001E75A0">
        <w:trPr>
          <w:cantSplit/>
        </w:trPr>
        <w:tc>
          <w:tcPr>
            <w:tcW w:w="8771" w:type="dxa"/>
            <w:tcBorders>
              <w:top w:val="nil"/>
              <w:left w:val="nil"/>
              <w:bottom w:val="nil"/>
              <w:right w:val="nil"/>
            </w:tcBorders>
            <w:shd w:val="clear" w:color="auto" w:fill="F2F2F2" w:themeFill="background1" w:themeFillShade="F2"/>
          </w:tcPr>
          <w:p w:rsidR="003A37E3" w:rsidRPr="00D16196" w:rsidRDefault="003A37E3" w:rsidP="00D16196">
            <w:pPr>
              <w:pStyle w:val="Box"/>
            </w:pPr>
            <w:r w:rsidRPr="00D16196">
              <w:t>‘Safe return home’ is yet to be defined.</w:t>
            </w:r>
          </w:p>
          <w:p w:rsidR="003A37E3" w:rsidRPr="00D16196" w:rsidRDefault="003A37E3" w:rsidP="00D16196">
            <w:pPr>
              <w:pStyle w:val="Box"/>
            </w:pPr>
            <w:r w:rsidRPr="00D16196">
              <w:t xml:space="preserve">For children who cannot be protected within their family and are removed from home, often the best outcome is when effective intervention to improve their parents’ skills or capacity to care for them enables them to return home. </w:t>
            </w:r>
          </w:p>
          <w:p w:rsidR="003A37E3" w:rsidRPr="00D16196" w:rsidRDefault="003A37E3" w:rsidP="00D16196">
            <w:pPr>
              <w:pStyle w:val="Box"/>
            </w:pPr>
            <w:r w:rsidRPr="00D16196">
              <w:t xml:space="preserve">This indicator has been identified for development and </w:t>
            </w:r>
            <w:r w:rsidR="00717DAE" w:rsidRPr="00D16196">
              <w:t xml:space="preserve">future </w:t>
            </w:r>
            <w:r w:rsidRPr="00D16196">
              <w:t>reporting.</w:t>
            </w:r>
          </w:p>
        </w:tc>
      </w:tr>
      <w:tr w:rsidR="003A37E3" w:rsidRPr="00D16196"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Pr="00D16196" w:rsidRDefault="003A37E3" w:rsidP="00D16196">
            <w:pPr>
              <w:pStyle w:val="Box"/>
              <w:spacing w:before="0" w:line="120" w:lineRule="exact"/>
            </w:pPr>
          </w:p>
        </w:tc>
      </w:tr>
      <w:tr w:rsidR="003A37E3" w:rsidRPr="00D16196" w:rsidTr="001E75A0">
        <w:tc>
          <w:tcPr>
            <w:tcW w:w="8771" w:type="dxa"/>
            <w:tcBorders>
              <w:top w:val="single" w:sz="6" w:space="0" w:color="78A22F"/>
              <w:left w:val="nil"/>
              <w:bottom w:val="nil"/>
              <w:right w:val="nil"/>
            </w:tcBorders>
          </w:tcPr>
          <w:p w:rsidR="003A37E3" w:rsidRPr="00D16196" w:rsidRDefault="003A37E3" w:rsidP="00D16196">
            <w:pPr>
              <w:pStyle w:val="BoxSpaceBelow"/>
            </w:pPr>
          </w:p>
        </w:tc>
      </w:tr>
    </w:tbl>
    <w:p w:rsidR="006842D6" w:rsidRPr="00D16196" w:rsidRDefault="006842D6" w:rsidP="00D16196">
      <w:pPr>
        <w:pStyle w:val="Heading4"/>
      </w:pPr>
      <w:r w:rsidRPr="00D16196">
        <w:t>Permanent care</w:t>
      </w:r>
    </w:p>
    <w:p w:rsidR="006842D6" w:rsidRPr="00D16196" w:rsidRDefault="006842D6" w:rsidP="00D16196">
      <w:pPr>
        <w:pStyle w:val="BodyText"/>
      </w:pPr>
      <w:r w:rsidRPr="00D16196">
        <w:t xml:space="preserve">‘Permanent care’ </w:t>
      </w:r>
      <w:r w:rsidR="001525C6" w:rsidRPr="00D16196">
        <w:t xml:space="preserve">is an indicator of governments’ objective to provide appropriate care for children who cannot be safely reunified with their families </w:t>
      </w:r>
      <w:r w:rsidRPr="00D16196">
        <w:t>(box</w:t>
      </w:r>
      <w:r w:rsidR="00203E9E" w:rsidRPr="00D16196">
        <w:t xml:space="preserve"> 15.23</w:t>
      </w:r>
      <w:r w:rsidRPr="00D16196">
        <w:t>).</w:t>
      </w:r>
    </w:p>
    <w:p w:rsidR="003A37E3" w:rsidRPr="00D16196" w:rsidRDefault="003A37E3" w:rsidP="00D1619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A37E3" w:rsidRPr="00D16196" w:rsidTr="001E75A0">
        <w:tc>
          <w:tcPr>
            <w:tcW w:w="8771" w:type="dxa"/>
            <w:tcBorders>
              <w:top w:val="single" w:sz="6" w:space="0" w:color="78A22F"/>
              <w:left w:val="nil"/>
              <w:bottom w:val="nil"/>
              <w:right w:val="nil"/>
            </w:tcBorders>
            <w:shd w:val="clear" w:color="auto" w:fill="F2F2F2" w:themeFill="background1" w:themeFillShade="F2"/>
          </w:tcPr>
          <w:p w:rsidR="003A37E3" w:rsidRPr="00D16196" w:rsidRDefault="003A37E3" w:rsidP="00D16196">
            <w:pPr>
              <w:pStyle w:val="BoxTitle"/>
            </w:pPr>
            <w:r w:rsidRPr="00D16196">
              <w:rPr>
                <w:b w:val="0"/>
              </w:rPr>
              <w:t>Box</w:t>
            </w:r>
            <w:r w:rsidR="00203E9E" w:rsidRPr="00D16196">
              <w:rPr>
                <w:b w:val="0"/>
              </w:rPr>
              <w:t xml:space="preserve"> 15.23</w:t>
            </w:r>
            <w:r w:rsidRPr="00D16196">
              <w:tab/>
              <w:t>Permanent care</w:t>
            </w:r>
          </w:p>
        </w:tc>
      </w:tr>
      <w:tr w:rsidR="003A37E3" w:rsidRPr="00D16196" w:rsidTr="001E75A0">
        <w:trPr>
          <w:cantSplit/>
        </w:trPr>
        <w:tc>
          <w:tcPr>
            <w:tcW w:w="8771" w:type="dxa"/>
            <w:tcBorders>
              <w:top w:val="nil"/>
              <w:left w:val="nil"/>
              <w:bottom w:val="nil"/>
              <w:right w:val="nil"/>
            </w:tcBorders>
            <w:shd w:val="clear" w:color="auto" w:fill="F2F2F2" w:themeFill="background1" w:themeFillShade="F2"/>
          </w:tcPr>
          <w:p w:rsidR="003A37E3" w:rsidRPr="00D16196" w:rsidRDefault="003A37E3" w:rsidP="00D16196">
            <w:pPr>
              <w:pStyle w:val="Box"/>
            </w:pPr>
            <w:r w:rsidRPr="00D16196">
              <w:t xml:space="preserve">‘Permanent care’ is yet to be defined. </w:t>
            </w:r>
          </w:p>
          <w:p w:rsidR="003A37E3" w:rsidRPr="00D16196" w:rsidRDefault="003A37E3" w:rsidP="00D16196">
            <w:pPr>
              <w:pStyle w:val="Box"/>
            </w:pPr>
            <w:r w:rsidRPr="00D16196">
              <w:t>Appropriate services are those that minimise the length of time before stable, permanent placement is achieved.</w:t>
            </w:r>
          </w:p>
          <w:p w:rsidR="003A37E3" w:rsidRPr="00D16196" w:rsidRDefault="003A37E3" w:rsidP="00D16196">
            <w:pPr>
              <w:pStyle w:val="Box"/>
            </w:pPr>
            <w:r w:rsidRPr="00D16196">
              <w:t>This indicator has been identified for development and</w:t>
            </w:r>
            <w:r w:rsidR="00717DAE" w:rsidRPr="00D16196">
              <w:t xml:space="preserve"> future</w:t>
            </w:r>
            <w:r w:rsidRPr="00D16196">
              <w:t xml:space="preserve"> reporting.</w:t>
            </w:r>
          </w:p>
        </w:tc>
      </w:tr>
      <w:tr w:rsidR="003A37E3" w:rsidRPr="00D16196" w:rsidTr="001E75A0">
        <w:trPr>
          <w:cantSplit/>
        </w:trPr>
        <w:tc>
          <w:tcPr>
            <w:tcW w:w="8771" w:type="dxa"/>
            <w:tcBorders>
              <w:top w:val="nil"/>
              <w:left w:val="nil"/>
              <w:bottom w:val="single" w:sz="6" w:space="0" w:color="78A22F"/>
              <w:right w:val="nil"/>
            </w:tcBorders>
            <w:shd w:val="clear" w:color="auto" w:fill="F2F2F2" w:themeFill="background1" w:themeFillShade="F2"/>
          </w:tcPr>
          <w:p w:rsidR="003A37E3" w:rsidRPr="00D16196" w:rsidRDefault="003A37E3" w:rsidP="00D16196">
            <w:pPr>
              <w:pStyle w:val="Box"/>
              <w:spacing w:before="0" w:line="120" w:lineRule="exact"/>
            </w:pPr>
          </w:p>
        </w:tc>
      </w:tr>
      <w:tr w:rsidR="003A37E3" w:rsidRPr="00D16196" w:rsidTr="001E75A0">
        <w:tc>
          <w:tcPr>
            <w:tcW w:w="8771" w:type="dxa"/>
            <w:tcBorders>
              <w:top w:val="single" w:sz="6" w:space="0" w:color="78A22F"/>
              <w:left w:val="nil"/>
              <w:bottom w:val="nil"/>
              <w:right w:val="nil"/>
            </w:tcBorders>
          </w:tcPr>
          <w:p w:rsidR="003A37E3" w:rsidRPr="00D16196" w:rsidRDefault="003A37E3" w:rsidP="00D16196">
            <w:pPr>
              <w:pStyle w:val="BoxSpaceBelow"/>
            </w:pPr>
          </w:p>
        </w:tc>
      </w:tr>
    </w:tbl>
    <w:p w:rsidR="006842D6" w:rsidRPr="00D16196" w:rsidRDefault="006842D6" w:rsidP="00D16196">
      <w:pPr>
        <w:pStyle w:val="Heading2"/>
      </w:pPr>
      <w:bookmarkStart w:id="46" w:name="_Toc369851913"/>
      <w:bookmarkStart w:id="47" w:name="_Toc432581227"/>
      <w:r w:rsidRPr="00D16196">
        <w:t>15.4</w:t>
      </w:r>
      <w:r w:rsidRPr="00D16196">
        <w:tab/>
        <w:t>Future directions in performance reporting</w:t>
      </w:r>
      <w:bookmarkEnd w:id="46"/>
      <w:bookmarkEnd w:id="47"/>
    </w:p>
    <w:p w:rsidR="00E776FE" w:rsidRPr="00D16196" w:rsidRDefault="00E776FE" w:rsidP="00D16196">
      <w:pPr>
        <w:pStyle w:val="BodyText"/>
      </w:pPr>
      <w:r w:rsidRPr="00D16196">
        <w:t>The Steering Committee will continue to improve the appropriateness and completeness of the performance indicator framework. Future work on indicators will focus on:</w:t>
      </w:r>
    </w:p>
    <w:p w:rsidR="00E776FE" w:rsidRPr="00D16196" w:rsidRDefault="00E776FE" w:rsidP="00D16196">
      <w:pPr>
        <w:pStyle w:val="ListBullet"/>
      </w:pPr>
      <w:r w:rsidRPr="00D16196">
        <w:t>developing equity indicators for child protection services</w:t>
      </w:r>
    </w:p>
    <w:p w:rsidR="00E776FE" w:rsidRPr="00D16196" w:rsidRDefault="00E776FE" w:rsidP="00D16196">
      <w:pPr>
        <w:pStyle w:val="ListBullet"/>
      </w:pPr>
      <w:r w:rsidRPr="00D16196">
        <w:t>developing client satisfaction indicators for child protection services</w:t>
      </w:r>
    </w:p>
    <w:p w:rsidR="00B43736" w:rsidRPr="00D16196" w:rsidRDefault="00372118" w:rsidP="00D16196">
      <w:pPr>
        <w:pStyle w:val="ListBullet"/>
      </w:pPr>
      <w:r w:rsidRPr="00D16196">
        <w:t xml:space="preserve">developing data collection strategies for identified child protection indicators, including, </w:t>
      </w:r>
      <w:r w:rsidR="005D6B46" w:rsidRPr="00D16196">
        <w:t xml:space="preserve">local placement, placement with sibling, continuity of case worker, </w:t>
      </w:r>
      <w:r w:rsidRPr="00D16196">
        <w:t>improved education</w:t>
      </w:r>
      <w:r w:rsidR="005D6B46" w:rsidRPr="00D16196">
        <w:t xml:space="preserve">, </w:t>
      </w:r>
      <w:r w:rsidRPr="00D16196">
        <w:t>improved health and wellbeing of the child, safe return home, and permanent care</w:t>
      </w:r>
    </w:p>
    <w:p w:rsidR="00E776FE" w:rsidRPr="00D16196" w:rsidRDefault="00B43736" w:rsidP="00D16196">
      <w:pPr>
        <w:pStyle w:val="ListBullet"/>
      </w:pPr>
      <w:r w:rsidRPr="00D16196">
        <w:t>further development of the ‘Pathways’ activity-based cost reporting</w:t>
      </w:r>
      <w:r w:rsidR="00372118" w:rsidRPr="00D16196">
        <w:t>.</w:t>
      </w:r>
    </w:p>
    <w:p w:rsidR="006842D6" w:rsidRPr="00D16196" w:rsidRDefault="00E7006F" w:rsidP="00D16196">
      <w:pPr>
        <w:pStyle w:val="Heading2"/>
      </w:pPr>
      <w:bookmarkStart w:id="48" w:name="OLE_LINK86"/>
      <w:bookmarkStart w:id="49" w:name="_Toc369851915"/>
      <w:bookmarkStart w:id="50" w:name="_Toc432581228"/>
      <w:r w:rsidRPr="00D16196">
        <w:lastRenderedPageBreak/>
        <w:t>15.</w:t>
      </w:r>
      <w:bookmarkEnd w:id="48"/>
      <w:r w:rsidR="00922EBC" w:rsidRPr="00D16196">
        <w:t>5</w:t>
      </w:r>
      <w:r w:rsidR="006842D6" w:rsidRPr="00D16196">
        <w:tab/>
        <w:t>Definitions of key terms</w:t>
      </w:r>
      <w:bookmarkEnd w:id="49"/>
      <w:bookmarkEnd w:id="50"/>
    </w:p>
    <w:p w:rsidR="0094457E" w:rsidRPr="00D16196" w:rsidRDefault="0094457E" w:rsidP="00D16196">
      <w:pPr>
        <w:pStyle w:val="Figurespace"/>
      </w:pPr>
    </w:p>
    <w:tbl>
      <w:tblPr>
        <w:tblW w:w="0" w:type="auto"/>
        <w:tblInd w:w="108" w:type="dxa"/>
        <w:tblLayout w:type="fixed"/>
        <w:tblLook w:val="0000" w:firstRow="0" w:lastRow="0" w:firstColumn="0" w:lastColumn="0" w:noHBand="0" w:noVBand="0"/>
      </w:tblPr>
      <w:tblGrid>
        <w:gridCol w:w="2552"/>
        <w:gridCol w:w="6237"/>
      </w:tblGrid>
      <w:tr w:rsidR="00DF578B" w:rsidRPr="00D16196" w:rsidTr="00922EBC">
        <w:tc>
          <w:tcPr>
            <w:tcW w:w="2552" w:type="dxa"/>
            <w:shd w:val="clear" w:color="auto" w:fill="auto"/>
          </w:tcPr>
          <w:p w:rsidR="00DF578B" w:rsidRPr="00D16196" w:rsidRDefault="00DF578B" w:rsidP="00D16196">
            <w:pPr>
              <w:pStyle w:val="TableBodyText"/>
              <w:spacing w:before="60" w:after="60"/>
              <w:ind w:left="0"/>
              <w:jc w:val="left"/>
              <w:rPr>
                <w:b/>
              </w:rPr>
            </w:pPr>
            <w:r w:rsidRPr="00D16196">
              <w:rPr>
                <w:b/>
              </w:rPr>
              <w:t>Aboriginal and Torres Strait Islander person</w:t>
            </w:r>
          </w:p>
        </w:tc>
        <w:tc>
          <w:tcPr>
            <w:tcW w:w="6237" w:type="dxa"/>
            <w:shd w:val="clear" w:color="auto" w:fill="auto"/>
          </w:tcPr>
          <w:p w:rsidR="00DF578B" w:rsidRPr="00D16196" w:rsidRDefault="00DF578B" w:rsidP="00D16196">
            <w:pPr>
              <w:pStyle w:val="TableBodyText"/>
              <w:spacing w:before="60" w:after="60"/>
              <w:ind w:left="0"/>
              <w:jc w:val="left"/>
            </w:pPr>
            <w:r w:rsidRPr="00D16196">
              <w:t xml:space="preserve">Person of Aboriginal or Torres Strait Islander descent who identifies as being an Aboriginal or Torres Strait Islander and is accepted as such by the community with which he or she lives. </w:t>
            </w:r>
          </w:p>
        </w:tc>
      </w:tr>
      <w:tr w:rsidR="00A57FB5" w:rsidRPr="00D16196" w:rsidTr="00922EBC">
        <w:tc>
          <w:tcPr>
            <w:tcW w:w="2552" w:type="dxa"/>
            <w:shd w:val="clear" w:color="auto" w:fill="auto"/>
          </w:tcPr>
          <w:p w:rsidR="00AB3040" w:rsidRPr="00D16196" w:rsidRDefault="00AB3040" w:rsidP="00D16196">
            <w:pPr>
              <w:pStyle w:val="TableBodyText"/>
              <w:spacing w:before="60" w:after="60"/>
              <w:ind w:left="0"/>
              <w:jc w:val="left"/>
              <w:rPr>
                <w:b/>
              </w:rPr>
            </w:pPr>
            <w:r w:rsidRPr="00D16196">
              <w:rPr>
                <w:b/>
              </w:rPr>
              <w:t>Activity Group 1 (pathways)</w:t>
            </w:r>
          </w:p>
          <w:p w:rsidR="00A57FB5" w:rsidRPr="00D16196" w:rsidRDefault="00AB3040" w:rsidP="00D16196">
            <w:pPr>
              <w:pStyle w:val="TableBodyText"/>
              <w:spacing w:before="60" w:after="60"/>
              <w:ind w:left="0"/>
              <w:jc w:val="left"/>
            </w:pPr>
            <w:r w:rsidRPr="00D16196">
              <w:t>Receipt and assessment of initial information about a potent</w:t>
            </w:r>
            <w:r w:rsidR="00AC1B70" w:rsidRPr="00D16196">
              <w:t>ial protection or support issue</w:t>
            </w:r>
          </w:p>
        </w:tc>
        <w:tc>
          <w:tcPr>
            <w:tcW w:w="6237" w:type="dxa"/>
            <w:shd w:val="clear" w:color="auto" w:fill="auto"/>
          </w:tcPr>
          <w:p w:rsidR="00AB3040" w:rsidRPr="00D16196" w:rsidRDefault="00AB3040" w:rsidP="00D16196">
            <w:pPr>
              <w:pStyle w:val="TableBodyText"/>
              <w:spacing w:before="60" w:after="60"/>
              <w:ind w:left="0"/>
              <w:jc w:val="left"/>
            </w:pPr>
            <w:r w:rsidRPr="00D16196">
              <w:t xml:space="preserve">Activities that are typically associated with receipt and assessment of initial information including receipt and recording of information, review of department databases, initial assessment of information and decisions about the appropriate response. This activity can also include consultation, with possible provision of advice. Activities by </w:t>
            </w:r>
            <w:r w:rsidR="00990A3A" w:rsidRPr="00D16196">
              <w:t xml:space="preserve">non-government organisations (NGO) </w:t>
            </w:r>
            <w:r w:rsidRPr="00D16196">
              <w:t>may be included if appropriate.</w:t>
            </w:r>
          </w:p>
        </w:tc>
      </w:tr>
      <w:tr w:rsidR="00AB3040" w:rsidRPr="00D16196" w:rsidTr="00922EBC">
        <w:tc>
          <w:tcPr>
            <w:tcW w:w="2552" w:type="dxa"/>
            <w:shd w:val="clear" w:color="auto" w:fill="auto"/>
          </w:tcPr>
          <w:p w:rsidR="00AB3040" w:rsidRPr="00D16196" w:rsidRDefault="00AB3040" w:rsidP="00D16196">
            <w:pPr>
              <w:pStyle w:val="TableBodyText"/>
              <w:spacing w:before="60" w:after="60"/>
              <w:ind w:left="0"/>
              <w:jc w:val="left"/>
              <w:rPr>
                <w:b/>
              </w:rPr>
            </w:pPr>
            <w:r w:rsidRPr="00D16196">
              <w:rPr>
                <w:b/>
              </w:rPr>
              <w:t>Activity Group 2 (pathways)</w:t>
            </w:r>
          </w:p>
          <w:p w:rsidR="00AB3040" w:rsidRPr="00D16196" w:rsidRDefault="00AB3040" w:rsidP="00D16196">
            <w:pPr>
              <w:pStyle w:val="TableBodyText"/>
              <w:spacing w:before="60" w:after="60"/>
              <w:ind w:left="0"/>
              <w:jc w:val="left"/>
            </w:pPr>
            <w:r w:rsidRPr="00D16196">
              <w:t>Provision of generic family support services</w:t>
            </w:r>
          </w:p>
        </w:tc>
        <w:tc>
          <w:tcPr>
            <w:tcW w:w="6237" w:type="dxa"/>
            <w:shd w:val="clear" w:color="auto" w:fill="auto"/>
          </w:tcPr>
          <w:p w:rsidR="00AB3040" w:rsidRPr="00D16196" w:rsidRDefault="00AB3040" w:rsidP="00D16196">
            <w:pPr>
              <w:pStyle w:val="TableBodyText"/>
              <w:spacing w:before="60" w:after="60"/>
              <w:ind w:left="0" w:right="0"/>
              <w:jc w:val="left"/>
            </w:pPr>
            <w:r w:rsidRPr="00D16196">
              <w:t>Activities that are typically associated with provision of lower level family support services at various stages including identification of family needs, provision of support services and diversionary services, some counselling and active linking of the family to support networks. Services are funded by government but can be delivered by either the relevant agency or a NGO. This bundle of services does not involve planned follow-up by the relevant agency after initial service delivery. The services will be delivered under voluntary arrangements between the relevant agency and family. Clients may receive these services more than once.</w:t>
            </w:r>
          </w:p>
        </w:tc>
      </w:tr>
      <w:tr w:rsidR="00AB3040" w:rsidRPr="00D16196" w:rsidTr="00922EBC">
        <w:tc>
          <w:tcPr>
            <w:tcW w:w="2552" w:type="dxa"/>
            <w:shd w:val="clear" w:color="auto" w:fill="auto"/>
          </w:tcPr>
          <w:p w:rsidR="00AB3040" w:rsidRPr="00D16196" w:rsidRDefault="00AB3040" w:rsidP="00D16196">
            <w:pPr>
              <w:pStyle w:val="TableBodyText"/>
              <w:spacing w:before="60" w:after="60"/>
              <w:ind w:left="0"/>
              <w:jc w:val="left"/>
              <w:rPr>
                <w:b/>
              </w:rPr>
            </w:pPr>
            <w:r w:rsidRPr="00D16196">
              <w:rPr>
                <w:b/>
              </w:rPr>
              <w:t>Activity Group 3 (pathways)</w:t>
            </w:r>
          </w:p>
          <w:p w:rsidR="00AB3040" w:rsidRPr="00D16196" w:rsidRDefault="00AB3040" w:rsidP="00D16196">
            <w:pPr>
              <w:pStyle w:val="TableBodyText"/>
              <w:spacing w:before="60" w:after="60"/>
              <w:ind w:left="0"/>
              <w:jc w:val="left"/>
            </w:pPr>
            <w:r w:rsidRPr="00D16196">
              <w:t>Provision of intensive family support services</w:t>
            </w:r>
          </w:p>
        </w:tc>
        <w:tc>
          <w:tcPr>
            <w:tcW w:w="6237" w:type="dxa"/>
            <w:shd w:val="clear" w:color="auto" w:fill="auto"/>
          </w:tcPr>
          <w:p w:rsidR="00AB3040" w:rsidRPr="00D16196" w:rsidRDefault="00AB3040" w:rsidP="00D16196">
            <w:pPr>
              <w:pStyle w:val="TableBodyText"/>
              <w:spacing w:before="60" w:after="60"/>
              <w:ind w:left="0"/>
              <w:jc w:val="left"/>
            </w:pPr>
            <w:r w:rsidRPr="00D16196">
              <w:t>Activities that are typically associated with provision of complex or intensive family support services including provision of therapeutic and in-home supports such as counselling and mediation, modelling of positive parenting strategies, referrals to intensive support services that may be provided by NGOs, advocacy on behalf of clients and intensive support for a family in a residential setting. This includes protection and treatment support services. These services may be provided if diversionary services are inappropriate to the case and may lead to statutory services being provided to the client.</w:t>
            </w:r>
          </w:p>
        </w:tc>
      </w:tr>
      <w:tr w:rsidR="00AB3040" w:rsidRPr="00D16196" w:rsidTr="00922EBC">
        <w:tc>
          <w:tcPr>
            <w:tcW w:w="2552" w:type="dxa"/>
            <w:shd w:val="clear" w:color="auto" w:fill="auto"/>
          </w:tcPr>
          <w:p w:rsidR="00AB3040" w:rsidRPr="00D16196" w:rsidRDefault="00AB3040" w:rsidP="00D16196">
            <w:pPr>
              <w:pStyle w:val="TableBodyText"/>
              <w:spacing w:before="60" w:after="60"/>
              <w:ind w:left="0"/>
              <w:jc w:val="left"/>
              <w:rPr>
                <w:b/>
              </w:rPr>
            </w:pPr>
            <w:r w:rsidRPr="00D16196">
              <w:rPr>
                <w:b/>
              </w:rPr>
              <w:t>Activity Group 4 (pathways)</w:t>
            </w:r>
          </w:p>
          <w:p w:rsidR="00AB3040" w:rsidRPr="00D16196" w:rsidRDefault="00AB3040" w:rsidP="00D16196">
            <w:pPr>
              <w:pStyle w:val="TableBodyText"/>
              <w:spacing w:before="60" w:after="60"/>
              <w:ind w:left="0"/>
              <w:jc w:val="left"/>
            </w:pPr>
            <w:r w:rsidRPr="00D16196">
              <w:t>Secondary infor</w:t>
            </w:r>
            <w:r w:rsidR="004B5BAD" w:rsidRPr="00D16196">
              <w:t>mation gathering and assessment</w:t>
            </w:r>
          </w:p>
        </w:tc>
        <w:tc>
          <w:tcPr>
            <w:tcW w:w="6237" w:type="dxa"/>
            <w:shd w:val="clear" w:color="auto" w:fill="auto"/>
          </w:tcPr>
          <w:p w:rsidR="00AB3040" w:rsidRPr="00D16196" w:rsidRDefault="00AB3040" w:rsidP="00D16196">
            <w:pPr>
              <w:pStyle w:val="TableBodyText"/>
              <w:spacing w:before="60" w:after="60"/>
              <w:ind w:left="0"/>
              <w:jc w:val="left"/>
            </w:pPr>
            <w:r w:rsidRPr="00D16196">
              <w:t xml:space="preserve">Activities that are typically associated with secondary information gathering and assessment are currently counted as ‘investigations’ in the Report on Government Services. As part of this activity group a decision may be made to substantiate or not substantiate. Information gathering activities include: </w:t>
            </w:r>
          </w:p>
          <w:p w:rsidR="00AB3040" w:rsidRPr="00D16196" w:rsidRDefault="00AB3040" w:rsidP="00D16196">
            <w:pPr>
              <w:pStyle w:val="TableBullet"/>
            </w:pPr>
            <w:r w:rsidRPr="00D16196">
              <w:t xml:space="preserve">sighting the child </w:t>
            </w:r>
          </w:p>
          <w:p w:rsidR="00AB3040" w:rsidRPr="00D16196" w:rsidRDefault="00AB3040" w:rsidP="00D16196">
            <w:pPr>
              <w:pStyle w:val="TableBullet"/>
            </w:pPr>
            <w:r w:rsidRPr="00D16196">
              <w:t xml:space="preserve">contacting people with relevant information about the child or family (for example, teachers, police, support services) </w:t>
            </w:r>
          </w:p>
          <w:p w:rsidR="00AB3040" w:rsidRPr="00D16196" w:rsidRDefault="00AB3040" w:rsidP="00D16196">
            <w:pPr>
              <w:pStyle w:val="TableBullet"/>
            </w:pPr>
            <w:r w:rsidRPr="00D16196">
              <w:t>interviewing the child, sibling(s) and parent</w:t>
            </w:r>
            <w:r w:rsidR="00990A3A" w:rsidRPr="00D16196">
              <w:t>s</w:t>
            </w:r>
            <w:r w:rsidRPr="00D16196">
              <w:t xml:space="preserve"> </w:t>
            </w:r>
          </w:p>
          <w:p w:rsidR="00AB3040" w:rsidRPr="00D16196" w:rsidRDefault="00AB3040" w:rsidP="00D16196">
            <w:pPr>
              <w:pStyle w:val="TableBullet"/>
            </w:pPr>
            <w:r w:rsidRPr="00D16196">
              <w:t xml:space="preserve">observing family interactions </w:t>
            </w:r>
          </w:p>
          <w:p w:rsidR="00AB3040" w:rsidRPr="00D16196" w:rsidRDefault="00AB3040" w:rsidP="00D16196">
            <w:pPr>
              <w:pStyle w:val="TableBullet"/>
            </w:pPr>
            <w:r w:rsidRPr="00D16196">
              <w:t xml:space="preserve">obtaining assessments of the child and/or family </w:t>
            </w:r>
          </w:p>
          <w:p w:rsidR="00AB3040" w:rsidRPr="00D16196" w:rsidRDefault="00AB3040" w:rsidP="00D16196">
            <w:pPr>
              <w:pStyle w:val="TableBullet"/>
            </w:pPr>
            <w:r w:rsidRPr="00D16196">
              <w:t xml:space="preserve">conducting family group conferences </w:t>
            </w:r>
          </w:p>
          <w:p w:rsidR="00AB3040" w:rsidRPr="00D16196" w:rsidRDefault="00AB3040" w:rsidP="00D16196">
            <w:pPr>
              <w:pStyle w:val="TableBullet"/>
            </w:pPr>
            <w:r w:rsidRPr="00D16196">
              <w:t xml:space="preserve">liaising with agencies providing services to the child and family </w:t>
            </w:r>
          </w:p>
          <w:p w:rsidR="00AB3040" w:rsidRPr="00D16196" w:rsidRDefault="00AB3040" w:rsidP="00D16196">
            <w:pPr>
              <w:pStyle w:val="TableBullet"/>
            </w:pPr>
            <w:r w:rsidRPr="00D16196">
              <w:t>recording a substantiation or non-substantiation decision</w:t>
            </w:r>
          </w:p>
          <w:p w:rsidR="00AB3040" w:rsidRPr="00D16196" w:rsidRDefault="00AB3040" w:rsidP="00D16196">
            <w:pPr>
              <w:pStyle w:val="TableBullet"/>
            </w:pPr>
            <w:r w:rsidRPr="00D16196">
              <w:t>case conferences with partners and contributors in the investigation and assessment process.</w:t>
            </w:r>
          </w:p>
        </w:tc>
      </w:tr>
      <w:tr w:rsidR="00AB3040" w:rsidRPr="00D16196" w:rsidTr="00922EBC">
        <w:tc>
          <w:tcPr>
            <w:tcW w:w="2552" w:type="dxa"/>
            <w:shd w:val="clear" w:color="auto" w:fill="auto"/>
          </w:tcPr>
          <w:p w:rsidR="00AB3040" w:rsidRPr="00D16196" w:rsidRDefault="00AB3040" w:rsidP="00D16196">
            <w:pPr>
              <w:pStyle w:val="TableBodyText"/>
              <w:spacing w:before="60" w:after="60"/>
              <w:ind w:left="0"/>
              <w:jc w:val="left"/>
              <w:rPr>
                <w:b/>
              </w:rPr>
            </w:pPr>
            <w:r w:rsidRPr="00D16196">
              <w:rPr>
                <w:b/>
              </w:rPr>
              <w:t>Activity Group 5 (pathways)</w:t>
            </w:r>
          </w:p>
          <w:p w:rsidR="00AB3040" w:rsidRPr="00D16196" w:rsidRDefault="00AC1B70" w:rsidP="00D16196">
            <w:pPr>
              <w:pStyle w:val="TableBodyText"/>
              <w:spacing w:before="60" w:after="60"/>
              <w:ind w:left="0"/>
              <w:jc w:val="left"/>
              <w:rPr>
                <w:b/>
              </w:rPr>
            </w:pPr>
            <w:r w:rsidRPr="00D16196">
              <w:t>Provision of short-term protective intervention and coordination services</w:t>
            </w:r>
            <w:r w:rsidR="00942B16" w:rsidRPr="00D16196">
              <w:t xml:space="preserve"> for children not on a</w:t>
            </w:r>
            <w:r w:rsidR="00031EDE" w:rsidRPr="00D16196">
              <w:t>n</w:t>
            </w:r>
            <w:r w:rsidR="00942B16" w:rsidRPr="00D16196">
              <w:t xml:space="preserve"> order</w:t>
            </w:r>
          </w:p>
        </w:tc>
        <w:tc>
          <w:tcPr>
            <w:tcW w:w="6237" w:type="dxa"/>
            <w:shd w:val="clear" w:color="auto" w:fill="auto"/>
          </w:tcPr>
          <w:p w:rsidR="00AC1B70" w:rsidRPr="00D16196" w:rsidRDefault="00AC1B70" w:rsidP="00D16196">
            <w:pPr>
              <w:pStyle w:val="TableBodyText"/>
              <w:spacing w:before="60" w:after="60"/>
              <w:ind w:left="0"/>
              <w:jc w:val="left"/>
            </w:pPr>
            <w:r w:rsidRPr="00D16196">
              <w:t xml:space="preserve">Activities that are typically associated with provision of short-term protective intervention and coordination services including: </w:t>
            </w:r>
          </w:p>
          <w:p w:rsidR="00AC1B70" w:rsidRPr="00D16196" w:rsidRDefault="00AC1B70" w:rsidP="00D16196">
            <w:pPr>
              <w:pStyle w:val="TableBullet"/>
            </w:pPr>
            <w:r w:rsidRPr="00D16196">
              <w:t xml:space="preserve">working with the family to address protective issues </w:t>
            </w:r>
          </w:p>
          <w:p w:rsidR="00AC1B70" w:rsidRPr="00D16196" w:rsidRDefault="00AC1B70" w:rsidP="00D16196">
            <w:pPr>
              <w:pStyle w:val="TableBullet"/>
            </w:pPr>
            <w:r w:rsidRPr="00D16196">
              <w:t>developing networks of support for the child</w:t>
            </w:r>
          </w:p>
          <w:p w:rsidR="00AC1B70" w:rsidRPr="00D16196" w:rsidRDefault="00AC1B70" w:rsidP="00D16196">
            <w:pPr>
              <w:pStyle w:val="TableBullet"/>
            </w:pPr>
            <w:r w:rsidRPr="00D16196">
              <w:t xml:space="preserve">monitoring and reviewing the safety of the child </w:t>
            </w:r>
          </w:p>
          <w:p w:rsidR="00AC1B70" w:rsidRPr="00D16196" w:rsidRDefault="00AC1B70" w:rsidP="00D16196">
            <w:pPr>
              <w:pStyle w:val="TableBullet"/>
            </w:pPr>
            <w:r w:rsidRPr="00D16196">
              <w:t xml:space="preserve">monitoring and reviewing family progress against case planning goals </w:t>
            </w:r>
          </w:p>
          <w:p w:rsidR="00AC1B70" w:rsidRPr="00D16196" w:rsidRDefault="00AC1B70" w:rsidP="00D16196">
            <w:pPr>
              <w:pStyle w:val="TableBullet"/>
            </w:pPr>
            <w:r w:rsidRPr="00D16196">
              <w:t>case conferences with agencies providing services to the child and/or family, internal discussions and reviews</w:t>
            </w:r>
          </w:p>
          <w:p w:rsidR="00AB3040" w:rsidRPr="00D16196" w:rsidRDefault="00AC1B70" w:rsidP="00D16196">
            <w:pPr>
              <w:pStyle w:val="TableBullet"/>
            </w:pPr>
            <w:r w:rsidRPr="00D16196">
              <w:t>specialist chi</w:t>
            </w:r>
            <w:r w:rsidR="00967410" w:rsidRPr="00D16196">
              <w:t>ld-focused therapeutic support.</w:t>
            </w:r>
          </w:p>
        </w:tc>
      </w:tr>
      <w:tr w:rsidR="00967410" w:rsidRPr="00D16196" w:rsidTr="00922EBC">
        <w:trPr>
          <w:cantSplit/>
        </w:trPr>
        <w:tc>
          <w:tcPr>
            <w:tcW w:w="2552" w:type="dxa"/>
            <w:shd w:val="clear" w:color="auto" w:fill="auto"/>
          </w:tcPr>
          <w:p w:rsidR="00967410" w:rsidRPr="00D16196" w:rsidRDefault="00967410" w:rsidP="00D16196">
            <w:pPr>
              <w:pStyle w:val="TableBodyText"/>
              <w:spacing w:before="60" w:after="60"/>
              <w:ind w:left="0"/>
              <w:jc w:val="left"/>
              <w:rPr>
                <w:b/>
              </w:rPr>
            </w:pPr>
            <w:r w:rsidRPr="00D16196">
              <w:rPr>
                <w:b/>
              </w:rPr>
              <w:lastRenderedPageBreak/>
              <w:t>Activity Group 6 (pathways)</w:t>
            </w:r>
          </w:p>
          <w:p w:rsidR="00967410" w:rsidRPr="00D16196" w:rsidRDefault="00967410" w:rsidP="00D16196">
            <w:pPr>
              <w:pStyle w:val="TableBodyText"/>
              <w:spacing w:before="60" w:after="60"/>
              <w:ind w:left="0"/>
              <w:jc w:val="left"/>
            </w:pPr>
            <w:r w:rsidRPr="00D16196">
              <w:t>Seeking a</w:t>
            </w:r>
            <w:r w:rsidR="00031EDE" w:rsidRPr="00D16196">
              <w:t>n</w:t>
            </w:r>
            <w:r w:rsidRPr="00D16196">
              <w:t xml:space="preserve"> order</w:t>
            </w:r>
          </w:p>
        </w:tc>
        <w:tc>
          <w:tcPr>
            <w:tcW w:w="6237" w:type="dxa"/>
            <w:shd w:val="clear" w:color="auto" w:fill="auto"/>
          </w:tcPr>
          <w:p w:rsidR="00967410" w:rsidRPr="00D16196" w:rsidRDefault="00967410" w:rsidP="00D16196">
            <w:pPr>
              <w:pStyle w:val="TableBodyText"/>
              <w:spacing w:before="60" w:after="60"/>
              <w:ind w:left="0"/>
              <w:jc w:val="left"/>
            </w:pPr>
            <w:r w:rsidRPr="00D16196">
              <w:t>Activities that are typically associated with seeking orders</w:t>
            </w:r>
            <w:r w:rsidR="00031EDE" w:rsidRPr="00D16196">
              <w:t xml:space="preserve"> (court orders or voluntary/administrative orders)</w:t>
            </w:r>
            <w:r w:rsidRPr="00D16196">
              <w:t xml:space="preserve"> including:</w:t>
            </w:r>
          </w:p>
          <w:p w:rsidR="00967410" w:rsidRPr="00D16196" w:rsidRDefault="00967410" w:rsidP="00D16196">
            <w:pPr>
              <w:pStyle w:val="TableBullet"/>
            </w:pPr>
            <w:r w:rsidRPr="00D16196">
              <w:t>preparing applications for the order</w:t>
            </w:r>
          </w:p>
          <w:p w:rsidR="00967410" w:rsidRPr="00D16196" w:rsidRDefault="00967410" w:rsidP="00D16196">
            <w:pPr>
              <w:pStyle w:val="TableBullet"/>
            </w:pPr>
            <w:r w:rsidRPr="00D16196">
              <w:t>preparing reports for the court</w:t>
            </w:r>
          </w:p>
          <w:p w:rsidR="00DE4CEE" w:rsidRPr="00D16196" w:rsidRDefault="00967410" w:rsidP="00D16196">
            <w:pPr>
              <w:pStyle w:val="TableBullet"/>
            </w:pPr>
            <w:r w:rsidRPr="00D16196">
              <w:t>obtaining assessment</w:t>
            </w:r>
            <w:r w:rsidR="00DE4CEE" w:rsidRPr="00D16196">
              <w:t xml:space="preserve"> reports to submit to the court</w:t>
            </w:r>
          </w:p>
          <w:p w:rsidR="00DE4CEE" w:rsidRPr="00D16196" w:rsidRDefault="00967410" w:rsidP="00D16196">
            <w:pPr>
              <w:pStyle w:val="TableBullet"/>
            </w:pPr>
            <w:r w:rsidRPr="00D16196">
              <w:t>informing parties to the court proceedings, including parents, the child, and lawyers</w:t>
            </w:r>
          </w:p>
          <w:p w:rsidR="00DE4CEE" w:rsidRPr="00D16196" w:rsidRDefault="00967410" w:rsidP="00D16196">
            <w:pPr>
              <w:pStyle w:val="TableBullet"/>
            </w:pPr>
            <w:r w:rsidRPr="00D16196">
              <w:t>informing and briefing legal counsel or internal court groups</w:t>
            </w:r>
          </w:p>
          <w:p w:rsidR="00DE4CEE" w:rsidRPr="00D16196" w:rsidRDefault="00967410" w:rsidP="00D16196">
            <w:pPr>
              <w:pStyle w:val="TableBullet"/>
            </w:pPr>
            <w:r w:rsidRPr="00D16196">
              <w:t>going through internal pre-court review processes</w:t>
            </w:r>
          </w:p>
          <w:p w:rsidR="00DE4CEE" w:rsidRPr="00D16196" w:rsidRDefault="00967410" w:rsidP="00D16196">
            <w:pPr>
              <w:pStyle w:val="TableBullet"/>
            </w:pPr>
            <w:r w:rsidRPr="00D16196">
              <w:t>attending court</w:t>
            </w:r>
          </w:p>
          <w:p w:rsidR="00967410" w:rsidRPr="00D16196" w:rsidRDefault="00967410" w:rsidP="00D16196">
            <w:pPr>
              <w:pStyle w:val="TableBullet"/>
            </w:pPr>
            <w:r w:rsidRPr="00D16196">
              <w:t>conducting family group conferences.</w:t>
            </w:r>
          </w:p>
        </w:tc>
      </w:tr>
      <w:tr w:rsidR="00DE4CEE" w:rsidRPr="00D16196" w:rsidTr="00922EBC">
        <w:tc>
          <w:tcPr>
            <w:tcW w:w="2552" w:type="dxa"/>
            <w:shd w:val="clear" w:color="auto" w:fill="auto"/>
          </w:tcPr>
          <w:p w:rsidR="00DE4CEE" w:rsidRPr="00D16196" w:rsidRDefault="00DE4CEE" w:rsidP="00D16196">
            <w:pPr>
              <w:pStyle w:val="TableBodyText"/>
              <w:spacing w:before="60" w:after="60"/>
              <w:ind w:left="0"/>
              <w:jc w:val="left"/>
              <w:rPr>
                <w:b/>
              </w:rPr>
            </w:pPr>
            <w:r w:rsidRPr="00D16196">
              <w:rPr>
                <w:b/>
              </w:rPr>
              <w:t>Activity Group 7 (pathways)</w:t>
            </w:r>
          </w:p>
          <w:p w:rsidR="00DE4CEE" w:rsidRPr="00D16196" w:rsidRDefault="00DE4CEE" w:rsidP="00D16196">
            <w:pPr>
              <w:pStyle w:val="TableBodyText"/>
              <w:spacing w:before="60" w:after="60"/>
              <w:ind w:left="0"/>
              <w:jc w:val="left"/>
            </w:pPr>
            <w:r w:rsidRPr="00D16196">
              <w:t>Provision of protective intervention</w:t>
            </w:r>
            <w:r w:rsidR="00942B16" w:rsidRPr="00D16196">
              <w:t>, support</w:t>
            </w:r>
            <w:r w:rsidRPr="00D16196">
              <w:t xml:space="preserve"> and coordination services</w:t>
            </w:r>
            <w:r w:rsidR="00942B16" w:rsidRPr="00D16196">
              <w:t xml:space="preserve"> for children on a</w:t>
            </w:r>
            <w:r w:rsidR="00031EDE" w:rsidRPr="00D16196">
              <w:t>n</w:t>
            </w:r>
            <w:r w:rsidR="00942B16" w:rsidRPr="00D16196">
              <w:t xml:space="preserve"> order</w:t>
            </w:r>
          </w:p>
        </w:tc>
        <w:tc>
          <w:tcPr>
            <w:tcW w:w="6237" w:type="dxa"/>
            <w:shd w:val="clear" w:color="auto" w:fill="auto"/>
          </w:tcPr>
          <w:p w:rsidR="00DE4CEE" w:rsidRPr="00D16196" w:rsidRDefault="00DE4CEE" w:rsidP="00D16196">
            <w:pPr>
              <w:pStyle w:val="TableBodyText"/>
              <w:spacing w:before="60" w:after="60"/>
              <w:ind w:left="0"/>
              <w:jc w:val="left"/>
            </w:pPr>
            <w:r w:rsidRPr="00D16196">
              <w:t>Activities that are typically associated with provision of longer-term protective intervention and coordination services including:</w:t>
            </w:r>
          </w:p>
          <w:p w:rsidR="007B13BA" w:rsidRPr="00D16196" w:rsidRDefault="00DE4CEE" w:rsidP="00D16196">
            <w:pPr>
              <w:pStyle w:val="TableBullet"/>
            </w:pPr>
            <w:r w:rsidRPr="00D16196">
              <w:t>monitoring the child or young person’s progress and development (for example, social development and education progress) and undertaking activities that facilitate progress and development</w:t>
            </w:r>
          </w:p>
          <w:p w:rsidR="007B13BA" w:rsidRPr="00D16196" w:rsidRDefault="00DE4CEE" w:rsidP="00D16196">
            <w:pPr>
              <w:pStyle w:val="TableBullet"/>
            </w:pPr>
            <w:r w:rsidRPr="00D16196">
              <w:t>meeting any specific requirements of any court order</w:t>
            </w:r>
          </w:p>
          <w:p w:rsidR="007B13BA" w:rsidRPr="00D16196" w:rsidRDefault="00DE4CEE" w:rsidP="00D16196">
            <w:pPr>
              <w:pStyle w:val="TableBullet"/>
            </w:pPr>
            <w:r w:rsidRPr="00D16196">
              <w:t>reviewing appropriateness of the order for the circumstances of the child or young person. This usually occurs at intervals established by the court or in legislation</w:t>
            </w:r>
          </w:p>
          <w:p w:rsidR="007B13BA" w:rsidRPr="00D16196" w:rsidRDefault="00DE4CEE" w:rsidP="00D16196">
            <w:pPr>
              <w:pStyle w:val="TableBullet"/>
            </w:pPr>
            <w:r w:rsidRPr="00D16196">
              <w:t>reporting back to court</w:t>
            </w:r>
          </w:p>
          <w:p w:rsidR="00DE4CEE" w:rsidRPr="00D16196" w:rsidRDefault="00DE4CEE" w:rsidP="00D16196">
            <w:pPr>
              <w:pStyle w:val="TableBullet"/>
            </w:pPr>
            <w:r w:rsidRPr="00D16196">
              <w:t>long term cases involving out-of-home care</w:t>
            </w:r>
            <w:r w:rsidR="007B13BA" w:rsidRPr="00D16196">
              <w:t>.</w:t>
            </w:r>
          </w:p>
        </w:tc>
      </w:tr>
      <w:tr w:rsidR="007B13BA" w:rsidRPr="00D16196" w:rsidTr="00922EBC">
        <w:tc>
          <w:tcPr>
            <w:tcW w:w="2552" w:type="dxa"/>
            <w:shd w:val="clear" w:color="auto" w:fill="auto"/>
          </w:tcPr>
          <w:p w:rsidR="007B13BA" w:rsidRPr="00D16196" w:rsidRDefault="007B13BA" w:rsidP="00D16196">
            <w:pPr>
              <w:pStyle w:val="TableBodyText"/>
              <w:spacing w:before="60" w:after="60"/>
              <w:ind w:left="0"/>
              <w:jc w:val="left"/>
              <w:rPr>
                <w:b/>
              </w:rPr>
            </w:pPr>
            <w:r w:rsidRPr="00D16196">
              <w:rPr>
                <w:b/>
              </w:rPr>
              <w:t>Activity Group 8 (pathways)</w:t>
            </w:r>
          </w:p>
          <w:p w:rsidR="007B13BA" w:rsidRPr="00D16196" w:rsidRDefault="007B13BA" w:rsidP="00D16196">
            <w:pPr>
              <w:pStyle w:val="TableBodyText"/>
              <w:spacing w:before="60" w:after="60"/>
              <w:ind w:left="0"/>
              <w:jc w:val="left"/>
            </w:pPr>
            <w:r w:rsidRPr="00D16196">
              <w:t>Provision of out</w:t>
            </w:r>
            <w:r w:rsidR="00CA6793" w:rsidRPr="00D16196">
              <w:noBreakHyphen/>
            </w:r>
            <w:r w:rsidRPr="00D16196">
              <w:t>of</w:t>
            </w:r>
            <w:r w:rsidR="00CA6793" w:rsidRPr="00D16196">
              <w:noBreakHyphen/>
            </w:r>
            <w:r w:rsidRPr="00D16196">
              <w:t>home care services</w:t>
            </w:r>
          </w:p>
        </w:tc>
        <w:tc>
          <w:tcPr>
            <w:tcW w:w="6237" w:type="dxa"/>
            <w:shd w:val="clear" w:color="auto" w:fill="auto"/>
          </w:tcPr>
          <w:p w:rsidR="007B13BA" w:rsidRPr="00D16196" w:rsidRDefault="007B13BA" w:rsidP="00D16196">
            <w:pPr>
              <w:pStyle w:val="TableBodyText"/>
              <w:spacing w:before="60" w:after="60"/>
              <w:ind w:left="0"/>
              <w:jc w:val="left"/>
            </w:pPr>
            <w:r w:rsidRPr="00D16196">
              <w:t>Activities that are typically associated with provision of out-of-home care services including:</w:t>
            </w:r>
          </w:p>
          <w:p w:rsidR="007B13BA" w:rsidRPr="00D16196" w:rsidRDefault="007B13BA" w:rsidP="00D16196">
            <w:pPr>
              <w:pStyle w:val="TableBullet"/>
            </w:pPr>
            <w:r w:rsidRPr="00D16196">
              <w:t>finding suitable placement(s) for the child</w:t>
            </w:r>
          </w:p>
          <w:p w:rsidR="007B13BA" w:rsidRPr="00D16196" w:rsidRDefault="007B13BA" w:rsidP="00D16196">
            <w:pPr>
              <w:pStyle w:val="TableBullet"/>
            </w:pPr>
            <w:r w:rsidRPr="00D16196">
              <w:t xml:space="preserve">assisting the child or young person to maintain contact with his/her family </w:t>
            </w:r>
          </w:p>
          <w:p w:rsidR="007B13BA" w:rsidRPr="00D16196" w:rsidRDefault="007B13BA" w:rsidP="00D16196">
            <w:pPr>
              <w:pStyle w:val="TableBullet"/>
            </w:pPr>
            <w:r w:rsidRPr="00D16196">
              <w:t xml:space="preserve">in some cases, staff payments for recruiting and training carers </w:t>
            </w:r>
          </w:p>
          <w:p w:rsidR="007B13BA" w:rsidRPr="00D16196" w:rsidRDefault="007B13BA" w:rsidP="00D16196">
            <w:pPr>
              <w:pStyle w:val="TableBullet"/>
            </w:pPr>
            <w:r w:rsidRPr="00D16196">
              <w:t>assessing suitability of potential kinship carers</w:t>
            </w:r>
          </w:p>
          <w:p w:rsidR="007B13BA" w:rsidRPr="00D16196" w:rsidRDefault="007B13BA" w:rsidP="00D16196">
            <w:pPr>
              <w:pStyle w:val="TableBullet"/>
            </w:pPr>
            <w:r w:rsidRPr="00D16196">
              <w:t>assisting the child or young person to main</w:t>
            </w:r>
            <w:r w:rsidR="00B3662C" w:rsidRPr="00D16196">
              <w:t>tain contact with their family</w:t>
            </w:r>
          </w:p>
          <w:p w:rsidR="007B13BA" w:rsidRPr="00D16196" w:rsidRDefault="007B13BA" w:rsidP="00D16196">
            <w:pPr>
              <w:pStyle w:val="TableBullet"/>
            </w:pPr>
            <w:r w:rsidRPr="00D16196">
              <w:t>working to return the child home</w:t>
            </w:r>
          </w:p>
          <w:p w:rsidR="007B13BA" w:rsidRPr="00D16196" w:rsidRDefault="007B13BA" w:rsidP="00D16196">
            <w:pPr>
              <w:pStyle w:val="TableBullet"/>
            </w:pPr>
            <w:r w:rsidRPr="00D16196">
              <w:t>assisting the child or young person as they prepare to leave care as t</w:t>
            </w:r>
            <w:r w:rsidR="002220E0" w:rsidRPr="00D16196">
              <w:t>he end of the order approaches.</w:t>
            </w:r>
          </w:p>
        </w:tc>
      </w:tr>
      <w:tr w:rsidR="00A30A8D" w:rsidRPr="00D16196" w:rsidTr="00922EBC">
        <w:tc>
          <w:tcPr>
            <w:tcW w:w="2552" w:type="dxa"/>
            <w:shd w:val="clear" w:color="auto" w:fill="auto"/>
          </w:tcPr>
          <w:p w:rsidR="00A30A8D" w:rsidRPr="00D16196" w:rsidRDefault="00A30A8D" w:rsidP="00D16196">
            <w:pPr>
              <w:pStyle w:val="TableBodyText"/>
              <w:spacing w:before="60" w:after="60"/>
              <w:ind w:left="0"/>
              <w:jc w:val="left"/>
              <w:rPr>
                <w:b/>
              </w:rPr>
            </w:pPr>
            <w:r w:rsidRPr="00D16196">
              <w:rPr>
                <w:b/>
              </w:rPr>
              <w:t xml:space="preserve">Care and </w:t>
            </w:r>
            <w:r w:rsidR="00646C1C" w:rsidRPr="00D16196">
              <w:rPr>
                <w:b/>
              </w:rPr>
              <w:t>protection orders</w:t>
            </w:r>
          </w:p>
        </w:tc>
        <w:tc>
          <w:tcPr>
            <w:tcW w:w="6237" w:type="dxa"/>
            <w:shd w:val="clear" w:color="auto" w:fill="auto"/>
          </w:tcPr>
          <w:p w:rsidR="00533866" w:rsidRPr="00D16196" w:rsidRDefault="00533866" w:rsidP="00D16196">
            <w:pPr>
              <w:pStyle w:val="TableBodyText"/>
              <w:spacing w:before="60" w:after="60"/>
              <w:jc w:val="left"/>
            </w:pPr>
            <w:r w:rsidRPr="00D16196">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533866" w:rsidRPr="00D16196" w:rsidRDefault="00EA4A8E" w:rsidP="00D16196">
            <w:pPr>
              <w:pStyle w:val="TableBullet"/>
            </w:pPr>
            <w:r w:rsidRPr="00D16196">
              <w:t>r</w:t>
            </w:r>
            <w:r w:rsidR="00533866" w:rsidRPr="00D16196">
              <w:t>esponsibility for overseeing the actions of the person or authority caring for the child</w:t>
            </w:r>
          </w:p>
          <w:p w:rsidR="00533866" w:rsidRPr="00D16196" w:rsidRDefault="00EA4A8E" w:rsidP="00D16196">
            <w:pPr>
              <w:pStyle w:val="TableBullet"/>
            </w:pPr>
            <w:r w:rsidRPr="00D16196">
              <w:t>r</w:t>
            </w:r>
            <w:r w:rsidR="00533866" w:rsidRPr="00D16196">
              <w:t>eporting or giving consideration to the child’s welfare (for example, regarding the child’s education, health, religion, accommodation and financial matters).</w:t>
            </w:r>
          </w:p>
          <w:p w:rsidR="00533866" w:rsidRPr="00D16196" w:rsidRDefault="00533866" w:rsidP="00D16196">
            <w:pPr>
              <w:pStyle w:val="TableBodyText"/>
              <w:spacing w:before="60" w:after="60"/>
              <w:jc w:val="left"/>
            </w:pPr>
            <w:r w:rsidRPr="00D16196">
              <w:t>Types of care and protection orders:</w:t>
            </w:r>
          </w:p>
          <w:p w:rsidR="00533866" w:rsidRPr="00D16196" w:rsidRDefault="00533866" w:rsidP="00D16196">
            <w:pPr>
              <w:pStyle w:val="TableBullet"/>
            </w:pPr>
            <w:r w:rsidRPr="00D16196">
              <w:t>Finalised guardianship or custody orders – involve the transfer of legal guardianship to the relevant state or territory department o</w:t>
            </w:r>
            <w:r w:rsidR="00EA4A8E" w:rsidRPr="00D16196">
              <w:t>r</w:t>
            </w:r>
            <w:r w:rsidRPr="00D16196">
              <w:t xml:space="preserve"> non-government agency. These orders involve considerable intervention in </w:t>
            </w:r>
            <w:r w:rsidR="00EA4A8E" w:rsidRPr="00D16196">
              <w:t>a</w:t>
            </w:r>
            <w:r w:rsidRPr="00D16196">
              <w:t xml:space="preserve"> child’s life and that of </w:t>
            </w:r>
            <w:r w:rsidR="00EA4A8E" w:rsidRPr="00D16196">
              <w:t>his or her</w:t>
            </w:r>
            <w:r w:rsidRPr="00D16196">
              <w:t xml:space="preserve"> family, and are sought only as a last resort. Guardianship orders convey responsibility for the welfare of </w:t>
            </w:r>
            <w:r w:rsidR="00EA4A8E" w:rsidRPr="00D16196">
              <w:t>a</w:t>
            </w:r>
            <w:r w:rsidRPr="00D16196">
              <w:t xml:space="preserve"> child to </w:t>
            </w:r>
            <w:r w:rsidR="00EA4A8E" w:rsidRPr="00D16196">
              <w:t>a</w:t>
            </w:r>
            <w:r w:rsidRPr="00D16196">
              <w:t xml:space="preserve"> guardian (for example, regarding </w:t>
            </w:r>
            <w:r w:rsidR="00EA4A8E" w:rsidRPr="00D16196">
              <w:t>a</w:t>
            </w:r>
            <w:r w:rsidRPr="00D16196">
              <w:t xml:space="preserve"> child’s education, health, religion, accommodation and financial matters). </w:t>
            </w:r>
            <w:r w:rsidR="00EA4A8E" w:rsidRPr="00D16196">
              <w:t>Guardianship orders</w:t>
            </w:r>
            <w:r w:rsidRPr="00D16196">
              <w:t xml:space="preserve"> do not necessarily grant the right to the daily care and control of </w:t>
            </w:r>
            <w:r w:rsidR="00EA4A8E" w:rsidRPr="00D16196">
              <w:t>a</w:t>
            </w:r>
            <w:r w:rsidRPr="00D16196">
              <w:t xml:space="preserve"> child, or the right to make decisions about the daily care and control of </w:t>
            </w:r>
            <w:r w:rsidR="00EA4A8E" w:rsidRPr="00D16196">
              <w:t>a</w:t>
            </w:r>
            <w:r w:rsidRPr="00D16196">
              <w:t xml:space="preserve">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w:t>
            </w:r>
            <w:r w:rsidR="00EA4A8E" w:rsidRPr="00D16196">
              <w:t>a</w:t>
            </w:r>
            <w:r w:rsidRPr="00D16196">
              <w:t xml:space="preserve"> child, while </w:t>
            </w:r>
            <w:r w:rsidR="00EA4A8E" w:rsidRPr="00D16196">
              <w:t xml:space="preserve">his or </w:t>
            </w:r>
            <w:r w:rsidR="00EA4A8E" w:rsidRPr="00D16196">
              <w:lastRenderedPageBreak/>
              <w:t>her</w:t>
            </w:r>
            <w:r w:rsidRPr="00D16196">
              <w:t xml:space="preserve"> parent retains legal guardianship. Custody alone does not bestow any responsibility regarding the long-term welfare of the child.</w:t>
            </w:r>
          </w:p>
          <w:p w:rsidR="00533866" w:rsidRPr="00D16196" w:rsidRDefault="00533866" w:rsidP="00D16196">
            <w:pPr>
              <w:pStyle w:val="TableBullet"/>
            </w:pPr>
            <w:r w:rsidRPr="00D16196">
              <w:t>Finalise</w:t>
            </w:r>
            <w:r w:rsidR="00EA4A8E" w:rsidRPr="00D16196">
              <w:t>d</w:t>
            </w:r>
            <w:r w:rsidRPr="00D16196">
              <w:t xml:space="preserve"> third party parental responsibility orders – transfer all duties, powers, responsibilities and authority parents are entitled to by law, to a nominated person(s) considered appropriate by the court. The nominated person may be an individual such as a relative or an office</w:t>
            </w:r>
            <w:r w:rsidR="00F90184" w:rsidRPr="00D16196">
              <w:t>r</w:t>
            </w:r>
            <w:r w:rsidRPr="00D16196">
              <w:t xml:space="preserve"> of </w:t>
            </w:r>
            <w:r w:rsidR="00F90184" w:rsidRPr="00D16196">
              <w:t>a</w:t>
            </w:r>
            <w:r w:rsidRPr="00D16196">
              <w:t xml:space="preserve"> state or territory department. Third part</w:t>
            </w:r>
            <w:r w:rsidR="00074E81" w:rsidRPr="00D16196">
              <w:t>y</w:t>
            </w:r>
            <w:r w:rsidRPr="00D16196">
              <w:t xml:space="preserve"> parental responsibility may be ordered </w:t>
            </w:r>
            <w:r w:rsidR="00074E81" w:rsidRPr="00D16196">
              <w:t>when</w:t>
            </w:r>
            <w:r w:rsidRPr="00D16196">
              <w:t xml:space="preserve">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w:t>
            </w:r>
            <w:r w:rsidR="00730BC6" w:rsidRPr="00D16196">
              <w:t xml:space="preserve"> years without guardianship being transferred to a third party. These orders are only applicable in some jurisdictions. </w:t>
            </w:r>
          </w:p>
          <w:p w:rsidR="00730BC6" w:rsidRPr="00D16196" w:rsidRDefault="00730BC6" w:rsidP="00D16196">
            <w:pPr>
              <w:pStyle w:val="TableBullet"/>
            </w:pPr>
            <w:r w:rsidRPr="00D16196">
              <w:t xml:space="preserve">Finalised supervisory orders – give the department </w:t>
            </w:r>
            <w:r w:rsidR="00074E81" w:rsidRPr="00D16196">
              <w:t>responsible</w:t>
            </w:r>
            <w:r w:rsidRPr="00D16196">
              <w:t xml:space="preserv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w:t>
            </w:r>
            <w:r w:rsidR="00F90184" w:rsidRPr="00D16196">
              <w:t>interventionist</w:t>
            </w:r>
            <w:r w:rsidRPr="00D16196">
              <w:t xml:space="preserve"> than finalised guardianship orders but require the child’s parent or guardian to meet specified conditions, such as medical care of the child.</w:t>
            </w:r>
          </w:p>
          <w:p w:rsidR="00730BC6" w:rsidRPr="00D16196" w:rsidRDefault="00730BC6" w:rsidP="00D16196">
            <w:pPr>
              <w:pStyle w:val="TableBullet"/>
            </w:pPr>
            <w:r w:rsidRPr="00D16196">
              <w:t>Interim and temporary orders – generally cover the provision of a 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730BC6" w:rsidRPr="00D16196" w:rsidRDefault="00730BC6" w:rsidP="00D16196">
            <w:pPr>
              <w:pStyle w:val="TableBullet"/>
            </w:pPr>
            <w:r w:rsidRPr="00D16196">
              <w:t>Administrative arrangements –</w:t>
            </w:r>
            <w:r w:rsidR="00B24E44" w:rsidRPr="00D16196">
              <w:t xml:space="preserve"> </w:t>
            </w:r>
            <w:r w:rsidRPr="00D16196">
              <w:t>agreements</w:t>
            </w:r>
            <w:r w:rsidR="00F90184" w:rsidRPr="00D16196">
              <w:t xml:space="preserve"> with</w:t>
            </w:r>
            <w:r w:rsidR="00074E81" w:rsidRPr="00D16196">
              <w:t xml:space="preserve"> child protection department</w:t>
            </w:r>
            <w:r w:rsidR="00F90184" w:rsidRPr="00D16196">
              <w:t>s</w:t>
            </w:r>
            <w:r w:rsidR="00B24E44" w:rsidRPr="00D16196">
              <w:t xml:space="preserve"> that </w:t>
            </w:r>
            <w:r w:rsidRPr="00D16196">
              <w:t xml:space="preserve">have the same effect as a court order </w:t>
            </w:r>
            <w:r w:rsidR="00074E81" w:rsidRPr="00D16196">
              <w:t xml:space="preserve">in transferring </w:t>
            </w:r>
            <w:r w:rsidRPr="00D16196">
              <w:t xml:space="preserve">custody or guardianship. These arrangements can also allow a child to be placed in out-of-home care without going through court. </w:t>
            </w:r>
          </w:p>
          <w:p w:rsidR="00A30A8D" w:rsidRPr="00D16196" w:rsidRDefault="00A30A8D" w:rsidP="00D16196">
            <w:pPr>
              <w:pStyle w:val="TableBodyText"/>
              <w:jc w:val="left"/>
            </w:pPr>
            <w:r w:rsidRPr="00D16196">
              <w:t>Children are counted only once, even if they are on more than one care and protection order.</w:t>
            </w:r>
          </w:p>
        </w:tc>
      </w:tr>
      <w:tr w:rsidR="00A30A8D" w:rsidRPr="00D16196" w:rsidTr="00922EBC">
        <w:tc>
          <w:tcPr>
            <w:tcW w:w="2552" w:type="dxa"/>
            <w:shd w:val="clear" w:color="auto" w:fill="auto"/>
          </w:tcPr>
          <w:p w:rsidR="00A30A8D" w:rsidRPr="00D16196" w:rsidRDefault="00CA7787" w:rsidP="00D16196">
            <w:pPr>
              <w:pStyle w:val="TableBodyText"/>
              <w:spacing w:before="60" w:after="60"/>
              <w:ind w:left="0"/>
              <w:jc w:val="left"/>
              <w:rPr>
                <w:b/>
              </w:rPr>
            </w:pPr>
            <w:r w:rsidRPr="00D16196">
              <w:rPr>
                <w:b/>
              </w:rPr>
              <w:lastRenderedPageBreak/>
              <w:t>Child</w:t>
            </w:r>
          </w:p>
        </w:tc>
        <w:tc>
          <w:tcPr>
            <w:tcW w:w="6237" w:type="dxa"/>
            <w:shd w:val="clear" w:color="auto" w:fill="auto"/>
          </w:tcPr>
          <w:p w:rsidR="00A30A8D" w:rsidRPr="00D16196" w:rsidRDefault="00CA7787" w:rsidP="00D16196">
            <w:pPr>
              <w:pStyle w:val="TableBodyText"/>
              <w:spacing w:before="60" w:after="60"/>
              <w:ind w:left="0"/>
              <w:jc w:val="left"/>
            </w:pPr>
            <w:r w:rsidRPr="00D16196">
              <w:t>A person aged 0–17 years</w:t>
            </w:r>
            <w:r w:rsidR="00D17B47" w:rsidRPr="00D16196">
              <w:t xml:space="preserve"> (</w:t>
            </w:r>
            <w:r w:rsidR="006B768F" w:rsidRPr="00D16196">
              <w:t>including, at times,</w:t>
            </w:r>
            <w:r w:rsidR="00D17B47" w:rsidRPr="00D16196">
              <w:t xml:space="preserve"> unborn children)</w:t>
            </w:r>
            <w:r w:rsidRPr="00D16196">
              <w:t>.</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Child at risk</w:t>
            </w:r>
          </w:p>
        </w:tc>
        <w:tc>
          <w:tcPr>
            <w:tcW w:w="6237" w:type="dxa"/>
            <w:shd w:val="clear" w:color="auto" w:fill="auto"/>
          </w:tcPr>
          <w:p w:rsidR="00CA7787" w:rsidRPr="00D16196" w:rsidRDefault="00CA7787" w:rsidP="00D16196">
            <w:pPr>
              <w:pStyle w:val="TableBodyText"/>
              <w:widowControl w:val="0"/>
              <w:spacing w:before="60" w:after="60"/>
              <w:ind w:left="0"/>
              <w:jc w:val="left"/>
            </w:pPr>
            <w:r w:rsidRPr="00D16196">
              <w:t>A child for whom no abuse or neglect can be substantiated but where there are grounds to suspect the possibility of prior or future abuse or neglect, and for whom continued departmental involvement is warranted.</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Child concern reports</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Reports to departments responsible for child protection regarding concerns about a child, </w:t>
            </w:r>
            <w:r w:rsidR="00DD7230" w:rsidRPr="00D16196">
              <w:t>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CA7787" w:rsidRPr="00D16196" w:rsidTr="00922EBC">
        <w:tc>
          <w:tcPr>
            <w:tcW w:w="2552" w:type="dxa"/>
            <w:shd w:val="clear" w:color="auto" w:fill="auto"/>
          </w:tcPr>
          <w:p w:rsidR="00CA7787" w:rsidRPr="00D16196" w:rsidRDefault="00CA6793" w:rsidP="00D16196">
            <w:pPr>
              <w:pStyle w:val="TableBodyText"/>
              <w:spacing w:before="60" w:after="60"/>
              <w:ind w:left="0"/>
              <w:jc w:val="left"/>
              <w:rPr>
                <w:b/>
              </w:rPr>
            </w:pPr>
            <w:r w:rsidRPr="00D16196">
              <w:rPr>
                <w:b/>
              </w:rPr>
              <w:t>Children in out</w:t>
            </w:r>
            <w:r w:rsidRPr="00D16196">
              <w:rPr>
                <w:b/>
              </w:rPr>
              <w:noBreakHyphen/>
            </w:r>
            <w:r w:rsidR="00CA7787" w:rsidRPr="00D16196">
              <w:rPr>
                <w:b/>
              </w:rPr>
              <w:t>of</w:t>
            </w:r>
            <w:r w:rsidRPr="00D16196">
              <w:rPr>
                <w:b/>
              </w:rPr>
              <w:noBreakHyphen/>
            </w:r>
            <w:r w:rsidR="00CA7787" w:rsidRPr="00D16196">
              <w:rPr>
                <w:b/>
              </w:rPr>
              <w:t>home care during the year</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The total number of children who </w:t>
            </w:r>
            <w:r w:rsidR="00264ABA" w:rsidRPr="00D16196">
              <w:t>were</w:t>
            </w:r>
            <w:r w:rsidRPr="00D16196">
              <w:t xml:space="preserve"> in at least one out-of-home care placement at any time during the year. A child who is in more than one placement is counted only once.</w:t>
            </w:r>
          </w:p>
        </w:tc>
      </w:tr>
      <w:tr w:rsidR="00DF578B" w:rsidRPr="00D16196" w:rsidTr="00922EBC">
        <w:tc>
          <w:tcPr>
            <w:tcW w:w="2552" w:type="dxa"/>
            <w:shd w:val="clear" w:color="auto" w:fill="auto"/>
          </w:tcPr>
          <w:p w:rsidR="00DF578B" w:rsidRPr="00D16196" w:rsidRDefault="00DF578B" w:rsidP="00D16196">
            <w:pPr>
              <w:pStyle w:val="TableBodyText"/>
              <w:spacing w:before="60" w:after="60"/>
              <w:ind w:left="0"/>
              <w:jc w:val="left"/>
              <w:rPr>
                <w:b/>
              </w:rPr>
            </w:pPr>
            <w:r w:rsidRPr="00D16196">
              <w:rPr>
                <w:b/>
              </w:rPr>
              <w:t>Child protection services</w:t>
            </w:r>
          </w:p>
        </w:tc>
        <w:tc>
          <w:tcPr>
            <w:tcW w:w="6237" w:type="dxa"/>
            <w:shd w:val="clear" w:color="auto" w:fill="auto"/>
          </w:tcPr>
          <w:p w:rsidR="00DF578B" w:rsidRPr="00D16196" w:rsidRDefault="00DF578B" w:rsidP="00D16196">
            <w:pPr>
              <w:pStyle w:val="TableBodyText"/>
              <w:spacing w:before="60" w:after="60"/>
              <w:ind w:left="0"/>
              <w:jc w:val="left"/>
            </w:pPr>
            <w:r w:rsidRPr="00D16196">
              <w:t>Functions of government that receive and assess allegations of child abuse and neglect, and/or harm to children and young people, provide and refer clients to family support and other relevant services, and intervene to protect children.</w:t>
            </w:r>
          </w:p>
        </w:tc>
      </w:tr>
      <w:tr w:rsidR="0056575B" w:rsidRPr="00D16196" w:rsidTr="00922EBC">
        <w:tc>
          <w:tcPr>
            <w:tcW w:w="2552" w:type="dxa"/>
            <w:shd w:val="clear" w:color="auto" w:fill="auto"/>
          </w:tcPr>
          <w:p w:rsidR="0056575B" w:rsidRPr="00D16196" w:rsidRDefault="0056575B" w:rsidP="00D16196">
            <w:pPr>
              <w:pStyle w:val="TableBodyText"/>
              <w:spacing w:before="60" w:after="60"/>
              <w:ind w:left="0"/>
              <w:jc w:val="left"/>
              <w:rPr>
                <w:b/>
              </w:rPr>
            </w:pPr>
            <w:r w:rsidRPr="00D16196">
              <w:rPr>
                <w:b/>
              </w:rPr>
              <w:t>Comparability</w:t>
            </w:r>
          </w:p>
        </w:tc>
        <w:tc>
          <w:tcPr>
            <w:tcW w:w="6237" w:type="dxa"/>
            <w:shd w:val="clear" w:color="auto" w:fill="auto"/>
          </w:tcPr>
          <w:p w:rsidR="0056575B" w:rsidRPr="00D16196" w:rsidRDefault="00A03E86" w:rsidP="00D16196">
            <w:pPr>
              <w:pStyle w:val="TableBodyText"/>
              <w:spacing w:before="60" w:after="60"/>
              <w:ind w:left="0"/>
              <w:jc w:val="left"/>
            </w:pPr>
            <w:r w:rsidRPr="00D16196">
              <w:t>Data are considered comparable if, (subject to caveats) they can be used to inform an assessment of comparative performance. Typically, data are considered comparable when collected in the same way and in accordance with the same definitions. For</w:t>
            </w:r>
            <w:r w:rsidR="00B24E44" w:rsidRPr="00D16196">
              <w:t xml:space="preserve"> comparable indicators</w:t>
            </w:r>
            <w:r w:rsidRPr="00D16196">
              <w:t xml:space="preserve">, significant differences in reported results allow an assessment of differences in performance, rather than being the result of </w:t>
            </w:r>
            <w:r w:rsidR="00B24E44" w:rsidRPr="00D16196">
              <w:t xml:space="preserve">data </w:t>
            </w:r>
            <w:r w:rsidRPr="00D16196">
              <w:t>anomalies.</w:t>
            </w:r>
          </w:p>
        </w:tc>
      </w:tr>
      <w:tr w:rsidR="0056575B" w:rsidRPr="00D16196" w:rsidTr="00922EBC">
        <w:tc>
          <w:tcPr>
            <w:tcW w:w="2552" w:type="dxa"/>
            <w:shd w:val="clear" w:color="auto" w:fill="auto"/>
          </w:tcPr>
          <w:p w:rsidR="0056575B" w:rsidRPr="00D16196" w:rsidRDefault="0056575B" w:rsidP="00D16196">
            <w:pPr>
              <w:pStyle w:val="TableBodyText"/>
              <w:spacing w:before="60" w:after="60"/>
              <w:ind w:left="0"/>
              <w:jc w:val="left"/>
              <w:rPr>
                <w:b/>
              </w:rPr>
            </w:pPr>
            <w:r w:rsidRPr="00D16196">
              <w:rPr>
                <w:b/>
              </w:rPr>
              <w:t>Completeness</w:t>
            </w:r>
          </w:p>
        </w:tc>
        <w:tc>
          <w:tcPr>
            <w:tcW w:w="6237" w:type="dxa"/>
            <w:shd w:val="clear" w:color="auto" w:fill="auto"/>
          </w:tcPr>
          <w:p w:rsidR="0056575B" w:rsidRPr="00D16196" w:rsidRDefault="00A03E86" w:rsidP="00D16196">
            <w:pPr>
              <w:pStyle w:val="TableBodyText"/>
              <w:spacing w:before="60" w:after="60"/>
              <w:ind w:left="0"/>
              <w:jc w:val="left"/>
            </w:pPr>
            <w:r w:rsidRPr="00D16196">
              <w:t>Data are considered complete if all required data are available for all jurisdictions that provide the service.</w:t>
            </w:r>
          </w:p>
        </w:tc>
      </w:tr>
      <w:tr w:rsidR="00C32AF0" w:rsidRPr="00D16196" w:rsidTr="00922EBC">
        <w:trPr>
          <w:cantSplit/>
        </w:trPr>
        <w:tc>
          <w:tcPr>
            <w:tcW w:w="2552" w:type="dxa"/>
            <w:shd w:val="clear" w:color="auto" w:fill="auto"/>
          </w:tcPr>
          <w:p w:rsidR="00C32AF0" w:rsidRPr="00D16196" w:rsidRDefault="00C32AF0" w:rsidP="00D16196">
            <w:pPr>
              <w:pStyle w:val="TableBodyText"/>
              <w:spacing w:before="60" w:after="60"/>
              <w:ind w:left="0"/>
              <w:jc w:val="left"/>
              <w:rPr>
                <w:b/>
              </w:rPr>
            </w:pPr>
            <w:r w:rsidRPr="00D16196">
              <w:rPr>
                <w:b/>
              </w:rPr>
              <w:lastRenderedPageBreak/>
              <w:t>Dealt with by other means</w:t>
            </w:r>
          </w:p>
        </w:tc>
        <w:tc>
          <w:tcPr>
            <w:tcW w:w="6237" w:type="dxa"/>
            <w:shd w:val="clear" w:color="auto" w:fill="auto"/>
          </w:tcPr>
          <w:p w:rsidR="00C32AF0" w:rsidRPr="00D16196" w:rsidRDefault="00C32AF0" w:rsidP="00D16196">
            <w:pPr>
              <w:pStyle w:val="TableBodyText"/>
              <w:spacing w:before="60" w:after="60"/>
              <w:ind w:left="0"/>
              <w:jc w:val="left"/>
            </w:pPr>
            <w:r w:rsidRPr="00D16196">
              <w:t>A notification that is responded to by means other than an investigation, such as the provision of advice or referral to services.</w:t>
            </w:r>
            <w:r w:rsidR="000F65BB" w:rsidRPr="00D16196">
              <w:t xml:space="preserve"> This category can also include notifications where the decision to investigate has not been reached (that is, notifications ‘in process’). </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Exited out</w:t>
            </w:r>
            <w:r w:rsidR="00CA6793" w:rsidRPr="00D16196">
              <w:rPr>
                <w:b/>
              </w:rPr>
              <w:noBreakHyphen/>
            </w:r>
            <w:r w:rsidRPr="00D16196">
              <w:rPr>
                <w:b/>
              </w:rPr>
              <w:t>of</w:t>
            </w:r>
            <w:r w:rsidR="00CA6793" w:rsidRPr="00D16196">
              <w:rPr>
                <w:b/>
              </w:rPr>
              <w:noBreakHyphen/>
            </w:r>
            <w:r w:rsidRPr="00D16196">
              <w:rPr>
                <w:b/>
              </w:rPr>
              <w:t xml:space="preserve">home </w:t>
            </w:r>
            <w:r w:rsidR="00CA6793" w:rsidRPr="00D16196">
              <w:rPr>
                <w:b/>
              </w:rPr>
              <w:t>c</w:t>
            </w:r>
            <w:r w:rsidRPr="00D16196">
              <w:rPr>
                <w:b/>
              </w:rPr>
              <w:t>are</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Where a child </w:t>
            </w:r>
            <w:r w:rsidR="005336DF" w:rsidRPr="00D16196">
              <w:t xml:space="preserve">leaves a government-funded placement for more than 60 days. (Note this does not necessarily mean that a child has returned to the care of his or her family.) </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Family based care</w:t>
            </w:r>
          </w:p>
        </w:tc>
        <w:tc>
          <w:tcPr>
            <w:tcW w:w="6237" w:type="dxa"/>
            <w:shd w:val="clear" w:color="auto" w:fill="auto"/>
          </w:tcPr>
          <w:p w:rsidR="00CA7787" w:rsidRPr="00D16196" w:rsidRDefault="00CA7787" w:rsidP="00D16196">
            <w:pPr>
              <w:pStyle w:val="TableBodyText"/>
              <w:spacing w:before="60" w:after="60"/>
              <w:ind w:left="0"/>
              <w:jc w:val="left"/>
            </w:pPr>
            <w:r w:rsidRPr="00D16196">
              <w:t>Home-based care (see ‘</w:t>
            </w:r>
            <w:r w:rsidR="004E513D" w:rsidRPr="00D16196">
              <w:t>Out-of-home care</w:t>
            </w:r>
            <w:r w:rsidRPr="00D16196">
              <w:t>’).</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Family group homes</w:t>
            </w:r>
          </w:p>
        </w:tc>
        <w:tc>
          <w:tcPr>
            <w:tcW w:w="6237" w:type="dxa"/>
            <w:shd w:val="clear" w:color="auto" w:fill="auto"/>
          </w:tcPr>
          <w:p w:rsidR="00CA7787" w:rsidRPr="00D16196" w:rsidRDefault="00074E81" w:rsidP="00D16196">
            <w:pPr>
              <w:pStyle w:val="TableBodyText"/>
              <w:spacing w:before="60" w:after="60"/>
              <w:ind w:left="0"/>
              <w:jc w:val="left"/>
            </w:pPr>
            <w:r w:rsidRPr="00D16196">
              <w:t>Family group homes are care settings that provide care to children in a departmentally or community sector agency provided home. These homes have live-in, non-salaried carers who are reimbursed and/or subsidised for the provision of care.</w:t>
            </w:r>
          </w:p>
        </w:tc>
      </w:tr>
      <w:tr w:rsidR="00DF578B" w:rsidRPr="00D16196" w:rsidTr="00922EBC">
        <w:tc>
          <w:tcPr>
            <w:tcW w:w="2552" w:type="dxa"/>
            <w:shd w:val="clear" w:color="auto" w:fill="auto"/>
          </w:tcPr>
          <w:p w:rsidR="00DF578B" w:rsidRPr="00D16196" w:rsidRDefault="00DF578B" w:rsidP="00D16196">
            <w:pPr>
              <w:pStyle w:val="TableBodyText"/>
              <w:spacing w:before="60" w:after="60"/>
              <w:ind w:left="0"/>
              <w:jc w:val="left"/>
              <w:rPr>
                <w:b/>
              </w:rPr>
            </w:pPr>
            <w:r w:rsidRPr="00D16196">
              <w:rPr>
                <w:b/>
              </w:rPr>
              <w:t>Family support services</w:t>
            </w:r>
          </w:p>
        </w:tc>
        <w:tc>
          <w:tcPr>
            <w:tcW w:w="6237" w:type="dxa"/>
            <w:shd w:val="clear" w:color="auto" w:fill="auto"/>
          </w:tcPr>
          <w:p w:rsidR="00AA693C" w:rsidRPr="00D16196" w:rsidRDefault="00DF578B" w:rsidP="00D16196">
            <w:pPr>
              <w:pStyle w:val="TableBodyText"/>
              <w:spacing w:before="60" w:after="60"/>
              <w:ind w:left="0"/>
              <w:jc w:val="left"/>
            </w:pPr>
            <w:r w:rsidRPr="00D16196">
              <w:t>Activities associated with the provision of lower level (that is, non</w:t>
            </w:r>
            <w:r w:rsidRPr="00D16196">
              <w:noBreakHyphen/>
              <w:t xml:space="preserve">intensive) services to families in need, including identification and assessment of family needs, provision of support and diversionary services, some counselling and active linking and referrals to support networks. </w:t>
            </w:r>
            <w:r w:rsidR="00AA693C" w:rsidRPr="00D16196">
              <w:t>These types of services are funded by government but can be delivered by a child protection agency or a non</w:t>
            </w:r>
            <w:r w:rsidR="00AA693C" w:rsidRPr="00D16196">
              <w:noBreakHyphen/>
              <w:t xml:space="preserve">government organisation. </w:t>
            </w:r>
          </w:p>
          <w:p w:rsidR="00AA693C" w:rsidRPr="00D16196" w:rsidRDefault="00AA693C" w:rsidP="00D16196">
            <w:pPr>
              <w:pStyle w:val="TableBodyText"/>
              <w:spacing w:before="60" w:after="60"/>
              <w:ind w:left="0"/>
              <w:jc w:val="left"/>
            </w:pPr>
            <w:r w:rsidRPr="00D16196">
              <w:t xml:space="preserve">These services are typically delivered via voluntary arrangements (as distinct from court orders) between the relevant agency and family. This suite of services does not typically involve planned follow-up by the applicable child protection agency after initial service referral or delivery. </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Foster care</w:t>
            </w:r>
          </w:p>
        </w:tc>
        <w:tc>
          <w:tcPr>
            <w:tcW w:w="6237" w:type="dxa"/>
            <w:shd w:val="clear" w:color="auto" w:fill="auto"/>
          </w:tcPr>
          <w:p w:rsidR="00CA7787" w:rsidRPr="00D16196" w:rsidRDefault="00CA7787" w:rsidP="00D16196">
            <w:pPr>
              <w:pStyle w:val="TableBodyText"/>
              <w:spacing w:before="60" w:after="60"/>
              <w:ind w:left="0"/>
              <w:jc w:val="left"/>
            </w:pPr>
            <w:r w:rsidRPr="00D16196">
              <w:t>Care of a child who is living apart from his or her natural or adoptive parents in a private household, by one or more adults who act as ‘foster parents’ and are paid a regular allowance by a government authority or non-government organisation for the child’s support. The authorised department or non-government organisation provides continuing supervision or support while the child remains in the care of foster parents.</w:t>
            </w:r>
            <w:r w:rsidR="000F65BB" w:rsidRPr="00D16196">
              <w:t xml:space="preserve"> Foster parents are chosen from a list of </w:t>
            </w:r>
            <w:r w:rsidR="00F11A5C" w:rsidRPr="00D16196">
              <w:t xml:space="preserve">people </w:t>
            </w:r>
            <w:r w:rsidR="000F65BB" w:rsidRPr="00D16196">
              <w:t>registered, licensed or approved as foster parents by an authorised department or non-government organisation.</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Foster parent</w:t>
            </w:r>
          </w:p>
        </w:tc>
        <w:tc>
          <w:tcPr>
            <w:tcW w:w="6237" w:type="dxa"/>
            <w:shd w:val="clear" w:color="auto" w:fill="auto"/>
          </w:tcPr>
          <w:p w:rsidR="00CA7787" w:rsidRPr="00D16196" w:rsidRDefault="00CA7787" w:rsidP="00D16196">
            <w:pPr>
              <w:pStyle w:val="TableBodyText"/>
              <w:spacing w:before="60" w:after="60"/>
              <w:ind w:left="0"/>
              <w:jc w:val="left"/>
            </w:pPr>
            <w:r w:rsidRPr="00D16196">
              <w:t>Any person (or such a person’s spouse) who is being paid a foster allowance by a government or non-government organisation for the care of a child (excluding children in family group homes).</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Guardian</w:t>
            </w:r>
          </w:p>
        </w:tc>
        <w:tc>
          <w:tcPr>
            <w:tcW w:w="6237" w:type="dxa"/>
            <w:shd w:val="clear" w:color="auto" w:fill="auto"/>
          </w:tcPr>
          <w:p w:rsidR="00CA7787" w:rsidRPr="00D16196" w:rsidRDefault="00CA7787" w:rsidP="00D16196">
            <w:pPr>
              <w:pStyle w:val="TableBodyText"/>
              <w:spacing w:before="60" w:after="60"/>
              <w:ind w:left="0"/>
              <w:jc w:val="left"/>
            </w:pPr>
            <w:r w:rsidRPr="00D16196">
              <w:t>Any person who has the legal and ongoing care and responsibility for the protection of a child.</w:t>
            </w:r>
          </w:p>
        </w:tc>
      </w:tr>
      <w:tr w:rsidR="00DF578B" w:rsidRPr="00D16196" w:rsidTr="00922EBC">
        <w:tc>
          <w:tcPr>
            <w:tcW w:w="2552" w:type="dxa"/>
            <w:shd w:val="clear" w:color="auto" w:fill="auto"/>
          </w:tcPr>
          <w:p w:rsidR="00DF578B" w:rsidRPr="00D16196" w:rsidRDefault="00DF578B" w:rsidP="00D16196">
            <w:pPr>
              <w:pStyle w:val="TableBodyText"/>
              <w:spacing w:before="60" w:after="60"/>
              <w:ind w:left="0"/>
              <w:jc w:val="left"/>
              <w:rPr>
                <w:b/>
              </w:rPr>
            </w:pPr>
            <w:r w:rsidRPr="00D16196">
              <w:rPr>
                <w:b/>
              </w:rPr>
              <w:t>Intensive family support services</w:t>
            </w:r>
          </w:p>
        </w:tc>
        <w:tc>
          <w:tcPr>
            <w:tcW w:w="6237" w:type="dxa"/>
            <w:shd w:val="clear" w:color="auto" w:fill="auto"/>
          </w:tcPr>
          <w:p w:rsidR="00AA693C" w:rsidRPr="00D16196" w:rsidRDefault="00DF578B" w:rsidP="00D16196">
            <w:pPr>
              <w:pStyle w:val="TableBodyText"/>
              <w:spacing w:before="60" w:after="60"/>
              <w:ind w:left="0"/>
              <w:jc w:val="left"/>
            </w:pPr>
            <w:r w:rsidRPr="00D16196">
              <w:t>Specialist services that aim to prevent the imminent separation of children from their primary caregivers as a result of child protection concerns and to reunify families where separation has already occurred.</w:t>
            </w:r>
            <w:r w:rsidR="00AA693C" w:rsidRPr="00D16196">
              <w:t xml:space="preserve"> These services:</w:t>
            </w:r>
          </w:p>
          <w:p w:rsidR="00AA693C" w:rsidRPr="00D16196" w:rsidRDefault="00AA693C" w:rsidP="00D16196">
            <w:pPr>
              <w:pStyle w:val="TableBullet"/>
            </w:pPr>
            <w:r w:rsidRPr="00D16196">
              <w:t>are funded or established explicitly to prevent the separation of or to reunify families</w:t>
            </w:r>
          </w:p>
          <w:p w:rsidR="00AA693C" w:rsidRPr="00D16196" w:rsidRDefault="00AA693C" w:rsidP="00D16196">
            <w:pPr>
              <w:pStyle w:val="TableBullet"/>
            </w:pPr>
            <w:r w:rsidRPr="00D16196">
              <w:t xml:space="preserve">provide a range of services as part of an integrated strategy focusing on improving family functioning and skills, rather than providing a single type of service </w:t>
            </w:r>
          </w:p>
          <w:p w:rsidR="00AA693C" w:rsidRPr="00D16196" w:rsidRDefault="00AA693C" w:rsidP="00D16196">
            <w:pPr>
              <w:pStyle w:val="TableBullet"/>
            </w:pPr>
            <w:r w:rsidRPr="00D16196">
              <w:t>are intensive in nature, averaging at least four hours of service provision per week for a specified short term period (usually less than six months</w:t>
            </w:r>
          </w:p>
          <w:p w:rsidR="00AA693C" w:rsidRPr="00D16196" w:rsidRDefault="00AA693C" w:rsidP="00D16196">
            <w:pPr>
              <w:pStyle w:val="TableBullet"/>
            </w:pPr>
            <w:r w:rsidRPr="00D16196">
              <w:t>generally respond to referrals from a child protection service.</w:t>
            </w:r>
          </w:p>
          <w:p w:rsidR="00AA693C" w:rsidRPr="00D16196" w:rsidRDefault="00AA693C" w:rsidP="00D16196">
            <w:pPr>
              <w:pStyle w:val="TableBodyText"/>
              <w:spacing w:before="60" w:after="60"/>
              <w:ind w:left="0"/>
              <w:jc w:val="left"/>
            </w:pPr>
            <w:r w:rsidRPr="00D16196">
              <w:t>Intensive family support services may use some or all of the following strategies: assessment and case planning; parent education and skill development; individual and family counselling; drug and alcohol counselling and domestic and family violence support; anger management; respite and emergency care; practical and financial support; mediation, brokerage and referral services; and training in problem solving.</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Investigation</w:t>
            </w:r>
          </w:p>
        </w:tc>
        <w:tc>
          <w:tcPr>
            <w:tcW w:w="6237" w:type="dxa"/>
            <w:shd w:val="clear" w:color="auto" w:fill="auto"/>
          </w:tcPr>
          <w:p w:rsidR="00A420E3" w:rsidRPr="00D16196" w:rsidRDefault="00A420E3" w:rsidP="00D16196">
            <w:pPr>
              <w:pStyle w:val="TableBodyText"/>
              <w:spacing w:before="60" w:after="60"/>
              <w:jc w:val="left"/>
            </w:pPr>
            <w:r w:rsidRPr="00D16196">
              <w:t xml:space="preserve">An investigation is the process whereby the relevant department obtains more detailed information about a child who is the subject of a notification </w:t>
            </w:r>
            <w:r w:rsidRPr="00D16196">
              <w:lastRenderedPageBreak/>
              <w:t xml:space="preserve">and makes an assessment about the </w:t>
            </w:r>
            <w:r w:rsidR="00633772" w:rsidRPr="00D16196">
              <w:t>risk of abuse or neglect</w:t>
            </w:r>
            <w:r w:rsidRPr="00D16196">
              <w:t xml:space="preserve">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is similar across jurisdictions. </w:t>
            </w:r>
          </w:p>
          <w:p w:rsidR="00A420E3" w:rsidRPr="00D16196" w:rsidRDefault="00A420E3" w:rsidP="00D16196">
            <w:pPr>
              <w:pStyle w:val="TableBodyText"/>
              <w:spacing w:before="60" w:after="60"/>
              <w:ind w:left="0"/>
              <w:jc w:val="left"/>
            </w:pPr>
            <w:r w:rsidRPr="00D16196">
              <w:t>The department responsible for child protection may obtain further information about the child and his or her family by checking information systems for any previous history, undertaking discussions with agencies and individuals, interviewing/sighting the child and/or interviewing the caregivers/parents. At a minimum, the child is sighted whenever practicable, and the child’s circumstances and needs are assessed. Where possible, an investigation determines whether a notification is substantiated or not substantiated.</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lastRenderedPageBreak/>
              <w:t>Investigation finalised</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Where an investigation is completed and an outcome </w:t>
            </w:r>
            <w:r w:rsidR="00E661A5" w:rsidRPr="00D16196">
              <w:t xml:space="preserve">of ‘substantiated’ or ‘not substantiated’ </w:t>
            </w:r>
            <w:r w:rsidRPr="00D16196">
              <w:t>is recorded by 31 August.</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 xml:space="preserve">Investigation </w:t>
            </w:r>
            <w:r w:rsidR="00E661A5" w:rsidRPr="00D16196">
              <w:rPr>
                <w:b/>
              </w:rPr>
              <w:t>in process</w:t>
            </w:r>
          </w:p>
        </w:tc>
        <w:tc>
          <w:tcPr>
            <w:tcW w:w="6237" w:type="dxa"/>
            <w:shd w:val="clear" w:color="auto" w:fill="auto"/>
          </w:tcPr>
          <w:p w:rsidR="00CA7787" w:rsidRPr="00D16196" w:rsidRDefault="00CA7787" w:rsidP="00D16196">
            <w:pPr>
              <w:pStyle w:val="TableBodyText"/>
              <w:spacing w:before="60" w:after="60"/>
              <w:ind w:left="0"/>
              <w:jc w:val="left"/>
            </w:pPr>
            <w:r w:rsidRPr="00D16196">
              <w:t>Where an investigation is commenced but an outcome is not recorded by 31 August.</w:t>
            </w:r>
          </w:p>
        </w:tc>
      </w:tr>
      <w:tr w:rsidR="00E661A5" w:rsidRPr="00D16196" w:rsidTr="00922EBC">
        <w:tc>
          <w:tcPr>
            <w:tcW w:w="2552" w:type="dxa"/>
            <w:shd w:val="clear" w:color="auto" w:fill="auto"/>
          </w:tcPr>
          <w:p w:rsidR="00E661A5" w:rsidRPr="00D16196" w:rsidRDefault="00E661A5" w:rsidP="00D16196">
            <w:pPr>
              <w:pStyle w:val="TableBodyText"/>
              <w:spacing w:before="60" w:after="60"/>
              <w:ind w:left="0"/>
              <w:jc w:val="left"/>
              <w:rPr>
                <w:b/>
              </w:rPr>
            </w:pPr>
            <w:r w:rsidRPr="00D16196">
              <w:rPr>
                <w:b/>
              </w:rPr>
              <w:t>Investigation closed – no outcome possible</w:t>
            </w:r>
          </w:p>
        </w:tc>
        <w:tc>
          <w:tcPr>
            <w:tcW w:w="6237" w:type="dxa"/>
            <w:shd w:val="clear" w:color="auto" w:fill="auto"/>
          </w:tcPr>
          <w:p w:rsidR="00E661A5" w:rsidRPr="00D16196" w:rsidRDefault="00E661A5" w:rsidP="00D16196">
            <w:pPr>
              <w:pStyle w:val="TableBodyText"/>
              <w:spacing w:before="60" w:after="60"/>
              <w:ind w:left="0"/>
              <w:jc w:val="left"/>
            </w:pPr>
            <w:r w:rsidRPr="00D16196">
              <w:t>Where an investigation is commenced but is not able to be finalised in order to reach the outcome of ‘substantiated’ or ‘not substantiated’. These files would be closed for administrative purposes. This may happen in instances where the family ha</w:t>
            </w:r>
            <w:r w:rsidR="00533866" w:rsidRPr="00D16196">
              <w:t>s</w:t>
            </w:r>
            <w:r w:rsidRPr="00D16196">
              <w:t xml:space="preserve"> relocated.</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L</w:t>
            </w:r>
            <w:r w:rsidR="00CA6793" w:rsidRPr="00D16196">
              <w:rPr>
                <w:b/>
              </w:rPr>
              <w:t>ength of time in continuous out</w:t>
            </w:r>
            <w:r w:rsidR="00CA6793" w:rsidRPr="00D16196">
              <w:rPr>
                <w:b/>
              </w:rPr>
              <w:noBreakHyphen/>
            </w:r>
            <w:r w:rsidRPr="00D16196">
              <w:rPr>
                <w:b/>
              </w:rPr>
              <w:t>of</w:t>
            </w:r>
            <w:r w:rsidR="00CA6793" w:rsidRPr="00D16196">
              <w:rPr>
                <w:b/>
              </w:rPr>
              <w:noBreakHyphen/>
            </w:r>
            <w:r w:rsidRPr="00D16196">
              <w:rPr>
                <w:b/>
              </w:rPr>
              <w:t>home care</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The length of time a child is in out-of-home care on a continuous basis. </w:t>
            </w:r>
            <w:r w:rsidR="00E12EE6" w:rsidRPr="00D16196">
              <w:t>Any break of 60 days or more is considered to 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r w:rsidR="005336DF" w:rsidRPr="00D16196">
              <w:t xml:space="preserve"> (Note that a break in a placement does not necessarily mean a child has returned to the care of his or her family.)</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Non-respite care</w:t>
            </w:r>
          </w:p>
        </w:tc>
        <w:tc>
          <w:tcPr>
            <w:tcW w:w="6237" w:type="dxa"/>
            <w:shd w:val="clear" w:color="auto" w:fill="auto"/>
          </w:tcPr>
          <w:p w:rsidR="00CA7787" w:rsidRPr="00D16196" w:rsidRDefault="00CA7787" w:rsidP="00D16196">
            <w:pPr>
              <w:pStyle w:val="TableBodyText"/>
              <w:spacing w:before="60" w:after="60"/>
              <w:ind w:left="0"/>
              <w:jc w:val="left"/>
            </w:pPr>
            <w:r w:rsidRPr="00D16196">
              <w:t>Out-of-home care for children for child protection reasons.</w:t>
            </w:r>
            <w:r w:rsidR="005336DF" w:rsidRPr="00D16196">
              <w:t xml:space="preserve"> (See definition of respite care, below.)</w:t>
            </w:r>
          </w:p>
        </w:tc>
      </w:tr>
      <w:tr w:rsidR="00CA7787" w:rsidRPr="00D16196" w:rsidTr="00922EBC">
        <w:tc>
          <w:tcPr>
            <w:tcW w:w="2552" w:type="dxa"/>
            <w:shd w:val="clear" w:color="auto" w:fill="auto"/>
          </w:tcPr>
          <w:p w:rsidR="00CA7787" w:rsidRPr="00D16196" w:rsidRDefault="00CA6793" w:rsidP="00D16196">
            <w:pPr>
              <w:pStyle w:val="TableBodyText"/>
              <w:spacing w:before="60" w:after="60"/>
              <w:ind w:left="0"/>
              <w:jc w:val="left"/>
              <w:rPr>
                <w:b/>
              </w:rPr>
            </w:pPr>
            <w:r w:rsidRPr="00D16196">
              <w:rPr>
                <w:b/>
              </w:rPr>
              <w:t>Notification</w:t>
            </w:r>
          </w:p>
        </w:tc>
        <w:tc>
          <w:tcPr>
            <w:tcW w:w="6237" w:type="dxa"/>
            <w:shd w:val="clear" w:color="auto" w:fill="auto"/>
          </w:tcPr>
          <w:p w:rsidR="00A420E3" w:rsidRPr="00D16196" w:rsidRDefault="00A420E3" w:rsidP="00D16196">
            <w:pPr>
              <w:pStyle w:val="TableBodyText"/>
              <w:spacing w:before="60" w:after="60"/>
              <w:ind w:left="0"/>
              <w:jc w:val="left"/>
            </w:pPr>
            <w:r w:rsidRPr="00D16196">
              <w:t xml:space="preserve">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Most jurisdictions assess incoming reports to determine whether they meet the threshold for recording a notification. 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general advice and/or a referral. </w:t>
            </w:r>
          </w:p>
          <w:p w:rsidR="00A420E3" w:rsidRPr="00D16196" w:rsidRDefault="00A420E3" w:rsidP="00D16196">
            <w:pPr>
              <w:pStyle w:val="TableBodyText"/>
              <w:spacing w:before="60" w:after="60"/>
              <w:ind w:left="0"/>
              <w:jc w:val="left"/>
            </w:pPr>
            <w:r w:rsidRPr="00D16196">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w:t>
            </w:r>
          </w:p>
          <w:p w:rsidR="00A420E3" w:rsidRPr="00D16196" w:rsidRDefault="00A420E3" w:rsidP="00D16196">
            <w:pPr>
              <w:pStyle w:val="TableBodyText"/>
              <w:spacing w:before="60" w:after="60"/>
              <w:ind w:left="0"/>
              <w:jc w:val="left"/>
            </w:pPr>
            <w:r w:rsidRPr="00D16196">
              <w:t>Notification and investigation data are collected early in the child protection process and often before an agency has full knowledge of a child’s circumstances. This lack of information and the inherent difficulties in identifying Indigenous status mean that data on the number of notifications and investigations by Indigenous status should be interpreted with care.</w:t>
            </w:r>
          </w:p>
        </w:tc>
      </w:tr>
      <w:tr w:rsidR="00CA7787" w:rsidRPr="00D16196" w:rsidTr="00922EBC">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Other relative</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A grandparent, aunt, uncle or cousin, whether the relationship is half, full, step or through adoption, and can be traced through or to a person whose </w:t>
            </w:r>
            <w:r w:rsidRPr="00D16196">
              <w:lastRenderedPageBreak/>
              <w:t>parents were not married to each other at the time of the child’s birth. This category includes members of Aboriginal communities who are accepted by that community as being related to the child.</w:t>
            </w:r>
          </w:p>
        </w:tc>
      </w:tr>
      <w:tr w:rsidR="00CA7787" w:rsidRPr="00D16196" w:rsidTr="005336DF">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lastRenderedPageBreak/>
              <w:t>Out-of-home care</w:t>
            </w:r>
          </w:p>
        </w:tc>
        <w:tc>
          <w:tcPr>
            <w:tcW w:w="6237" w:type="dxa"/>
            <w:shd w:val="clear" w:color="auto" w:fill="auto"/>
          </w:tcPr>
          <w:p w:rsidR="00CA7787" w:rsidRPr="00D16196" w:rsidRDefault="00CA7787" w:rsidP="00D16196">
            <w:pPr>
              <w:pStyle w:val="TableBodyText"/>
              <w:spacing w:before="60" w:after="60"/>
              <w:ind w:left="0"/>
              <w:jc w:val="left"/>
            </w:pPr>
            <w:r w:rsidRPr="00D16196">
              <w:t xml:space="preserve">Overnight care, including placement with relatives (other than parents) where the government makes a financial payment. Includes care of children in legal and voluntary placements (that is, children on and not on a legal order) but excludes placements </w:t>
            </w:r>
            <w:r w:rsidR="001D457E" w:rsidRPr="00D16196">
              <w:t>solely funded by</w:t>
            </w:r>
            <w:r w:rsidRPr="00D16196">
              <w:t xml:space="preserve"> disability services, psychiatric services, </w:t>
            </w:r>
            <w:r w:rsidR="00B8244E" w:rsidRPr="00D16196">
              <w:t>youth justice</w:t>
            </w:r>
            <w:r w:rsidRPr="00D16196">
              <w:t xml:space="preserve"> facilities and overnight child care services. </w:t>
            </w:r>
          </w:p>
          <w:p w:rsidR="00332CE0" w:rsidRPr="00D16196" w:rsidRDefault="00332CE0" w:rsidP="00D16196">
            <w:pPr>
              <w:pStyle w:val="TableBodyText"/>
              <w:spacing w:before="60" w:after="60"/>
              <w:ind w:left="0"/>
              <w:jc w:val="left"/>
            </w:pPr>
            <w:r w:rsidRPr="00D16196">
              <w:t>There are five main out-of-home care placement types:</w:t>
            </w:r>
          </w:p>
          <w:p w:rsidR="00332CE0" w:rsidRPr="00D16196" w:rsidRDefault="00332CE0" w:rsidP="00D16196">
            <w:pPr>
              <w:pStyle w:val="TableBullet"/>
            </w:pPr>
            <w:r w:rsidRPr="00D16196">
              <w:t>Residential care – where placement is in a residential building with paid staff.</w:t>
            </w:r>
          </w:p>
          <w:p w:rsidR="00332CE0" w:rsidRPr="00D16196" w:rsidRDefault="00332CE0" w:rsidP="00D16196">
            <w:pPr>
              <w:pStyle w:val="TableBullet"/>
            </w:pPr>
            <w:r w:rsidRPr="00D16196">
              <w:t>Family group homes – provide care to children in a departmentally or community sector agency provided home. These homes have live-in, non-salaried carers who are reimbursed and/or subsidised for the provision of care.</w:t>
            </w:r>
          </w:p>
          <w:p w:rsidR="00A72D26" w:rsidRPr="00D16196" w:rsidRDefault="00332CE0" w:rsidP="00D16196">
            <w:pPr>
              <w:pStyle w:val="TableBullet"/>
            </w:pPr>
            <w:r w:rsidRPr="00D16196">
              <w:t>Home-based care – where placement is in the home of a carer who is reimbursed (or who has been offered but declined reimbursement) for expenses for the care of the child. This is broken down into three subcategories:</w:t>
            </w:r>
            <w:r w:rsidR="00A72D26" w:rsidRPr="00D16196">
              <w:t xml:space="preserve"> (1) </w:t>
            </w:r>
            <w:r w:rsidR="00F11A5C" w:rsidRPr="00D16196">
              <w:rPr>
                <w:i/>
              </w:rPr>
              <w:t>r</w:t>
            </w:r>
            <w:r w:rsidR="00A72D26" w:rsidRPr="00D16196">
              <w:rPr>
                <w:i/>
              </w:rPr>
              <w:t>elative/kinship care</w:t>
            </w:r>
            <w:r w:rsidR="00A72D26" w:rsidRPr="00D16196">
              <w:t xml:space="preserve"> – </w:t>
            </w:r>
            <w:r w:rsidR="002463FA" w:rsidRPr="00D16196">
              <w:t xml:space="preserve">where the caregiver is a relative (other than parents), considered to be family or a close friend, or is a member of the child or young person’s community (in accordance with their culture) who is reimbursed (or who has been offered but declined reimbursement) by the </w:t>
            </w:r>
            <w:r w:rsidR="00F11A5C" w:rsidRPr="00D16196">
              <w:t>S</w:t>
            </w:r>
            <w:r w:rsidR="002463FA" w:rsidRPr="00D16196">
              <w:t>tate/</w:t>
            </w:r>
            <w:r w:rsidR="00F11A5C" w:rsidRPr="00D16196">
              <w:t>T</w:t>
            </w:r>
            <w:r w:rsidR="002463FA" w:rsidRPr="00D16196">
              <w:t xml:space="preserve">erritory for the care of the child. For Aboriginal and Torres Strait Islander children, a kinship carer may be another </w:t>
            </w:r>
            <w:r w:rsidR="007C75CE" w:rsidRPr="00D16196">
              <w:t>Aboriginal and Torres Strait Islander</w:t>
            </w:r>
            <w:r w:rsidR="002463FA" w:rsidRPr="00D16196">
              <w:t xml:space="preserve"> person who is a member of their community, a compatible community or from the same language group</w:t>
            </w:r>
            <w:r w:rsidR="00A72D26" w:rsidRPr="00D16196">
              <w:t xml:space="preserve">; (2) </w:t>
            </w:r>
            <w:r w:rsidR="00A72D26" w:rsidRPr="00D16196">
              <w:rPr>
                <w:i/>
              </w:rPr>
              <w:t>foster care</w:t>
            </w:r>
            <w:r w:rsidR="00A72D26" w:rsidRPr="00D16196">
              <w:t xml:space="preserve"> – where the care is authorised and carers are reimbursed (or were offered but declined reimbursement) by the state/territory and supported by an approved agency. There are varying degrees of reimbursement made to foster carers; (3) </w:t>
            </w:r>
            <w:r w:rsidR="00A72D26" w:rsidRPr="00D16196">
              <w:rPr>
                <w:i/>
              </w:rPr>
              <w:t>other</w:t>
            </w:r>
            <w:r w:rsidR="00A72D26" w:rsidRPr="00D16196">
              <w:t xml:space="preserve"> – home-based care which does not fall into either of the above categories.</w:t>
            </w:r>
          </w:p>
          <w:p w:rsidR="00A72D26" w:rsidRPr="00D16196" w:rsidRDefault="00A72D26" w:rsidP="00D16196">
            <w:pPr>
              <w:pStyle w:val="TableBullet"/>
            </w:pPr>
            <w:r w:rsidRPr="00D16196">
              <w:t>Independent living – including private board and lead tenant households.</w:t>
            </w:r>
          </w:p>
          <w:p w:rsidR="00332CE0" w:rsidRPr="00D16196" w:rsidRDefault="00A72D26" w:rsidP="00D16196">
            <w:pPr>
              <w:pStyle w:val="TableBullet"/>
            </w:pPr>
            <w:r w:rsidRPr="00D16196">
              <w:t>Other – includes placements that do not fit into the above categories and unknown living arrangements. This includes boarding schools, hospitals, hotels/motels and defence force.</w:t>
            </w:r>
          </w:p>
        </w:tc>
      </w:tr>
      <w:tr w:rsidR="00CA7787" w:rsidRPr="00D16196" w:rsidTr="005336DF">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Relatives/kin</w:t>
            </w:r>
          </w:p>
        </w:tc>
        <w:tc>
          <w:tcPr>
            <w:tcW w:w="6237" w:type="dxa"/>
            <w:shd w:val="clear" w:color="auto" w:fill="auto"/>
          </w:tcPr>
          <w:p w:rsidR="00CA7787" w:rsidRPr="00D16196" w:rsidRDefault="002463FA" w:rsidP="00D16196">
            <w:pPr>
              <w:pStyle w:val="TableBodyText"/>
              <w:spacing w:before="60" w:after="60"/>
              <w:ind w:left="0"/>
              <w:jc w:val="left"/>
            </w:pPr>
            <w:r w:rsidRPr="00D16196">
              <w:t xml:space="preserve">People who are family or close friends, or are members of a child or young person’s community (in accordance with their culture) who are reimbursed (or who have been offered but declined reimbursement) by the </w:t>
            </w:r>
            <w:r w:rsidR="00F11A5C" w:rsidRPr="00D16196">
              <w:t>S</w:t>
            </w:r>
            <w:r w:rsidRPr="00D16196">
              <w:t>tate/</w:t>
            </w:r>
            <w:r w:rsidR="00F11A5C" w:rsidRPr="00D16196">
              <w:t>T</w:t>
            </w:r>
            <w:r w:rsidRPr="00D16196">
              <w:t xml:space="preserve">erritory for the care of a child. For Aboriginal and Torres Strait Islander children, a kinship carer may be another </w:t>
            </w:r>
            <w:r w:rsidR="007C75CE" w:rsidRPr="00D16196">
              <w:t>Aboriginal and Torres Strait Islander</w:t>
            </w:r>
            <w:r w:rsidRPr="00D16196">
              <w:t xml:space="preserve"> person who is a member of their community, a compatible community or from the same language group</w:t>
            </w:r>
            <w:r w:rsidR="00F11A5C" w:rsidRPr="00D16196">
              <w:t>.</w:t>
            </w:r>
          </w:p>
        </w:tc>
      </w:tr>
      <w:tr w:rsidR="00CA7787" w:rsidRPr="00D16196" w:rsidTr="005336DF">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t>Respite care</w:t>
            </w:r>
          </w:p>
        </w:tc>
        <w:tc>
          <w:tcPr>
            <w:tcW w:w="6237" w:type="dxa"/>
            <w:shd w:val="clear" w:color="auto" w:fill="auto"/>
          </w:tcPr>
          <w:p w:rsidR="00CA7787" w:rsidRPr="00D16196" w:rsidRDefault="00326215" w:rsidP="00D16196">
            <w:pPr>
              <w:pStyle w:val="TableBodyText"/>
              <w:spacing w:before="60" w:after="60"/>
              <w:ind w:left="0"/>
              <w:jc w:val="left"/>
            </w:pPr>
            <w:r w:rsidRPr="00D16196">
              <w:t xml:space="preserve">Respite care is a form of out-of-home care used to provide short-term accommodation for children where the intention is for the child to return to their prior place of residence. Respite placements include: </w:t>
            </w:r>
            <w:r w:rsidRPr="00D16196">
              <w:rPr>
                <w:i/>
              </w:rPr>
              <w:t>respite from birth family</w:t>
            </w:r>
            <w:r w:rsidRPr="00D16196">
              <w:t xml:space="preserve">, where a child is placed in out-of-home care on a temporary basis for reasons other than child protection (for example, the child’s parents are ill or unable to care for them on a temporary basis; or as a family support mechanism to prevent entry into full time care, as part of the reunification process, as a shared care arrangement); </w:t>
            </w:r>
            <w:r w:rsidRPr="00D16196">
              <w:rPr>
                <w:i/>
              </w:rPr>
              <w:t>respite from placement</w:t>
            </w:r>
            <w:r w:rsidRPr="00D16196">
              <w:t xml:space="preserve">, where </w:t>
            </w:r>
            <w:r w:rsidR="00910AC6" w:rsidRPr="00D16196">
              <w:t>a child spends regular, short and agreed periods of time with another carer other than their primary carer.</w:t>
            </w:r>
          </w:p>
        </w:tc>
      </w:tr>
      <w:tr w:rsidR="00CA7787" w:rsidRPr="00D16196" w:rsidTr="005336DF">
        <w:tc>
          <w:tcPr>
            <w:tcW w:w="2552" w:type="dxa"/>
            <w:shd w:val="clear" w:color="auto" w:fill="auto"/>
          </w:tcPr>
          <w:p w:rsidR="00CA7787" w:rsidRPr="00D16196" w:rsidRDefault="00CA7787" w:rsidP="00D16196">
            <w:pPr>
              <w:pStyle w:val="TableBodyText"/>
              <w:spacing w:before="60" w:after="60"/>
              <w:ind w:left="0"/>
              <w:jc w:val="left"/>
            </w:pPr>
            <w:r w:rsidRPr="00D16196">
              <w:rPr>
                <w:b/>
              </w:rPr>
              <w:t>Stability of placement</w:t>
            </w:r>
          </w:p>
        </w:tc>
        <w:tc>
          <w:tcPr>
            <w:tcW w:w="6237" w:type="dxa"/>
            <w:shd w:val="clear" w:color="auto" w:fill="auto"/>
          </w:tcPr>
          <w:p w:rsidR="00CA7787" w:rsidRPr="00D16196" w:rsidRDefault="00CA7787" w:rsidP="00D16196">
            <w:pPr>
              <w:pStyle w:val="TableBodyText"/>
              <w:jc w:val="left"/>
            </w:pPr>
            <w:r w:rsidRPr="00D16196">
              <w:t xml:space="preserve">Number of placements for children who exited out-of-home care and </w:t>
            </w:r>
            <w:r w:rsidR="00AC7D85" w:rsidRPr="00D16196">
              <w:t>did</w:t>
            </w:r>
            <w:r w:rsidRPr="00D16196">
              <w:t xml:space="preserve"> not return within </w:t>
            </w:r>
            <w:r w:rsidR="00DC0E08" w:rsidRPr="00D16196">
              <w:t>60 days</w:t>
            </w:r>
            <w:r w:rsidRPr="00D16196">
              <w:t xml:space="preserve">. Placements exclude respite or temporary placements lasting less than </w:t>
            </w:r>
            <w:r w:rsidR="00AC7D85" w:rsidRPr="00D16196">
              <w:t>7</w:t>
            </w:r>
            <w:r w:rsidRPr="00D16196">
              <w:t xml:space="preserve"> days. Placements are counted separately where there is: </w:t>
            </w:r>
          </w:p>
          <w:p w:rsidR="00CA7787" w:rsidRPr="00D16196" w:rsidRDefault="00CA7787" w:rsidP="00D16196">
            <w:pPr>
              <w:pStyle w:val="TableBullet"/>
            </w:pPr>
            <w:r w:rsidRPr="00D16196">
              <w:t xml:space="preserve">a change in the placement </w:t>
            </w:r>
            <w:r w:rsidR="00171E41" w:rsidRPr="00D16196">
              <w:t>type — for example, from a home</w:t>
            </w:r>
            <w:r w:rsidR="00171E41" w:rsidRPr="00D16196">
              <w:noBreakHyphen/>
            </w:r>
            <w:r w:rsidRPr="00D16196">
              <w:t>based to a facility-based placement</w:t>
            </w:r>
          </w:p>
          <w:p w:rsidR="00CA7787" w:rsidRPr="00D16196" w:rsidRDefault="00CA7787" w:rsidP="00D16196">
            <w:pPr>
              <w:pStyle w:val="TableBullet"/>
            </w:pPr>
            <w:r w:rsidRPr="00D16196">
              <w:lastRenderedPageBreak/>
              <w:t>within placement type, a change in venue or a change from one home-based placement to a different home-based placement.</w:t>
            </w:r>
          </w:p>
          <w:p w:rsidR="00CA7787" w:rsidRPr="00D16196" w:rsidRDefault="00DC0E08" w:rsidP="00D16196">
            <w:pPr>
              <w:pStyle w:val="TableBodyText"/>
              <w:jc w:val="left"/>
            </w:pPr>
            <w:r w:rsidRPr="00D16196">
              <w:t>Each placement should only be counted once. A return to a previous placement is not included as a different placement. A return home is not counted as a placement, although i</w:t>
            </w:r>
            <w:r w:rsidR="00171E41" w:rsidRPr="00D16196">
              <w:t>f</w:t>
            </w:r>
            <w:r w:rsidR="00AC7D85" w:rsidRPr="00D16196">
              <w:t xml:space="preserve"> a child returns home for 60 </w:t>
            </w:r>
            <w:r w:rsidRPr="00D16196">
              <w:t xml:space="preserve">days or more they are considered to have exited care. </w:t>
            </w:r>
          </w:p>
        </w:tc>
      </w:tr>
      <w:tr w:rsidR="00CA7787" w:rsidRPr="00D16196" w:rsidTr="005336DF">
        <w:tc>
          <w:tcPr>
            <w:tcW w:w="2552" w:type="dxa"/>
            <w:shd w:val="clear" w:color="auto" w:fill="auto"/>
          </w:tcPr>
          <w:p w:rsidR="00CA7787" w:rsidRPr="00D16196" w:rsidRDefault="00CA7787" w:rsidP="00D16196">
            <w:pPr>
              <w:pStyle w:val="TableBodyText"/>
              <w:spacing w:before="60" w:after="60"/>
              <w:ind w:left="0"/>
              <w:jc w:val="left"/>
              <w:rPr>
                <w:b/>
              </w:rPr>
            </w:pPr>
            <w:r w:rsidRPr="00D16196">
              <w:rPr>
                <w:b/>
              </w:rPr>
              <w:lastRenderedPageBreak/>
              <w:t>Substantiation</w:t>
            </w:r>
          </w:p>
        </w:tc>
        <w:tc>
          <w:tcPr>
            <w:tcW w:w="6237" w:type="dxa"/>
            <w:shd w:val="clear" w:color="auto" w:fill="auto"/>
          </w:tcPr>
          <w:p w:rsidR="00A420E3" w:rsidRPr="00D16196" w:rsidRDefault="00A420E3" w:rsidP="00D16196">
            <w:pPr>
              <w:pStyle w:val="TableBodyText"/>
              <w:spacing w:before="60" w:after="60"/>
              <w:jc w:val="left"/>
            </w:pPr>
            <w:r w:rsidRPr="00D16196">
              <w:t>A substantiation is the outcome of an investigated n</w:t>
            </w:r>
            <w:r w:rsidR="00CA7787" w:rsidRPr="00D16196">
              <w:t xml:space="preserve">otification which </w:t>
            </w:r>
            <w:r w:rsidRPr="00D16196">
              <w:t xml:space="preserve">has resulted in the conclusion that </w:t>
            </w:r>
            <w:r w:rsidR="00CA7787" w:rsidRPr="00D16196">
              <w:t xml:space="preserve">there is reasonable cause to believe </w:t>
            </w:r>
            <w:r w:rsidRPr="00D16196">
              <w:t xml:space="preserve">a </w:t>
            </w:r>
            <w:r w:rsidR="00CA7787" w:rsidRPr="00D16196">
              <w:t xml:space="preserve">child has been, is being or is likely to be abused, neglected or otherwise harmed. It does not necessarily require sufficient evidence for a successful prosecution and does not imply that treatment or case management is, or is to be, provided. </w:t>
            </w:r>
            <w:r w:rsidRPr="00D16196">
              <w:t>However, if an investigation results in a substantiation, intervention by child protection services might be needed to protect the child. This intervention can take a number of forms, including one or more of: referral to other services; supervision and support; an application to court; and a placement in out-of-home care.</w:t>
            </w:r>
          </w:p>
          <w:p w:rsidR="00CA7787" w:rsidRPr="00D16196" w:rsidRDefault="00A420E3" w:rsidP="00D16196">
            <w:pPr>
              <w:pStyle w:val="TableBodyText"/>
              <w:spacing w:before="60" w:after="60"/>
              <w:jc w:val="left"/>
            </w:pPr>
            <w:r w:rsidRPr="00D16196">
              <w:t xml:space="preserve">The legal definitions of </w:t>
            </w:r>
            <w:r w:rsidR="00633772" w:rsidRPr="00D16196">
              <w:t xml:space="preserve">abuse and neglect </w:t>
            </w:r>
            <w:r w:rsidRPr="00D16196">
              <w:t xml:space="preserve">are similar across jurisdictions. </w:t>
            </w:r>
            <w:r w:rsidR="00687D85" w:rsidRPr="00D16196">
              <w:t>However, w</w:t>
            </w:r>
            <w:r w:rsidRPr="00D16196">
              <w:t xml:space="preserve">hile the legal </w:t>
            </w:r>
            <w:r w:rsidR="00687D85" w:rsidRPr="00D16196">
              <w:t xml:space="preserve">definitions </w:t>
            </w:r>
            <w:r w:rsidRPr="00D16196">
              <w:t>for substantiating notification</w:t>
            </w:r>
            <w:r w:rsidR="00687D85" w:rsidRPr="00D16196">
              <w:t>s</w:t>
            </w:r>
            <w:r w:rsidRPr="00D16196">
              <w:t xml:space="preserve"> are similar across jurisdictions, there remain some differences in practice, including different thresholds for recording a substantiation </w:t>
            </w:r>
            <w:r w:rsidR="004A551E" w:rsidRPr="00D16196">
              <w:t xml:space="preserve">(that is, some jurisdictions substantiate harm or risk of harm to a child, and others substantiate actions by parents or incidents that cause harm). </w:t>
            </w:r>
            <w:r w:rsidR="00687D85" w:rsidRPr="00D16196">
              <w:t>These differences impact on the comparability of these data.</w:t>
            </w:r>
          </w:p>
        </w:tc>
      </w:tr>
    </w:tbl>
    <w:p w:rsidR="00EF68ED" w:rsidRDefault="00C83ABF" w:rsidP="00EF68ED">
      <w:pPr>
        <w:pStyle w:val="Heading2"/>
      </w:pPr>
      <w:bookmarkStart w:id="51" w:name="_Toc369851916"/>
      <w:bookmarkStart w:id="52" w:name="_Toc432581229"/>
      <w:r w:rsidRPr="00D16196">
        <w:t>15.</w:t>
      </w:r>
      <w:r w:rsidR="00922EBC" w:rsidRPr="00D16196">
        <w:t>6</w:t>
      </w:r>
      <w:r w:rsidRPr="00D16196">
        <w:tab/>
      </w:r>
      <w:r w:rsidR="003A2924" w:rsidRPr="00D16196">
        <w:t>List of a</w:t>
      </w:r>
      <w:r w:rsidR="008644B6" w:rsidRPr="00D16196">
        <w:t>ttachment</w:t>
      </w:r>
      <w:r w:rsidR="006842D6" w:rsidRPr="00D16196">
        <w:t xml:space="preserve"> tables</w:t>
      </w:r>
      <w:bookmarkEnd w:id="51"/>
      <w:bookmarkEnd w:id="52"/>
    </w:p>
    <w:p w:rsidR="00734176" w:rsidRPr="00D16196" w:rsidRDefault="001A0B4B" w:rsidP="00D16196">
      <w:pPr>
        <w:pStyle w:val="BodyText"/>
      </w:pPr>
      <w:r w:rsidRPr="00D16196">
        <w:t xml:space="preserve">Attachment tables are identified in references throughout this </w:t>
      </w:r>
      <w:r w:rsidR="003E2EBA" w:rsidRPr="00D16196">
        <w:t xml:space="preserve">chapter </w:t>
      </w:r>
      <w:r w:rsidRPr="00D16196">
        <w:t>by a ‘</w:t>
      </w:r>
      <w:proofErr w:type="spellStart"/>
      <w:r w:rsidRPr="00D16196">
        <w:t>15A</w:t>
      </w:r>
      <w:proofErr w:type="spellEnd"/>
      <w:r w:rsidRPr="00D16196">
        <w:t xml:space="preserve">’ </w:t>
      </w:r>
      <w:r w:rsidR="00C31E56" w:rsidRPr="00D16196">
        <w:t>pre</w:t>
      </w:r>
      <w:r w:rsidRPr="00D16196">
        <w:t xml:space="preserve">fix (for example, table </w:t>
      </w:r>
      <w:proofErr w:type="spellStart"/>
      <w:r w:rsidRPr="00D16196">
        <w:t>15A.</w:t>
      </w:r>
      <w:r w:rsidR="007852E9" w:rsidRPr="00D16196">
        <w:t>1</w:t>
      </w:r>
      <w:proofErr w:type="spellEnd"/>
      <w:r w:rsidRPr="00D16196">
        <w:t>). Attachment tables are available on the website (</w:t>
      </w:r>
      <w:proofErr w:type="spellStart"/>
      <w:r w:rsidR="001B373A" w:rsidRPr="00D16196">
        <w:t>www.pc.gov.au</w:t>
      </w:r>
      <w:proofErr w:type="spellEnd"/>
      <w:r w:rsidR="001B373A" w:rsidRPr="00D16196">
        <w:t>/</w:t>
      </w:r>
      <w:proofErr w:type="spellStart"/>
      <w:r w:rsidR="001B373A" w:rsidRPr="00D16196">
        <w:t>rogs</w:t>
      </w:r>
      <w:proofErr w:type="spellEnd"/>
      <w:r w:rsidR="001B373A" w:rsidRPr="00D16196">
        <w:t>/2016</w:t>
      </w:r>
      <w:r w:rsidRPr="00D16196">
        <w:t>)</w:t>
      </w:r>
      <w:r w:rsidR="006901AD" w:rsidRPr="00D16196">
        <w:t>.</w:t>
      </w:r>
    </w:p>
    <w:p w:rsidR="006901AD" w:rsidRPr="00D16196" w:rsidRDefault="006901AD" w:rsidP="00D16196">
      <w:pPr>
        <w:pStyle w:val="TableBodyText"/>
        <w:keepNext w:val="0"/>
        <w:keepLines w:val="0"/>
        <w:widowControl w:val="0"/>
        <w:jc w:val="left"/>
      </w:pPr>
    </w:p>
    <w:tbl>
      <w:tblPr>
        <w:tblW w:w="8710" w:type="dxa"/>
        <w:tblLayout w:type="fixed"/>
        <w:tblCellMar>
          <w:left w:w="0" w:type="dxa"/>
          <w:right w:w="0" w:type="dxa"/>
        </w:tblCellMar>
        <w:tblLook w:val="0000" w:firstRow="0" w:lastRow="0" w:firstColumn="0" w:lastColumn="0" w:noHBand="0" w:noVBand="0"/>
      </w:tblPr>
      <w:tblGrid>
        <w:gridCol w:w="1418"/>
        <w:gridCol w:w="7292"/>
      </w:tblGrid>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3" w:name="OLE_LINK10"/>
            <w:proofErr w:type="spellStart"/>
            <w:r w:rsidRPr="00D16196">
              <w:rPr>
                <w:b/>
              </w:rPr>
              <w:t>15A.1</w:t>
            </w:r>
            <w:bookmarkEnd w:id="53"/>
            <w:proofErr w:type="spellEnd"/>
          </w:p>
        </w:tc>
        <w:tc>
          <w:tcPr>
            <w:tcW w:w="7292" w:type="dxa"/>
            <w:shd w:val="clear" w:color="auto" w:fill="auto"/>
          </w:tcPr>
          <w:p w:rsidR="000E5301" w:rsidRPr="00D16196" w:rsidRDefault="000E5301" w:rsidP="00D16196">
            <w:pPr>
              <w:pStyle w:val="TableBodyText"/>
              <w:jc w:val="left"/>
            </w:pPr>
            <w:r w:rsidRPr="00D16196">
              <w:t xml:space="preserve">State and Territory Government real recurrent expenditure on child protection and </w:t>
            </w:r>
            <w:r w:rsidR="001B0565" w:rsidRPr="00D16196">
              <w:br/>
            </w:r>
            <w:r w:rsidRPr="00D16196">
              <w:t>out-of-home care service</w:t>
            </w:r>
            <w:r w:rsidR="00760EF5" w:rsidRPr="00D16196">
              <w:t>s (</w:t>
            </w:r>
            <w:r w:rsidR="00AA5EE9" w:rsidRPr="00D16196">
              <w:t>2014-15</w:t>
            </w:r>
            <w:r w:rsidR="00760EF5" w:rsidRPr="00D16196">
              <w:t xml:space="preserve"> dollars)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4" w:name="OLE_LINK97"/>
            <w:proofErr w:type="spellStart"/>
            <w:r w:rsidRPr="00D16196">
              <w:rPr>
                <w:b/>
              </w:rPr>
              <w:t>15A.2</w:t>
            </w:r>
            <w:bookmarkEnd w:id="54"/>
            <w:proofErr w:type="spellEnd"/>
          </w:p>
        </w:tc>
        <w:tc>
          <w:tcPr>
            <w:tcW w:w="7292" w:type="dxa"/>
            <w:shd w:val="clear" w:color="auto" w:fill="auto"/>
          </w:tcPr>
          <w:p w:rsidR="000E5301" w:rsidRPr="00D16196" w:rsidRDefault="000E5301" w:rsidP="00D16196">
            <w:pPr>
              <w:pStyle w:val="TableBodyText"/>
              <w:jc w:val="left"/>
            </w:pPr>
            <w:r w:rsidRPr="00D16196">
              <w:t>State and Territory Government real recurrent expenditure on child protection services, per notification, per investigation and per substa</w:t>
            </w:r>
            <w:r w:rsidR="00F719BD" w:rsidRPr="00D16196">
              <w:t>ntiation (</w:t>
            </w:r>
            <w:r w:rsidR="00AA5EE9" w:rsidRPr="00D16196">
              <w:t>2014-15</w:t>
            </w:r>
            <w:r w:rsidR="00F719BD" w:rsidRPr="00D16196">
              <w:t xml:space="preserve"> dollars)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5" w:name="OLE_LINK99"/>
            <w:proofErr w:type="spellStart"/>
            <w:r w:rsidRPr="00D16196">
              <w:rPr>
                <w:b/>
              </w:rPr>
              <w:t>15A.3</w:t>
            </w:r>
            <w:bookmarkEnd w:id="55"/>
            <w:proofErr w:type="spellEnd"/>
          </w:p>
        </w:tc>
        <w:tc>
          <w:tcPr>
            <w:tcW w:w="7292" w:type="dxa"/>
            <w:shd w:val="clear" w:color="auto" w:fill="auto"/>
          </w:tcPr>
          <w:p w:rsidR="000E5301" w:rsidRPr="00D16196" w:rsidRDefault="000E5301" w:rsidP="00D16196">
            <w:pPr>
              <w:pStyle w:val="TableBodyText"/>
              <w:jc w:val="left"/>
            </w:pPr>
            <w:r w:rsidRPr="00D16196">
              <w:t>State and Territory Government real recurrent expenditure on out-of-home care s</w:t>
            </w:r>
            <w:r w:rsidR="00760EF5" w:rsidRPr="00D16196">
              <w:t>ervices (</w:t>
            </w:r>
            <w:r w:rsidR="00AA5EE9" w:rsidRPr="00D16196">
              <w:t>2014-15</w:t>
            </w:r>
            <w:r w:rsidR="00760EF5" w:rsidRPr="00D16196">
              <w:t xml:space="preserve"> dollars)</w:t>
            </w:r>
          </w:p>
        </w:tc>
      </w:tr>
      <w:tr w:rsidR="000E5301" w:rsidRPr="00D16196" w:rsidTr="00AB22EC">
        <w:trPr>
          <w:trHeight w:val="357"/>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6" w:name="OLE_LINK37"/>
            <w:proofErr w:type="spellStart"/>
            <w:r w:rsidRPr="00D16196">
              <w:rPr>
                <w:b/>
              </w:rPr>
              <w:t>15A.4</w:t>
            </w:r>
            <w:bookmarkEnd w:id="56"/>
            <w:proofErr w:type="spellEnd"/>
          </w:p>
        </w:tc>
        <w:tc>
          <w:tcPr>
            <w:tcW w:w="7292" w:type="dxa"/>
            <w:shd w:val="clear" w:color="auto" w:fill="auto"/>
          </w:tcPr>
          <w:p w:rsidR="000E5301" w:rsidRPr="00D16196" w:rsidRDefault="000E5301" w:rsidP="00D16196">
            <w:pPr>
              <w:pStyle w:val="TableBodyText"/>
              <w:jc w:val="left"/>
            </w:pPr>
            <w:r w:rsidRPr="00D16196">
              <w:t xml:space="preserve">Comparability of government recurrent expenditure — items included, </w:t>
            </w:r>
            <w:r w:rsidR="00AA5EE9" w:rsidRPr="00D16196">
              <w:t>2014-15</w:t>
            </w:r>
          </w:p>
        </w:tc>
      </w:tr>
      <w:tr w:rsidR="000E5301" w:rsidRPr="00D16196" w:rsidTr="00AB22EC">
        <w:trPr>
          <w:trHeight w:val="357"/>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7" w:name="OLE_LINK1"/>
            <w:proofErr w:type="spellStart"/>
            <w:r w:rsidRPr="00D16196">
              <w:rPr>
                <w:b/>
              </w:rPr>
              <w:t>15A.5</w:t>
            </w:r>
            <w:bookmarkEnd w:id="57"/>
            <w:proofErr w:type="spellEnd"/>
          </w:p>
        </w:tc>
        <w:tc>
          <w:tcPr>
            <w:tcW w:w="7292" w:type="dxa"/>
            <w:shd w:val="clear" w:color="auto" w:fill="auto"/>
          </w:tcPr>
          <w:p w:rsidR="000E5301" w:rsidRPr="00D16196" w:rsidRDefault="000E5301" w:rsidP="00D16196">
            <w:pPr>
              <w:pStyle w:val="TableBodyText"/>
              <w:jc w:val="left"/>
            </w:pPr>
            <w:r w:rsidRPr="00D16196">
              <w:t>Child protection notifications, investigations and substantiati</w:t>
            </w:r>
            <w:r w:rsidR="00F719BD" w:rsidRPr="00D16196">
              <w:t>ons by Indigenous status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8" w:name="OLE_LINK3"/>
            <w:proofErr w:type="spellStart"/>
            <w:r w:rsidRPr="00D16196">
              <w:rPr>
                <w:b/>
              </w:rPr>
              <w:t>15A.6</w:t>
            </w:r>
            <w:bookmarkEnd w:id="58"/>
            <w:proofErr w:type="spellEnd"/>
          </w:p>
        </w:tc>
        <w:tc>
          <w:tcPr>
            <w:tcW w:w="7292" w:type="dxa"/>
            <w:shd w:val="clear" w:color="auto" w:fill="auto"/>
          </w:tcPr>
          <w:p w:rsidR="000E5301" w:rsidRPr="00D16196" w:rsidRDefault="000E5301" w:rsidP="00D16196">
            <w:pPr>
              <w:pStyle w:val="TableBodyText"/>
              <w:jc w:val="left"/>
            </w:pPr>
            <w:r w:rsidRPr="00D16196">
              <w:t xml:space="preserve">Number of children admitted to and discharged from care and protection orders </w:t>
            </w:r>
            <w:r w:rsidR="00F719BD" w:rsidRPr="00D16196">
              <w:t>by Indigenous status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59" w:name="OLE_LINK4"/>
            <w:proofErr w:type="spellStart"/>
            <w:r w:rsidRPr="00D16196">
              <w:rPr>
                <w:b/>
              </w:rPr>
              <w:t>15A.7</w:t>
            </w:r>
            <w:bookmarkEnd w:id="59"/>
            <w:proofErr w:type="spellEnd"/>
          </w:p>
        </w:tc>
        <w:tc>
          <w:tcPr>
            <w:tcW w:w="7292" w:type="dxa"/>
            <w:shd w:val="clear" w:color="auto" w:fill="auto"/>
          </w:tcPr>
          <w:p w:rsidR="000E5301" w:rsidRPr="00D16196" w:rsidRDefault="000E5301" w:rsidP="00D16196">
            <w:pPr>
              <w:pStyle w:val="TableBodyText"/>
              <w:jc w:val="left"/>
            </w:pPr>
            <w:r w:rsidRPr="00D16196">
              <w:t>Number of children on care and protection orders by type of order an</w:t>
            </w:r>
            <w:r w:rsidR="00760EF5" w:rsidRPr="00D16196">
              <w:t>d Indigenous status, at 30 June</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0" w:name="OLE_LINK2"/>
            <w:proofErr w:type="spellStart"/>
            <w:r w:rsidRPr="00D16196">
              <w:rPr>
                <w:b/>
              </w:rPr>
              <w:t>15A.8</w:t>
            </w:r>
            <w:bookmarkEnd w:id="60"/>
            <w:proofErr w:type="spellEnd"/>
          </w:p>
        </w:tc>
        <w:tc>
          <w:tcPr>
            <w:tcW w:w="7292" w:type="dxa"/>
            <w:shd w:val="clear" w:color="auto" w:fill="auto"/>
          </w:tcPr>
          <w:p w:rsidR="000E5301" w:rsidRPr="00D16196" w:rsidRDefault="000E5301" w:rsidP="00D16196">
            <w:pPr>
              <w:pStyle w:val="TableBodyText"/>
              <w:jc w:val="left"/>
            </w:pPr>
            <w:r w:rsidRPr="00D16196">
              <w:t>Children in notifications, investigations and substantiations and on care and protection orders, per 1000 children in the target popul</w:t>
            </w:r>
            <w:r w:rsidR="00F719BD" w:rsidRPr="00D16196">
              <w:t>ation, and by Indigenous status</w:t>
            </w:r>
          </w:p>
        </w:tc>
      </w:tr>
      <w:tr w:rsidR="000E5301" w:rsidRPr="00D16196" w:rsidTr="00AB22EC">
        <w:trPr>
          <w:trHeight w:val="357"/>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1" w:name="OLE_LINK75"/>
            <w:proofErr w:type="spellStart"/>
            <w:r w:rsidRPr="00D16196">
              <w:rPr>
                <w:b/>
              </w:rPr>
              <w:t>15A.9</w:t>
            </w:r>
            <w:bookmarkEnd w:id="61"/>
            <w:proofErr w:type="spellEnd"/>
          </w:p>
        </w:tc>
        <w:tc>
          <w:tcPr>
            <w:tcW w:w="7292" w:type="dxa"/>
            <w:shd w:val="clear" w:color="auto" w:fill="auto"/>
          </w:tcPr>
          <w:p w:rsidR="000E5301" w:rsidRPr="00D16196" w:rsidRDefault="000E5301" w:rsidP="00D16196">
            <w:pPr>
              <w:pStyle w:val="TableBodyText"/>
              <w:jc w:val="left"/>
            </w:pPr>
            <w:r w:rsidRPr="00D16196">
              <w:t xml:space="preserve">Proportion </w:t>
            </w:r>
            <w:r w:rsidR="00F719BD" w:rsidRPr="00D16196">
              <w:t>of investigations substantiated</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2" w:name="OLE_LINK100"/>
            <w:proofErr w:type="spellStart"/>
            <w:r w:rsidRPr="00D16196">
              <w:rPr>
                <w:b/>
              </w:rPr>
              <w:t>15A.10</w:t>
            </w:r>
            <w:bookmarkEnd w:id="62"/>
            <w:proofErr w:type="spellEnd"/>
          </w:p>
        </w:tc>
        <w:tc>
          <w:tcPr>
            <w:tcW w:w="7292" w:type="dxa"/>
            <w:shd w:val="clear" w:color="auto" w:fill="auto"/>
          </w:tcPr>
          <w:p w:rsidR="000E5301" w:rsidRPr="00D16196" w:rsidRDefault="000E5301" w:rsidP="00D16196">
            <w:pPr>
              <w:pStyle w:val="TableBodyText"/>
              <w:jc w:val="left"/>
            </w:pPr>
            <w:r w:rsidRPr="00D16196">
              <w:t>Children who were the subject of a decision not to substantiate during the year and who were also the subject of a subsequent substantiatio</w:t>
            </w:r>
            <w:r w:rsidR="00F719BD" w:rsidRPr="00D16196">
              <w:t>n within 3 and/or 12 months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3" w:name="OLE_LINK101"/>
            <w:proofErr w:type="spellStart"/>
            <w:r w:rsidRPr="00D16196">
              <w:rPr>
                <w:b/>
              </w:rPr>
              <w:t>15A.11</w:t>
            </w:r>
            <w:bookmarkEnd w:id="63"/>
            <w:proofErr w:type="spellEnd"/>
          </w:p>
        </w:tc>
        <w:tc>
          <w:tcPr>
            <w:tcW w:w="7292" w:type="dxa"/>
            <w:shd w:val="clear" w:color="auto" w:fill="auto"/>
          </w:tcPr>
          <w:p w:rsidR="000E5301" w:rsidRPr="00D16196" w:rsidRDefault="000E5301" w:rsidP="00D16196">
            <w:pPr>
              <w:pStyle w:val="TableBodyText"/>
              <w:jc w:val="left"/>
            </w:pPr>
            <w:r w:rsidRPr="00D16196">
              <w:t>Children who were the subject of a substantiation during the year and who were also the subject of a subsequent substantiati</w:t>
            </w:r>
            <w:r w:rsidR="00F719BD" w:rsidRPr="00D16196">
              <w:t>on within 3 and/or 12 months</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lastRenderedPageBreak/>
              <w:t xml:space="preserve">Table </w:t>
            </w:r>
            <w:bookmarkStart w:id="64" w:name="OLE_LINK51"/>
            <w:proofErr w:type="spellStart"/>
            <w:r w:rsidRPr="00D16196">
              <w:rPr>
                <w:b/>
              </w:rPr>
              <w:t>15A.12</w:t>
            </w:r>
            <w:bookmarkEnd w:id="64"/>
            <w:proofErr w:type="spellEnd"/>
          </w:p>
        </w:tc>
        <w:tc>
          <w:tcPr>
            <w:tcW w:w="7292" w:type="dxa"/>
            <w:shd w:val="clear" w:color="auto" w:fill="auto"/>
          </w:tcPr>
          <w:p w:rsidR="000E5301" w:rsidRPr="00D16196" w:rsidRDefault="000E5301" w:rsidP="00D16196">
            <w:pPr>
              <w:pStyle w:val="TableBodyText"/>
              <w:jc w:val="left"/>
            </w:pPr>
            <w:bookmarkStart w:id="65" w:name="RANGE!B14"/>
            <w:r w:rsidRPr="00D16196">
              <w:t>Proportion of children on guardianship/custody orders achieving the national reading and numeracy benchmarks, Year 3 level (per cent)</w:t>
            </w:r>
            <w:bookmarkEnd w:id="65"/>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proofErr w:type="spellStart"/>
            <w:r w:rsidRPr="00D16196">
              <w:rPr>
                <w:b/>
              </w:rPr>
              <w:t>15A.13</w:t>
            </w:r>
            <w:proofErr w:type="spellEnd"/>
          </w:p>
        </w:tc>
        <w:tc>
          <w:tcPr>
            <w:tcW w:w="7292" w:type="dxa"/>
            <w:shd w:val="clear" w:color="auto" w:fill="auto"/>
          </w:tcPr>
          <w:p w:rsidR="000E5301" w:rsidRPr="00D16196" w:rsidRDefault="000E5301" w:rsidP="00D16196">
            <w:pPr>
              <w:pStyle w:val="TableBodyText"/>
              <w:jc w:val="left"/>
            </w:pPr>
            <w:r w:rsidRPr="00D16196">
              <w:t>Proportion of children on guardianship/custody orders achieving the national reading and numeracy benchmark</w:t>
            </w:r>
            <w:r w:rsidR="00F719BD" w:rsidRPr="00D16196">
              <w:t>s, Year 5 level (per cent)</w:t>
            </w:r>
          </w:p>
        </w:tc>
      </w:tr>
      <w:tr w:rsidR="000E5301" w:rsidRPr="00D16196" w:rsidTr="00AB22EC">
        <w:trPr>
          <w:trHeight w:val="612"/>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6" w:name="OLE_LINK52"/>
            <w:proofErr w:type="spellStart"/>
            <w:r w:rsidRPr="00D16196">
              <w:rPr>
                <w:b/>
              </w:rPr>
              <w:t>15A.14</w:t>
            </w:r>
            <w:bookmarkEnd w:id="66"/>
            <w:proofErr w:type="spellEnd"/>
          </w:p>
        </w:tc>
        <w:tc>
          <w:tcPr>
            <w:tcW w:w="7292" w:type="dxa"/>
            <w:shd w:val="clear" w:color="auto" w:fill="auto"/>
          </w:tcPr>
          <w:p w:rsidR="000E5301" w:rsidRPr="00D16196" w:rsidRDefault="000E5301" w:rsidP="00D16196">
            <w:pPr>
              <w:pStyle w:val="TableBodyText"/>
              <w:jc w:val="left"/>
            </w:pPr>
            <w:r w:rsidRPr="00D16196">
              <w:t>Proportion of children on guardianship/custody orders achieving the national reading and numeracy benchmark</w:t>
            </w:r>
            <w:r w:rsidR="00F719BD" w:rsidRPr="00D16196">
              <w:t>s, Year 7 level (per cent)</w:t>
            </w:r>
          </w:p>
        </w:tc>
      </w:tr>
      <w:tr w:rsidR="000E5301" w:rsidRPr="00D16196" w:rsidTr="00AB22EC">
        <w:trPr>
          <w:trHeight w:val="357"/>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7" w:name="OLE_LINK72"/>
            <w:proofErr w:type="spellStart"/>
            <w:r w:rsidRPr="00D16196">
              <w:rPr>
                <w:b/>
              </w:rPr>
              <w:t>15A.15</w:t>
            </w:r>
            <w:bookmarkEnd w:id="67"/>
            <w:proofErr w:type="spellEnd"/>
          </w:p>
        </w:tc>
        <w:tc>
          <w:tcPr>
            <w:tcW w:w="7292" w:type="dxa"/>
            <w:shd w:val="clear" w:color="auto" w:fill="auto"/>
          </w:tcPr>
          <w:p w:rsidR="000E5301" w:rsidRPr="00D16196" w:rsidRDefault="000E5301" w:rsidP="00D16196">
            <w:pPr>
              <w:pStyle w:val="TableBodyText"/>
              <w:jc w:val="left"/>
            </w:pPr>
            <w:r w:rsidRPr="00D16196">
              <w:t>Response ti</w:t>
            </w:r>
            <w:r w:rsidR="00F719BD" w:rsidRPr="00D16196">
              <w:t>me to commence investigation</w:t>
            </w:r>
          </w:p>
        </w:tc>
      </w:tr>
      <w:tr w:rsidR="000E5301" w:rsidRPr="00D16196" w:rsidTr="00AB22EC">
        <w:trPr>
          <w:trHeight w:val="357"/>
        </w:trPr>
        <w:tc>
          <w:tcPr>
            <w:tcW w:w="1418" w:type="dxa"/>
            <w:shd w:val="clear" w:color="auto" w:fill="auto"/>
          </w:tcPr>
          <w:p w:rsidR="000E5301" w:rsidRPr="00D16196" w:rsidRDefault="000E5301" w:rsidP="00D16196">
            <w:pPr>
              <w:pStyle w:val="TableBodyText"/>
              <w:keepNext w:val="0"/>
              <w:keepLines w:val="0"/>
              <w:widowControl w:val="0"/>
              <w:jc w:val="left"/>
              <w:rPr>
                <w:b/>
              </w:rPr>
            </w:pPr>
            <w:r w:rsidRPr="00D16196">
              <w:rPr>
                <w:b/>
              </w:rPr>
              <w:t xml:space="preserve">Table </w:t>
            </w:r>
            <w:bookmarkStart w:id="68" w:name="OLE_LINK73"/>
            <w:proofErr w:type="spellStart"/>
            <w:r w:rsidRPr="00D16196">
              <w:rPr>
                <w:b/>
              </w:rPr>
              <w:t>15A.16</w:t>
            </w:r>
            <w:bookmarkEnd w:id="68"/>
            <w:proofErr w:type="spellEnd"/>
          </w:p>
        </w:tc>
        <w:tc>
          <w:tcPr>
            <w:tcW w:w="7292" w:type="dxa"/>
            <w:shd w:val="clear" w:color="auto" w:fill="auto"/>
          </w:tcPr>
          <w:p w:rsidR="000E5301" w:rsidRPr="00D16196" w:rsidRDefault="000E5301" w:rsidP="00D16196">
            <w:pPr>
              <w:pStyle w:val="TableBodyText"/>
              <w:jc w:val="left"/>
            </w:pPr>
            <w:r w:rsidRPr="00D16196">
              <w:t>Response t</w:t>
            </w:r>
            <w:r w:rsidR="00F719BD" w:rsidRPr="00D16196">
              <w:t>ime to complete investigation</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69" w:name="OLE_LINK96"/>
            <w:proofErr w:type="spellStart"/>
            <w:r w:rsidRPr="00D16196">
              <w:rPr>
                <w:b/>
              </w:rPr>
              <w:t>15A.17</w:t>
            </w:r>
            <w:bookmarkEnd w:id="69"/>
            <w:proofErr w:type="spellEnd"/>
          </w:p>
        </w:tc>
        <w:tc>
          <w:tcPr>
            <w:tcW w:w="7292" w:type="dxa"/>
            <w:shd w:val="clear" w:color="auto" w:fill="auto"/>
          </w:tcPr>
          <w:p w:rsidR="00AA5EE9" w:rsidRPr="00D16196" w:rsidRDefault="00AA5EE9" w:rsidP="00D16196">
            <w:pPr>
              <w:pStyle w:val="TableBodyText"/>
              <w:jc w:val="left"/>
            </w:pPr>
            <w:r w:rsidRPr="00D16196">
              <w:t xml:space="preserve">Children with documented case plans, by Indigenous status, at 30 June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0" w:name="OLE_LINK5"/>
            <w:proofErr w:type="spellStart"/>
            <w:r w:rsidRPr="00D16196">
              <w:rPr>
                <w:b/>
              </w:rPr>
              <w:t>15A.18</w:t>
            </w:r>
            <w:bookmarkEnd w:id="70"/>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number and rate per 1000 children aged 0–17 years by Indigenous status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1" w:name="OLE_LINK6"/>
            <w:proofErr w:type="spellStart"/>
            <w:r w:rsidRPr="00D16196">
              <w:rPr>
                <w:b/>
              </w:rPr>
              <w:t>15A.19</w:t>
            </w:r>
            <w:bookmarkEnd w:id="71"/>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by Indigenous status and placement type, 30 June (number)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2" w:name="OLE_LINK7"/>
            <w:proofErr w:type="spellStart"/>
            <w:r w:rsidRPr="00D16196">
              <w:rPr>
                <w:b/>
              </w:rPr>
              <w:t>15A.20</w:t>
            </w:r>
            <w:bookmarkEnd w:id="72"/>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by Indigenous status and whether on a care and protection order, 30 June (number)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3" w:name="OLE_LINK8"/>
            <w:proofErr w:type="spellStart"/>
            <w:r w:rsidRPr="00D16196">
              <w:rPr>
                <w:b/>
              </w:rPr>
              <w:t>15A.21</w:t>
            </w:r>
            <w:bookmarkEnd w:id="73"/>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by Indigenous status and length of time in continuous out-of-home care, 30 June (number)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4" w:name="OLE_LINK9"/>
            <w:proofErr w:type="spellStart"/>
            <w:r w:rsidRPr="00D16196">
              <w:rPr>
                <w:b/>
              </w:rPr>
              <w:t>15A.22</w:t>
            </w:r>
            <w:bookmarkEnd w:id="74"/>
            <w:proofErr w:type="spellEnd"/>
          </w:p>
        </w:tc>
        <w:tc>
          <w:tcPr>
            <w:tcW w:w="7292" w:type="dxa"/>
            <w:shd w:val="clear" w:color="auto" w:fill="auto"/>
          </w:tcPr>
          <w:p w:rsidR="00AA5EE9" w:rsidRPr="00D16196" w:rsidRDefault="00AA5EE9" w:rsidP="00D16196">
            <w:pPr>
              <w:pStyle w:val="TableBodyText"/>
              <w:jc w:val="left"/>
            </w:pPr>
            <w:r w:rsidRPr="00D16196">
              <w:t xml:space="preserve">Children who exited out-of-home care during the year by Indigenous status and length of time spent in out-of-home care (number)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5" w:name="OLE_LINK82"/>
            <w:proofErr w:type="spellStart"/>
            <w:r w:rsidRPr="00D16196">
              <w:rPr>
                <w:b/>
              </w:rPr>
              <w:t>15A.23</w:t>
            </w:r>
            <w:bookmarkEnd w:id="75"/>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placed with relatives/kin by Indigenous status, 30 June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6" w:name="OLE_LINK83"/>
            <w:proofErr w:type="spellStart"/>
            <w:r w:rsidRPr="00D16196">
              <w:rPr>
                <w:b/>
              </w:rPr>
              <w:t>15A.24</w:t>
            </w:r>
            <w:bookmarkEnd w:id="76"/>
            <w:proofErr w:type="spellEnd"/>
          </w:p>
        </w:tc>
        <w:tc>
          <w:tcPr>
            <w:tcW w:w="7292" w:type="dxa"/>
            <w:shd w:val="clear" w:color="auto" w:fill="auto"/>
          </w:tcPr>
          <w:p w:rsidR="00AA5EE9" w:rsidRPr="00D16196" w:rsidRDefault="00AA5EE9" w:rsidP="00D16196">
            <w:pPr>
              <w:pStyle w:val="TableBodyText"/>
              <w:jc w:val="left"/>
            </w:pPr>
            <w:r w:rsidRPr="00D16196">
              <w:t xml:space="preserve">Aboriginal and Torres Strait Islander children in out-of-home care by relationship of caregiver, 30 June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7" w:name="OLE_LINK81"/>
            <w:proofErr w:type="spellStart"/>
            <w:r w:rsidRPr="00D16196">
              <w:rPr>
                <w:b/>
              </w:rPr>
              <w:t>15A.25</w:t>
            </w:r>
            <w:bookmarkEnd w:id="77"/>
            <w:proofErr w:type="spellEnd"/>
          </w:p>
        </w:tc>
        <w:tc>
          <w:tcPr>
            <w:tcW w:w="7292" w:type="dxa"/>
            <w:shd w:val="clear" w:color="auto" w:fill="auto"/>
          </w:tcPr>
          <w:p w:rsidR="00AA5EE9" w:rsidRPr="00D16196" w:rsidRDefault="00AA5EE9" w:rsidP="00D16196">
            <w:pPr>
              <w:pStyle w:val="TableBodyText"/>
              <w:jc w:val="left"/>
            </w:pPr>
            <w:r w:rsidRPr="00D16196">
              <w:t xml:space="preserve">Children aged under 12 years in out-of-home care and in a home-based placement, by Indigenous status, 30 June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8" w:name="OLE_LINK80"/>
            <w:proofErr w:type="spellStart"/>
            <w:r w:rsidRPr="00D16196">
              <w:rPr>
                <w:b/>
              </w:rPr>
              <w:t>15A.26</w:t>
            </w:r>
            <w:bookmarkEnd w:id="78"/>
            <w:proofErr w:type="spellEnd"/>
          </w:p>
        </w:tc>
        <w:tc>
          <w:tcPr>
            <w:tcW w:w="7292" w:type="dxa"/>
            <w:shd w:val="clear" w:color="auto" w:fill="auto"/>
          </w:tcPr>
          <w:p w:rsidR="00AA5EE9" w:rsidRPr="00D16196" w:rsidRDefault="00AA5EE9" w:rsidP="00D16196">
            <w:pPr>
              <w:pStyle w:val="TableBodyText"/>
              <w:jc w:val="left"/>
            </w:pPr>
            <w:r w:rsidRPr="00D16196">
              <w:t xml:space="preserve">Children on a care and protection order and exiting out-of-home care during the year by number of placements, by the length of time in out-of-home care (number)     </w:t>
            </w:r>
          </w:p>
        </w:tc>
      </w:tr>
      <w:tr w:rsidR="00AA5EE9" w:rsidRPr="00D16196" w:rsidTr="00AB22EC">
        <w:trPr>
          <w:trHeight w:val="868"/>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79" w:name="OLE_LINK79"/>
            <w:proofErr w:type="spellStart"/>
            <w:r w:rsidRPr="00D16196">
              <w:rPr>
                <w:b/>
              </w:rPr>
              <w:t>15A.27</w:t>
            </w:r>
            <w:bookmarkEnd w:id="79"/>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by whether they were the subject of a child protection substantiation and the person believed responsible was living in the household providing out-of-home care      </w:t>
            </w:r>
          </w:p>
        </w:tc>
      </w:tr>
      <w:tr w:rsidR="00AA5EE9" w:rsidRPr="00D16196" w:rsidTr="00AB22EC">
        <w:trPr>
          <w:cantSplit/>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80" w:name="OLE_LINK78"/>
            <w:proofErr w:type="spellStart"/>
            <w:r w:rsidRPr="00D16196">
              <w:rPr>
                <w:b/>
              </w:rPr>
              <w:t>15A.28</w:t>
            </w:r>
            <w:bookmarkEnd w:id="80"/>
            <w:proofErr w:type="spellEnd"/>
          </w:p>
        </w:tc>
        <w:tc>
          <w:tcPr>
            <w:tcW w:w="7292" w:type="dxa"/>
            <w:shd w:val="clear" w:color="auto" w:fill="auto"/>
          </w:tcPr>
          <w:p w:rsidR="00AA5EE9" w:rsidRPr="00D16196" w:rsidRDefault="00AA5EE9" w:rsidP="00D16196">
            <w:pPr>
              <w:pStyle w:val="TableBodyText"/>
              <w:jc w:val="left"/>
            </w:pPr>
            <w:r w:rsidRPr="00D16196">
              <w:t xml:space="preserve">Children in out-of-home care who were the subject of a substantiation of sexual abuse, physical abuse, emotional abuse or neglect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81" w:name="OLE_LINK98"/>
            <w:proofErr w:type="spellStart"/>
            <w:r w:rsidRPr="00D16196">
              <w:rPr>
                <w:b/>
              </w:rPr>
              <w:t>15A.29</w:t>
            </w:r>
            <w:bookmarkEnd w:id="81"/>
            <w:proofErr w:type="spellEnd"/>
          </w:p>
        </w:tc>
        <w:tc>
          <w:tcPr>
            <w:tcW w:w="7292" w:type="dxa"/>
            <w:shd w:val="clear" w:color="auto" w:fill="auto"/>
          </w:tcPr>
          <w:p w:rsidR="00AA5EE9" w:rsidRPr="00D16196" w:rsidRDefault="00AA5EE9" w:rsidP="00D16196">
            <w:pPr>
              <w:pStyle w:val="TableBodyText"/>
              <w:jc w:val="left"/>
            </w:pPr>
            <w:r w:rsidRPr="00D16196">
              <w:t xml:space="preserve">Out-of-home care expenditure per placement night  </w:t>
            </w:r>
          </w:p>
        </w:tc>
      </w:tr>
      <w:tr w:rsidR="00AA5EE9" w:rsidRPr="00D16196" w:rsidTr="00AB22EC">
        <w:trPr>
          <w:trHeight w:val="868"/>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bookmarkStart w:id="82" w:name="OLE_LINK11"/>
            <w:proofErr w:type="spellStart"/>
            <w:r w:rsidRPr="00D16196">
              <w:rPr>
                <w:b/>
              </w:rPr>
              <w:t>15A.30</w:t>
            </w:r>
            <w:bookmarkEnd w:id="82"/>
            <w:proofErr w:type="spellEnd"/>
          </w:p>
        </w:tc>
        <w:tc>
          <w:tcPr>
            <w:tcW w:w="7292" w:type="dxa"/>
            <w:shd w:val="clear" w:color="auto" w:fill="auto"/>
          </w:tcPr>
          <w:p w:rsidR="00AA5EE9" w:rsidRPr="00D16196" w:rsidRDefault="00AA5EE9" w:rsidP="00D16196">
            <w:pPr>
              <w:pStyle w:val="TableBodyText"/>
              <w:jc w:val="left"/>
            </w:pPr>
            <w:r w:rsidRPr="00D16196">
              <w:t xml:space="preserve">Intensive family support services: total real recurrent expenditure, number of children aged 0-17 years commencing intensive family support services and real recurrent expenditure per child (2014-15 dollars)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proofErr w:type="spellStart"/>
            <w:r w:rsidRPr="00D16196">
              <w:rPr>
                <w:b/>
              </w:rPr>
              <w:t>15A.31</w:t>
            </w:r>
            <w:proofErr w:type="spellEnd"/>
          </w:p>
        </w:tc>
        <w:tc>
          <w:tcPr>
            <w:tcW w:w="7292" w:type="dxa"/>
            <w:shd w:val="clear" w:color="auto" w:fill="auto"/>
          </w:tcPr>
          <w:p w:rsidR="00AA5EE9" w:rsidRPr="00D16196" w:rsidRDefault="00AA5EE9" w:rsidP="00D16196">
            <w:pPr>
              <w:pStyle w:val="TableBodyText"/>
              <w:jc w:val="left"/>
            </w:pPr>
            <w:r w:rsidRPr="00D16196">
              <w:t xml:space="preserve">Intensive family support services: number of children aged 0–17 years commencing intensive family support services by Indigenous status and gender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proofErr w:type="spellStart"/>
            <w:r w:rsidRPr="00D16196">
              <w:rPr>
                <w:b/>
              </w:rPr>
              <w:t>15A.32</w:t>
            </w:r>
            <w:proofErr w:type="spellEnd"/>
          </w:p>
        </w:tc>
        <w:tc>
          <w:tcPr>
            <w:tcW w:w="7292" w:type="dxa"/>
            <w:shd w:val="clear" w:color="auto" w:fill="auto"/>
          </w:tcPr>
          <w:p w:rsidR="00AA5EE9" w:rsidRPr="00D16196" w:rsidRDefault="00AA5EE9" w:rsidP="00D16196">
            <w:pPr>
              <w:pStyle w:val="TableBodyText"/>
              <w:jc w:val="left"/>
            </w:pPr>
            <w:r w:rsidRPr="00D16196">
              <w:t xml:space="preserve">Intensive family support services: number of children aged 0–17 years commencing intensive family support services by age    </w:t>
            </w:r>
          </w:p>
        </w:tc>
      </w:tr>
      <w:tr w:rsidR="00AA5EE9" w:rsidRPr="00D16196" w:rsidTr="00AB22EC">
        <w:trPr>
          <w:trHeight w:val="612"/>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proofErr w:type="spellStart"/>
            <w:r w:rsidRPr="00D16196">
              <w:rPr>
                <w:b/>
              </w:rPr>
              <w:t>15A.</w:t>
            </w:r>
            <w:bookmarkStart w:id="83" w:name="OLE_LINK18"/>
            <w:r w:rsidRPr="00D16196">
              <w:rPr>
                <w:b/>
              </w:rPr>
              <w:t>33</w:t>
            </w:r>
            <w:bookmarkEnd w:id="83"/>
            <w:proofErr w:type="spellEnd"/>
          </w:p>
        </w:tc>
        <w:tc>
          <w:tcPr>
            <w:tcW w:w="7292" w:type="dxa"/>
            <w:shd w:val="clear" w:color="auto" w:fill="auto"/>
          </w:tcPr>
          <w:p w:rsidR="00AA5EE9" w:rsidRPr="00D16196" w:rsidRDefault="00AA5EE9" w:rsidP="00D16196">
            <w:pPr>
              <w:pStyle w:val="TableBodyText"/>
              <w:jc w:val="left"/>
            </w:pPr>
            <w:r w:rsidRPr="00D16196">
              <w:t xml:space="preserve">Intensive family support services: number of children aged 0–17 years in intensive family support services by living situation at commencement of the program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proofErr w:type="spellStart"/>
            <w:r w:rsidRPr="00D16196">
              <w:rPr>
                <w:b/>
              </w:rPr>
              <w:t>15A.34</w:t>
            </w:r>
            <w:proofErr w:type="spellEnd"/>
          </w:p>
        </w:tc>
        <w:tc>
          <w:tcPr>
            <w:tcW w:w="7292" w:type="dxa"/>
            <w:shd w:val="clear" w:color="auto" w:fill="auto"/>
          </w:tcPr>
          <w:p w:rsidR="00AA5EE9" w:rsidRPr="00D16196" w:rsidRDefault="00AA5EE9" w:rsidP="00D16196">
            <w:pPr>
              <w:pStyle w:val="TableBodyText"/>
              <w:jc w:val="left"/>
            </w:pPr>
            <w:r w:rsidRPr="00D16196">
              <w:t xml:space="preserve">Target population data used for annual data, December ('000)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rPr>
                <w:b/>
              </w:rPr>
            </w:pPr>
            <w:r w:rsidRPr="00D16196">
              <w:rPr>
                <w:b/>
              </w:rPr>
              <w:t xml:space="preserve">Table </w:t>
            </w:r>
            <w:proofErr w:type="spellStart"/>
            <w:r w:rsidRPr="00D16196">
              <w:rPr>
                <w:b/>
              </w:rPr>
              <w:t>15A.35</w:t>
            </w:r>
            <w:proofErr w:type="spellEnd"/>
          </w:p>
        </w:tc>
        <w:tc>
          <w:tcPr>
            <w:tcW w:w="7292" w:type="dxa"/>
            <w:shd w:val="clear" w:color="auto" w:fill="auto"/>
          </w:tcPr>
          <w:p w:rsidR="00AA5EE9" w:rsidRPr="00D16196" w:rsidRDefault="00AA5EE9" w:rsidP="00D16196">
            <w:pPr>
              <w:pStyle w:val="TableBodyText"/>
              <w:jc w:val="left"/>
            </w:pPr>
            <w:r w:rsidRPr="00D16196">
              <w:t xml:space="preserve">Target population data used for end of financial year data, March ('000)   </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pPr>
            <w:r w:rsidRPr="00D16196">
              <w:rPr>
                <w:b/>
              </w:rPr>
              <w:t xml:space="preserve">Table </w:t>
            </w:r>
            <w:proofErr w:type="spellStart"/>
            <w:r w:rsidRPr="00D16196">
              <w:rPr>
                <w:b/>
              </w:rPr>
              <w:t>15A.36</w:t>
            </w:r>
            <w:proofErr w:type="spellEnd"/>
          </w:p>
        </w:tc>
        <w:tc>
          <w:tcPr>
            <w:tcW w:w="7292" w:type="dxa"/>
            <w:shd w:val="clear" w:color="auto" w:fill="auto"/>
          </w:tcPr>
          <w:p w:rsidR="00AA5EE9" w:rsidRPr="00D16196" w:rsidRDefault="00AA5EE9" w:rsidP="00D16196">
            <w:pPr>
              <w:pStyle w:val="TableBodyText"/>
              <w:jc w:val="left"/>
            </w:pPr>
            <w:r w:rsidRPr="00D16196">
              <w:t>Initiatives to provide additional protection for child protection clients</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pPr>
            <w:r w:rsidRPr="00D16196">
              <w:rPr>
                <w:b/>
              </w:rPr>
              <w:lastRenderedPageBreak/>
              <w:t xml:space="preserve">Table </w:t>
            </w:r>
            <w:proofErr w:type="spellStart"/>
            <w:r w:rsidRPr="00D16196">
              <w:rPr>
                <w:b/>
              </w:rPr>
              <w:t>15A.37</w:t>
            </w:r>
            <w:proofErr w:type="spellEnd"/>
          </w:p>
        </w:tc>
        <w:tc>
          <w:tcPr>
            <w:tcW w:w="7292" w:type="dxa"/>
            <w:shd w:val="clear" w:color="auto" w:fill="auto"/>
          </w:tcPr>
          <w:p w:rsidR="00AA5EE9" w:rsidRPr="00D16196" w:rsidRDefault="00AA5EE9" w:rsidP="00D16196">
            <w:pPr>
              <w:pStyle w:val="TableBodyText"/>
              <w:jc w:val="left"/>
            </w:pPr>
            <w:r w:rsidRPr="00D16196">
              <w:t>Developments in client satisfaction</w:t>
            </w:r>
          </w:p>
        </w:tc>
      </w:tr>
      <w:tr w:rsidR="00AA5EE9" w:rsidRPr="00D16196" w:rsidTr="00AB22EC">
        <w:trPr>
          <w:trHeight w:val="357"/>
        </w:trPr>
        <w:tc>
          <w:tcPr>
            <w:tcW w:w="1418" w:type="dxa"/>
            <w:shd w:val="clear" w:color="auto" w:fill="auto"/>
          </w:tcPr>
          <w:p w:rsidR="00AA5EE9" w:rsidRPr="00D16196" w:rsidRDefault="00AA5EE9" w:rsidP="00D16196">
            <w:pPr>
              <w:pStyle w:val="TableBodyText"/>
              <w:keepNext w:val="0"/>
              <w:keepLines w:val="0"/>
              <w:widowControl w:val="0"/>
              <w:jc w:val="left"/>
            </w:pPr>
            <w:r w:rsidRPr="00D16196">
              <w:rPr>
                <w:b/>
              </w:rPr>
              <w:t xml:space="preserve">Table </w:t>
            </w:r>
            <w:proofErr w:type="spellStart"/>
            <w:r w:rsidRPr="00D16196">
              <w:rPr>
                <w:b/>
              </w:rPr>
              <w:t>15A.38</w:t>
            </w:r>
            <w:proofErr w:type="spellEnd"/>
          </w:p>
        </w:tc>
        <w:tc>
          <w:tcPr>
            <w:tcW w:w="7292" w:type="dxa"/>
            <w:shd w:val="clear" w:color="auto" w:fill="auto"/>
          </w:tcPr>
          <w:p w:rsidR="00AA5EE9" w:rsidRPr="00D16196" w:rsidRDefault="00AA5EE9" w:rsidP="00D16196">
            <w:pPr>
              <w:pStyle w:val="TableBodyText"/>
              <w:jc w:val="left"/>
            </w:pPr>
            <w:r w:rsidRPr="00D16196">
              <w:t>General Government Final Consumption Expenditure (</w:t>
            </w:r>
            <w:proofErr w:type="spellStart"/>
            <w:r w:rsidRPr="00D16196">
              <w:t>GGFCE</w:t>
            </w:r>
            <w:proofErr w:type="spellEnd"/>
            <w:r w:rsidRPr="00D16196">
              <w:t>) chain price deflator  (index)</w:t>
            </w:r>
          </w:p>
        </w:tc>
      </w:tr>
    </w:tbl>
    <w:p w:rsidR="006842D6" w:rsidRPr="00D16196" w:rsidRDefault="00E7006F" w:rsidP="00D16196">
      <w:pPr>
        <w:pStyle w:val="Heading2"/>
      </w:pPr>
      <w:bookmarkStart w:id="84" w:name="_Toc369851917"/>
      <w:bookmarkStart w:id="85" w:name="_Toc432581230"/>
      <w:r w:rsidRPr="00D16196">
        <w:t>15.</w:t>
      </w:r>
      <w:r w:rsidR="00922EBC" w:rsidRPr="00D16196">
        <w:t>7</w:t>
      </w:r>
      <w:r w:rsidR="006842D6" w:rsidRPr="00D16196">
        <w:tab/>
        <w:t>References</w:t>
      </w:r>
      <w:bookmarkEnd w:id="84"/>
      <w:bookmarkEnd w:id="85"/>
    </w:p>
    <w:p w:rsidR="00CF1BCF" w:rsidRPr="00D16196" w:rsidRDefault="00E07C26" w:rsidP="00D16196">
      <w:pPr>
        <w:pStyle w:val="Reference"/>
      </w:pPr>
      <w:proofErr w:type="spellStart"/>
      <w:r w:rsidRPr="00D16196">
        <w:t>ACARA</w:t>
      </w:r>
      <w:proofErr w:type="spellEnd"/>
      <w:r w:rsidRPr="00D16196">
        <w:t xml:space="preserve"> (</w:t>
      </w:r>
      <w:r w:rsidR="00F015BB" w:rsidRPr="00D16196">
        <w:t>Australian Curriculum, Assessmen</w:t>
      </w:r>
      <w:r w:rsidRPr="00D16196">
        <w:t>t and Reporting Authority</w:t>
      </w:r>
      <w:r w:rsidR="00F015BB" w:rsidRPr="00D16196">
        <w:t xml:space="preserve">) </w:t>
      </w:r>
      <w:r w:rsidR="00850EE7" w:rsidRPr="00D16196">
        <w:t>2013</w:t>
      </w:r>
      <w:r w:rsidR="00CF1BCF" w:rsidRPr="00D16196">
        <w:t xml:space="preserve">, </w:t>
      </w:r>
      <w:proofErr w:type="spellStart"/>
      <w:r w:rsidR="00CF1BCF" w:rsidRPr="00D16196">
        <w:rPr>
          <w:i/>
        </w:rPr>
        <w:t>NAPLAN</w:t>
      </w:r>
      <w:proofErr w:type="spellEnd"/>
      <w:r w:rsidR="00CF1BCF" w:rsidRPr="00D16196">
        <w:rPr>
          <w:i/>
        </w:rPr>
        <w:t xml:space="preserve"> </w:t>
      </w:r>
      <w:r w:rsidR="00D115F7" w:rsidRPr="00D16196">
        <w:rPr>
          <w:i/>
        </w:rPr>
        <w:t>Achievement in Reading, Persuasive Writing, Language Conventions and Numeracy</w:t>
      </w:r>
      <w:r w:rsidR="00CF1BCF" w:rsidRPr="00D16196">
        <w:rPr>
          <w:i/>
        </w:rPr>
        <w:t>: National Report for 201</w:t>
      </w:r>
      <w:r w:rsidR="00850EE7" w:rsidRPr="00D16196">
        <w:rPr>
          <w:i/>
        </w:rPr>
        <w:t>3</w:t>
      </w:r>
      <w:r w:rsidR="00CF1BCF" w:rsidRPr="00D16196">
        <w:t xml:space="preserve">, </w:t>
      </w:r>
      <w:proofErr w:type="spellStart"/>
      <w:r w:rsidR="00CF1BCF" w:rsidRPr="00D16196">
        <w:t>ACARA</w:t>
      </w:r>
      <w:proofErr w:type="spellEnd"/>
      <w:r w:rsidR="00CF1BCF" w:rsidRPr="00D16196">
        <w:t>, Sydney.</w:t>
      </w:r>
    </w:p>
    <w:p w:rsidR="00263D70" w:rsidRPr="00D16196" w:rsidRDefault="00DC4177" w:rsidP="00D16196">
      <w:pPr>
        <w:pStyle w:val="Reference"/>
      </w:pPr>
      <w:proofErr w:type="spellStart"/>
      <w:r w:rsidRPr="00D16196">
        <w:t>AIHW</w:t>
      </w:r>
      <w:proofErr w:type="spellEnd"/>
      <w:r w:rsidRPr="00D16196">
        <w:t xml:space="preserve"> (Australian Institute of Hea</w:t>
      </w:r>
      <w:r w:rsidR="00F11A5C" w:rsidRPr="00D16196">
        <w:t>l</w:t>
      </w:r>
      <w:r w:rsidRPr="00D16196">
        <w:t xml:space="preserve">th and Welfare) </w:t>
      </w:r>
      <w:proofErr w:type="spellStart"/>
      <w:r w:rsidR="00263D70" w:rsidRPr="00D16196">
        <w:t>2015</w:t>
      </w:r>
      <w:r w:rsidR="007D1DC7" w:rsidRPr="00D16196">
        <w:t>a</w:t>
      </w:r>
      <w:proofErr w:type="spellEnd"/>
      <w:r w:rsidR="00263D70" w:rsidRPr="00D16196">
        <w:t xml:space="preserve">, </w:t>
      </w:r>
      <w:r w:rsidR="00263D70" w:rsidRPr="00D16196">
        <w:rPr>
          <w:i/>
        </w:rPr>
        <w:t>Child Protection Australia 2013</w:t>
      </w:r>
      <w:r w:rsidR="00263D70" w:rsidRPr="00D16196">
        <w:rPr>
          <w:i/>
        </w:rPr>
        <w:noBreakHyphen/>
        <w:t xml:space="preserve">14, </w:t>
      </w:r>
      <w:r w:rsidR="00263D70" w:rsidRPr="00D16196">
        <w:t xml:space="preserve">Child Welfare series no. 61. Cat. no. </w:t>
      </w:r>
      <w:proofErr w:type="spellStart"/>
      <w:r w:rsidR="00263D70" w:rsidRPr="00D16196">
        <w:t>CWS</w:t>
      </w:r>
      <w:proofErr w:type="spellEnd"/>
      <w:r w:rsidR="00263D70" w:rsidRPr="00D16196">
        <w:t xml:space="preserve"> 52, </w:t>
      </w:r>
      <w:proofErr w:type="spellStart"/>
      <w:r w:rsidR="00263D70" w:rsidRPr="00D16196">
        <w:t>AIHW</w:t>
      </w:r>
      <w:proofErr w:type="spellEnd"/>
      <w:r w:rsidR="00263D70" w:rsidRPr="00D16196">
        <w:t>, Canberra.</w:t>
      </w:r>
    </w:p>
    <w:p w:rsidR="007D1DC7" w:rsidRPr="00D16196" w:rsidRDefault="00263D70" w:rsidP="00D16196">
      <w:pPr>
        <w:pStyle w:val="Reference"/>
      </w:pPr>
      <w:r w:rsidRPr="00D16196">
        <w:t xml:space="preserve">—— </w:t>
      </w:r>
      <w:proofErr w:type="spellStart"/>
      <w:r w:rsidR="007D1DC7" w:rsidRPr="00D16196">
        <w:t>2015b</w:t>
      </w:r>
      <w:proofErr w:type="spellEnd"/>
      <w:r w:rsidR="007D1DC7" w:rsidRPr="00D16196">
        <w:t xml:space="preserve">, </w:t>
      </w:r>
      <w:r w:rsidR="007D1DC7" w:rsidRPr="00D16196">
        <w:rPr>
          <w:i/>
        </w:rPr>
        <w:t xml:space="preserve">Educational outcomes for children in care: Linking 2013 child protection and </w:t>
      </w:r>
      <w:proofErr w:type="spellStart"/>
      <w:r w:rsidR="007D1DC7" w:rsidRPr="00D16196">
        <w:rPr>
          <w:i/>
        </w:rPr>
        <w:t>NAPLAN</w:t>
      </w:r>
      <w:proofErr w:type="spellEnd"/>
      <w:r w:rsidR="007D1DC7" w:rsidRPr="00D16196">
        <w:rPr>
          <w:i/>
        </w:rPr>
        <w:t xml:space="preserve"> data, </w:t>
      </w:r>
      <w:r w:rsidR="007D1DC7" w:rsidRPr="00D16196">
        <w:t xml:space="preserve">Cat. no. </w:t>
      </w:r>
      <w:proofErr w:type="spellStart"/>
      <w:r w:rsidR="007D1DC7" w:rsidRPr="00D16196">
        <w:t>CWS</w:t>
      </w:r>
      <w:proofErr w:type="spellEnd"/>
      <w:r w:rsidR="007D1DC7" w:rsidRPr="00D16196">
        <w:t xml:space="preserve"> 54, </w:t>
      </w:r>
      <w:proofErr w:type="spellStart"/>
      <w:r w:rsidR="007D1DC7" w:rsidRPr="00D16196">
        <w:t>AIHW</w:t>
      </w:r>
      <w:proofErr w:type="spellEnd"/>
      <w:r w:rsidR="007D1DC7" w:rsidRPr="00D16196">
        <w:t>, Canberra.</w:t>
      </w:r>
    </w:p>
    <w:p w:rsidR="009A00B3" w:rsidRPr="00D16196" w:rsidRDefault="007D1DC7" w:rsidP="00D16196">
      <w:pPr>
        <w:pStyle w:val="Reference"/>
      </w:pPr>
      <w:r w:rsidRPr="00D16196">
        <w:t xml:space="preserve">—— </w:t>
      </w:r>
      <w:r w:rsidR="009A00B3" w:rsidRPr="00D16196">
        <w:t xml:space="preserve">2014, </w:t>
      </w:r>
      <w:r w:rsidR="009A00B3" w:rsidRPr="00D16196">
        <w:rPr>
          <w:i/>
        </w:rPr>
        <w:t>Indigenous child safety</w:t>
      </w:r>
      <w:r w:rsidR="009A00B3" w:rsidRPr="00D16196">
        <w:t xml:space="preserve">, Cat. no. </w:t>
      </w:r>
      <w:proofErr w:type="spellStart"/>
      <w:r w:rsidR="009A00B3" w:rsidRPr="00D16196">
        <w:t>IHW</w:t>
      </w:r>
      <w:proofErr w:type="spellEnd"/>
      <w:r w:rsidR="009A00B3" w:rsidRPr="00D16196">
        <w:t xml:space="preserve"> 127, </w:t>
      </w:r>
      <w:proofErr w:type="spellStart"/>
      <w:r w:rsidR="009A00B3" w:rsidRPr="00D16196">
        <w:t>AIHW</w:t>
      </w:r>
      <w:proofErr w:type="spellEnd"/>
      <w:r w:rsidR="009A00B3" w:rsidRPr="00D16196">
        <w:t>, Canberra.</w:t>
      </w:r>
    </w:p>
    <w:p w:rsidR="006D4BF9" w:rsidRPr="00D16196" w:rsidRDefault="006D4BF9" w:rsidP="00D16196">
      <w:pPr>
        <w:pStyle w:val="Reference"/>
      </w:pPr>
      <w:proofErr w:type="spellStart"/>
      <w:r w:rsidRPr="00D16196">
        <w:t>Bamblett</w:t>
      </w:r>
      <w:proofErr w:type="spellEnd"/>
      <w:r w:rsidRPr="00D16196">
        <w:t xml:space="preserve">, M., Bath, H. and </w:t>
      </w:r>
      <w:proofErr w:type="spellStart"/>
      <w:r w:rsidRPr="00D16196">
        <w:t>Roseby</w:t>
      </w:r>
      <w:proofErr w:type="spellEnd"/>
      <w:r w:rsidRPr="00D16196">
        <w:t xml:space="preserve">, R. 2010, </w:t>
      </w:r>
      <w:r w:rsidRPr="00D16196">
        <w:rPr>
          <w:i/>
        </w:rPr>
        <w:t>Growing them Strong, Together: Promoting the safety and wellbeing of the Northern Territory's children, Report of the Board of Inquiry into the Child Protection System in the Northern Territory 2010</w:t>
      </w:r>
      <w:r w:rsidR="009D21FD" w:rsidRPr="00D16196">
        <w:t>,</w:t>
      </w:r>
      <w:r w:rsidRPr="00D16196">
        <w:t xml:space="preserve"> Northern Territory Government</w:t>
      </w:r>
      <w:r w:rsidR="009D21FD" w:rsidRPr="00D16196">
        <w:t>, Darwin</w:t>
      </w:r>
      <w:r w:rsidRPr="00D16196">
        <w:t>.</w:t>
      </w:r>
    </w:p>
    <w:p w:rsidR="00946521" w:rsidRPr="00D16196" w:rsidRDefault="00756469" w:rsidP="00D16196">
      <w:pPr>
        <w:pStyle w:val="Reference"/>
      </w:pPr>
      <w:proofErr w:type="spellStart"/>
      <w:r w:rsidRPr="00D16196">
        <w:t>CFCA</w:t>
      </w:r>
      <w:proofErr w:type="spellEnd"/>
      <w:r w:rsidRPr="00D16196">
        <w:t xml:space="preserve"> (Child, Family, Community, Australia) </w:t>
      </w:r>
      <w:r w:rsidR="00946521" w:rsidRPr="00D16196">
        <w:t xml:space="preserve">2014, </w:t>
      </w:r>
      <w:r w:rsidR="00946521" w:rsidRPr="00D16196">
        <w:rPr>
          <w:i/>
        </w:rPr>
        <w:t>Australian child protection legislation: Resource sheet</w:t>
      </w:r>
      <w:r w:rsidR="00946521" w:rsidRPr="00D16196">
        <w:t xml:space="preserve">, Australian Institute of Family Studies, </w:t>
      </w:r>
      <w:r w:rsidR="00946521" w:rsidRPr="00B1196C">
        <w:t>https://aifs.gov.au/cfca/publications/australian-child-protection-legislation</w:t>
      </w:r>
      <w:r w:rsidR="00946521" w:rsidRPr="00D16196">
        <w:t xml:space="preserve"> (accessed 20 October 2015).</w:t>
      </w:r>
    </w:p>
    <w:p w:rsidR="00756469" w:rsidRPr="00D16196" w:rsidRDefault="00946521" w:rsidP="00D16196">
      <w:pPr>
        <w:pStyle w:val="Reference"/>
      </w:pPr>
      <w:r w:rsidRPr="00D16196">
        <w:t xml:space="preserve">—— </w:t>
      </w:r>
      <w:r w:rsidR="00756469" w:rsidRPr="00D16196">
        <w:t xml:space="preserve">2013, </w:t>
      </w:r>
      <w:r w:rsidR="00756469" w:rsidRPr="00D16196">
        <w:rPr>
          <w:i/>
        </w:rPr>
        <w:t>Risk and protective factors for child abuse and neglect: Resource Sheet,</w:t>
      </w:r>
      <w:r w:rsidR="00756469" w:rsidRPr="00D16196">
        <w:t xml:space="preserve"> Australian Institute of Family Studies, </w:t>
      </w:r>
      <w:r w:rsidR="00756469" w:rsidRPr="00B1196C">
        <w:t>https://aifs.gov.au/cfca/publications/risk-and-protective-factors-child-abuse-and-neglect</w:t>
      </w:r>
      <w:r w:rsidR="00756469" w:rsidRPr="00D16196">
        <w:t xml:space="preserve"> (accessed 20 October 2015).</w:t>
      </w:r>
      <w:r w:rsidRPr="00D16196">
        <w:t xml:space="preserve"> </w:t>
      </w:r>
    </w:p>
    <w:p w:rsidR="00AC2CE5" w:rsidRPr="00D16196" w:rsidRDefault="00AC2CE5" w:rsidP="00D16196">
      <w:pPr>
        <w:pStyle w:val="Reference"/>
      </w:pPr>
      <w:r w:rsidRPr="00D16196">
        <w:t xml:space="preserve">Chisholm, R. 1998, ‘Placement of Indigenous children: Changing the law’, </w:t>
      </w:r>
      <w:r w:rsidRPr="00D16196">
        <w:rPr>
          <w:i/>
        </w:rPr>
        <w:t>University of New South Wales Law Journal</w:t>
      </w:r>
      <w:r w:rsidRPr="00D16196">
        <w:t>, no. 21, pp. 208-212.</w:t>
      </w:r>
    </w:p>
    <w:p w:rsidR="00FC57F3" w:rsidRPr="00D16196" w:rsidRDefault="0055429D" w:rsidP="00D16196">
      <w:pPr>
        <w:pStyle w:val="Reference"/>
      </w:pPr>
      <w:proofErr w:type="spellStart"/>
      <w:r w:rsidRPr="00D16196">
        <w:t>FaHCSIA</w:t>
      </w:r>
      <w:proofErr w:type="spellEnd"/>
      <w:r w:rsidRPr="00D16196">
        <w:t xml:space="preserve"> (Department of Families, </w:t>
      </w:r>
      <w:r w:rsidR="00825E75" w:rsidRPr="00D16196">
        <w:t xml:space="preserve">Housing, </w:t>
      </w:r>
      <w:r w:rsidRPr="00D16196">
        <w:t xml:space="preserve">Community Services and Indigenous Affairs) </w:t>
      </w:r>
      <w:r w:rsidR="00FC57F3" w:rsidRPr="00D16196">
        <w:t xml:space="preserve">2012, </w:t>
      </w:r>
      <w:r w:rsidR="00FC57F3" w:rsidRPr="00D16196">
        <w:rPr>
          <w:i/>
        </w:rPr>
        <w:t>National Framework for Protecting Australia’s Children — Second Three Year Action Plan 2012-2015</w:t>
      </w:r>
      <w:r w:rsidR="00FC57F3" w:rsidRPr="00D16196">
        <w:t xml:space="preserve">. </w:t>
      </w:r>
      <w:proofErr w:type="spellStart"/>
      <w:r w:rsidR="00FC57F3" w:rsidRPr="00D16196">
        <w:t>FaHCSIA</w:t>
      </w:r>
      <w:proofErr w:type="spellEnd"/>
      <w:r w:rsidR="00FC57F3" w:rsidRPr="00D16196">
        <w:t xml:space="preserve">, Canberra </w:t>
      </w:r>
      <w:proofErr w:type="spellStart"/>
      <w:r w:rsidR="00D971D4" w:rsidRPr="00D16196">
        <w:t>www.fahcsia.gov.au</w:t>
      </w:r>
      <w:proofErr w:type="spellEnd"/>
      <w:r w:rsidR="00D971D4" w:rsidRPr="00D16196">
        <w:t>/sites/default/files/ documents/09_2012/</w:t>
      </w:r>
      <w:proofErr w:type="spellStart"/>
      <w:r w:rsidR="00D971D4" w:rsidRPr="00D16196">
        <w:t>second_action_plan.pdf</w:t>
      </w:r>
      <w:proofErr w:type="spellEnd"/>
      <w:r w:rsidR="00F719BD" w:rsidRPr="00D16196">
        <w:t xml:space="preserve"> </w:t>
      </w:r>
      <w:r w:rsidR="00FC57F3" w:rsidRPr="00D16196">
        <w:t>(accessed 13 November 2012).</w:t>
      </w:r>
    </w:p>
    <w:p w:rsidR="00B86921" w:rsidRPr="00D16196" w:rsidRDefault="00B86921" w:rsidP="00D16196">
      <w:pPr>
        <w:pStyle w:val="Reference"/>
      </w:pPr>
      <w:r w:rsidRPr="00D16196">
        <w:t xml:space="preserve">Holzer, P. J., and Bromfield, L. M., 2008, </w:t>
      </w:r>
      <w:proofErr w:type="spellStart"/>
      <w:r w:rsidR="00784AA9" w:rsidRPr="00D16196">
        <w:rPr>
          <w:i/>
        </w:rPr>
        <w:t>NCPASS</w:t>
      </w:r>
      <w:proofErr w:type="spellEnd"/>
      <w:r w:rsidR="00784AA9" w:rsidRPr="00D16196">
        <w:rPr>
          <w:i/>
        </w:rPr>
        <w:t xml:space="preserve"> comparability of child protection data: Project report</w:t>
      </w:r>
      <w:r w:rsidR="00784AA9" w:rsidRPr="00D16196">
        <w:t>, Australian Institute of Family Studies, Melbourne.</w:t>
      </w:r>
    </w:p>
    <w:p w:rsidR="006842D6" w:rsidRPr="00D16196" w:rsidRDefault="00A62542" w:rsidP="00D16196">
      <w:pPr>
        <w:pStyle w:val="Reference"/>
      </w:pPr>
      <w:proofErr w:type="spellStart"/>
      <w:r w:rsidRPr="00D16196">
        <w:t>SCRCSSP</w:t>
      </w:r>
      <w:proofErr w:type="spellEnd"/>
      <w:r w:rsidRPr="00D16196">
        <w:t xml:space="preserve"> (Steering Committee for the Review of Commonwealth/State Service Provision)</w:t>
      </w:r>
      <w:r w:rsidR="006842D6" w:rsidRPr="00D16196">
        <w:t xml:space="preserve"> 2003, </w:t>
      </w:r>
      <w:r w:rsidR="006842D6" w:rsidRPr="00D16196">
        <w:rPr>
          <w:i/>
        </w:rPr>
        <w:t>Efficiency Measures for Child Protection and Support Pathways: Reforms in Government Service Provision</w:t>
      </w:r>
      <w:r w:rsidR="006842D6" w:rsidRPr="00D16196">
        <w:t>, Productivity Commission, Canberra</w:t>
      </w:r>
      <w:r w:rsidRPr="00D16196">
        <w:t>.</w:t>
      </w:r>
    </w:p>
    <w:p w:rsidR="00B1196C" w:rsidRPr="00780638" w:rsidRDefault="004C460B">
      <w:pPr>
        <w:pStyle w:val="Reference"/>
      </w:pPr>
      <w:r w:rsidRPr="00D16196">
        <w:t xml:space="preserve">The Allen Consulting Group 2008, </w:t>
      </w:r>
      <w:r w:rsidRPr="00D16196">
        <w:rPr>
          <w:i/>
        </w:rPr>
        <w:t xml:space="preserve">Inverting the pyramid: Enhancing systems for protecting children, </w:t>
      </w:r>
      <w:r w:rsidRPr="00D16196">
        <w:t>Australian Research Alliance for Children and Youth, Australian Capital Territory.</w:t>
      </w:r>
    </w:p>
    <w:sectPr w:rsidR="00B1196C" w:rsidRPr="00780638" w:rsidSect="00C321E6">
      <w:headerReference w:type="even" r:id="rId77"/>
      <w:headerReference w:type="default" r:id="rId78"/>
      <w:footerReference w:type="even" r:id="rId79"/>
      <w:footerReference w:type="default" r:id="rId80"/>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C40" w:rsidRDefault="00790C40">
      <w:r>
        <w:separator/>
      </w:r>
    </w:p>
  </w:endnote>
  <w:endnote w:type="continuationSeparator" w:id="0">
    <w:p w:rsidR="00790C40" w:rsidRDefault="0079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altName w:val="Times New Roman"/>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0C40" w:rsidTr="008231DD">
      <w:trPr>
        <w:trHeight w:hRule="exact" w:val="567"/>
      </w:trPr>
      <w:tc>
        <w:tcPr>
          <w:tcW w:w="510" w:type="dxa"/>
        </w:tcPr>
        <w:p w:rsidR="00790C40" w:rsidRPr="00A24443" w:rsidRDefault="00790C40" w:rsidP="008231DD">
          <w:pPr>
            <w:pStyle w:val="Footer"/>
            <w:tabs>
              <w:tab w:val="left" w:pos="0"/>
            </w:tabs>
            <w:ind w:right="0"/>
            <w:rPr>
              <w:rStyle w:val="PageNumber"/>
              <w:caps w:val="0"/>
            </w:rPr>
          </w:pPr>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5E1D">
            <w:rPr>
              <w:rStyle w:val="PageNumber"/>
              <w:caps w:val="0"/>
              <w:noProof/>
            </w:rPr>
            <w:t>2</w:t>
          </w:r>
          <w:r w:rsidRPr="00A24443">
            <w:rPr>
              <w:rStyle w:val="PageNumber"/>
              <w:caps w:val="0"/>
            </w:rPr>
            <w:fldChar w:fldCharType="end"/>
          </w:r>
        </w:p>
      </w:tc>
      <w:tc>
        <w:tcPr>
          <w:tcW w:w="7767" w:type="dxa"/>
        </w:tcPr>
        <w:p w:rsidR="00790C40" w:rsidRPr="0013739A" w:rsidRDefault="00790C40" w:rsidP="007808FD">
          <w:pPr>
            <w:pStyle w:val="Footer"/>
            <w:rPr>
              <w:rFonts w:cs="Arial"/>
            </w:rPr>
          </w:pPr>
          <w:r>
            <w:rPr>
              <w:rFonts w:cs="Arial"/>
            </w:rPr>
            <w:t>Report on Government Services 2016</w:t>
          </w:r>
          <w:bookmarkStart w:id="86" w:name="DraftReportEven"/>
          <w:bookmarkEnd w:id="86"/>
        </w:p>
      </w:tc>
      <w:tc>
        <w:tcPr>
          <w:tcW w:w="510" w:type="dxa"/>
        </w:tcPr>
        <w:p w:rsidR="00790C40" w:rsidRDefault="00790C40" w:rsidP="008231DD">
          <w:pPr>
            <w:pStyle w:val="Footer"/>
          </w:pPr>
        </w:p>
      </w:tc>
    </w:tr>
  </w:tbl>
  <w:p w:rsidR="00790C40" w:rsidRDefault="00790C40" w:rsidP="008231DD">
    <w:pPr>
      <w:pStyle w:val="FooterEnd"/>
    </w:pPr>
  </w:p>
  <w:p w:rsidR="00790C40" w:rsidRDefault="00790C4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0C40" w:rsidTr="008231DD">
      <w:trPr>
        <w:trHeight w:hRule="exact" w:val="567"/>
      </w:trPr>
      <w:tc>
        <w:tcPr>
          <w:tcW w:w="510" w:type="dxa"/>
        </w:tcPr>
        <w:p w:rsidR="00790C40" w:rsidRDefault="00790C40">
          <w:pPr>
            <w:pStyle w:val="Footer"/>
            <w:ind w:right="360" w:firstLine="360"/>
          </w:pPr>
        </w:p>
      </w:tc>
      <w:tc>
        <w:tcPr>
          <w:tcW w:w="7767" w:type="dxa"/>
        </w:tcPr>
        <w:p w:rsidR="00790C40" w:rsidRPr="00BA5B14" w:rsidRDefault="00790C40" w:rsidP="008231DD">
          <w:pPr>
            <w:pStyle w:val="Footer"/>
            <w:jc w:val="right"/>
            <w:rPr>
              <w:rFonts w:cs="Arial"/>
            </w:rPr>
          </w:pPr>
          <w:r>
            <w:rPr>
              <w:rFonts w:cs="Arial"/>
            </w:rPr>
            <w:t>Child protection services</w:t>
          </w:r>
        </w:p>
      </w:tc>
      <w:tc>
        <w:tcPr>
          <w:tcW w:w="510" w:type="dxa"/>
        </w:tcPr>
        <w:p w:rsidR="00790C40" w:rsidRPr="00A24443" w:rsidRDefault="00790C40">
          <w:pPr>
            <w:pStyle w:val="Footer"/>
            <w:jc w:val="right"/>
            <w:rPr>
              <w:caps w:val="0"/>
            </w:rPr>
          </w:pPr>
          <w:r>
            <w:rPr>
              <w:rStyle w:val="PageNumber"/>
              <w:caps w:val="0"/>
            </w:rPr>
            <w:t>15.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5E1D">
            <w:rPr>
              <w:rStyle w:val="PageNumber"/>
              <w:caps w:val="0"/>
              <w:noProof/>
            </w:rPr>
            <w:t>1</w:t>
          </w:r>
          <w:r w:rsidRPr="00A24443">
            <w:rPr>
              <w:rStyle w:val="PageNumber"/>
              <w:caps w:val="0"/>
            </w:rPr>
            <w:fldChar w:fldCharType="end"/>
          </w:r>
        </w:p>
      </w:tc>
    </w:tr>
  </w:tbl>
  <w:p w:rsidR="00790C40" w:rsidRDefault="00790C40">
    <w:pPr>
      <w:pStyle w:val="FooterEnd"/>
    </w:pPr>
  </w:p>
  <w:p w:rsidR="00790C40" w:rsidRDefault="00790C4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C40" w:rsidRDefault="00790C40">
      <w:r>
        <w:separator/>
      </w:r>
    </w:p>
  </w:footnote>
  <w:footnote w:type="continuationSeparator" w:id="0">
    <w:p w:rsidR="00790C40" w:rsidRDefault="00790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560"/>
      <w:gridCol w:w="7229"/>
    </w:tblGrid>
    <w:tr w:rsidR="00790C40" w:rsidTr="005856E5">
      <w:tc>
        <w:tcPr>
          <w:tcW w:w="1560" w:type="dxa"/>
          <w:tcBorders>
            <w:top w:val="single" w:sz="24" w:space="0" w:color="auto"/>
          </w:tcBorders>
        </w:tcPr>
        <w:p w:rsidR="00790C40" w:rsidRDefault="00790C40">
          <w:pPr>
            <w:pStyle w:val="HeaderEven"/>
          </w:pPr>
        </w:p>
      </w:tc>
      <w:tc>
        <w:tcPr>
          <w:tcW w:w="7229" w:type="dxa"/>
          <w:tcBorders>
            <w:top w:val="single" w:sz="6" w:space="0" w:color="auto"/>
          </w:tcBorders>
        </w:tcPr>
        <w:p w:rsidR="00790C40" w:rsidRDefault="00790C40" w:rsidP="004C2EA3">
          <w:pPr>
            <w:pStyle w:val="HeaderEven"/>
            <w:jc w:val="right"/>
          </w:pPr>
        </w:p>
      </w:tc>
    </w:tr>
  </w:tbl>
  <w:p w:rsidR="00790C40" w:rsidRDefault="00790C4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0C40" w:rsidTr="00F04D35">
      <w:tc>
        <w:tcPr>
          <w:tcW w:w="6634" w:type="dxa"/>
          <w:tcBorders>
            <w:top w:val="single" w:sz="6" w:space="0" w:color="auto"/>
          </w:tcBorders>
        </w:tcPr>
        <w:p w:rsidR="00790C40" w:rsidRDefault="00790C40" w:rsidP="00EB3103">
          <w:pPr>
            <w:pStyle w:val="HeaderOdd"/>
          </w:pPr>
        </w:p>
      </w:tc>
      <w:tc>
        <w:tcPr>
          <w:tcW w:w="2155" w:type="dxa"/>
          <w:tcBorders>
            <w:top w:val="single" w:sz="24" w:space="0" w:color="auto"/>
          </w:tcBorders>
        </w:tcPr>
        <w:p w:rsidR="00790C40" w:rsidRDefault="00790C40">
          <w:pPr>
            <w:pStyle w:val="HeaderOdd"/>
          </w:pPr>
        </w:p>
      </w:tc>
    </w:tr>
  </w:tbl>
  <w:p w:rsidR="00790C40" w:rsidRDefault="00790C40">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D582C11"/>
    <w:multiLevelType w:val="hybridMultilevel"/>
    <w:tmpl w:val="797039B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6A0525F"/>
    <w:multiLevelType w:val="hybridMultilevel"/>
    <w:tmpl w:val="A57C0C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6EA503B"/>
    <w:multiLevelType w:val="hybridMultilevel"/>
    <w:tmpl w:val="5282B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4"/>
  </w:num>
  <w:num w:numId="3">
    <w:abstractNumId w:val="5"/>
  </w:num>
  <w:num w:numId="4">
    <w:abstractNumId w:val="9"/>
  </w:num>
  <w:num w:numId="5">
    <w:abstractNumId w:val="16"/>
  </w:num>
  <w:num w:numId="6">
    <w:abstractNumId w:val="14"/>
  </w:num>
  <w:num w:numId="7">
    <w:abstractNumId w:val="26"/>
  </w:num>
  <w:num w:numId="8">
    <w:abstractNumId w:val="27"/>
  </w:num>
  <w:num w:numId="9">
    <w:abstractNumId w:val="12"/>
  </w:num>
  <w:num w:numId="10">
    <w:abstractNumId w:val="17"/>
  </w:num>
  <w:num w:numId="11">
    <w:abstractNumId w:val="18"/>
  </w:num>
  <w:num w:numId="12">
    <w:abstractNumId w:val="3"/>
  </w:num>
  <w:num w:numId="13">
    <w:abstractNumId w:val="8"/>
  </w:num>
  <w:num w:numId="14">
    <w:abstractNumId w:val="7"/>
  </w:num>
  <w:num w:numId="15">
    <w:abstractNumId w:val="11"/>
  </w:num>
  <w:num w:numId="16">
    <w:abstractNumId w:val="13"/>
  </w:num>
  <w:num w:numId="17">
    <w:abstractNumId w:val="15"/>
  </w:num>
  <w:num w:numId="18">
    <w:abstractNumId w:val="19"/>
  </w:num>
  <w:num w:numId="19">
    <w:abstractNumId w:val="21"/>
  </w:num>
  <w:num w:numId="20">
    <w:abstractNumId w:val="10"/>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
  </w:num>
  <w:num w:numId="24">
    <w:abstractNumId w:val="24"/>
  </w:num>
  <w:num w:numId="25">
    <w:abstractNumId w:val="7"/>
  </w:num>
  <w:num w:numId="26">
    <w:abstractNumId w:val="7"/>
  </w:num>
  <w:num w:numId="27">
    <w:abstractNumId w:val="7"/>
  </w:num>
  <w:num w:numId="28">
    <w:abstractNumId w:val="16"/>
  </w:num>
  <w:num w:numId="29">
    <w:abstractNumId w:val="16"/>
  </w:num>
  <w:num w:numId="30">
    <w:abstractNumId w:val="7"/>
  </w:num>
  <w:num w:numId="31">
    <w:abstractNumId w:val="16"/>
  </w:num>
  <w:num w:numId="32">
    <w:abstractNumId w:val="16"/>
  </w:num>
  <w:num w:numId="33">
    <w:abstractNumId w:val="20"/>
  </w:num>
  <w:num w:numId="34">
    <w:abstractNumId w:val="25"/>
  </w:num>
  <w:num w:numId="35">
    <w:abstractNumId w:val="23"/>
  </w:num>
  <w:num w:numId="36">
    <w:abstractNumId w:val="6"/>
  </w:num>
  <w:num w:numId="37">
    <w:abstractNumId w:val="3"/>
  </w:num>
  <w:num w:numId="38">
    <w:abstractNumId w:val="7"/>
  </w:num>
  <w:num w:numId="3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 protection services"/>
    <w:docVar w:name="ShortReportTitle" w:val="Report on Government Services 2016"/>
    <w:docVar w:name="SideNote" w:val="1"/>
    <w:docVar w:name="UseShortChapter" w:val="0"/>
    <w:docVar w:name="UseShortReport" w:val="0"/>
  </w:docVars>
  <w:rsids>
    <w:rsidRoot w:val="00B35BD8"/>
    <w:rsid w:val="00000178"/>
    <w:rsid w:val="00000276"/>
    <w:rsid w:val="00000293"/>
    <w:rsid w:val="0000057F"/>
    <w:rsid w:val="00000721"/>
    <w:rsid w:val="000007C3"/>
    <w:rsid w:val="000016DD"/>
    <w:rsid w:val="000027A3"/>
    <w:rsid w:val="00004C0A"/>
    <w:rsid w:val="00004D06"/>
    <w:rsid w:val="00004FC9"/>
    <w:rsid w:val="00005A73"/>
    <w:rsid w:val="00005C41"/>
    <w:rsid w:val="00005E47"/>
    <w:rsid w:val="00006B2D"/>
    <w:rsid w:val="00006B6A"/>
    <w:rsid w:val="00006CC6"/>
    <w:rsid w:val="00006D6F"/>
    <w:rsid w:val="00006E1E"/>
    <w:rsid w:val="00006F10"/>
    <w:rsid w:val="000073E4"/>
    <w:rsid w:val="00007896"/>
    <w:rsid w:val="00007A34"/>
    <w:rsid w:val="00007DA8"/>
    <w:rsid w:val="00007F78"/>
    <w:rsid w:val="000104D3"/>
    <w:rsid w:val="000105BE"/>
    <w:rsid w:val="00010A23"/>
    <w:rsid w:val="00010FEE"/>
    <w:rsid w:val="0001125B"/>
    <w:rsid w:val="000112F4"/>
    <w:rsid w:val="0001183D"/>
    <w:rsid w:val="0001185B"/>
    <w:rsid w:val="00011B2A"/>
    <w:rsid w:val="00012454"/>
    <w:rsid w:val="00012498"/>
    <w:rsid w:val="000131B8"/>
    <w:rsid w:val="000133C7"/>
    <w:rsid w:val="0001384D"/>
    <w:rsid w:val="00013B6F"/>
    <w:rsid w:val="00013F5D"/>
    <w:rsid w:val="000146EB"/>
    <w:rsid w:val="00015128"/>
    <w:rsid w:val="000151EF"/>
    <w:rsid w:val="00016287"/>
    <w:rsid w:val="00016929"/>
    <w:rsid w:val="0001765F"/>
    <w:rsid w:val="0001789E"/>
    <w:rsid w:val="00017C08"/>
    <w:rsid w:val="000205E1"/>
    <w:rsid w:val="000206B8"/>
    <w:rsid w:val="00020A26"/>
    <w:rsid w:val="00020CA5"/>
    <w:rsid w:val="000216C4"/>
    <w:rsid w:val="00021FEA"/>
    <w:rsid w:val="000226A8"/>
    <w:rsid w:val="000227FE"/>
    <w:rsid w:val="000228B4"/>
    <w:rsid w:val="00022953"/>
    <w:rsid w:val="00022D8D"/>
    <w:rsid w:val="00022DF7"/>
    <w:rsid w:val="000234E2"/>
    <w:rsid w:val="0002361F"/>
    <w:rsid w:val="000239D2"/>
    <w:rsid w:val="00023DD4"/>
    <w:rsid w:val="00023E59"/>
    <w:rsid w:val="00023F48"/>
    <w:rsid w:val="0002414F"/>
    <w:rsid w:val="000241F1"/>
    <w:rsid w:val="000243BC"/>
    <w:rsid w:val="0002452C"/>
    <w:rsid w:val="00025044"/>
    <w:rsid w:val="000252D7"/>
    <w:rsid w:val="0002546A"/>
    <w:rsid w:val="00025E5F"/>
    <w:rsid w:val="000260ED"/>
    <w:rsid w:val="000266C7"/>
    <w:rsid w:val="000267AB"/>
    <w:rsid w:val="0002736E"/>
    <w:rsid w:val="00027A0A"/>
    <w:rsid w:val="0003027E"/>
    <w:rsid w:val="000303BA"/>
    <w:rsid w:val="00030539"/>
    <w:rsid w:val="00030AF4"/>
    <w:rsid w:val="00030D9F"/>
    <w:rsid w:val="00030E45"/>
    <w:rsid w:val="00031304"/>
    <w:rsid w:val="000314F7"/>
    <w:rsid w:val="00031625"/>
    <w:rsid w:val="00031983"/>
    <w:rsid w:val="00031EDE"/>
    <w:rsid w:val="00031F27"/>
    <w:rsid w:val="00031F77"/>
    <w:rsid w:val="00032030"/>
    <w:rsid w:val="00032889"/>
    <w:rsid w:val="00032C5B"/>
    <w:rsid w:val="000334C0"/>
    <w:rsid w:val="00034137"/>
    <w:rsid w:val="00034613"/>
    <w:rsid w:val="00034B96"/>
    <w:rsid w:val="00034FD4"/>
    <w:rsid w:val="0003539D"/>
    <w:rsid w:val="00035606"/>
    <w:rsid w:val="00035B88"/>
    <w:rsid w:val="00035FFD"/>
    <w:rsid w:val="000362FE"/>
    <w:rsid w:val="00036581"/>
    <w:rsid w:val="000365EB"/>
    <w:rsid w:val="00036FFF"/>
    <w:rsid w:val="000374C0"/>
    <w:rsid w:val="00037A05"/>
    <w:rsid w:val="00037B93"/>
    <w:rsid w:val="00040188"/>
    <w:rsid w:val="00040340"/>
    <w:rsid w:val="000405B6"/>
    <w:rsid w:val="00040759"/>
    <w:rsid w:val="00041B71"/>
    <w:rsid w:val="00041CCB"/>
    <w:rsid w:val="000427E2"/>
    <w:rsid w:val="000429F9"/>
    <w:rsid w:val="00042E95"/>
    <w:rsid w:val="00043253"/>
    <w:rsid w:val="0004335B"/>
    <w:rsid w:val="00043698"/>
    <w:rsid w:val="0004371C"/>
    <w:rsid w:val="00043DA6"/>
    <w:rsid w:val="00043F2D"/>
    <w:rsid w:val="00044036"/>
    <w:rsid w:val="00044474"/>
    <w:rsid w:val="00045B10"/>
    <w:rsid w:val="00045D4B"/>
    <w:rsid w:val="00045E1D"/>
    <w:rsid w:val="00047189"/>
    <w:rsid w:val="00047D24"/>
    <w:rsid w:val="0005057E"/>
    <w:rsid w:val="00050F56"/>
    <w:rsid w:val="00051184"/>
    <w:rsid w:val="000511DB"/>
    <w:rsid w:val="00051257"/>
    <w:rsid w:val="0005140F"/>
    <w:rsid w:val="00051439"/>
    <w:rsid w:val="000514F7"/>
    <w:rsid w:val="00051B7B"/>
    <w:rsid w:val="00051C06"/>
    <w:rsid w:val="00051F32"/>
    <w:rsid w:val="0005274B"/>
    <w:rsid w:val="00053B07"/>
    <w:rsid w:val="00053B3B"/>
    <w:rsid w:val="00053CCF"/>
    <w:rsid w:val="00054C95"/>
    <w:rsid w:val="00054DEE"/>
    <w:rsid w:val="00054FA3"/>
    <w:rsid w:val="0005571E"/>
    <w:rsid w:val="00055791"/>
    <w:rsid w:val="00055E96"/>
    <w:rsid w:val="00056C30"/>
    <w:rsid w:val="00057250"/>
    <w:rsid w:val="000575B5"/>
    <w:rsid w:val="00057B85"/>
    <w:rsid w:val="00060103"/>
    <w:rsid w:val="0006029A"/>
    <w:rsid w:val="0006071C"/>
    <w:rsid w:val="00060894"/>
    <w:rsid w:val="00061021"/>
    <w:rsid w:val="00061391"/>
    <w:rsid w:val="000617EB"/>
    <w:rsid w:val="00061E16"/>
    <w:rsid w:val="00062382"/>
    <w:rsid w:val="00062470"/>
    <w:rsid w:val="00062CEE"/>
    <w:rsid w:val="00063AA8"/>
    <w:rsid w:val="0006449E"/>
    <w:rsid w:val="00064867"/>
    <w:rsid w:val="000650C6"/>
    <w:rsid w:val="0006568D"/>
    <w:rsid w:val="000658F0"/>
    <w:rsid w:val="0006650C"/>
    <w:rsid w:val="00066DCD"/>
    <w:rsid w:val="00067133"/>
    <w:rsid w:val="000676A9"/>
    <w:rsid w:val="00067753"/>
    <w:rsid w:val="00067765"/>
    <w:rsid w:val="00067CEE"/>
    <w:rsid w:val="00067D5F"/>
    <w:rsid w:val="00070AE3"/>
    <w:rsid w:val="000713CB"/>
    <w:rsid w:val="000717C1"/>
    <w:rsid w:val="00071807"/>
    <w:rsid w:val="00071A45"/>
    <w:rsid w:val="00072DFE"/>
    <w:rsid w:val="0007305C"/>
    <w:rsid w:val="000733EA"/>
    <w:rsid w:val="000734B9"/>
    <w:rsid w:val="000735B1"/>
    <w:rsid w:val="000742A2"/>
    <w:rsid w:val="00074E81"/>
    <w:rsid w:val="000753E6"/>
    <w:rsid w:val="000754DD"/>
    <w:rsid w:val="00075CE5"/>
    <w:rsid w:val="000762CC"/>
    <w:rsid w:val="00076454"/>
    <w:rsid w:val="000769FB"/>
    <w:rsid w:val="00076A21"/>
    <w:rsid w:val="00077DA5"/>
    <w:rsid w:val="00080120"/>
    <w:rsid w:val="000802CC"/>
    <w:rsid w:val="0008047A"/>
    <w:rsid w:val="000804DC"/>
    <w:rsid w:val="00080586"/>
    <w:rsid w:val="0008063F"/>
    <w:rsid w:val="000809AE"/>
    <w:rsid w:val="00080B5A"/>
    <w:rsid w:val="00081079"/>
    <w:rsid w:val="00081861"/>
    <w:rsid w:val="00081A6A"/>
    <w:rsid w:val="00081AEF"/>
    <w:rsid w:val="0008236F"/>
    <w:rsid w:val="00082709"/>
    <w:rsid w:val="00083453"/>
    <w:rsid w:val="00083A29"/>
    <w:rsid w:val="00083B14"/>
    <w:rsid w:val="000845B4"/>
    <w:rsid w:val="00084B24"/>
    <w:rsid w:val="00085B79"/>
    <w:rsid w:val="00085DD1"/>
    <w:rsid w:val="00086927"/>
    <w:rsid w:val="00086B73"/>
    <w:rsid w:val="000877B8"/>
    <w:rsid w:val="00087C0F"/>
    <w:rsid w:val="00090D51"/>
    <w:rsid w:val="00090F60"/>
    <w:rsid w:val="00092064"/>
    <w:rsid w:val="00092241"/>
    <w:rsid w:val="00092351"/>
    <w:rsid w:val="00092592"/>
    <w:rsid w:val="00092A3C"/>
    <w:rsid w:val="00092E3C"/>
    <w:rsid w:val="00093016"/>
    <w:rsid w:val="00093657"/>
    <w:rsid w:val="0009368B"/>
    <w:rsid w:val="00093C5D"/>
    <w:rsid w:val="00093D30"/>
    <w:rsid w:val="00094BB7"/>
    <w:rsid w:val="00095543"/>
    <w:rsid w:val="00095CDA"/>
    <w:rsid w:val="00095E93"/>
    <w:rsid w:val="000961FD"/>
    <w:rsid w:val="000966D9"/>
    <w:rsid w:val="00096993"/>
    <w:rsid w:val="00096F7B"/>
    <w:rsid w:val="000975DF"/>
    <w:rsid w:val="00097A6C"/>
    <w:rsid w:val="000A0769"/>
    <w:rsid w:val="000A0821"/>
    <w:rsid w:val="000A0A71"/>
    <w:rsid w:val="000A0E0E"/>
    <w:rsid w:val="000A1C8F"/>
    <w:rsid w:val="000A2020"/>
    <w:rsid w:val="000A22AF"/>
    <w:rsid w:val="000A23F4"/>
    <w:rsid w:val="000A2CA8"/>
    <w:rsid w:val="000A2D86"/>
    <w:rsid w:val="000A2E34"/>
    <w:rsid w:val="000A3071"/>
    <w:rsid w:val="000A3157"/>
    <w:rsid w:val="000A3F12"/>
    <w:rsid w:val="000A3FB4"/>
    <w:rsid w:val="000A52AA"/>
    <w:rsid w:val="000A5C99"/>
    <w:rsid w:val="000A5E9B"/>
    <w:rsid w:val="000A5FFB"/>
    <w:rsid w:val="000A6662"/>
    <w:rsid w:val="000A6BB4"/>
    <w:rsid w:val="000A6C2D"/>
    <w:rsid w:val="000A6CA2"/>
    <w:rsid w:val="000A7FD2"/>
    <w:rsid w:val="000B0C4F"/>
    <w:rsid w:val="000B0E72"/>
    <w:rsid w:val="000B13FE"/>
    <w:rsid w:val="000B150E"/>
    <w:rsid w:val="000B17C5"/>
    <w:rsid w:val="000B217E"/>
    <w:rsid w:val="000B24D9"/>
    <w:rsid w:val="000B2681"/>
    <w:rsid w:val="000B29DF"/>
    <w:rsid w:val="000B30CC"/>
    <w:rsid w:val="000B3919"/>
    <w:rsid w:val="000B3A57"/>
    <w:rsid w:val="000B3AE3"/>
    <w:rsid w:val="000B3F02"/>
    <w:rsid w:val="000B42D9"/>
    <w:rsid w:val="000B46A9"/>
    <w:rsid w:val="000B48A6"/>
    <w:rsid w:val="000B5BCC"/>
    <w:rsid w:val="000B62AD"/>
    <w:rsid w:val="000B7C97"/>
    <w:rsid w:val="000B7E20"/>
    <w:rsid w:val="000C0140"/>
    <w:rsid w:val="000C02E2"/>
    <w:rsid w:val="000C095F"/>
    <w:rsid w:val="000C0E53"/>
    <w:rsid w:val="000C1F40"/>
    <w:rsid w:val="000C2475"/>
    <w:rsid w:val="000C29D1"/>
    <w:rsid w:val="000C2F45"/>
    <w:rsid w:val="000C3224"/>
    <w:rsid w:val="000C3C3A"/>
    <w:rsid w:val="000C3E37"/>
    <w:rsid w:val="000C3EE8"/>
    <w:rsid w:val="000C4037"/>
    <w:rsid w:val="000C431C"/>
    <w:rsid w:val="000C4429"/>
    <w:rsid w:val="000C4611"/>
    <w:rsid w:val="000C465C"/>
    <w:rsid w:val="000C4CCB"/>
    <w:rsid w:val="000C5DE2"/>
    <w:rsid w:val="000C5F11"/>
    <w:rsid w:val="000C6638"/>
    <w:rsid w:val="000C6BE5"/>
    <w:rsid w:val="000C7359"/>
    <w:rsid w:val="000C7373"/>
    <w:rsid w:val="000C76D4"/>
    <w:rsid w:val="000C78D9"/>
    <w:rsid w:val="000C79EF"/>
    <w:rsid w:val="000C7CEC"/>
    <w:rsid w:val="000D0248"/>
    <w:rsid w:val="000D039A"/>
    <w:rsid w:val="000D0848"/>
    <w:rsid w:val="000D118A"/>
    <w:rsid w:val="000D1952"/>
    <w:rsid w:val="000D1A7B"/>
    <w:rsid w:val="000D1D88"/>
    <w:rsid w:val="000D2318"/>
    <w:rsid w:val="000D2D92"/>
    <w:rsid w:val="000D2F6C"/>
    <w:rsid w:val="000D3C6C"/>
    <w:rsid w:val="000D3E70"/>
    <w:rsid w:val="000D3EFA"/>
    <w:rsid w:val="000D40EE"/>
    <w:rsid w:val="000D446B"/>
    <w:rsid w:val="000D4526"/>
    <w:rsid w:val="000D4577"/>
    <w:rsid w:val="000D46E6"/>
    <w:rsid w:val="000D4D6C"/>
    <w:rsid w:val="000D579E"/>
    <w:rsid w:val="000D5A0F"/>
    <w:rsid w:val="000D5A53"/>
    <w:rsid w:val="000D5C46"/>
    <w:rsid w:val="000D605F"/>
    <w:rsid w:val="000D619B"/>
    <w:rsid w:val="000D6295"/>
    <w:rsid w:val="000D6500"/>
    <w:rsid w:val="000D6A0D"/>
    <w:rsid w:val="000D73CC"/>
    <w:rsid w:val="000D7A3D"/>
    <w:rsid w:val="000D7A7D"/>
    <w:rsid w:val="000D7E95"/>
    <w:rsid w:val="000E0093"/>
    <w:rsid w:val="000E0555"/>
    <w:rsid w:val="000E07BF"/>
    <w:rsid w:val="000E0A3E"/>
    <w:rsid w:val="000E0C6B"/>
    <w:rsid w:val="000E0D68"/>
    <w:rsid w:val="000E0D89"/>
    <w:rsid w:val="000E0E22"/>
    <w:rsid w:val="000E115A"/>
    <w:rsid w:val="000E14BA"/>
    <w:rsid w:val="000E152F"/>
    <w:rsid w:val="000E1687"/>
    <w:rsid w:val="000E1A49"/>
    <w:rsid w:val="000E1BE1"/>
    <w:rsid w:val="000E1DDC"/>
    <w:rsid w:val="000E29AF"/>
    <w:rsid w:val="000E3502"/>
    <w:rsid w:val="000E35E4"/>
    <w:rsid w:val="000E3891"/>
    <w:rsid w:val="000E4248"/>
    <w:rsid w:val="000E437F"/>
    <w:rsid w:val="000E439E"/>
    <w:rsid w:val="000E4D62"/>
    <w:rsid w:val="000E4DD8"/>
    <w:rsid w:val="000E50CA"/>
    <w:rsid w:val="000E5301"/>
    <w:rsid w:val="000E5C3D"/>
    <w:rsid w:val="000E603D"/>
    <w:rsid w:val="000E6177"/>
    <w:rsid w:val="000E64E1"/>
    <w:rsid w:val="000E7703"/>
    <w:rsid w:val="000F0643"/>
    <w:rsid w:val="000F0C18"/>
    <w:rsid w:val="000F0C78"/>
    <w:rsid w:val="000F0CDF"/>
    <w:rsid w:val="000F0F68"/>
    <w:rsid w:val="000F178F"/>
    <w:rsid w:val="000F2749"/>
    <w:rsid w:val="000F27A4"/>
    <w:rsid w:val="000F2BC0"/>
    <w:rsid w:val="000F3114"/>
    <w:rsid w:val="000F3192"/>
    <w:rsid w:val="000F3652"/>
    <w:rsid w:val="000F370E"/>
    <w:rsid w:val="000F3866"/>
    <w:rsid w:val="000F3ABB"/>
    <w:rsid w:val="000F3F21"/>
    <w:rsid w:val="000F41AF"/>
    <w:rsid w:val="000F46F1"/>
    <w:rsid w:val="000F4BFC"/>
    <w:rsid w:val="000F4D93"/>
    <w:rsid w:val="000F61BD"/>
    <w:rsid w:val="000F65BB"/>
    <w:rsid w:val="000F65C4"/>
    <w:rsid w:val="000F6895"/>
    <w:rsid w:val="000F6D51"/>
    <w:rsid w:val="000F6E42"/>
    <w:rsid w:val="000F74ED"/>
    <w:rsid w:val="000F78CE"/>
    <w:rsid w:val="000F7A2F"/>
    <w:rsid w:val="000F7A3A"/>
    <w:rsid w:val="000F7EB1"/>
    <w:rsid w:val="00100003"/>
    <w:rsid w:val="001007C0"/>
    <w:rsid w:val="00100EDA"/>
    <w:rsid w:val="00101315"/>
    <w:rsid w:val="00101B43"/>
    <w:rsid w:val="0010206B"/>
    <w:rsid w:val="0010216A"/>
    <w:rsid w:val="00102488"/>
    <w:rsid w:val="00102EBF"/>
    <w:rsid w:val="00102F87"/>
    <w:rsid w:val="00103540"/>
    <w:rsid w:val="00103658"/>
    <w:rsid w:val="00103830"/>
    <w:rsid w:val="00105503"/>
    <w:rsid w:val="00105547"/>
    <w:rsid w:val="001056FC"/>
    <w:rsid w:val="001066B6"/>
    <w:rsid w:val="00107514"/>
    <w:rsid w:val="0010799F"/>
    <w:rsid w:val="00107A9C"/>
    <w:rsid w:val="001103B9"/>
    <w:rsid w:val="0011063C"/>
    <w:rsid w:val="00110D20"/>
    <w:rsid w:val="001114CA"/>
    <w:rsid w:val="00111A6D"/>
    <w:rsid w:val="0011201F"/>
    <w:rsid w:val="0011220D"/>
    <w:rsid w:val="00112542"/>
    <w:rsid w:val="0011276B"/>
    <w:rsid w:val="00112992"/>
    <w:rsid w:val="0011337B"/>
    <w:rsid w:val="0011372F"/>
    <w:rsid w:val="001137B5"/>
    <w:rsid w:val="001139DD"/>
    <w:rsid w:val="00113ABB"/>
    <w:rsid w:val="00113DAE"/>
    <w:rsid w:val="001143B4"/>
    <w:rsid w:val="00114417"/>
    <w:rsid w:val="00114638"/>
    <w:rsid w:val="00114C48"/>
    <w:rsid w:val="00115C34"/>
    <w:rsid w:val="001162A3"/>
    <w:rsid w:val="00116344"/>
    <w:rsid w:val="001165AC"/>
    <w:rsid w:val="00116F37"/>
    <w:rsid w:val="001171AA"/>
    <w:rsid w:val="0011798E"/>
    <w:rsid w:val="00117DF5"/>
    <w:rsid w:val="001200F4"/>
    <w:rsid w:val="001209FB"/>
    <w:rsid w:val="00120AC2"/>
    <w:rsid w:val="0012127E"/>
    <w:rsid w:val="0012207F"/>
    <w:rsid w:val="00122478"/>
    <w:rsid w:val="0012281D"/>
    <w:rsid w:val="00122B7A"/>
    <w:rsid w:val="001231B7"/>
    <w:rsid w:val="001235A0"/>
    <w:rsid w:val="001237DF"/>
    <w:rsid w:val="00123ADF"/>
    <w:rsid w:val="00123DDD"/>
    <w:rsid w:val="00123EF3"/>
    <w:rsid w:val="001246EE"/>
    <w:rsid w:val="00124855"/>
    <w:rsid w:val="001249A6"/>
    <w:rsid w:val="00124AC5"/>
    <w:rsid w:val="00124C6C"/>
    <w:rsid w:val="00124DB9"/>
    <w:rsid w:val="00124F09"/>
    <w:rsid w:val="0012504B"/>
    <w:rsid w:val="00125061"/>
    <w:rsid w:val="00125118"/>
    <w:rsid w:val="001252A7"/>
    <w:rsid w:val="0012548B"/>
    <w:rsid w:val="00125746"/>
    <w:rsid w:val="00125B61"/>
    <w:rsid w:val="00125EED"/>
    <w:rsid w:val="0012665F"/>
    <w:rsid w:val="00126680"/>
    <w:rsid w:val="00127946"/>
    <w:rsid w:val="00127AD0"/>
    <w:rsid w:val="00127E28"/>
    <w:rsid w:val="0013009A"/>
    <w:rsid w:val="00130A3E"/>
    <w:rsid w:val="00131242"/>
    <w:rsid w:val="001315CB"/>
    <w:rsid w:val="00131677"/>
    <w:rsid w:val="001316F9"/>
    <w:rsid w:val="001318C4"/>
    <w:rsid w:val="00131E54"/>
    <w:rsid w:val="0013200C"/>
    <w:rsid w:val="00132600"/>
    <w:rsid w:val="00132724"/>
    <w:rsid w:val="00133905"/>
    <w:rsid w:val="001339B5"/>
    <w:rsid w:val="00133C67"/>
    <w:rsid w:val="001346C8"/>
    <w:rsid w:val="001348BE"/>
    <w:rsid w:val="001348DA"/>
    <w:rsid w:val="00134BA6"/>
    <w:rsid w:val="00135476"/>
    <w:rsid w:val="00135B36"/>
    <w:rsid w:val="00136004"/>
    <w:rsid w:val="001360BD"/>
    <w:rsid w:val="00136415"/>
    <w:rsid w:val="00136695"/>
    <w:rsid w:val="00136B70"/>
    <w:rsid w:val="00136EE5"/>
    <w:rsid w:val="001400DE"/>
    <w:rsid w:val="00140AC4"/>
    <w:rsid w:val="00140D05"/>
    <w:rsid w:val="001414D6"/>
    <w:rsid w:val="00141B78"/>
    <w:rsid w:val="00141BBC"/>
    <w:rsid w:val="00141CAA"/>
    <w:rsid w:val="00141CD3"/>
    <w:rsid w:val="0014212F"/>
    <w:rsid w:val="001421F8"/>
    <w:rsid w:val="00142340"/>
    <w:rsid w:val="001424FB"/>
    <w:rsid w:val="001427E5"/>
    <w:rsid w:val="00142AA1"/>
    <w:rsid w:val="00143638"/>
    <w:rsid w:val="001436FA"/>
    <w:rsid w:val="001437A3"/>
    <w:rsid w:val="001443E6"/>
    <w:rsid w:val="00144509"/>
    <w:rsid w:val="001448E9"/>
    <w:rsid w:val="001452A1"/>
    <w:rsid w:val="00145345"/>
    <w:rsid w:val="001457CC"/>
    <w:rsid w:val="00146107"/>
    <w:rsid w:val="0014697E"/>
    <w:rsid w:val="00146D93"/>
    <w:rsid w:val="00147206"/>
    <w:rsid w:val="00147F6D"/>
    <w:rsid w:val="00147FE0"/>
    <w:rsid w:val="0015038F"/>
    <w:rsid w:val="001507C9"/>
    <w:rsid w:val="001512BA"/>
    <w:rsid w:val="0015162E"/>
    <w:rsid w:val="00151905"/>
    <w:rsid w:val="00151931"/>
    <w:rsid w:val="001521DE"/>
    <w:rsid w:val="001525C6"/>
    <w:rsid w:val="00152715"/>
    <w:rsid w:val="001528FF"/>
    <w:rsid w:val="00152F6B"/>
    <w:rsid w:val="00154492"/>
    <w:rsid w:val="0015494F"/>
    <w:rsid w:val="00154DCC"/>
    <w:rsid w:val="00154F10"/>
    <w:rsid w:val="00154F5E"/>
    <w:rsid w:val="0015554C"/>
    <w:rsid w:val="0015565F"/>
    <w:rsid w:val="00155B4D"/>
    <w:rsid w:val="00155D73"/>
    <w:rsid w:val="00155FDE"/>
    <w:rsid w:val="001561DE"/>
    <w:rsid w:val="00156D55"/>
    <w:rsid w:val="001570DC"/>
    <w:rsid w:val="001575AA"/>
    <w:rsid w:val="001577B1"/>
    <w:rsid w:val="00157DB3"/>
    <w:rsid w:val="0016096B"/>
    <w:rsid w:val="00160CFB"/>
    <w:rsid w:val="00160D83"/>
    <w:rsid w:val="0016100A"/>
    <w:rsid w:val="00161873"/>
    <w:rsid w:val="00161B30"/>
    <w:rsid w:val="00161CC1"/>
    <w:rsid w:val="0016209C"/>
    <w:rsid w:val="0016294C"/>
    <w:rsid w:val="00162D91"/>
    <w:rsid w:val="00163115"/>
    <w:rsid w:val="001631ED"/>
    <w:rsid w:val="00163654"/>
    <w:rsid w:val="001636B6"/>
    <w:rsid w:val="001636CC"/>
    <w:rsid w:val="0016384A"/>
    <w:rsid w:val="00163B6B"/>
    <w:rsid w:val="00163EA1"/>
    <w:rsid w:val="00163FF6"/>
    <w:rsid w:val="0016419B"/>
    <w:rsid w:val="001648EC"/>
    <w:rsid w:val="00165248"/>
    <w:rsid w:val="001656BB"/>
    <w:rsid w:val="00165938"/>
    <w:rsid w:val="00165B37"/>
    <w:rsid w:val="00166891"/>
    <w:rsid w:val="00166C84"/>
    <w:rsid w:val="00166F88"/>
    <w:rsid w:val="00166FC6"/>
    <w:rsid w:val="0017034C"/>
    <w:rsid w:val="0017069C"/>
    <w:rsid w:val="00171029"/>
    <w:rsid w:val="00171397"/>
    <w:rsid w:val="0017145D"/>
    <w:rsid w:val="00171859"/>
    <w:rsid w:val="00171D16"/>
    <w:rsid w:val="00171E41"/>
    <w:rsid w:val="0017206D"/>
    <w:rsid w:val="00172430"/>
    <w:rsid w:val="00172B95"/>
    <w:rsid w:val="00172E13"/>
    <w:rsid w:val="001738C6"/>
    <w:rsid w:val="00173CAC"/>
    <w:rsid w:val="00173F92"/>
    <w:rsid w:val="001745A4"/>
    <w:rsid w:val="00174AF5"/>
    <w:rsid w:val="00174F2C"/>
    <w:rsid w:val="00175869"/>
    <w:rsid w:val="00175892"/>
    <w:rsid w:val="00175A37"/>
    <w:rsid w:val="00175E03"/>
    <w:rsid w:val="00175FD9"/>
    <w:rsid w:val="001761B5"/>
    <w:rsid w:val="001764CA"/>
    <w:rsid w:val="00176A50"/>
    <w:rsid w:val="00176DD9"/>
    <w:rsid w:val="0017757C"/>
    <w:rsid w:val="00180578"/>
    <w:rsid w:val="00180B10"/>
    <w:rsid w:val="001811E1"/>
    <w:rsid w:val="00182395"/>
    <w:rsid w:val="001824B9"/>
    <w:rsid w:val="001826FC"/>
    <w:rsid w:val="0018366F"/>
    <w:rsid w:val="00184436"/>
    <w:rsid w:val="001846EE"/>
    <w:rsid w:val="001851FE"/>
    <w:rsid w:val="001857F6"/>
    <w:rsid w:val="00185C1F"/>
    <w:rsid w:val="001861EC"/>
    <w:rsid w:val="00186508"/>
    <w:rsid w:val="0018697D"/>
    <w:rsid w:val="00186B84"/>
    <w:rsid w:val="00187352"/>
    <w:rsid w:val="00187683"/>
    <w:rsid w:val="0018769E"/>
    <w:rsid w:val="0018778C"/>
    <w:rsid w:val="001878B0"/>
    <w:rsid w:val="00187908"/>
    <w:rsid w:val="00187DDF"/>
    <w:rsid w:val="001908FF"/>
    <w:rsid w:val="00190B16"/>
    <w:rsid w:val="00190C25"/>
    <w:rsid w:val="00191322"/>
    <w:rsid w:val="0019135D"/>
    <w:rsid w:val="00191DF6"/>
    <w:rsid w:val="00191E38"/>
    <w:rsid w:val="0019223F"/>
    <w:rsid w:val="0019262A"/>
    <w:rsid w:val="00192BE4"/>
    <w:rsid w:val="00193189"/>
    <w:rsid w:val="0019333F"/>
    <w:rsid w:val="001937E8"/>
    <w:rsid w:val="00193AC3"/>
    <w:rsid w:val="00193DC0"/>
    <w:rsid w:val="00196F7B"/>
    <w:rsid w:val="0019737E"/>
    <w:rsid w:val="00197914"/>
    <w:rsid w:val="001979FB"/>
    <w:rsid w:val="00197AB7"/>
    <w:rsid w:val="00197B1F"/>
    <w:rsid w:val="00197DCE"/>
    <w:rsid w:val="001A0446"/>
    <w:rsid w:val="001A0561"/>
    <w:rsid w:val="001A0A00"/>
    <w:rsid w:val="001A0B4B"/>
    <w:rsid w:val="001A0F72"/>
    <w:rsid w:val="001A12D5"/>
    <w:rsid w:val="001A1367"/>
    <w:rsid w:val="001A14A4"/>
    <w:rsid w:val="001A1BD0"/>
    <w:rsid w:val="001A1FA5"/>
    <w:rsid w:val="001A266E"/>
    <w:rsid w:val="001A2672"/>
    <w:rsid w:val="001A27A7"/>
    <w:rsid w:val="001A2953"/>
    <w:rsid w:val="001A2BDB"/>
    <w:rsid w:val="001A3260"/>
    <w:rsid w:val="001A32EA"/>
    <w:rsid w:val="001A3B4E"/>
    <w:rsid w:val="001A3B92"/>
    <w:rsid w:val="001A4290"/>
    <w:rsid w:val="001A45DB"/>
    <w:rsid w:val="001A49E1"/>
    <w:rsid w:val="001A4A68"/>
    <w:rsid w:val="001A4D5B"/>
    <w:rsid w:val="001A5D45"/>
    <w:rsid w:val="001A70D8"/>
    <w:rsid w:val="001A725F"/>
    <w:rsid w:val="001A7351"/>
    <w:rsid w:val="001B0565"/>
    <w:rsid w:val="001B1154"/>
    <w:rsid w:val="001B1784"/>
    <w:rsid w:val="001B275C"/>
    <w:rsid w:val="001B2DFC"/>
    <w:rsid w:val="001B2FDC"/>
    <w:rsid w:val="001B3556"/>
    <w:rsid w:val="001B373A"/>
    <w:rsid w:val="001B3D3A"/>
    <w:rsid w:val="001B43DD"/>
    <w:rsid w:val="001B49D2"/>
    <w:rsid w:val="001B4A8E"/>
    <w:rsid w:val="001B4FD9"/>
    <w:rsid w:val="001B5322"/>
    <w:rsid w:val="001B592F"/>
    <w:rsid w:val="001B5B95"/>
    <w:rsid w:val="001B5C9A"/>
    <w:rsid w:val="001B68EA"/>
    <w:rsid w:val="001B6D13"/>
    <w:rsid w:val="001B713F"/>
    <w:rsid w:val="001B71A4"/>
    <w:rsid w:val="001B7504"/>
    <w:rsid w:val="001B7BFD"/>
    <w:rsid w:val="001B7C40"/>
    <w:rsid w:val="001B7D2B"/>
    <w:rsid w:val="001C09D7"/>
    <w:rsid w:val="001C12AE"/>
    <w:rsid w:val="001C161A"/>
    <w:rsid w:val="001C244C"/>
    <w:rsid w:val="001C30C8"/>
    <w:rsid w:val="001C432F"/>
    <w:rsid w:val="001C461A"/>
    <w:rsid w:val="001C4829"/>
    <w:rsid w:val="001C4C75"/>
    <w:rsid w:val="001C5BB2"/>
    <w:rsid w:val="001C5BEE"/>
    <w:rsid w:val="001C5E65"/>
    <w:rsid w:val="001C6086"/>
    <w:rsid w:val="001C6789"/>
    <w:rsid w:val="001C68D9"/>
    <w:rsid w:val="001C68EB"/>
    <w:rsid w:val="001C700A"/>
    <w:rsid w:val="001C70B5"/>
    <w:rsid w:val="001C74E5"/>
    <w:rsid w:val="001C7549"/>
    <w:rsid w:val="001D043C"/>
    <w:rsid w:val="001D0511"/>
    <w:rsid w:val="001D0DF0"/>
    <w:rsid w:val="001D0F5C"/>
    <w:rsid w:val="001D1651"/>
    <w:rsid w:val="001D1C42"/>
    <w:rsid w:val="001D20D1"/>
    <w:rsid w:val="001D2893"/>
    <w:rsid w:val="001D28B0"/>
    <w:rsid w:val="001D4068"/>
    <w:rsid w:val="001D435D"/>
    <w:rsid w:val="001D43C3"/>
    <w:rsid w:val="001D457E"/>
    <w:rsid w:val="001D4674"/>
    <w:rsid w:val="001D4714"/>
    <w:rsid w:val="001D49C5"/>
    <w:rsid w:val="001D4AEC"/>
    <w:rsid w:val="001D4B1F"/>
    <w:rsid w:val="001D5040"/>
    <w:rsid w:val="001D5D0B"/>
    <w:rsid w:val="001D6205"/>
    <w:rsid w:val="001D6A02"/>
    <w:rsid w:val="001D6A14"/>
    <w:rsid w:val="001D6A48"/>
    <w:rsid w:val="001D6D0B"/>
    <w:rsid w:val="001D717D"/>
    <w:rsid w:val="001D7A1B"/>
    <w:rsid w:val="001D7DFE"/>
    <w:rsid w:val="001D7FA1"/>
    <w:rsid w:val="001E0E97"/>
    <w:rsid w:val="001E1281"/>
    <w:rsid w:val="001E15B6"/>
    <w:rsid w:val="001E1625"/>
    <w:rsid w:val="001E1B64"/>
    <w:rsid w:val="001E1EB5"/>
    <w:rsid w:val="001E2113"/>
    <w:rsid w:val="001E2339"/>
    <w:rsid w:val="001E316E"/>
    <w:rsid w:val="001E3366"/>
    <w:rsid w:val="001E3917"/>
    <w:rsid w:val="001E3B9E"/>
    <w:rsid w:val="001E47B5"/>
    <w:rsid w:val="001E4A0E"/>
    <w:rsid w:val="001E599D"/>
    <w:rsid w:val="001E60C3"/>
    <w:rsid w:val="001E61F6"/>
    <w:rsid w:val="001E6D7F"/>
    <w:rsid w:val="001E6DCA"/>
    <w:rsid w:val="001E723E"/>
    <w:rsid w:val="001E75A0"/>
    <w:rsid w:val="001E77D7"/>
    <w:rsid w:val="001E7AB2"/>
    <w:rsid w:val="001F04F2"/>
    <w:rsid w:val="001F06FF"/>
    <w:rsid w:val="001F07D0"/>
    <w:rsid w:val="001F0AAD"/>
    <w:rsid w:val="001F0CDF"/>
    <w:rsid w:val="001F103D"/>
    <w:rsid w:val="001F1511"/>
    <w:rsid w:val="001F169B"/>
    <w:rsid w:val="001F21AD"/>
    <w:rsid w:val="001F2D2A"/>
    <w:rsid w:val="001F33B6"/>
    <w:rsid w:val="001F4992"/>
    <w:rsid w:val="001F49DD"/>
    <w:rsid w:val="001F49FD"/>
    <w:rsid w:val="001F4BD3"/>
    <w:rsid w:val="001F5799"/>
    <w:rsid w:val="001F5A8F"/>
    <w:rsid w:val="001F5BA6"/>
    <w:rsid w:val="001F63DE"/>
    <w:rsid w:val="001F6D85"/>
    <w:rsid w:val="001F758A"/>
    <w:rsid w:val="001F759A"/>
    <w:rsid w:val="001F780D"/>
    <w:rsid w:val="001F7DAE"/>
    <w:rsid w:val="002002CC"/>
    <w:rsid w:val="00200398"/>
    <w:rsid w:val="00200B19"/>
    <w:rsid w:val="00200D34"/>
    <w:rsid w:val="00200EF3"/>
    <w:rsid w:val="0020107E"/>
    <w:rsid w:val="002013F7"/>
    <w:rsid w:val="00201442"/>
    <w:rsid w:val="002014E6"/>
    <w:rsid w:val="0020154F"/>
    <w:rsid w:val="002017DB"/>
    <w:rsid w:val="00201D30"/>
    <w:rsid w:val="00201E9F"/>
    <w:rsid w:val="00201EDE"/>
    <w:rsid w:val="00202244"/>
    <w:rsid w:val="00202F39"/>
    <w:rsid w:val="00203048"/>
    <w:rsid w:val="0020325D"/>
    <w:rsid w:val="00203E9E"/>
    <w:rsid w:val="00204291"/>
    <w:rsid w:val="00204716"/>
    <w:rsid w:val="00204B71"/>
    <w:rsid w:val="00204DE0"/>
    <w:rsid w:val="00204F16"/>
    <w:rsid w:val="00205502"/>
    <w:rsid w:val="0020601B"/>
    <w:rsid w:val="0020609C"/>
    <w:rsid w:val="002062B2"/>
    <w:rsid w:val="002065E5"/>
    <w:rsid w:val="00206724"/>
    <w:rsid w:val="00210243"/>
    <w:rsid w:val="00210278"/>
    <w:rsid w:val="0021028B"/>
    <w:rsid w:val="00210F99"/>
    <w:rsid w:val="0021168A"/>
    <w:rsid w:val="00211739"/>
    <w:rsid w:val="00211A8D"/>
    <w:rsid w:val="0021236C"/>
    <w:rsid w:val="002123A9"/>
    <w:rsid w:val="00212BA4"/>
    <w:rsid w:val="00213384"/>
    <w:rsid w:val="00214753"/>
    <w:rsid w:val="002147D2"/>
    <w:rsid w:val="00214929"/>
    <w:rsid w:val="00214977"/>
    <w:rsid w:val="0021530F"/>
    <w:rsid w:val="0021533F"/>
    <w:rsid w:val="002159E2"/>
    <w:rsid w:val="00215B69"/>
    <w:rsid w:val="00215CD9"/>
    <w:rsid w:val="00215D59"/>
    <w:rsid w:val="002160CC"/>
    <w:rsid w:val="00216375"/>
    <w:rsid w:val="0021676F"/>
    <w:rsid w:val="00216835"/>
    <w:rsid w:val="002174A7"/>
    <w:rsid w:val="0022002E"/>
    <w:rsid w:val="002204C5"/>
    <w:rsid w:val="0022073A"/>
    <w:rsid w:val="00220969"/>
    <w:rsid w:val="00220FCB"/>
    <w:rsid w:val="0022163E"/>
    <w:rsid w:val="002218A1"/>
    <w:rsid w:val="00221E66"/>
    <w:rsid w:val="002220E0"/>
    <w:rsid w:val="00222392"/>
    <w:rsid w:val="0022304C"/>
    <w:rsid w:val="002230BE"/>
    <w:rsid w:val="00223599"/>
    <w:rsid w:val="002235ED"/>
    <w:rsid w:val="00223959"/>
    <w:rsid w:val="00223C12"/>
    <w:rsid w:val="00223D7B"/>
    <w:rsid w:val="00224C87"/>
    <w:rsid w:val="00224E37"/>
    <w:rsid w:val="002251BD"/>
    <w:rsid w:val="0022541F"/>
    <w:rsid w:val="002255F2"/>
    <w:rsid w:val="00226221"/>
    <w:rsid w:val="00227BAA"/>
    <w:rsid w:val="00227E83"/>
    <w:rsid w:val="002300BD"/>
    <w:rsid w:val="0023017B"/>
    <w:rsid w:val="002308FA"/>
    <w:rsid w:val="00230F64"/>
    <w:rsid w:val="00230F6D"/>
    <w:rsid w:val="00231223"/>
    <w:rsid w:val="00231268"/>
    <w:rsid w:val="00232357"/>
    <w:rsid w:val="002323AC"/>
    <w:rsid w:val="00232B89"/>
    <w:rsid w:val="002331EA"/>
    <w:rsid w:val="0023390A"/>
    <w:rsid w:val="00233DA9"/>
    <w:rsid w:val="00234831"/>
    <w:rsid w:val="0023483D"/>
    <w:rsid w:val="00235076"/>
    <w:rsid w:val="002351E6"/>
    <w:rsid w:val="00235499"/>
    <w:rsid w:val="00235652"/>
    <w:rsid w:val="00235744"/>
    <w:rsid w:val="00236229"/>
    <w:rsid w:val="00236278"/>
    <w:rsid w:val="00236DB9"/>
    <w:rsid w:val="002377A3"/>
    <w:rsid w:val="002378AB"/>
    <w:rsid w:val="0024013D"/>
    <w:rsid w:val="002402D8"/>
    <w:rsid w:val="00240A3E"/>
    <w:rsid w:val="00241066"/>
    <w:rsid w:val="00241361"/>
    <w:rsid w:val="0024149F"/>
    <w:rsid w:val="0024168E"/>
    <w:rsid w:val="0024188A"/>
    <w:rsid w:val="00241A07"/>
    <w:rsid w:val="00241E98"/>
    <w:rsid w:val="00242108"/>
    <w:rsid w:val="002424A7"/>
    <w:rsid w:val="00242E4E"/>
    <w:rsid w:val="00243028"/>
    <w:rsid w:val="00243117"/>
    <w:rsid w:val="00243878"/>
    <w:rsid w:val="002439B7"/>
    <w:rsid w:val="00243A3E"/>
    <w:rsid w:val="00243FB9"/>
    <w:rsid w:val="002446E1"/>
    <w:rsid w:val="00244B8B"/>
    <w:rsid w:val="00244BE9"/>
    <w:rsid w:val="00244CF5"/>
    <w:rsid w:val="00245815"/>
    <w:rsid w:val="00245AFF"/>
    <w:rsid w:val="0024636D"/>
    <w:rsid w:val="002463FA"/>
    <w:rsid w:val="00246515"/>
    <w:rsid w:val="0024668E"/>
    <w:rsid w:val="00246C81"/>
    <w:rsid w:val="00246EE8"/>
    <w:rsid w:val="00247240"/>
    <w:rsid w:val="002501FF"/>
    <w:rsid w:val="002507A5"/>
    <w:rsid w:val="002507A8"/>
    <w:rsid w:val="00250BDB"/>
    <w:rsid w:val="002515E8"/>
    <w:rsid w:val="0025160F"/>
    <w:rsid w:val="00251837"/>
    <w:rsid w:val="00251910"/>
    <w:rsid w:val="00252DAC"/>
    <w:rsid w:val="00252E68"/>
    <w:rsid w:val="002532C4"/>
    <w:rsid w:val="0025330F"/>
    <w:rsid w:val="00253557"/>
    <w:rsid w:val="00253682"/>
    <w:rsid w:val="0025418F"/>
    <w:rsid w:val="0025465E"/>
    <w:rsid w:val="00254797"/>
    <w:rsid w:val="002547CF"/>
    <w:rsid w:val="00254ECA"/>
    <w:rsid w:val="002551A2"/>
    <w:rsid w:val="00255F91"/>
    <w:rsid w:val="00256192"/>
    <w:rsid w:val="00256250"/>
    <w:rsid w:val="002563C4"/>
    <w:rsid w:val="0025666C"/>
    <w:rsid w:val="00256B92"/>
    <w:rsid w:val="00256DE9"/>
    <w:rsid w:val="00256DF8"/>
    <w:rsid w:val="002573E8"/>
    <w:rsid w:val="00257944"/>
    <w:rsid w:val="00257D28"/>
    <w:rsid w:val="00257E36"/>
    <w:rsid w:val="0026044D"/>
    <w:rsid w:val="002605DF"/>
    <w:rsid w:val="00260760"/>
    <w:rsid w:val="00260D5E"/>
    <w:rsid w:val="00261786"/>
    <w:rsid w:val="002618B1"/>
    <w:rsid w:val="0026227C"/>
    <w:rsid w:val="0026255B"/>
    <w:rsid w:val="00262C6A"/>
    <w:rsid w:val="0026335D"/>
    <w:rsid w:val="0026343B"/>
    <w:rsid w:val="00263D70"/>
    <w:rsid w:val="002642E4"/>
    <w:rsid w:val="002643FB"/>
    <w:rsid w:val="0026474A"/>
    <w:rsid w:val="00264ABA"/>
    <w:rsid w:val="00265253"/>
    <w:rsid w:val="00265455"/>
    <w:rsid w:val="00265A15"/>
    <w:rsid w:val="002661BB"/>
    <w:rsid w:val="00266951"/>
    <w:rsid w:val="00266A1E"/>
    <w:rsid w:val="00266FC4"/>
    <w:rsid w:val="0026744E"/>
    <w:rsid w:val="00267896"/>
    <w:rsid w:val="00267D4B"/>
    <w:rsid w:val="00271240"/>
    <w:rsid w:val="0027134A"/>
    <w:rsid w:val="0027143D"/>
    <w:rsid w:val="002718A4"/>
    <w:rsid w:val="002718CE"/>
    <w:rsid w:val="00271930"/>
    <w:rsid w:val="002723B8"/>
    <w:rsid w:val="00272B68"/>
    <w:rsid w:val="00272DEB"/>
    <w:rsid w:val="002738D6"/>
    <w:rsid w:val="00274307"/>
    <w:rsid w:val="00274391"/>
    <w:rsid w:val="0027472D"/>
    <w:rsid w:val="002752F0"/>
    <w:rsid w:val="00275800"/>
    <w:rsid w:val="00275A63"/>
    <w:rsid w:val="00275B35"/>
    <w:rsid w:val="00275D66"/>
    <w:rsid w:val="002769EE"/>
    <w:rsid w:val="00276A09"/>
    <w:rsid w:val="00277004"/>
    <w:rsid w:val="00277C14"/>
    <w:rsid w:val="00280025"/>
    <w:rsid w:val="00280597"/>
    <w:rsid w:val="00280AA4"/>
    <w:rsid w:val="00280DD1"/>
    <w:rsid w:val="0028106B"/>
    <w:rsid w:val="00281AFB"/>
    <w:rsid w:val="00281F54"/>
    <w:rsid w:val="00282075"/>
    <w:rsid w:val="00282450"/>
    <w:rsid w:val="002824E1"/>
    <w:rsid w:val="00282716"/>
    <w:rsid w:val="00282971"/>
    <w:rsid w:val="00282DFB"/>
    <w:rsid w:val="00282E25"/>
    <w:rsid w:val="00283099"/>
    <w:rsid w:val="0028360E"/>
    <w:rsid w:val="00283943"/>
    <w:rsid w:val="00283B69"/>
    <w:rsid w:val="0028405E"/>
    <w:rsid w:val="00284480"/>
    <w:rsid w:val="002846E0"/>
    <w:rsid w:val="0028529B"/>
    <w:rsid w:val="0028543C"/>
    <w:rsid w:val="00285AD6"/>
    <w:rsid w:val="0028639A"/>
    <w:rsid w:val="002863C7"/>
    <w:rsid w:val="002867A4"/>
    <w:rsid w:val="002869F9"/>
    <w:rsid w:val="00286E89"/>
    <w:rsid w:val="00286FF5"/>
    <w:rsid w:val="002870B8"/>
    <w:rsid w:val="002878E4"/>
    <w:rsid w:val="002879A1"/>
    <w:rsid w:val="00287D27"/>
    <w:rsid w:val="0029054D"/>
    <w:rsid w:val="0029060A"/>
    <w:rsid w:val="00290705"/>
    <w:rsid w:val="0029106F"/>
    <w:rsid w:val="00291340"/>
    <w:rsid w:val="002917E3"/>
    <w:rsid w:val="00291C0E"/>
    <w:rsid w:val="00291F8C"/>
    <w:rsid w:val="00292116"/>
    <w:rsid w:val="00292406"/>
    <w:rsid w:val="002925BC"/>
    <w:rsid w:val="00292ABF"/>
    <w:rsid w:val="00292AC7"/>
    <w:rsid w:val="00292E1D"/>
    <w:rsid w:val="002933E2"/>
    <w:rsid w:val="00293669"/>
    <w:rsid w:val="00294170"/>
    <w:rsid w:val="00294195"/>
    <w:rsid w:val="002944DF"/>
    <w:rsid w:val="00295868"/>
    <w:rsid w:val="00295CAC"/>
    <w:rsid w:val="00296CED"/>
    <w:rsid w:val="00296E96"/>
    <w:rsid w:val="00297594"/>
    <w:rsid w:val="002976AD"/>
    <w:rsid w:val="0029784D"/>
    <w:rsid w:val="002979AC"/>
    <w:rsid w:val="00297AC9"/>
    <w:rsid w:val="002A004E"/>
    <w:rsid w:val="002A046A"/>
    <w:rsid w:val="002A0A9B"/>
    <w:rsid w:val="002A0D56"/>
    <w:rsid w:val="002A0EED"/>
    <w:rsid w:val="002A1787"/>
    <w:rsid w:val="002A186F"/>
    <w:rsid w:val="002A1CC2"/>
    <w:rsid w:val="002A1CCA"/>
    <w:rsid w:val="002A2728"/>
    <w:rsid w:val="002A2AFE"/>
    <w:rsid w:val="002A2FDA"/>
    <w:rsid w:val="002A322B"/>
    <w:rsid w:val="002A3308"/>
    <w:rsid w:val="002A379B"/>
    <w:rsid w:val="002A44BD"/>
    <w:rsid w:val="002A44CB"/>
    <w:rsid w:val="002A472C"/>
    <w:rsid w:val="002A4903"/>
    <w:rsid w:val="002A4AD8"/>
    <w:rsid w:val="002A4EBA"/>
    <w:rsid w:val="002A51DA"/>
    <w:rsid w:val="002A579E"/>
    <w:rsid w:val="002A618D"/>
    <w:rsid w:val="002A748C"/>
    <w:rsid w:val="002A749F"/>
    <w:rsid w:val="002A7811"/>
    <w:rsid w:val="002A7898"/>
    <w:rsid w:val="002B0500"/>
    <w:rsid w:val="002B05D9"/>
    <w:rsid w:val="002B0E3B"/>
    <w:rsid w:val="002B103D"/>
    <w:rsid w:val="002B1110"/>
    <w:rsid w:val="002B254F"/>
    <w:rsid w:val="002B261A"/>
    <w:rsid w:val="002B274A"/>
    <w:rsid w:val="002B297D"/>
    <w:rsid w:val="002B357B"/>
    <w:rsid w:val="002B48DF"/>
    <w:rsid w:val="002B4E55"/>
    <w:rsid w:val="002B5086"/>
    <w:rsid w:val="002B531A"/>
    <w:rsid w:val="002B54B5"/>
    <w:rsid w:val="002B5CB5"/>
    <w:rsid w:val="002B5D8B"/>
    <w:rsid w:val="002B5FF7"/>
    <w:rsid w:val="002B62F7"/>
    <w:rsid w:val="002B698D"/>
    <w:rsid w:val="002B6E67"/>
    <w:rsid w:val="002B70BA"/>
    <w:rsid w:val="002B71EB"/>
    <w:rsid w:val="002B767A"/>
    <w:rsid w:val="002B7A0D"/>
    <w:rsid w:val="002B7B64"/>
    <w:rsid w:val="002C09C3"/>
    <w:rsid w:val="002C0B6B"/>
    <w:rsid w:val="002C11C0"/>
    <w:rsid w:val="002C1635"/>
    <w:rsid w:val="002C1905"/>
    <w:rsid w:val="002C19F0"/>
    <w:rsid w:val="002C1C8F"/>
    <w:rsid w:val="002C289F"/>
    <w:rsid w:val="002C2ABA"/>
    <w:rsid w:val="002C2AED"/>
    <w:rsid w:val="002C2BB2"/>
    <w:rsid w:val="002C2E83"/>
    <w:rsid w:val="002C34FA"/>
    <w:rsid w:val="002C4238"/>
    <w:rsid w:val="002C4296"/>
    <w:rsid w:val="002C4894"/>
    <w:rsid w:val="002C4FCC"/>
    <w:rsid w:val="002C5156"/>
    <w:rsid w:val="002C5C6D"/>
    <w:rsid w:val="002C5C9F"/>
    <w:rsid w:val="002C5E26"/>
    <w:rsid w:val="002C61AD"/>
    <w:rsid w:val="002C64B7"/>
    <w:rsid w:val="002C6680"/>
    <w:rsid w:val="002C6B8F"/>
    <w:rsid w:val="002C6FF7"/>
    <w:rsid w:val="002C721C"/>
    <w:rsid w:val="002C78B3"/>
    <w:rsid w:val="002C7EC9"/>
    <w:rsid w:val="002D05B6"/>
    <w:rsid w:val="002D067E"/>
    <w:rsid w:val="002D0778"/>
    <w:rsid w:val="002D09F2"/>
    <w:rsid w:val="002D0EC6"/>
    <w:rsid w:val="002D1EAD"/>
    <w:rsid w:val="002D1FC8"/>
    <w:rsid w:val="002D2014"/>
    <w:rsid w:val="002D2113"/>
    <w:rsid w:val="002D232F"/>
    <w:rsid w:val="002D266D"/>
    <w:rsid w:val="002D27EB"/>
    <w:rsid w:val="002D2E52"/>
    <w:rsid w:val="002D3364"/>
    <w:rsid w:val="002D38FB"/>
    <w:rsid w:val="002D3A8D"/>
    <w:rsid w:val="002D3D05"/>
    <w:rsid w:val="002D3D83"/>
    <w:rsid w:val="002D4315"/>
    <w:rsid w:val="002D43C7"/>
    <w:rsid w:val="002D4F5E"/>
    <w:rsid w:val="002D53A5"/>
    <w:rsid w:val="002D540B"/>
    <w:rsid w:val="002D6C59"/>
    <w:rsid w:val="002D6CC0"/>
    <w:rsid w:val="002D709B"/>
    <w:rsid w:val="002D7A47"/>
    <w:rsid w:val="002D7A7E"/>
    <w:rsid w:val="002D7DA0"/>
    <w:rsid w:val="002D7E2C"/>
    <w:rsid w:val="002E01C7"/>
    <w:rsid w:val="002E0332"/>
    <w:rsid w:val="002E0503"/>
    <w:rsid w:val="002E0524"/>
    <w:rsid w:val="002E0AFB"/>
    <w:rsid w:val="002E0DEF"/>
    <w:rsid w:val="002E0E13"/>
    <w:rsid w:val="002E0F2C"/>
    <w:rsid w:val="002E1247"/>
    <w:rsid w:val="002E189F"/>
    <w:rsid w:val="002E1A4F"/>
    <w:rsid w:val="002E1C4E"/>
    <w:rsid w:val="002E25EF"/>
    <w:rsid w:val="002E2C59"/>
    <w:rsid w:val="002E2FF7"/>
    <w:rsid w:val="002E3086"/>
    <w:rsid w:val="002E30E2"/>
    <w:rsid w:val="002E3174"/>
    <w:rsid w:val="002E31A6"/>
    <w:rsid w:val="002E32A2"/>
    <w:rsid w:val="002E3331"/>
    <w:rsid w:val="002E3482"/>
    <w:rsid w:val="002E349D"/>
    <w:rsid w:val="002E3902"/>
    <w:rsid w:val="002E42E0"/>
    <w:rsid w:val="002E430C"/>
    <w:rsid w:val="002E46C4"/>
    <w:rsid w:val="002E4729"/>
    <w:rsid w:val="002E4755"/>
    <w:rsid w:val="002E475A"/>
    <w:rsid w:val="002E4E77"/>
    <w:rsid w:val="002E53BF"/>
    <w:rsid w:val="002E5772"/>
    <w:rsid w:val="002E5B5F"/>
    <w:rsid w:val="002E60EE"/>
    <w:rsid w:val="002E6C41"/>
    <w:rsid w:val="002E6DF6"/>
    <w:rsid w:val="002E7187"/>
    <w:rsid w:val="002E7787"/>
    <w:rsid w:val="002E7FAA"/>
    <w:rsid w:val="002F068E"/>
    <w:rsid w:val="002F0C2F"/>
    <w:rsid w:val="002F0F2A"/>
    <w:rsid w:val="002F1436"/>
    <w:rsid w:val="002F190C"/>
    <w:rsid w:val="002F297D"/>
    <w:rsid w:val="002F2A35"/>
    <w:rsid w:val="002F2E82"/>
    <w:rsid w:val="002F2F34"/>
    <w:rsid w:val="002F3498"/>
    <w:rsid w:val="002F35F6"/>
    <w:rsid w:val="002F36E4"/>
    <w:rsid w:val="002F3C44"/>
    <w:rsid w:val="002F3FAC"/>
    <w:rsid w:val="002F50CE"/>
    <w:rsid w:val="002F557D"/>
    <w:rsid w:val="002F563C"/>
    <w:rsid w:val="002F5BED"/>
    <w:rsid w:val="002F5F27"/>
    <w:rsid w:val="002F60F7"/>
    <w:rsid w:val="002F6577"/>
    <w:rsid w:val="002F6F08"/>
    <w:rsid w:val="002F715A"/>
    <w:rsid w:val="002F7540"/>
    <w:rsid w:val="002F7B59"/>
    <w:rsid w:val="00300784"/>
    <w:rsid w:val="003015D5"/>
    <w:rsid w:val="0030251B"/>
    <w:rsid w:val="00303005"/>
    <w:rsid w:val="00303B8C"/>
    <w:rsid w:val="00303E5C"/>
    <w:rsid w:val="003041AC"/>
    <w:rsid w:val="003044CA"/>
    <w:rsid w:val="003045A2"/>
    <w:rsid w:val="003045FF"/>
    <w:rsid w:val="00304E72"/>
    <w:rsid w:val="003050C8"/>
    <w:rsid w:val="003056E7"/>
    <w:rsid w:val="00305894"/>
    <w:rsid w:val="00306205"/>
    <w:rsid w:val="003065B4"/>
    <w:rsid w:val="003066BA"/>
    <w:rsid w:val="00306CD4"/>
    <w:rsid w:val="00307577"/>
    <w:rsid w:val="00307CD6"/>
    <w:rsid w:val="003101A8"/>
    <w:rsid w:val="003104AB"/>
    <w:rsid w:val="003105CF"/>
    <w:rsid w:val="003106DC"/>
    <w:rsid w:val="00310BE5"/>
    <w:rsid w:val="00310F75"/>
    <w:rsid w:val="00311AFA"/>
    <w:rsid w:val="00312053"/>
    <w:rsid w:val="0031229E"/>
    <w:rsid w:val="0031233B"/>
    <w:rsid w:val="00312F79"/>
    <w:rsid w:val="00312F88"/>
    <w:rsid w:val="0031302B"/>
    <w:rsid w:val="003136BB"/>
    <w:rsid w:val="0031388F"/>
    <w:rsid w:val="00313A1C"/>
    <w:rsid w:val="00313CEF"/>
    <w:rsid w:val="00313DB3"/>
    <w:rsid w:val="00314A24"/>
    <w:rsid w:val="00314DBE"/>
    <w:rsid w:val="00314E68"/>
    <w:rsid w:val="00314F08"/>
    <w:rsid w:val="0031531D"/>
    <w:rsid w:val="00315606"/>
    <w:rsid w:val="00315815"/>
    <w:rsid w:val="00315DB6"/>
    <w:rsid w:val="0031605F"/>
    <w:rsid w:val="00316278"/>
    <w:rsid w:val="00316B15"/>
    <w:rsid w:val="00317153"/>
    <w:rsid w:val="003178B1"/>
    <w:rsid w:val="003200FD"/>
    <w:rsid w:val="0032033C"/>
    <w:rsid w:val="003208A4"/>
    <w:rsid w:val="0032127A"/>
    <w:rsid w:val="00321479"/>
    <w:rsid w:val="00321DC1"/>
    <w:rsid w:val="00321EF6"/>
    <w:rsid w:val="00322503"/>
    <w:rsid w:val="00323524"/>
    <w:rsid w:val="0032375F"/>
    <w:rsid w:val="00323A07"/>
    <w:rsid w:val="00323B0F"/>
    <w:rsid w:val="00323C50"/>
    <w:rsid w:val="00323F96"/>
    <w:rsid w:val="003244AE"/>
    <w:rsid w:val="0032468B"/>
    <w:rsid w:val="00324920"/>
    <w:rsid w:val="00324BC6"/>
    <w:rsid w:val="00324C8F"/>
    <w:rsid w:val="00325223"/>
    <w:rsid w:val="00325759"/>
    <w:rsid w:val="00326111"/>
    <w:rsid w:val="00326215"/>
    <w:rsid w:val="0032636F"/>
    <w:rsid w:val="0032665C"/>
    <w:rsid w:val="00326868"/>
    <w:rsid w:val="003279CA"/>
    <w:rsid w:val="00330209"/>
    <w:rsid w:val="00330322"/>
    <w:rsid w:val="0033037F"/>
    <w:rsid w:val="00330414"/>
    <w:rsid w:val="00330E4B"/>
    <w:rsid w:val="00330E65"/>
    <w:rsid w:val="003312BB"/>
    <w:rsid w:val="0033159C"/>
    <w:rsid w:val="0033172B"/>
    <w:rsid w:val="00331F52"/>
    <w:rsid w:val="003321C8"/>
    <w:rsid w:val="00332CE0"/>
    <w:rsid w:val="00332E70"/>
    <w:rsid w:val="00333B36"/>
    <w:rsid w:val="00333F65"/>
    <w:rsid w:val="00334102"/>
    <w:rsid w:val="00334998"/>
    <w:rsid w:val="00334A51"/>
    <w:rsid w:val="00334E3E"/>
    <w:rsid w:val="00335B24"/>
    <w:rsid w:val="00335C99"/>
    <w:rsid w:val="00335CFB"/>
    <w:rsid w:val="00336718"/>
    <w:rsid w:val="00336731"/>
    <w:rsid w:val="00336CD7"/>
    <w:rsid w:val="0033728B"/>
    <w:rsid w:val="00337902"/>
    <w:rsid w:val="00337E72"/>
    <w:rsid w:val="00337EFC"/>
    <w:rsid w:val="00337F56"/>
    <w:rsid w:val="00340058"/>
    <w:rsid w:val="003400AF"/>
    <w:rsid w:val="003404CD"/>
    <w:rsid w:val="0034095B"/>
    <w:rsid w:val="00341924"/>
    <w:rsid w:val="003421BC"/>
    <w:rsid w:val="00342AF6"/>
    <w:rsid w:val="0034342E"/>
    <w:rsid w:val="003434CA"/>
    <w:rsid w:val="00343645"/>
    <w:rsid w:val="00343EB0"/>
    <w:rsid w:val="003449E4"/>
    <w:rsid w:val="00344AB7"/>
    <w:rsid w:val="00344F50"/>
    <w:rsid w:val="003450B6"/>
    <w:rsid w:val="00345299"/>
    <w:rsid w:val="003452DA"/>
    <w:rsid w:val="00345370"/>
    <w:rsid w:val="00345D00"/>
    <w:rsid w:val="00345EE1"/>
    <w:rsid w:val="003461F3"/>
    <w:rsid w:val="00346333"/>
    <w:rsid w:val="0034647A"/>
    <w:rsid w:val="0034667E"/>
    <w:rsid w:val="00346991"/>
    <w:rsid w:val="00346A47"/>
    <w:rsid w:val="00346D01"/>
    <w:rsid w:val="00346D85"/>
    <w:rsid w:val="00347C26"/>
    <w:rsid w:val="00347C65"/>
    <w:rsid w:val="00347CD3"/>
    <w:rsid w:val="003500F4"/>
    <w:rsid w:val="0035060A"/>
    <w:rsid w:val="00350801"/>
    <w:rsid w:val="00350923"/>
    <w:rsid w:val="00350C41"/>
    <w:rsid w:val="00350F04"/>
    <w:rsid w:val="003517EC"/>
    <w:rsid w:val="0035205A"/>
    <w:rsid w:val="00352178"/>
    <w:rsid w:val="003522BB"/>
    <w:rsid w:val="00352372"/>
    <w:rsid w:val="00352DB4"/>
    <w:rsid w:val="00353312"/>
    <w:rsid w:val="003538AB"/>
    <w:rsid w:val="003539C9"/>
    <w:rsid w:val="00353A86"/>
    <w:rsid w:val="00353E9F"/>
    <w:rsid w:val="00354387"/>
    <w:rsid w:val="003545E5"/>
    <w:rsid w:val="00354B76"/>
    <w:rsid w:val="00355F40"/>
    <w:rsid w:val="00356289"/>
    <w:rsid w:val="003563A5"/>
    <w:rsid w:val="0035678C"/>
    <w:rsid w:val="00356DAE"/>
    <w:rsid w:val="00356DF0"/>
    <w:rsid w:val="003573C5"/>
    <w:rsid w:val="00357551"/>
    <w:rsid w:val="00357A68"/>
    <w:rsid w:val="00357CBE"/>
    <w:rsid w:val="003600D0"/>
    <w:rsid w:val="003607EC"/>
    <w:rsid w:val="00361105"/>
    <w:rsid w:val="00361149"/>
    <w:rsid w:val="003614D4"/>
    <w:rsid w:val="0036231F"/>
    <w:rsid w:val="003623E0"/>
    <w:rsid w:val="003628FA"/>
    <w:rsid w:val="00362E19"/>
    <w:rsid w:val="00362FC6"/>
    <w:rsid w:val="003632F5"/>
    <w:rsid w:val="003634BC"/>
    <w:rsid w:val="003635A9"/>
    <w:rsid w:val="00363D96"/>
    <w:rsid w:val="00363E0E"/>
    <w:rsid w:val="00364058"/>
    <w:rsid w:val="0036486F"/>
    <w:rsid w:val="00365079"/>
    <w:rsid w:val="003652C2"/>
    <w:rsid w:val="00365423"/>
    <w:rsid w:val="003658D8"/>
    <w:rsid w:val="00365A03"/>
    <w:rsid w:val="003661FF"/>
    <w:rsid w:val="00366320"/>
    <w:rsid w:val="0036636C"/>
    <w:rsid w:val="00366659"/>
    <w:rsid w:val="003666F4"/>
    <w:rsid w:val="00367113"/>
    <w:rsid w:val="003677A5"/>
    <w:rsid w:val="00367882"/>
    <w:rsid w:val="00370277"/>
    <w:rsid w:val="003702E8"/>
    <w:rsid w:val="0037099D"/>
    <w:rsid w:val="003709CC"/>
    <w:rsid w:val="00370B39"/>
    <w:rsid w:val="003711A0"/>
    <w:rsid w:val="003711E8"/>
    <w:rsid w:val="003712FC"/>
    <w:rsid w:val="003718D0"/>
    <w:rsid w:val="00372118"/>
    <w:rsid w:val="003721C7"/>
    <w:rsid w:val="003722ED"/>
    <w:rsid w:val="0037267E"/>
    <w:rsid w:val="003727C5"/>
    <w:rsid w:val="00372825"/>
    <w:rsid w:val="003729AE"/>
    <w:rsid w:val="003732F9"/>
    <w:rsid w:val="00373B2F"/>
    <w:rsid w:val="00373F2C"/>
    <w:rsid w:val="00374072"/>
    <w:rsid w:val="00374419"/>
    <w:rsid w:val="003746BD"/>
    <w:rsid w:val="00374B7A"/>
    <w:rsid w:val="0037553A"/>
    <w:rsid w:val="00375715"/>
    <w:rsid w:val="00375864"/>
    <w:rsid w:val="00375BD4"/>
    <w:rsid w:val="00375D9B"/>
    <w:rsid w:val="00376EC9"/>
    <w:rsid w:val="00376F52"/>
    <w:rsid w:val="00377869"/>
    <w:rsid w:val="00377D4C"/>
    <w:rsid w:val="003800B2"/>
    <w:rsid w:val="0038097C"/>
    <w:rsid w:val="00380D49"/>
    <w:rsid w:val="00380E84"/>
    <w:rsid w:val="0038107A"/>
    <w:rsid w:val="003810A0"/>
    <w:rsid w:val="0038115B"/>
    <w:rsid w:val="0038236B"/>
    <w:rsid w:val="0038259C"/>
    <w:rsid w:val="00382A18"/>
    <w:rsid w:val="00382CB5"/>
    <w:rsid w:val="00383ED9"/>
    <w:rsid w:val="003841DD"/>
    <w:rsid w:val="00384251"/>
    <w:rsid w:val="00384FF7"/>
    <w:rsid w:val="0038535F"/>
    <w:rsid w:val="003859FC"/>
    <w:rsid w:val="00386185"/>
    <w:rsid w:val="003865C0"/>
    <w:rsid w:val="00386A3D"/>
    <w:rsid w:val="00386DAC"/>
    <w:rsid w:val="003871D9"/>
    <w:rsid w:val="003874A6"/>
    <w:rsid w:val="003876B3"/>
    <w:rsid w:val="00387707"/>
    <w:rsid w:val="00387A47"/>
    <w:rsid w:val="00387D33"/>
    <w:rsid w:val="00387D75"/>
    <w:rsid w:val="00390321"/>
    <w:rsid w:val="00390A28"/>
    <w:rsid w:val="003910E1"/>
    <w:rsid w:val="0039131A"/>
    <w:rsid w:val="003914BF"/>
    <w:rsid w:val="003914F4"/>
    <w:rsid w:val="003916C7"/>
    <w:rsid w:val="00391C9C"/>
    <w:rsid w:val="00392289"/>
    <w:rsid w:val="003924E3"/>
    <w:rsid w:val="0039302C"/>
    <w:rsid w:val="00393ECA"/>
    <w:rsid w:val="00394378"/>
    <w:rsid w:val="003946C5"/>
    <w:rsid w:val="00394803"/>
    <w:rsid w:val="00394F16"/>
    <w:rsid w:val="003958C4"/>
    <w:rsid w:val="00395B82"/>
    <w:rsid w:val="00396669"/>
    <w:rsid w:val="003966F8"/>
    <w:rsid w:val="003969C4"/>
    <w:rsid w:val="0039780C"/>
    <w:rsid w:val="00397940"/>
    <w:rsid w:val="00397970"/>
    <w:rsid w:val="00397C32"/>
    <w:rsid w:val="00397E6A"/>
    <w:rsid w:val="003A0213"/>
    <w:rsid w:val="003A0814"/>
    <w:rsid w:val="003A0AB0"/>
    <w:rsid w:val="003A0C21"/>
    <w:rsid w:val="003A147C"/>
    <w:rsid w:val="003A18A3"/>
    <w:rsid w:val="003A1A0A"/>
    <w:rsid w:val="003A1ACB"/>
    <w:rsid w:val="003A1C59"/>
    <w:rsid w:val="003A2924"/>
    <w:rsid w:val="003A338F"/>
    <w:rsid w:val="003A34EA"/>
    <w:rsid w:val="003A35A7"/>
    <w:rsid w:val="003A3695"/>
    <w:rsid w:val="003A37E3"/>
    <w:rsid w:val="003A3A24"/>
    <w:rsid w:val="003A3AE1"/>
    <w:rsid w:val="003A3E20"/>
    <w:rsid w:val="003A44E3"/>
    <w:rsid w:val="003A4DC6"/>
    <w:rsid w:val="003A4EAA"/>
    <w:rsid w:val="003A5025"/>
    <w:rsid w:val="003A557F"/>
    <w:rsid w:val="003A5B21"/>
    <w:rsid w:val="003A61A9"/>
    <w:rsid w:val="003A6FD4"/>
    <w:rsid w:val="003A70D4"/>
    <w:rsid w:val="003A721F"/>
    <w:rsid w:val="003A744A"/>
    <w:rsid w:val="003A7960"/>
    <w:rsid w:val="003A7B89"/>
    <w:rsid w:val="003A7BED"/>
    <w:rsid w:val="003B02E3"/>
    <w:rsid w:val="003B0354"/>
    <w:rsid w:val="003B0453"/>
    <w:rsid w:val="003B0496"/>
    <w:rsid w:val="003B1468"/>
    <w:rsid w:val="003B160D"/>
    <w:rsid w:val="003B229C"/>
    <w:rsid w:val="003B22AE"/>
    <w:rsid w:val="003B234A"/>
    <w:rsid w:val="003B2C75"/>
    <w:rsid w:val="003B2D87"/>
    <w:rsid w:val="003B35E5"/>
    <w:rsid w:val="003B3CE4"/>
    <w:rsid w:val="003B4460"/>
    <w:rsid w:val="003B4553"/>
    <w:rsid w:val="003B46F7"/>
    <w:rsid w:val="003B5937"/>
    <w:rsid w:val="003B5C00"/>
    <w:rsid w:val="003B5D5E"/>
    <w:rsid w:val="003B6152"/>
    <w:rsid w:val="003B61D5"/>
    <w:rsid w:val="003B62E4"/>
    <w:rsid w:val="003B68FC"/>
    <w:rsid w:val="003B736F"/>
    <w:rsid w:val="003B7BE1"/>
    <w:rsid w:val="003B7BEF"/>
    <w:rsid w:val="003C01C0"/>
    <w:rsid w:val="003C06A5"/>
    <w:rsid w:val="003C11A8"/>
    <w:rsid w:val="003C14A4"/>
    <w:rsid w:val="003C154A"/>
    <w:rsid w:val="003C15C9"/>
    <w:rsid w:val="003C163A"/>
    <w:rsid w:val="003C1787"/>
    <w:rsid w:val="003C1AF2"/>
    <w:rsid w:val="003C1C08"/>
    <w:rsid w:val="003C2122"/>
    <w:rsid w:val="003C212A"/>
    <w:rsid w:val="003C22B8"/>
    <w:rsid w:val="003C2A3B"/>
    <w:rsid w:val="003C2FA6"/>
    <w:rsid w:val="003C2FF2"/>
    <w:rsid w:val="003C3B3F"/>
    <w:rsid w:val="003C4062"/>
    <w:rsid w:val="003C46EF"/>
    <w:rsid w:val="003C4DDB"/>
    <w:rsid w:val="003C4DE0"/>
    <w:rsid w:val="003C53DD"/>
    <w:rsid w:val="003C6C93"/>
    <w:rsid w:val="003C6CC6"/>
    <w:rsid w:val="003C6E86"/>
    <w:rsid w:val="003C7778"/>
    <w:rsid w:val="003C786F"/>
    <w:rsid w:val="003C7A20"/>
    <w:rsid w:val="003C7A72"/>
    <w:rsid w:val="003C7D85"/>
    <w:rsid w:val="003D02C5"/>
    <w:rsid w:val="003D0462"/>
    <w:rsid w:val="003D0BE4"/>
    <w:rsid w:val="003D2417"/>
    <w:rsid w:val="003D2E3F"/>
    <w:rsid w:val="003D2E9D"/>
    <w:rsid w:val="003D35B4"/>
    <w:rsid w:val="003D374C"/>
    <w:rsid w:val="003D3778"/>
    <w:rsid w:val="003D48F6"/>
    <w:rsid w:val="003D5E08"/>
    <w:rsid w:val="003D6164"/>
    <w:rsid w:val="003D6205"/>
    <w:rsid w:val="003D637D"/>
    <w:rsid w:val="003D6E9B"/>
    <w:rsid w:val="003D78B0"/>
    <w:rsid w:val="003D7D86"/>
    <w:rsid w:val="003E0254"/>
    <w:rsid w:val="003E025E"/>
    <w:rsid w:val="003E068E"/>
    <w:rsid w:val="003E1AC7"/>
    <w:rsid w:val="003E1B43"/>
    <w:rsid w:val="003E1C34"/>
    <w:rsid w:val="003E1D97"/>
    <w:rsid w:val="003E2204"/>
    <w:rsid w:val="003E234A"/>
    <w:rsid w:val="003E2C5F"/>
    <w:rsid w:val="003E2EBA"/>
    <w:rsid w:val="003E2EC4"/>
    <w:rsid w:val="003E4AC2"/>
    <w:rsid w:val="003E4EE5"/>
    <w:rsid w:val="003E4FCA"/>
    <w:rsid w:val="003E5112"/>
    <w:rsid w:val="003E5247"/>
    <w:rsid w:val="003E57CF"/>
    <w:rsid w:val="003E6389"/>
    <w:rsid w:val="003E680A"/>
    <w:rsid w:val="003E6F85"/>
    <w:rsid w:val="003E70C9"/>
    <w:rsid w:val="003E73A4"/>
    <w:rsid w:val="003E759E"/>
    <w:rsid w:val="003E7EBE"/>
    <w:rsid w:val="003E7EE1"/>
    <w:rsid w:val="003F050B"/>
    <w:rsid w:val="003F0A2F"/>
    <w:rsid w:val="003F13DF"/>
    <w:rsid w:val="003F1B9F"/>
    <w:rsid w:val="003F1BA4"/>
    <w:rsid w:val="003F1D98"/>
    <w:rsid w:val="003F1E43"/>
    <w:rsid w:val="003F2BBC"/>
    <w:rsid w:val="003F3249"/>
    <w:rsid w:val="003F39EC"/>
    <w:rsid w:val="003F3C0C"/>
    <w:rsid w:val="003F3FFE"/>
    <w:rsid w:val="003F49D2"/>
    <w:rsid w:val="003F4D53"/>
    <w:rsid w:val="003F4DA7"/>
    <w:rsid w:val="003F4DB5"/>
    <w:rsid w:val="003F5095"/>
    <w:rsid w:val="003F548D"/>
    <w:rsid w:val="003F560D"/>
    <w:rsid w:val="003F5630"/>
    <w:rsid w:val="003F57F9"/>
    <w:rsid w:val="003F5DEF"/>
    <w:rsid w:val="003F627B"/>
    <w:rsid w:val="003F693F"/>
    <w:rsid w:val="003F6F71"/>
    <w:rsid w:val="003F7055"/>
    <w:rsid w:val="003F7C22"/>
    <w:rsid w:val="003F7F4A"/>
    <w:rsid w:val="00400138"/>
    <w:rsid w:val="004004B5"/>
    <w:rsid w:val="004009CE"/>
    <w:rsid w:val="00400A06"/>
    <w:rsid w:val="00401060"/>
    <w:rsid w:val="004011B8"/>
    <w:rsid w:val="004012E6"/>
    <w:rsid w:val="00401378"/>
    <w:rsid w:val="00401779"/>
    <w:rsid w:val="0040193F"/>
    <w:rsid w:val="00401C8A"/>
    <w:rsid w:val="00402033"/>
    <w:rsid w:val="004025B3"/>
    <w:rsid w:val="00402679"/>
    <w:rsid w:val="004028C8"/>
    <w:rsid w:val="004028DB"/>
    <w:rsid w:val="00402AA6"/>
    <w:rsid w:val="00402C54"/>
    <w:rsid w:val="00402E95"/>
    <w:rsid w:val="004035A5"/>
    <w:rsid w:val="004038D9"/>
    <w:rsid w:val="00403C55"/>
    <w:rsid w:val="00404057"/>
    <w:rsid w:val="00404509"/>
    <w:rsid w:val="00404523"/>
    <w:rsid w:val="0040459E"/>
    <w:rsid w:val="00404EC6"/>
    <w:rsid w:val="0040543E"/>
    <w:rsid w:val="00405DFA"/>
    <w:rsid w:val="00405FBE"/>
    <w:rsid w:val="004063C9"/>
    <w:rsid w:val="00406409"/>
    <w:rsid w:val="00406B0B"/>
    <w:rsid w:val="00407419"/>
    <w:rsid w:val="0040772F"/>
    <w:rsid w:val="0040775A"/>
    <w:rsid w:val="00410807"/>
    <w:rsid w:val="004109BE"/>
    <w:rsid w:val="00410D2C"/>
    <w:rsid w:val="004111A4"/>
    <w:rsid w:val="00411348"/>
    <w:rsid w:val="00411520"/>
    <w:rsid w:val="00411745"/>
    <w:rsid w:val="0041187A"/>
    <w:rsid w:val="00411C7A"/>
    <w:rsid w:val="00411C98"/>
    <w:rsid w:val="00412368"/>
    <w:rsid w:val="00412A21"/>
    <w:rsid w:val="00412C5F"/>
    <w:rsid w:val="004137D2"/>
    <w:rsid w:val="004138D1"/>
    <w:rsid w:val="004138F8"/>
    <w:rsid w:val="00413BB8"/>
    <w:rsid w:val="00414097"/>
    <w:rsid w:val="0041549C"/>
    <w:rsid w:val="00415725"/>
    <w:rsid w:val="00415E45"/>
    <w:rsid w:val="00416018"/>
    <w:rsid w:val="0041644E"/>
    <w:rsid w:val="004164E9"/>
    <w:rsid w:val="0041687F"/>
    <w:rsid w:val="004173CD"/>
    <w:rsid w:val="004173D4"/>
    <w:rsid w:val="0041757E"/>
    <w:rsid w:val="004178E2"/>
    <w:rsid w:val="00417BA0"/>
    <w:rsid w:val="00417E7D"/>
    <w:rsid w:val="00420115"/>
    <w:rsid w:val="00420212"/>
    <w:rsid w:val="0042040A"/>
    <w:rsid w:val="00420736"/>
    <w:rsid w:val="00420739"/>
    <w:rsid w:val="00420F93"/>
    <w:rsid w:val="00420FD7"/>
    <w:rsid w:val="00421069"/>
    <w:rsid w:val="004212FF"/>
    <w:rsid w:val="004216CC"/>
    <w:rsid w:val="00421728"/>
    <w:rsid w:val="004218B7"/>
    <w:rsid w:val="00421C1A"/>
    <w:rsid w:val="004220DF"/>
    <w:rsid w:val="00422316"/>
    <w:rsid w:val="00424DF6"/>
    <w:rsid w:val="00425709"/>
    <w:rsid w:val="004258AE"/>
    <w:rsid w:val="00425F9F"/>
    <w:rsid w:val="00426105"/>
    <w:rsid w:val="0042638C"/>
    <w:rsid w:val="00426DD0"/>
    <w:rsid w:val="004276F9"/>
    <w:rsid w:val="00427B34"/>
    <w:rsid w:val="00427C72"/>
    <w:rsid w:val="00430150"/>
    <w:rsid w:val="00430501"/>
    <w:rsid w:val="00430D6A"/>
    <w:rsid w:val="00431066"/>
    <w:rsid w:val="00431127"/>
    <w:rsid w:val="004319A3"/>
    <w:rsid w:val="004333F2"/>
    <w:rsid w:val="00433476"/>
    <w:rsid w:val="004336F5"/>
    <w:rsid w:val="004336FF"/>
    <w:rsid w:val="004339C8"/>
    <w:rsid w:val="00433A37"/>
    <w:rsid w:val="00433D30"/>
    <w:rsid w:val="00433EC5"/>
    <w:rsid w:val="00434918"/>
    <w:rsid w:val="00434947"/>
    <w:rsid w:val="00434ADB"/>
    <w:rsid w:val="00434C33"/>
    <w:rsid w:val="00434CDF"/>
    <w:rsid w:val="00434E26"/>
    <w:rsid w:val="00435588"/>
    <w:rsid w:val="0043586F"/>
    <w:rsid w:val="00435ADC"/>
    <w:rsid w:val="00435D1C"/>
    <w:rsid w:val="00435E07"/>
    <w:rsid w:val="004361D1"/>
    <w:rsid w:val="004362DA"/>
    <w:rsid w:val="00436462"/>
    <w:rsid w:val="0043699D"/>
    <w:rsid w:val="00436B98"/>
    <w:rsid w:val="00436F84"/>
    <w:rsid w:val="00437473"/>
    <w:rsid w:val="004403D2"/>
    <w:rsid w:val="00440A5B"/>
    <w:rsid w:val="00440BC1"/>
    <w:rsid w:val="00440C61"/>
    <w:rsid w:val="00440ECF"/>
    <w:rsid w:val="0044167F"/>
    <w:rsid w:val="004416D0"/>
    <w:rsid w:val="0044189C"/>
    <w:rsid w:val="00442142"/>
    <w:rsid w:val="00442266"/>
    <w:rsid w:val="00442360"/>
    <w:rsid w:val="004429B5"/>
    <w:rsid w:val="004430DF"/>
    <w:rsid w:val="0044386C"/>
    <w:rsid w:val="00443BCC"/>
    <w:rsid w:val="00443D13"/>
    <w:rsid w:val="00443F0F"/>
    <w:rsid w:val="00444477"/>
    <w:rsid w:val="004445D4"/>
    <w:rsid w:val="00444F1B"/>
    <w:rsid w:val="00444FB8"/>
    <w:rsid w:val="0044504A"/>
    <w:rsid w:val="0044549C"/>
    <w:rsid w:val="004454D9"/>
    <w:rsid w:val="0044564B"/>
    <w:rsid w:val="00445940"/>
    <w:rsid w:val="00445E6F"/>
    <w:rsid w:val="00445F10"/>
    <w:rsid w:val="00446464"/>
    <w:rsid w:val="0044649C"/>
    <w:rsid w:val="00446613"/>
    <w:rsid w:val="004469BF"/>
    <w:rsid w:val="00446EDB"/>
    <w:rsid w:val="00446FF0"/>
    <w:rsid w:val="00447027"/>
    <w:rsid w:val="004473F4"/>
    <w:rsid w:val="00450168"/>
    <w:rsid w:val="00450246"/>
    <w:rsid w:val="00450A60"/>
    <w:rsid w:val="00451F9A"/>
    <w:rsid w:val="00452A4C"/>
    <w:rsid w:val="00452A78"/>
    <w:rsid w:val="00452CED"/>
    <w:rsid w:val="00452E24"/>
    <w:rsid w:val="004536CD"/>
    <w:rsid w:val="004539F7"/>
    <w:rsid w:val="0045466B"/>
    <w:rsid w:val="00454834"/>
    <w:rsid w:val="004550FD"/>
    <w:rsid w:val="0045530C"/>
    <w:rsid w:val="004555F9"/>
    <w:rsid w:val="00455D2D"/>
    <w:rsid w:val="00455E9A"/>
    <w:rsid w:val="0045629E"/>
    <w:rsid w:val="004562E5"/>
    <w:rsid w:val="00456941"/>
    <w:rsid w:val="00456FFE"/>
    <w:rsid w:val="00457151"/>
    <w:rsid w:val="004571CE"/>
    <w:rsid w:val="0045721E"/>
    <w:rsid w:val="004574C2"/>
    <w:rsid w:val="004579D9"/>
    <w:rsid w:val="00460676"/>
    <w:rsid w:val="00460737"/>
    <w:rsid w:val="00460CFA"/>
    <w:rsid w:val="0046129F"/>
    <w:rsid w:val="004612C7"/>
    <w:rsid w:val="004615B5"/>
    <w:rsid w:val="004615D2"/>
    <w:rsid w:val="00461773"/>
    <w:rsid w:val="004617BF"/>
    <w:rsid w:val="00461819"/>
    <w:rsid w:val="00461F55"/>
    <w:rsid w:val="0046209D"/>
    <w:rsid w:val="004621D7"/>
    <w:rsid w:val="004625D9"/>
    <w:rsid w:val="004635EE"/>
    <w:rsid w:val="0046385E"/>
    <w:rsid w:val="00463B10"/>
    <w:rsid w:val="00463F57"/>
    <w:rsid w:val="00464681"/>
    <w:rsid w:val="00464940"/>
    <w:rsid w:val="00464943"/>
    <w:rsid w:val="0046495D"/>
    <w:rsid w:val="00464962"/>
    <w:rsid w:val="00464BD1"/>
    <w:rsid w:val="00464C8C"/>
    <w:rsid w:val="004657B9"/>
    <w:rsid w:val="00465A4C"/>
    <w:rsid w:val="00465AF8"/>
    <w:rsid w:val="00465E1A"/>
    <w:rsid w:val="00466188"/>
    <w:rsid w:val="00466D07"/>
    <w:rsid w:val="0047035F"/>
    <w:rsid w:val="00470B34"/>
    <w:rsid w:val="00471268"/>
    <w:rsid w:val="00471275"/>
    <w:rsid w:val="004715E0"/>
    <w:rsid w:val="00471CFD"/>
    <w:rsid w:val="00471E34"/>
    <w:rsid w:val="0047235D"/>
    <w:rsid w:val="00472D53"/>
    <w:rsid w:val="00474002"/>
    <w:rsid w:val="00474248"/>
    <w:rsid w:val="00474521"/>
    <w:rsid w:val="00474F62"/>
    <w:rsid w:val="00475B36"/>
    <w:rsid w:val="0047668A"/>
    <w:rsid w:val="00476DB5"/>
    <w:rsid w:val="00480029"/>
    <w:rsid w:val="004800E4"/>
    <w:rsid w:val="004803D0"/>
    <w:rsid w:val="00480BC8"/>
    <w:rsid w:val="00480C06"/>
    <w:rsid w:val="00481407"/>
    <w:rsid w:val="004814CD"/>
    <w:rsid w:val="00481887"/>
    <w:rsid w:val="00482553"/>
    <w:rsid w:val="00483003"/>
    <w:rsid w:val="00483B7E"/>
    <w:rsid w:val="00484460"/>
    <w:rsid w:val="004844D5"/>
    <w:rsid w:val="00484741"/>
    <w:rsid w:val="004857D7"/>
    <w:rsid w:val="00485B30"/>
    <w:rsid w:val="00485B6D"/>
    <w:rsid w:val="00485FD8"/>
    <w:rsid w:val="0048693B"/>
    <w:rsid w:val="00486A10"/>
    <w:rsid w:val="00487906"/>
    <w:rsid w:val="00487986"/>
    <w:rsid w:val="00487A6F"/>
    <w:rsid w:val="00487C91"/>
    <w:rsid w:val="004900B0"/>
    <w:rsid w:val="00491A6F"/>
    <w:rsid w:val="00491AD8"/>
    <w:rsid w:val="0049210F"/>
    <w:rsid w:val="0049229B"/>
    <w:rsid w:val="004929AA"/>
    <w:rsid w:val="00492B38"/>
    <w:rsid w:val="00492C9B"/>
    <w:rsid w:val="00493332"/>
    <w:rsid w:val="0049335B"/>
    <w:rsid w:val="00493B2F"/>
    <w:rsid w:val="00493CF6"/>
    <w:rsid w:val="00494363"/>
    <w:rsid w:val="00494459"/>
    <w:rsid w:val="0049456A"/>
    <w:rsid w:val="00494631"/>
    <w:rsid w:val="004948C5"/>
    <w:rsid w:val="00494980"/>
    <w:rsid w:val="00494D29"/>
    <w:rsid w:val="00494E6D"/>
    <w:rsid w:val="004955F8"/>
    <w:rsid w:val="00496113"/>
    <w:rsid w:val="0049645F"/>
    <w:rsid w:val="00496D52"/>
    <w:rsid w:val="004972EB"/>
    <w:rsid w:val="0049751F"/>
    <w:rsid w:val="004A0D8C"/>
    <w:rsid w:val="004A1B2C"/>
    <w:rsid w:val="004A1DA9"/>
    <w:rsid w:val="004A2D1A"/>
    <w:rsid w:val="004A34AA"/>
    <w:rsid w:val="004A3A62"/>
    <w:rsid w:val="004A41F0"/>
    <w:rsid w:val="004A4253"/>
    <w:rsid w:val="004A524E"/>
    <w:rsid w:val="004A551E"/>
    <w:rsid w:val="004A571D"/>
    <w:rsid w:val="004A5B69"/>
    <w:rsid w:val="004A5B6E"/>
    <w:rsid w:val="004A62F2"/>
    <w:rsid w:val="004A67AF"/>
    <w:rsid w:val="004A6955"/>
    <w:rsid w:val="004A6995"/>
    <w:rsid w:val="004A6A5E"/>
    <w:rsid w:val="004A6E14"/>
    <w:rsid w:val="004A7048"/>
    <w:rsid w:val="004A774E"/>
    <w:rsid w:val="004A79E6"/>
    <w:rsid w:val="004A7A06"/>
    <w:rsid w:val="004A7A70"/>
    <w:rsid w:val="004A7AD7"/>
    <w:rsid w:val="004A7D7D"/>
    <w:rsid w:val="004B00D3"/>
    <w:rsid w:val="004B077B"/>
    <w:rsid w:val="004B0BE6"/>
    <w:rsid w:val="004B1055"/>
    <w:rsid w:val="004B106F"/>
    <w:rsid w:val="004B18C9"/>
    <w:rsid w:val="004B198F"/>
    <w:rsid w:val="004B2429"/>
    <w:rsid w:val="004B259E"/>
    <w:rsid w:val="004B2B5F"/>
    <w:rsid w:val="004B31A1"/>
    <w:rsid w:val="004B353D"/>
    <w:rsid w:val="004B40A1"/>
    <w:rsid w:val="004B4468"/>
    <w:rsid w:val="004B4C54"/>
    <w:rsid w:val="004B4D91"/>
    <w:rsid w:val="004B5BAD"/>
    <w:rsid w:val="004B5DA0"/>
    <w:rsid w:val="004B60E2"/>
    <w:rsid w:val="004B622F"/>
    <w:rsid w:val="004B69D8"/>
    <w:rsid w:val="004B6C7E"/>
    <w:rsid w:val="004B717D"/>
    <w:rsid w:val="004B7CE2"/>
    <w:rsid w:val="004C068A"/>
    <w:rsid w:val="004C0D7D"/>
    <w:rsid w:val="004C13CC"/>
    <w:rsid w:val="004C1551"/>
    <w:rsid w:val="004C1723"/>
    <w:rsid w:val="004C19D9"/>
    <w:rsid w:val="004C1CFB"/>
    <w:rsid w:val="004C1D23"/>
    <w:rsid w:val="004C1FB9"/>
    <w:rsid w:val="004C2455"/>
    <w:rsid w:val="004C2A8D"/>
    <w:rsid w:val="004C2E21"/>
    <w:rsid w:val="004C2EA3"/>
    <w:rsid w:val="004C2FF5"/>
    <w:rsid w:val="004C319C"/>
    <w:rsid w:val="004C4309"/>
    <w:rsid w:val="004C460B"/>
    <w:rsid w:val="004C48AD"/>
    <w:rsid w:val="004C503E"/>
    <w:rsid w:val="004C5B44"/>
    <w:rsid w:val="004C5F0C"/>
    <w:rsid w:val="004C6429"/>
    <w:rsid w:val="004C7006"/>
    <w:rsid w:val="004C7764"/>
    <w:rsid w:val="004C792B"/>
    <w:rsid w:val="004D1534"/>
    <w:rsid w:val="004D15E0"/>
    <w:rsid w:val="004D1AF3"/>
    <w:rsid w:val="004D1C9C"/>
    <w:rsid w:val="004D23AA"/>
    <w:rsid w:val="004D2B58"/>
    <w:rsid w:val="004D2EBC"/>
    <w:rsid w:val="004D3416"/>
    <w:rsid w:val="004D375D"/>
    <w:rsid w:val="004D3780"/>
    <w:rsid w:val="004D3CF1"/>
    <w:rsid w:val="004D3F88"/>
    <w:rsid w:val="004D5556"/>
    <w:rsid w:val="004D5768"/>
    <w:rsid w:val="004D5A50"/>
    <w:rsid w:val="004D636F"/>
    <w:rsid w:val="004D6591"/>
    <w:rsid w:val="004D6F56"/>
    <w:rsid w:val="004E0556"/>
    <w:rsid w:val="004E0820"/>
    <w:rsid w:val="004E0AAF"/>
    <w:rsid w:val="004E1124"/>
    <w:rsid w:val="004E14E6"/>
    <w:rsid w:val="004E19D1"/>
    <w:rsid w:val="004E1F98"/>
    <w:rsid w:val="004E22DE"/>
    <w:rsid w:val="004E241F"/>
    <w:rsid w:val="004E2C31"/>
    <w:rsid w:val="004E311D"/>
    <w:rsid w:val="004E352A"/>
    <w:rsid w:val="004E380D"/>
    <w:rsid w:val="004E4169"/>
    <w:rsid w:val="004E43B2"/>
    <w:rsid w:val="004E4960"/>
    <w:rsid w:val="004E513D"/>
    <w:rsid w:val="004E53E4"/>
    <w:rsid w:val="004E547D"/>
    <w:rsid w:val="004E57B8"/>
    <w:rsid w:val="004E59A6"/>
    <w:rsid w:val="004E5F8D"/>
    <w:rsid w:val="004E628A"/>
    <w:rsid w:val="004E64B3"/>
    <w:rsid w:val="004E6891"/>
    <w:rsid w:val="004E69A6"/>
    <w:rsid w:val="004E6E39"/>
    <w:rsid w:val="004E773C"/>
    <w:rsid w:val="004E78D3"/>
    <w:rsid w:val="004E798E"/>
    <w:rsid w:val="004E7DB5"/>
    <w:rsid w:val="004E7E6F"/>
    <w:rsid w:val="004E7F04"/>
    <w:rsid w:val="004F011B"/>
    <w:rsid w:val="004F02D0"/>
    <w:rsid w:val="004F04CE"/>
    <w:rsid w:val="004F0684"/>
    <w:rsid w:val="004F1A75"/>
    <w:rsid w:val="004F294A"/>
    <w:rsid w:val="004F2FAD"/>
    <w:rsid w:val="004F33EA"/>
    <w:rsid w:val="004F3801"/>
    <w:rsid w:val="004F3BBF"/>
    <w:rsid w:val="004F3E4A"/>
    <w:rsid w:val="004F3F52"/>
    <w:rsid w:val="004F435C"/>
    <w:rsid w:val="004F44DF"/>
    <w:rsid w:val="004F466D"/>
    <w:rsid w:val="004F47AE"/>
    <w:rsid w:val="004F48E4"/>
    <w:rsid w:val="004F4945"/>
    <w:rsid w:val="004F497A"/>
    <w:rsid w:val="004F4A74"/>
    <w:rsid w:val="004F4CAF"/>
    <w:rsid w:val="004F52FE"/>
    <w:rsid w:val="004F571A"/>
    <w:rsid w:val="004F5A49"/>
    <w:rsid w:val="004F5A68"/>
    <w:rsid w:val="004F5D36"/>
    <w:rsid w:val="004F5EA2"/>
    <w:rsid w:val="004F6312"/>
    <w:rsid w:val="004F687F"/>
    <w:rsid w:val="004F698D"/>
    <w:rsid w:val="004F6AF9"/>
    <w:rsid w:val="004F70AF"/>
    <w:rsid w:val="004F795A"/>
    <w:rsid w:val="004F7CB8"/>
    <w:rsid w:val="004F7D63"/>
    <w:rsid w:val="004F7DFA"/>
    <w:rsid w:val="004F7F54"/>
    <w:rsid w:val="00500424"/>
    <w:rsid w:val="00500567"/>
    <w:rsid w:val="00500A1D"/>
    <w:rsid w:val="00501429"/>
    <w:rsid w:val="005014BA"/>
    <w:rsid w:val="00501814"/>
    <w:rsid w:val="0050188D"/>
    <w:rsid w:val="00501A12"/>
    <w:rsid w:val="00501EAE"/>
    <w:rsid w:val="00502D28"/>
    <w:rsid w:val="00502D50"/>
    <w:rsid w:val="0050311D"/>
    <w:rsid w:val="0050314B"/>
    <w:rsid w:val="00503467"/>
    <w:rsid w:val="00504294"/>
    <w:rsid w:val="00504AFB"/>
    <w:rsid w:val="00505380"/>
    <w:rsid w:val="00505886"/>
    <w:rsid w:val="00505887"/>
    <w:rsid w:val="00506800"/>
    <w:rsid w:val="0050691F"/>
    <w:rsid w:val="00507FE8"/>
    <w:rsid w:val="005107A4"/>
    <w:rsid w:val="005111FF"/>
    <w:rsid w:val="005115FE"/>
    <w:rsid w:val="00511E37"/>
    <w:rsid w:val="00511FA1"/>
    <w:rsid w:val="005120C5"/>
    <w:rsid w:val="005121B5"/>
    <w:rsid w:val="00512B8B"/>
    <w:rsid w:val="00512E30"/>
    <w:rsid w:val="00513480"/>
    <w:rsid w:val="0051360F"/>
    <w:rsid w:val="0051392B"/>
    <w:rsid w:val="00514304"/>
    <w:rsid w:val="0051442B"/>
    <w:rsid w:val="0051450E"/>
    <w:rsid w:val="0051473A"/>
    <w:rsid w:val="005149B9"/>
    <w:rsid w:val="00514B22"/>
    <w:rsid w:val="00514B89"/>
    <w:rsid w:val="0051507E"/>
    <w:rsid w:val="005156CB"/>
    <w:rsid w:val="00515913"/>
    <w:rsid w:val="00515E3B"/>
    <w:rsid w:val="00515EE2"/>
    <w:rsid w:val="00515FA1"/>
    <w:rsid w:val="00516DA8"/>
    <w:rsid w:val="00517533"/>
    <w:rsid w:val="0051771E"/>
    <w:rsid w:val="005179C3"/>
    <w:rsid w:val="00517F7B"/>
    <w:rsid w:val="0052017A"/>
    <w:rsid w:val="00520259"/>
    <w:rsid w:val="005205F3"/>
    <w:rsid w:val="00520979"/>
    <w:rsid w:val="00520C1E"/>
    <w:rsid w:val="00521173"/>
    <w:rsid w:val="005211D6"/>
    <w:rsid w:val="00521263"/>
    <w:rsid w:val="00521501"/>
    <w:rsid w:val="005216CC"/>
    <w:rsid w:val="00521C4B"/>
    <w:rsid w:val="00521C97"/>
    <w:rsid w:val="00521D09"/>
    <w:rsid w:val="0052243A"/>
    <w:rsid w:val="005226FC"/>
    <w:rsid w:val="00522701"/>
    <w:rsid w:val="005229AE"/>
    <w:rsid w:val="0052318B"/>
    <w:rsid w:val="0052320A"/>
    <w:rsid w:val="005232AE"/>
    <w:rsid w:val="0052342E"/>
    <w:rsid w:val="00523824"/>
    <w:rsid w:val="0052383E"/>
    <w:rsid w:val="00523BC6"/>
    <w:rsid w:val="00523E53"/>
    <w:rsid w:val="00523F13"/>
    <w:rsid w:val="005244EA"/>
    <w:rsid w:val="005245E0"/>
    <w:rsid w:val="00524A1F"/>
    <w:rsid w:val="00524A89"/>
    <w:rsid w:val="00524D17"/>
    <w:rsid w:val="00524DB0"/>
    <w:rsid w:val="00524E0B"/>
    <w:rsid w:val="00524F25"/>
    <w:rsid w:val="00525A5B"/>
    <w:rsid w:val="005262F0"/>
    <w:rsid w:val="00526444"/>
    <w:rsid w:val="00526BD4"/>
    <w:rsid w:val="00526CF5"/>
    <w:rsid w:val="005273DB"/>
    <w:rsid w:val="00527C5D"/>
    <w:rsid w:val="0053027B"/>
    <w:rsid w:val="00530D79"/>
    <w:rsid w:val="00530FB1"/>
    <w:rsid w:val="00531424"/>
    <w:rsid w:val="005317B0"/>
    <w:rsid w:val="005319EF"/>
    <w:rsid w:val="0053299E"/>
    <w:rsid w:val="00532FBF"/>
    <w:rsid w:val="005336DF"/>
    <w:rsid w:val="00533866"/>
    <w:rsid w:val="0053399E"/>
    <w:rsid w:val="00533D25"/>
    <w:rsid w:val="00533DB8"/>
    <w:rsid w:val="005346D3"/>
    <w:rsid w:val="005347CF"/>
    <w:rsid w:val="00535410"/>
    <w:rsid w:val="005357DB"/>
    <w:rsid w:val="00536DA4"/>
    <w:rsid w:val="0053765E"/>
    <w:rsid w:val="00537F33"/>
    <w:rsid w:val="005412C7"/>
    <w:rsid w:val="0054188A"/>
    <w:rsid w:val="00541E4E"/>
    <w:rsid w:val="00541E95"/>
    <w:rsid w:val="00542118"/>
    <w:rsid w:val="005421F1"/>
    <w:rsid w:val="00542657"/>
    <w:rsid w:val="0054384E"/>
    <w:rsid w:val="005439E8"/>
    <w:rsid w:val="00543A77"/>
    <w:rsid w:val="00543EE6"/>
    <w:rsid w:val="00543EE7"/>
    <w:rsid w:val="00544102"/>
    <w:rsid w:val="005452FF"/>
    <w:rsid w:val="00545726"/>
    <w:rsid w:val="0054584A"/>
    <w:rsid w:val="005459C8"/>
    <w:rsid w:val="00545B4C"/>
    <w:rsid w:val="00545C72"/>
    <w:rsid w:val="00545D28"/>
    <w:rsid w:val="00545ECA"/>
    <w:rsid w:val="005461EC"/>
    <w:rsid w:val="005462EE"/>
    <w:rsid w:val="00546B4D"/>
    <w:rsid w:val="00546F4C"/>
    <w:rsid w:val="00546F71"/>
    <w:rsid w:val="0054732D"/>
    <w:rsid w:val="005473D0"/>
    <w:rsid w:val="0054792D"/>
    <w:rsid w:val="0055049F"/>
    <w:rsid w:val="005508A5"/>
    <w:rsid w:val="00550CF7"/>
    <w:rsid w:val="00550D72"/>
    <w:rsid w:val="00551269"/>
    <w:rsid w:val="00551428"/>
    <w:rsid w:val="0055216E"/>
    <w:rsid w:val="005522FA"/>
    <w:rsid w:val="00552307"/>
    <w:rsid w:val="00552799"/>
    <w:rsid w:val="00552D77"/>
    <w:rsid w:val="005530E7"/>
    <w:rsid w:val="0055318F"/>
    <w:rsid w:val="00553271"/>
    <w:rsid w:val="005532ED"/>
    <w:rsid w:val="00553379"/>
    <w:rsid w:val="0055429D"/>
    <w:rsid w:val="005544F2"/>
    <w:rsid w:val="00554582"/>
    <w:rsid w:val="005551ED"/>
    <w:rsid w:val="0055547C"/>
    <w:rsid w:val="005559D0"/>
    <w:rsid w:val="00555D40"/>
    <w:rsid w:val="00555E0F"/>
    <w:rsid w:val="00556564"/>
    <w:rsid w:val="00556DA4"/>
    <w:rsid w:val="00556F8F"/>
    <w:rsid w:val="00557CA3"/>
    <w:rsid w:val="005600D1"/>
    <w:rsid w:val="00560336"/>
    <w:rsid w:val="00560432"/>
    <w:rsid w:val="00560A27"/>
    <w:rsid w:val="00561455"/>
    <w:rsid w:val="0056194C"/>
    <w:rsid w:val="005623A0"/>
    <w:rsid w:val="0056254E"/>
    <w:rsid w:val="005625C3"/>
    <w:rsid w:val="00562D53"/>
    <w:rsid w:val="00563080"/>
    <w:rsid w:val="00563360"/>
    <w:rsid w:val="005633BE"/>
    <w:rsid w:val="0056369E"/>
    <w:rsid w:val="0056415B"/>
    <w:rsid w:val="005641BC"/>
    <w:rsid w:val="005644BD"/>
    <w:rsid w:val="00564B2A"/>
    <w:rsid w:val="00565210"/>
    <w:rsid w:val="00565409"/>
    <w:rsid w:val="00565484"/>
    <w:rsid w:val="0056564F"/>
    <w:rsid w:val="0056575B"/>
    <w:rsid w:val="00565980"/>
    <w:rsid w:val="00565C19"/>
    <w:rsid w:val="00565D9C"/>
    <w:rsid w:val="00565E11"/>
    <w:rsid w:val="00565F67"/>
    <w:rsid w:val="005661FF"/>
    <w:rsid w:val="00566455"/>
    <w:rsid w:val="0056713F"/>
    <w:rsid w:val="0056734B"/>
    <w:rsid w:val="0056777A"/>
    <w:rsid w:val="00567878"/>
    <w:rsid w:val="00570F2A"/>
    <w:rsid w:val="0057126B"/>
    <w:rsid w:val="005719BE"/>
    <w:rsid w:val="00571E78"/>
    <w:rsid w:val="0057201C"/>
    <w:rsid w:val="00572076"/>
    <w:rsid w:val="0057218F"/>
    <w:rsid w:val="005722D0"/>
    <w:rsid w:val="00572487"/>
    <w:rsid w:val="005732E7"/>
    <w:rsid w:val="005735A8"/>
    <w:rsid w:val="00573D2F"/>
    <w:rsid w:val="00573E62"/>
    <w:rsid w:val="005745FC"/>
    <w:rsid w:val="00574711"/>
    <w:rsid w:val="00574836"/>
    <w:rsid w:val="00574843"/>
    <w:rsid w:val="005748C6"/>
    <w:rsid w:val="00574AC8"/>
    <w:rsid w:val="00574F46"/>
    <w:rsid w:val="00575603"/>
    <w:rsid w:val="00575853"/>
    <w:rsid w:val="00576217"/>
    <w:rsid w:val="005764B4"/>
    <w:rsid w:val="00576700"/>
    <w:rsid w:val="00576789"/>
    <w:rsid w:val="00576797"/>
    <w:rsid w:val="00576D60"/>
    <w:rsid w:val="00577199"/>
    <w:rsid w:val="005774FE"/>
    <w:rsid w:val="0057792C"/>
    <w:rsid w:val="00577E8D"/>
    <w:rsid w:val="00580CCE"/>
    <w:rsid w:val="00581198"/>
    <w:rsid w:val="00581895"/>
    <w:rsid w:val="00581BCE"/>
    <w:rsid w:val="00581E1A"/>
    <w:rsid w:val="005824FF"/>
    <w:rsid w:val="0058300A"/>
    <w:rsid w:val="00583113"/>
    <w:rsid w:val="005832E2"/>
    <w:rsid w:val="00583509"/>
    <w:rsid w:val="005842EC"/>
    <w:rsid w:val="005848D0"/>
    <w:rsid w:val="00584D38"/>
    <w:rsid w:val="00585047"/>
    <w:rsid w:val="00585062"/>
    <w:rsid w:val="005856E5"/>
    <w:rsid w:val="00585974"/>
    <w:rsid w:val="00585DF1"/>
    <w:rsid w:val="00585FDA"/>
    <w:rsid w:val="005862B7"/>
    <w:rsid w:val="0058651A"/>
    <w:rsid w:val="0058686F"/>
    <w:rsid w:val="00586F09"/>
    <w:rsid w:val="0058712D"/>
    <w:rsid w:val="00587864"/>
    <w:rsid w:val="005878FB"/>
    <w:rsid w:val="00587A57"/>
    <w:rsid w:val="00587C47"/>
    <w:rsid w:val="00590149"/>
    <w:rsid w:val="00590596"/>
    <w:rsid w:val="0059063F"/>
    <w:rsid w:val="0059081B"/>
    <w:rsid w:val="00591669"/>
    <w:rsid w:val="0059181B"/>
    <w:rsid w:val="00591F57"/>
    <w:rsid w:val="00591F96"/>
    <w:rsid w:val="00591FA9"/>
    <w:rsid w:val="0059215C"/>
    <w:rsid w:val="005922CB"/>
    <w:rsid w:val="005923C6"/>
    <w:rsid w:val="0059248B"/>
    <w:rsid w:val="00592C25"/>
    <w:rsid w:val="00592E22"/>
    <w:rsid w:val="00592EAE"/>
    <w:rsid w:val="00592EE0"/>
    <w:rsid w:val="00592FB7"/>
    <w:rsid w:val="00593056"/>
    <w:rsid w:val="00593403"/>
    <w:rsid w:val="005935C9"/>
    <w:rsid w:val="005936DC"/>
    <w:rsid w:val="005937B0"/>
    <w:rsid w:val="005937D3"/>
    <w:rsid w:val="005937F2"/>
    <w:rsid w:val="00593B9D"/>
    <w:rsid w:val="00593E65"/>
    <w:rsid w:val="00593EAE"/>
    <w:rsid w:val="0059486D"/>
    <w:rsid w:val="00594916"/>
    <w:rsid w:val="00595330"/>
    <w:rsid w:val="0059545F"/>
    <w:rsid w:val="0059563D"/>
    <w:rsid w:val="0059586E"/>
    <w:rsid w:val="00596224"/>
    <w:rsid w:val="00596896"/>
    <w:rsid w:val="0059737C"/>
    <w:rsid w:val="005974EB"/>
    <w:rsid w:val="005A00FE"/>
    <w:rsid w:val="005A01EF"/>
    <w:rsid w:val="005A027C"/>
    <w:rsid w:val="005A0B26"/>
    <w:rsid w:val="005A0DBB"/>
    <w:rsid w:val="005A1240"/>
    <w:rsid w:val="005A128A"/>
    <w:rsid w:val="005A185D"/>
    <w:rsid w:val="005A2148"/>
    <w:rsid w:val="005A257E"/>
    <w:rsid w:val="005A2A89"/>
    <w:rsid w:val="005A2B3E"/>
    <w:rsid w:val="005A2C50"/>
    <w:rsid w:val="005A30FF"/>
    <w:rsid w:val="005A32C8"/>
    <w:rsid w:val="005A3B12"/>
    <w:rsid w:val="005A3C49"/>
    <w:rsid w:val="005A3CD5"/>
    <w:rsid w:val="005A3DFD"/>
    <w:rsid w:val="005A3E0E"/>
    <w:rsid w:val="005A4778"/>
    <w:rsid w:val="005A480E"/>
    <w:rsid w:val="005A4964"/>
    <w:rsid w:val="005A4C95"/>
    <w:rsid w:val="005A51C5"/>
    <w:rsid w:val="005A6158"/>
    <w:rsid w:val="005A709B"/>
    <w:rsid w:val="005A72BA"/>
    <w:rsid w:val="005A7B62"/>
    <w:rsid w:val="005B00B7"/>
    <w:rsid w:val="005B07BC"/>
    <w:rsid w:val="005B130F"/>
    <w:rsid w:val="005B14B4"/>
    <w:rsid w:val="005B17A8"/>
    <w:rsid w:val="005B18BE"/>
    <w:rsid w:val="005B19A1"/>
    <w:rsid w:val="005B1F10"/>
    <w:rsid w:val="005B1FAC"/>
    <w:rsid w:val="005B2153"/>
    <w:rsid w:val="005B252F"/>
    <w:rsid w:val="005B2C76"/>
    <w:rsid w:val="005B2DE1"/>
    <w:rsid w:val="005B2F44"/>
    <w:rsid w:val="005B32A2"/>
    <w:rsid w:val="005B346A"/>
    <w:rsid w:val="005B36CF"/>
    <w:rsid w:val="005B3E2C"/>
    <w:rsid w:val="005B4DB1"/>
    <w:rsid w:val="005B54F0"/>
    <w:rsid w:val="005B5BDB"/>
    <w:rsid w:val="005B5E1D"/>
    <w:rsid w:val="005B6E0B"/>
    <w:rsid w:val="005B7088"/>
    <w:rsid w:val="005B7872"/>
    <w:rsid w:val="005B7A41"/>
    <w:rsid w:val="005B7BDC"/>
    <w:rsid w:val="005C03D0"/>
    <w:rsid w:val="005C0AD9"/>
    <w:rsid w:val="005C0C54"/>
    <w:rsid w:val="005C1112"/>
    <w:rsid w:val="005C190F"/>
    <w:rsid w:val="005C19A8"/>
    <w:rsid w:val="005C1BEA"/>
    <w:rsid w:val="005C1CAE"/>
    <w:rsid w:val="005C1E97"/>
    <w:rsid w:val="005C1F8B"/>
    <w:rsid w:val="005C1FE6"/>
    <w:rsid w:val="005C2D7C"/>
    <w:rsid w:val="005C32F9"/>
    <w:rsid w:val="005C3A11"/>
    <w:rsid w:val="005C3CB4"/>
    <w:rsid w:val="005C4932"/>
    <w:rsid w:val="005C5A0F"/>
    <w:rsid w:val="005C5A20"/>
    <w:rsid w:val="005C5E96"/>
    <w:rsid w:val="005C63C4"/>
    <w:rsid w:val="005C6863"/>
    <w:rsid w:val="005C6C70"/>
    <w:rsid w:val="005C7FBF"/>
    <w:rsid w:val="005D0149"/>
    <w:rsid w:val="005D05DB"/>
    <w:rsid w:val="005D0614"/>
    <w:rsid w:val="005D0A67"/>
    <w:rsid w:val="005D0BB8"/>
    <w:rsid w:val="005D1B18"/>
    <w:rsid w:val="005D1D84"/>
    <w:rsid w:val="005D1E6F"/>
    <w:rsid w:val="005D1EB0"/>
    <w:rsid w:val="005D2494"/>
    <w:rsid w:val="005D319C"/>
    <w:rsid w:val="005D375E"/>
    <w:rsid w:val="005D438E"/>
    <w:rsid w:val="005D43E9"/>
    <w:rsid w:val="005D4899"/>
    <w:rsid w:val="005D4B35"/>
    <w:rsid w:val="005D4C52"/>
    <w:rsid w:val="005D4CF6"/>
    <w:rsid w:val="005D50FF"/>
    <w:rsid w:val="005D5304"/>
    <w:rsid w:val="005D5AAD"/>
    <w:rsid w:val="005D6064"/>
    <w:rsid w:val="005D6305"/>
    <w:rsid w:val="005D66DC"/>
    <w:rsid w:val="005D6A90"/>
    <w:rsid w:val="005D6B46"/>
    <w:rsid w:val="005D6DEC"/>
    <w:rsid w:val="005D71AC"/>
    <w:rsid w:val="005D7309"/>
    <w:rsid w:val="005D797E"/>
    <w:rsid w:val="005E0C21"/>
    <w:rsid w:val="005E0C56"/>
    <w:rsid w:val="005E0EDB"/>
    <w:rsid w:val="005E115E"/>
    <w:rsid w:val="005E13EA"/>
    <w:rsid w:val="005E1AA2"/>
    <w:rsid w:val="005E24D6"/>
    <w:rsid w:val="005E24F9"/>
    <w:rsid w:val="005E2776"/>
    <w:rsid w:val="005E2BB1"/>
    <w:rsid w:val="005E2EB7"/>
    <w:rsid w:val="005E3115"/>
    <w:rsid w:val="005E3AA6"/>
    <w:rsid w:val="005E3DBE"/>
    <w:rsid w:val="005E3F33"/>
    <w:rsid w:val="005E4130"/>
    <w:rsid w:val="005E42F7"/>
    <w:rsid w:val="005E4528"/>
    <w:rsid w:val="005E4906"/>
    <w:rsid w:val="005E4972"/>
    <w:rsid w:val="005E4B86"/>
    <w:rsid w:val="005E4BA9"/>
    <w:rsid w:val="005E4BB0"/>
    <w:rsid w:val="005E4EDC"/>
    <w:rsid w:val="005E4EE1"/>
    <w:rsid w:val="005E5365"/>
    <w:rsid w:val="005E5750"/>
    <w:rsid w:val="005E5BD7"/>
    <w:rsid w:val="005E76A0"/>
    <w:rsid w:val="005E7C6D"/>
    <w:rsid w:val="005F028A"/>
    <w:rsid w:val="005F0743"/>
    <w:rsid w:val="005F1181"/>
    <w:rsid w:val="005F1B36"/>
    <w:rsid w:val="005F201A"/>
    <w:rsid w:val="005F247A"/>
    <w:rsid w:val="005F28C6"/>
    <w:rsid w:val="005F2B28"/>
    <w:rsid w:val="005F42F0"/>
    <w:rsid w:val="005F4585"/>
    <w:rsid w:val="005F4FBC"/>
    <w:rsid w:val="005F5092"/>
    <w:rsid w:val="005F52E6"/>
    <w:rsid w:val="005F541F"/>
    <w:rsid w:val="005F669F"/>
    <w:rsid w:val="005F6B08"/>
    <w:rsid w:val="005F6B76"/>
    <w:rsid w:val="005F6BD1"/>
    <w:rsid w:val="005F7079"/>
    <w:rsid w:val="005F783A"/>
    <w:rsid w:val="00600C0C"/>
    <w:rsid w:val="00600F7F"/>
    <w:rsid w:val="00601546"/>
    <w:rsid w:val="006019AF"/>
    <w:rsid w:val="00602033"/>
    <w:rsid w:val="00602073"/>
    <w:rsid w:val="00602485"/>
    <w:rsid w:val="006027F8"/>
    <w:rsid w:val="00602958"/>
    <w:rsid w:val="00604185"/>
    <w:rsid w:val="00604331"/>
    <w:rsid w:val="006056B7"/>
    <w:rsid w:val="00605B10"/>
    <w:rsid w:val="006060C0"/>
    <w:rsid w:val="006060ED"/>
    <w:rsid w:val="0060684D"/>
    <w:rsid w:val="00606854"/>
    <w:rsid w:val="00606AEC"/>
    <w:rsid w:val="006077F2"/>
    <w:rsid w:val="00610BB2"/>
    <w:rsid w:val="00610CC3"/>
    <w:rsid w:val="00610E4F"/>
    <w:rsid w:val="00610ED8"/>
    <w:rsid w:val="00611223"/>
    <w:rsid w:val="006112D7"/>
    <w:rsid w:val="00611B3A"/>
    <w:rsid w:val="0061230C"/>
    <w:rsid w:val="00612608"/>
    <w:rsid w:val="00612E63"/>
    <w:rsid w:val="00613724"/>
    <w:rsid w:val="00613E56"/>
    <w:rsid w:val="0061492D"/>
    <w:rsid w:val="006151BB"/>
    <w:rsid w:val="0061524E"/>
    <w:rsid w:val="00615808"/>
    <w:rsid w:val="006159EE"/>
    <w:rsid w:val="006165B1"/>
    <w:rsid w:val="0061764C"/>
    <w:rsid w:val="00617C58"/>
    <w:rsid w:val="00617D14"/>
    <w:rsid w:val="00620138"/>
    <w:rsid w:val="006206A1"/>
    <w:rsid w:val="006209A4"/>
    <w:rsid w:val="00620A7B"/>
    <w:rsid w:val="00621622"/>
    <w:rsid w:val="006218AB"/>
    <w:rsid w:val="00621D3A"/>
    <w:rsid w:val="00622440"/>
    <w:rsid w:val="00622630"/>
    <w:rsid w:val="006229D6"/>
    <w:rsid w:val="00622BBE"/>
    <w:rsid w:val="00622C54"/>
    <w:rsid w:val="00622DC4"/>
    <w:rsid w:val="006245E8"/>
    <w:rsid w:val="0062491F"/>
    <w:rsid w:val="00624DAB"/>
    <w:rsid w:val="00624F24"/>
    <w:rsid w:val="00625029"/>
    <w:rsid w:val="00625741"/>
    <w:rsid w:val="0062586D"/>
    <w:rsid w:val="00625A7B"/>
    <w:rsid w:val="00625BE7"/>
    <w:rsid w:val="00625FE2"/>
    <w:rsid w:val="006260D0"/>
    <w:rsid w:val="00626DC7"/>
    <w:rsid w:val="00627C54"/>
    <w:rsid w:val="0063044F"/>
    <w:rsid w:val="00630855"/>
    <w:rsid w:val="00630D19"/>
    <w:rsid w:val="00630F42"/>
    <w:rsid w:val="006313CB"/>
    <w:rsid w:val="00631B2E"/>
    <w:rsid w:val="006325A3"/>
    <w:rsid w:val="00633434"/>
    <w:rsid w:val="00633772"/>
    <w:rsid w:val="0063445D"/>
    <w:rsid w:val="00634697"/>
    <w:rsid w:val="006347EF"/>
    <w:rsid w:val="0063497F"/>
    <w:rsid w:val="00634D17"/>
    <w:rsid w:val="00635E1C"/>
    <w:rsid w:val="00635ED2"/>
    <w:rsid w:val="006367B2"/>
    <w:rsid w:val="0063695E"/>
    <w:rsid w:val="00636CD2"/>
    <w:rsid w:val="00636F91"/>
    <w:rsid w:val="00637215"/>
    <w:rsid w:val="006372B4"/>
    <w:rsid w:val="006400E7"/>
    <w:rsid w:val="006404C0"/>
    <w:rsid w:val="00642023"/>
    <w:rsid w:val="00642492"/>
    <w:rsid w:val="00642563"/>
    <w:rsid w:val="00642CAF"/>
    <w:rsid w:val="00642CDA"/>
    <w:rsid w:val="0064346D"/>
    <w:rsid w:val="0064352C"/>
    <w:rsid w:val="00643B61"/>
    <w:rsid w:val="00643E74"/>
    <w:rsid w:val="00644B6D"/>
    <w:rsid w:val="00644CE3"/>
    <w:rsid w:val="00644CF1"/>
    <w:rsid w:val="0064577C"/>
    <w:rsid w:val="00645A94"/>
    <w:rsid w:val="00645E83"/>
    <w:rsid w:val="006460C9"/>
    <w:rsid w:val="00646100"/>
    <w:rsid w:val="00646B57"/>
    <w:rsid w:val="00646C1C"/>
    <w:rsid w:val="00646C46"/>
    <w:rsid w:val="006471A2"/>
    <w:rsid w:val="006472AC"/>
    <w:rsid w:val="00647D12"/>
    <w:rsid w:val="0065095D"/>
    <w:rsid w:val="00650B8D"/>
    <w:rsid w:val="00650F04"/>
    <w:rsid w:val="00652878"/>
    <w:rsid w:val="00652A03"/>
    <w:rsid w:val="00652D1D"/>
    <w:rsid w:val="00653DEF"/>
    <w:rsid w:val="00653E41"/>
    <w:rsid w:val="00654719"/>
    <w:rsid w:val="00654B00"/>
    <w:rsid w:val="00655573"/>
    <w:rsid w:val="00655A37"/>
    <w:rsid w:val="00655A47"/>
    <w:rsid w:val="00655C7C"/>
    <w:rsid w:val="00655FAC"/>
    <w:rsid w:val="00656691"/>
    <w:rsid w:val="00656A14"/>
    <w:rsid w:val="0065799E"/>
    <w:rsid w:val="006606D6"/>
    <w:rsid w:val="00660741"/>
    <w:rsid w:val="00661223"/>
    <w:rsid w:val="00661A5D"/>
    <w:rsid w:val="006620D1"/>
    <w:rsid w:val="0066235F"/>
    <w:rsid w:val="00662636"/>
    <w:rsid w:val="00662E70"/>
    <w:rsid w:val="00663096"/>
    <w:rsid w:val="006637E3"/>
    <w:rsid w:val="00663F10"/>
    <w:rsid w:val="00664118"/>
    <w:rsid w:val="0066459E"/>
    <w:rsid w:val="00664C64"/>
    <w:rsid w:val="006650BB"/>
    <w:rsid w:val="0066520D"/>
    <w:rsid w:val="006652CE"/>
    <w:rsid w:val="006653E9"/>
    <w:rsid w:val="0066690E"/>
    <w:rsid w:val="00666C49"/>
    <w:rsid w:val="006672C7"/>
    <w:rsid w:val="006704F8"/>
    <w:rsid w:val="00670C90"/>
    <w:rsid w:val="00670E5F"/>
    <w:rsid w:val="00670F9D"/>
    <w:rsid w:val="006716D6"/>
    <w:rsid w:val="00671F3F"/>
    <w:rsid w:val="00673455"/>
    <w:rsid w:val="006740E7"/>
    <w:rsid w:val="00674612"/>
    <w:rsid w:val="0067475C"/>
    <w:rsid w:val="00674784"/>
    <w:rsid w:val="00675137"/>
    <w:rsid w:val="0067519C"/>
    <w:rsid w:val="00675A92"/>
    <w:rsid w:val="00675AD0"/>
    <w:rsid w:val="006760AA"/>
    <w:rsid w:val="006760BA"/>
    <w:rsid w:val="00676A37"/>
    <w:rsid w:val="00676C20"/>
    <w:rsid w:val="00676D08"/>
    <w:rsid w:val="00677099"/>
    <w:rsid w:val="00677AC8"/>
    <w:rsid w:val="0068050F"/>
    <w:rsid w:val="006808CB"/>
    <w:rsid w:val="00681598"/>
    <w:rsid w:val="00681881"/>
    <w:rsid w:val="0068237F"/>
    <w:rsid w:val="00682D80"/>
    <w:rsid w:val="0068352C"/>
    <w:rsid w:val="006837DA"/>
    <w:rsid w:val="006842D6"/>
    <w:rsid w:val="00684678"/>
    <w:rsid w:val="00684CE6"/>
    <w:rsid w:val="00684E94"/>
    <w:rsid w:val="006850E7"/>
    <w:rsid w:val="0068552E"/>
    <w:rsid w:val="006855E2"/>
    <w:rsid w:val="00685717"/>
    <w:rsid w:val="00685AC6"/>
    <w:rsid w:val="00685D9D"/>
    <w:rsid w:val="006860E5"/>
    <w:rsid w:val="006866DE"/>
    <w:rsid w:val="00686E7C"/>
    <w:rsid w:val="00686F86"/>
    <w:rsid w:val="0068703A"/>
    <w:rsid w:val="00687229"/>
    <w:rsid w:val="0068751A"/>
    <w:rsid w:val="006877DF"/>
    <w:rsid w:val="00687D6E"/>
    <w:rsid w:val="00687D85"/>
    <w:rsid w:val="006901AD"/>
    <w:rsid w:val="0069096B"/>
    <w:rsid w:val="00690ED9"/>
    <w:rsid w:val="00690F1F"/>
    <w:rsid w:val="0069137D"/>
    <w:rsid w:val="0069184A"/>
    <w:rsid w:val="00692091"/>
    <w:rsid w:val="00692412"/>
    <w:rsid w:val="0069286B"/>
    <w:rsid w:val="00692A42"/>
    <w:rsid w:val="00692A90"/>
    <w:rsid w:val="00692FBC"/>
    <w:rsid w:val="006935D6"/>
    <w:rsid w:val="006936EA"/>
    <w:rsid w:val="0069383F"/>
    <w:rsid w:val="0069491C"/>
    <w:rsid w:val="00694BE7"/>
    <w:rsid w:val="0069583B"/>
    <w:rsid w:val="00695DD5"/>
    <w:rsid w:val="00695F1A"/>
    <w:rsid w:val="0069608E"/>
    <w:rsid w:val="00696310"/>
    <w:rsid w:val="006964A3"/>
    <w:rsid w:val="006966FC"/>
    <w:rsid w:val="00697344"/>
    <w:rsid w:val="006975C8"/>
    <w:rsid w:val="006975E7"/>
    <w:rsid w:val="00697601"/>
    <w:rsid w:val="006A02AB"/>
    <w:rsid w:val="006A0A14"/>
    <w:rsid w:val="006A0BE9"/>
    <w:rsid w:val="006A0F23"/>
    <w:rsid w:val="006A1726"/>
    <w:rsid w:val="006A19C0"/>
    <w:rsid w:val="006A1AAC"/>
    <w:rsid w:val="006A1CCC"/>
    <w:rsid w:val="006A1DC1"/>
    <w:rsid w:val="006A1E6A"/>
    <w:rsid w:val="006A272C"/>
    <w:rsid w:val="006A2DFC"/>
    <w:rsid w:val="006A2F24"/>
    <w:rsid w:val="006A3B8A"/>
    <w:rsid w:val="006A3C2C"/>
    <w:rsid w:val="006A3F6E"/>
    <w:rsid w:val="006A4408"/>
    <w:rsid w:val="006A45BF"/>
    <w:rsid w:val="006A4910"/>
    <w:rsid w:val="006A4AE3"/>
    <w:rsid w:val="006A4FAA"/>
    <w:rsid w:val="006A5264"/>
    <w:rsid w:val="006A6A78"/>
    <w:rsid w:val="006A7385"/>
    <w:rsid w:val="006A77DE"/>
    <w:rsid w:val="006B0652"/>
    <w:rsid w:val="006B0720"/>
    <w:rsid w:val="006B08C4"/>
    <w:rsid w:val="006B0943"/>
    <w:rsid w:val="006B0C11"/>
    <w:rsid w:val="006B0ED1"/>
    <w:rsid w:val="006B0EE9"/>
    <w:rsid w:val="006B190E"/>
    <w:rsid w:val="006B1F12"/>
    <w:rsid w:val="006B1F4F"/>
    <w:rsid w:val="006B2627"/>
    <w:rsid w:val="006B2665"/>
    <w:rsid w:val="006B2748"/>
    <w:rsid w:val="006B2C36"/>
    <w:rsid w:val="006B2E83"/>
    <w:rsid w:val="006B36B3"/>
    <w:rsid w:val="006B3EDA"/>
    <w:rsid w:val="006B43E6"/>
    <w:rsid w:val="006B4696"/>
    <w:rsid w:val="006B46D2"/>
    <w:rsid w:val="006B4B42"/>
    <w:rsid w:val="006B4F7E"/>
    <w:rsid w:val="006B4FBA"/>
    <w:rsid w:val="006B5B9C"/>
    <w:rsid w:val="006B5BD7"/>
    <w:rsid w:val="006B5BEF"/>
    <w:rsid w:val="006B5D57"/>
    <w:rsid w:val="006B5DC1"/>
    <w:rsid w:val="006B5DD1"/>
    <w:rsid w:val="006B6161"/>
    <w:rsid w:val="006B70C8"/>
    <w:rsid w:val="006B73E9"/>
    <w:rsid w:val="006B768F"/>
    <w:rsid w:val="006B77F8"/>
    <w:rsid w:val="006B78AE"/>
    <w:rsid w:val="006B7957"/>
    <w:rsid w:val="006C0AF4"/>
    <w:rsid w:val="006C0B56"/>
    <w:rsid w:val="006C0FD7"/>
    <w:rsid w:val="006C17A3"/>
    <w:rsid w:val="006C20F6"/>
    <w:rsid w:val="006C2172"/>
    <w:rsid w:val="006C23A6"/>
    <w:rsid w:val="006C240D"/>
    <w:rsid w:val="006C2E13"/>
    <w:rsid w:val="006C2EAB"/>
    <w:rsid w:val="006C320D"/>
    <w:rsid w:val="006C3338"/>
    <w:rsid w:val="006C349B"/>
    <w:rsid w:val="006C3EB0"/>
    <w:rsid w:val="006C3FB4"/>
    <w:rsid w:val="006C4652"/>
    <w:rsid w:val="006C4E62"/>
    <w:rsid w:val="006C5362"/>
    <w:rsid w:val="006C5666"/>
    <w:rsid w:val="006C56FE"/>
    <w:rsid w:val="006C57D4"/>
    <w:rsid w:val="006C596C"/>
    <w:rsid w:val="006C5A74"/>
    <w:rsid w:val="006C5E0F"/>
    <w:rsid w:val="006C5E29"/>
    <w:rsid w:val="006C6F1A"/>
    <w:rsid w:val="006C722D"/>
    <w:rsid w:val="006C74BA"/>
    <w:rsid w:val="006C79EB"/>
    <w:rsid w:val="006C7C08"/>
    <w:rsid w:val="006C7C0C"/>
    <w:rsid w:val="006D0274"/>
    <w:rsid w:val="006D0613"/>
    <w:rsid w:val="006D07EA"/>
    <w:rsid w:val="006D09BD"/>
    <w:rsid w:val="006D0A24"/>
    <w:rsid w:val="006D0E9A"/>
    <w:rsid w:val="006D19C6"/>
    <w:rsid w:val="006D2044"/>
    <w:rsid w:val="006D272C"/>
    <w:rsid w:val="006D3129"/>
    <w:rsid w:val="006D38F8"/>
    <w:rsid w:val="006D3BDC"/>
    <w:rsid w:val="006D4746"/>
    <w:rsid w:val="006D4BF9"/>
    <w:rsid w:val="006D4F02"/>
    <w:rsid w:val="006D5312"/>
    <w:rsid w:val="006D5489"/>
    <w:rsid w:val="006D61E6"/>
    <w:rsid w:val="006D6400"/>
    <w:rsid w:val="006D657C"/>
    <w:rsid w:val="006D68FC"/>
    <w:rsid w:val="006D69D1"/>
    <w:rsid w:val="006D7428"/>
    <w:rsid w:val="006D7552"/>
    <w:rsid w:val="006D7AE6"/>
    <w:rsid w:val="006E021B"/>
    <w:rsid w:val="006E0277"/>
    <w:rsid w:val="006E0CF9"/>
    <w:rsid w:val="006E14D6"/>
    <w:rsid w:val="006E2628"/>
    <w:rsid w:val="006E272E"/>
    <w:rsid w:val="006E34AE"/>
    <w:rsid w:val="006E4070"/>
    <w:rsid w:val="006E4229"/>
    <w:rsid w:val="006E44EA"/>
    <w:rsid w:val="006E47AE"/>
    <w:rsid w:val="006E47FA"/>
    <w:rsid w:val="006E4AE2"/>
    <w:rsid w:val="006E4E3B"/>
    <w:rsid w:val="006E5594"/>
    <w:rsid w:val="006E5596"/>
    <w:rsid w:val="006E5EED"/>
    <w:rsid w:val="006E64C7"/>
    <w:rsid w:val="006E66EF"/>
    <w:rsid w:val="006E6A9F"/>
    <w:rsid w:val="006E6D23"/>
    <w:rsid w:val="006E754A"/>
    <w:rsid w:val="006E7B27"/>
    <w:rsid w:val="006E7C3C"/>
    <w:rsid w:val="006F05FF"/>
    <w:rsid w:val="006F0904"/>
    <w:rsid w:val="006F09D2"/>
    <w:rsid w:val="006F0CE5"/>
    <w:rsid w:val="006F215C"/>
    <w:rsid w:val="006F2605"/>
    <w:rsid w:val="006F3315"/>
    <w:rsid w:val="006F33C7"/>
    <w:rsid w:val="006F3527"/>
    <w:rsid w:val="006F3FB9"/>
    <w:rsid w:val="006F4003"/>
    <w:rsid w:val="006F4428"/>
    <w:rsid w:val="006F5894"/>
    <w:rsid w:val="006F6168"/>
    <w:rsid w:val="006F61C5"/>
    <w:rsid w:val="006F6338"/>
    <w:rsid w:val="006F6E76"/>
    <w:rsid w:val="006F71F5"/>
    <w:rsid w:val="006F7D27"/>
    <w:rsid w:val="00700367"/>
    <w:rsid w:val="007005F6"/>
    <w:rsid w:val="00700B2A"/>
    <w:rsid w:val="00700FBF"/>
    <w:rsid w:val="00701204"/>
    <w:rsid w:val="007016EB"/>
    <w:rsid w:val="007017E2"/>
    <w:rsid w:val="00701CA8"/>
    <w:rsid w:val="00701CB9"/>
    <w:rsid w:val="00701FE1"/>
    <w:rsid w:val="007023FA"/>
    <w:rsid w:val="00702681"/>
    <w:rsid w:val="0070272D"/>
    <w:rsid w:val="00702784"/>
    <w:rsid w:val="00702BE0"/>
    <w:rsid w:val="00702CE5"/>
    <w:rsid w:val="00702DBC"/>
    <w:rsid w:val="00702E7B"/>
    <w:rsid w:val="007033E2"/>
    <w:rsid w:val="00704784"/>
    <w:rsid w:val="0070493A"/>
    <w:rsid w:val="00704D6E"/>
    <w:rsid w:val="0070562C"/>
    <w:rsid w:val="00705CEF"/>
    <w:rsid w:val="00705E5B"/>
    <w:rsid w:val="00706509"/>
    <w:rsid w:val="00706683"/>
    <w:rsid w:val="00706A9E"/>
    <w:rsid w:val="007073EF"/>
    <w:rsid w:val="007074A7"/>
    <w:rsid w:val="00707637"/>
    <w:rsid w:val="007076D7"/>
    <w:rsid w:val="00710655"/>
    <w:rsid w:val="0071085B"/>
    <w:rsid w:val="00710929"/>
    <w:rsid w:val="00711073"/>
    <w:rsid w:val="00711357"/>
    <w:rsid w:val="00711AF3"/>
    <w:rsid w:val="00711F20"/>
    <w:rsid w:val="007121B8"/>
    <w:rsid w:val="007124F1"/>
    <w:rsid w:val="00712650"/>
    <w:rsid w:val="007126FD"/>
    <w:rsid w:val="0071270A"/>
    <w:rsid w:val="00712D87"/>
    <w:rsid w:val="00712F72"/>
    <w:rsid w:val="00713432"/>
    <w:rsid w:val="007135DB"/>
    <w:rsid w:val="00713880"/>
    <w:rsid w:val="0071396E"/>
    <w:rsid w:val="00713FF4"/>
    <w:rsid w:val="00714780"/>
    <w:rsid w:val="00714CEE"/>
    <w:rsid w:val="0071584A"/>
    <w:rsid w:val="00715C10"/>
    <w:rsid w:val="00716EA1"/>
    <w:rsid w:val="007172B6"/>
    <w:rsid w:val="00717BEB"/>
    <w:rsid w:val="00717DAE"/>
    <w:rsid w:val="00720029"/>
    <w:rsid w:val="00720092"/>
    <w:rsid w:val="007203CD"/>
    <w:rsid w:val="00720442"/>
    <w:rsid w:val="00720D24"/>
    <w:rsid w:val="0072120D"/>
    <w:rsid w:val="00721A0E"/>
    <w:rsid w:val="00721B45"/>
    <w:rsid w:val="00721C0C"/>
    <w:rsid w:val="0072264D"/>
    <w:rsid w:val="007229F1"/>
    <w:rsid w:val="00722DF1"/>
    <w:rsid w:val="007238A1"/>
    <w:rsid w:val="00723F7C"/>
    <w:rsid w:val="0072425A"/>
    <w:rsid w:val="007244BF"/>
    <w:rsid w:val="007244C7"/>
    <w:rsid w:val="007249FF"/>
    <w:rsid w:val="00724CAF"/>
    <w:rsid w:val="0072502D"/>
    <w:rsid w:val="00725739"/>
    <w:rsid w:val="007261CB"/>
    <w:rsid w:val="00726A51"/>
    <w:rsid w:val="0072708E"/>
    <w:rsid w:val="00727AC4"/>
    <w:rsid w:val="007302F6"/>
    <w:rsid w:val="00730369"/>
    <w:rsid w:val="0073081A"/>
    <w:rsid w:val="00730BC6"/>
    <w:rsid w:val="0073110C"/>
    <w:rsid w:val="00732510"/>
    <w:rsid w:val="007325C0"/>
    <w:rsid w:val="00732C8B"/>
    <w:rsid w:val="007330FF"/>
    <w:rsid w:val="00733481"/>
    <w:rsid w:val="00733801"/>
    <w:rsid w:val="00733A08"/>
    <w:rsid w:val="00733B76"/>
    <w:rsid w:val="00733B8E"/>
    <w:rsid w:val="00733ECE"/>
    <w:rsid w:val="00734176"/>
    <w:rsid w:val="0073454A"/>
    <w:rsid w:val="00734785"/>
    <w:rsid w:val="007347D1"/>
    <w:rsid w:val="007348DB"/>
    <w:rsid w:val="007362C4"/>
    <w:rsid w:val="00736332"/>
    <w:rsid w:val="007366A5"/>
    <w:rsid w:val="00737209"/>
    <w:rsid w:val="00737321"/>
    <w:rsid w:val="007400AA"/>
    <w:rsid w:val="00740A27"/>
    <w:rsid w:val="007414BD"/>
    <w:rsid w:val="007418F1"/>
    <w:rsid w:val="00741CB5"/>
    <w:rsid w:val="00742034"/>
    <w:rsid w:val="0074223A"/>
    <w:rsid w:val="0074322E"/>
    <w:rsid w:val="0074362B"/>
    <w:rsid w:val="00743744"/>
    <w:rsid w:val="00744055"/>
    <w:rsid w:val="007442DD"/>
    <w:rsid w:val="0074442A"/>
    <w:rsid w:val="00744D35"/>
    <w:rsid w:val="0074524C"/>
    <w:rsid w:val="0074571F"/>
    <w:rsid w:val="00745BC9"/>
    <w:rsid w:val="00745CB3"/>
    <w:rsid w:val="00745F11"/>
    <w:rsid w:val="00746192"/>
    <w:rsid w:val="00746496"/>
    <w:rsid w:val="00746537"/>
    <w:rsid w:val="007466D3"/>
    <w:rsid w:val="00746853"/>
    <w:rsid w:val="00746CA7"/>
    <w:rsid w:val="007470C9"/>
    <w:rsid w:val="007470E3"/>
    <w:rsid w:val="00747348"/>
    <w:rsid w:val="007473F8"/>
    <w:rsid w:val="0074753F"/>
    <w:rsid w:val="0074764C"/>
    <w:rsid w:val="0075091B"/>
    <w:rsid w:val="007509A1"/>
    <w:rsid w:val="00750A7E"/>
    <w:rsid w:val="00750CE9"/>
    <w:rsid w:val="00750DA8"/>
    <w:rsid w:val="00750EA5"/>
    <w:rsid w:val="00751661"/>
    <w:rsid w:val="007516E8"/>
    <w:rsid w:val="00751AC1"/>
    <w:rsid w:val="00752092"/>
    <w:rsid w:val="007524E8"/>
    <w:rsid w:val="00752684"/>
    <w:rsid w:val="00752A72"/>
    <w:rsid w:val="00752B44"/>
    <w:rsid w:val="0075317F"/>
    <w:rsid w:val="007536A6"/>
    <w:rsid w:val="0075469F"/>
    <w:rsid w:val="0075480D"/>
    <w:rsid w:val="00754B24"/>
    <w:rsid w:val="00754FF6"/>
    <w:rsid w:val="00755AEF"/>
    <w:rsid w:val="00755B71"/>
    <w:rsid w:val="00755B8B"/>
    <w:rsid w:val="00755D1B"/>
    <w:rsid w:val="007560CA"/>
    <w:rsid w:val="00756469"/>
    <w:rsid w:val="00756764"/>
    <w:rsid w:val="00756A26"/>
    <w:rsid w:val="00756FA2"/>
    <w:rsid w:val="00757452"/>
    <w:rsid w:val="00757766"/>
    <w:rsid w:val="007579E8"/>
    <w:rsid w:val="007603AA"/>
    <w:rsid w:val="007603D0"/>
    <w:rsid w:val="00760D54"/>
    <w:rsid w:val="00760E8D"/>
    <w:rsid w:val="00760EF5"/>
    <w:rsid w:val="00760F0F"/>
    <w:rsid w:val="007612EB"/>
    <w:rsid w:val="007613FF"/>
    <w:rsid w:val="0076177D"/>
    <w:rsid w:val="007617D8"/>
    <w:rsid w:val="00761981"/>
    <w:rsid w:val="00761B70"/>
    <w:rsid w:val="00761D61"/>
    <w:rsid w:val="00761F76"/>
    <w:rsid w:val="00761FC5"/>
    <w:rsid w:val="007623FC"/>
    <w:rsid w:val="007624DF"/>
    <w:rsid w:val="007624F3"/>
    <w:rsid w:val="00762B0B"/>
    <w:rsid w:val="00762F3C"/>
    <w:rsid w:val="00763827"/>
    <w:rsid w:val="00765AB2"/>
    <w:rsid w:val="00767AFC"/>
    <w:rsid w:val="00767DA5"/>
    <w:rsid w:val="007701B4"/>
    <w:rsid w:val="007705CC"/>
    <w:rsid w:val="00770865"/>
    <w:rsid w:val="00770C35"/>
    <w:rsid w:val="00770C7E"/>
    <w:rsid w:val="00770D5E"/>
    <w:rsid w:val="007710B7"/>
    <w:rsid w:val="00771116"/>
    <w:rsid w:val="0077158B"/>
    <w:rsid w:val="0077163E"/>
    <w:rsid w:val="007720CD"/>
    <w:rsid w:val="00772CAF"/>
    <w:rsid w:val="00772FE7"/>
    <w:rsid w:val="0077302E"/>
    <w:rsid w:val="00773074"/>
    <w:rsid w:val="00773F84"/>
    <w:rsid w:val="00774067"/>
    <w:rsid w:val="007742C9"/>
    <w:rsid w:val="00774355"/>
    <w:rsid w:val="007745B8"/>
    <w:rsid w:val="007753BE"/>
    <w:rsid w:val="00775502"/>
    <w:rsid w:val="0077771C"/>
    <w:rsid w:val="0077783A"/>
    <w:rsid w:val="00780638"/>
    <w:rsid w:val="00780758"/>
    <w:rsid w:val="00780870"/>
    <w:rsid w:val="007808FD"/>
    <w:rsid w:val="00780ECB"/>
    <w:rsid w:val="0078172D"/>
    <w:rsid w:val="00781B24"/>
    <w:rsid w:val="00782744"/>
    <w:rsid w:val="00782C11"/>
    <w:rsid w:val="00782F0E"/>
    <w:rsid w:val="007831A1"/>
    <w:rsid w:val="00783285"/>
    <w:rsid w:val="007832AB"/>
    <w:rsid w:val="00783676"/>
    <w:rsid w:val="007839AD"/>
    <w:rsid w:val="007844D3"/>
    <w:rsid w:val="0078478D"/>
    <w:rsid w:val="00784AA9"/>
    <w:rsid w:val="00784E67"/>
    <w:rsid w:val="007851C9"/>
    <w:rsid w:val="007852E9"/>
    <w:rsid w:val="007853AA"/>
    <w:rsid w:val="00785635"/>
    <w:rsid w:val="0078570F"/>
    <w:rsid w:val="007858B8"/>
    <w:rsid w:val="007858E5"/>
    <w:rsid w:val="007861B1"/>
    <w:rsid w:val="00786240"/>
    <w:rsid w:val="00786A00"/>
    <w:rsid w:val="00786A91"/>
    <w:rsid w:val="00786F49"/>
    <w:rsid w:val="0078756F"/>
    <w:rsid w:val="00787A5E"/>
    <w:rsid w:val="00787AF6"/>
    <w:rsid w:val="007902D2"/>
    <w:rsid w:val="0079034F"/>
    <w:rsid w:val="0079055C"/>
    <w:rsid w:val="00790C40"/>
    <w:rsid w:val="007914C4"/>
    <w:rsid w:val="007915F7"/>
    <w:rsid w:val="00791827"/>
    <w:rsid w:val="00791A7D"/>
    <w:rsid w:val="00791ACB"/>
    <w:rsid w:val="00791CB8"/>
    <w:rsid w:val="00791F8C"/>
    <w:rsid w:val="00791FC6"/>
    <w:rsid w:val="0079263B"/>
    <w:rsid w:val="00792C70"/>
    <w:rsid w:val="00793629"/>
    <w:rsid w:val="00793646"/>
    <w:rsid w:val="00793AC8"/>
    <w:rsid w:val="00793BEF"/>
    <w:rsid w:val="007940B8"/>
    <w:rsid w:val="007946D0"/>
    <w:rsid w:val="00794FF9"/>
    <w:rsid w:val="007956A3"/>
    <w:rsid w:val="00795827"/>
    <w:rsid w:val="007958D1"/>
    <w:rsid w:val="007959D7"/>
    <w:rsid w:val="00795ADA"/>
    <w:rsid w:val="00795DB5"/>
    <w:rsid w:val="00795FFA"/>
    <w:rsid w:val="007969DA"/>
    <w:rsid w:val="00796D7D"/>
    <w:rsid w:val="00796F46"/>
    <w:rsid w:val="007A04AA"/>
    <w:rsid w:val="007A0C18"/>
    <w:rsid w:val="007A0C7F"/>
    <w:rsid w:val="007A0D80"/>
    <w:rsid w:val="007A0F22"/>
    <w:rsid w:val="007A0F7A"/>
    <w:rsid w:val="007A16BC"/>
    <w:rsid w:val="007A173B"/>
    <w:rsid w:val="007A1C30"/>
    <w:rsid w:val="007A1EC5"/>
    <w:rsid w:val="007A29BB"/>
    <w:rsid w:val="007A2A0F"/>
    <w:rsid w:val="007A2A80"/>
    <w:rsid w:val="007A2BA6"/>
    <w:rsid w:val="007A2E1A"/>
    <w:rsid w:val="007A3293"/>
    <w:rsid w:val="007A3365"/>
    <w:rsid w:val="007A3552"/>
    <w:rsid w:val="007A35C7"/>
    <w:rsid w:val="007A3A2F"/>
    <w:rsid w:val="007A3C9A"/>
    <w:rsid w:val="007A3FF6"/>
    <w:rsid w:val="007A3FFC"/>
    <w:rsid w:val="007A42A5"/>
    <w:rsid w:val="007A485C"/>
    <w:rsid w:val="007A48B5"/>
    <w:rsid w:val="007A4F95"/>
    <w:rsid w:val="007A500F"/>
    <w:rsid w:val="007A532D"/>
    <w:rsid w:val="007A53F4"/>
    <w:rsid w:val="007A54CB"/>
    <w:rsid w:val="007A6194"/>
    <w:rsid w:val="007A6D86"/>
    <w:rsid w:val="007A7049"/>
    <w:rsid w:val="007A71BD"/>
    <w:rsid w:val="007A7766"/>
    <w:rsid w:val="007A7988"/>
    <w:rsid w:val="007A7D47"/>
    <w:rsid w:val="007A7F35"/>
    <w:rsid w:val="007B016E"/>
    <w:rsid w:val="007B0C25"/>
    <w:rsid w:val="007B1070"/>
    <w:rsid w:val="007B1140"/>
    <w:rsid w:val="007B1345"/>
    <w:rsid w:val="007B13BA"/>
    <w:rsid w:val="007B23A8"/>
    <w:rsid w:val="007B32BD"/>
    <w:rsid w:val="007B3B12"/>
    <w:rsid w:val="007B413D"/>
    <w:rsid w:val="007B49B3"/>
    <w:rsid w:val="007B4E97"/>
    <w:rsid w:val="007B503B"/>
    <w:rsid w:val="007B5070"/>
    <w:rsid w:val="007B5428"/>
    <w:rsid w:val="007B546E"/>
    <w:rsid w:val="007B56B7"/>
    <w:rsid w:val="007B581F"/>
    <w:rsid w:val="007B5AE1"/>
    <w:rsid w:val="007B5CB6"/>
    <w:rsid w:val="007B5E5A"/>
    <w:rsid w:val="007B6060"/>
    <w:rsid w:val="007B63BA"/>
    <w:rsid w:val="007B689A"/>
    <w:rsid w:val="007B6960"/>
    <w:rsid w:val="007B72F7"/>
    <w:rsid w:val="007B7BCC"/>
    <w:rsid w:val="007B7DDE"/>
    <w:rsid w:val="007B7FF4"/>
    <w:rsid w:val="007C03ED"/>
    <w:rsid w:val="007C05A5"/>
    <w:rsid w:val="007C0AC1"/>
    <w:rsid w:val="007C0B43"/>
    <w:rsid w:val="007C0FE1"/>
    <w:rsid w:val="007C1047"/>
    <w:rsid w:val="007C1547"/>
    <w:rsid w:val="007C1D46"/>
    <w:rsid w:val="007C1D9C"/>
    <w:rsid w:val="007C24F3"/>
    <w:rsid w:val="007C2E05"/>
    <w:rsid w:val="007C311D"/>
    <w:rsid w:val="007C3D32"/>
    <w:rsid w:val="007C3FCC"/>
    <w:rsid w:val="007C4A4F"/>
    <w:rsid w:val="007C5444"/>
    <w:rsid w:val="007C55D7"/>
    <w:rsid w:val="007C56EA"/>
    <w:rsid w:val="007C6445"/>
    <w:rsid w:val="007C6C1A"/>
    <w:rsid w:val="007C6E35"/>
    <w:rsid w:val="007C6E4D"/>
    <w:rsid w:val="007C71E1"/>
    <w:rsid w:val="007C7268"/>
    <w:rsid w:val="007C757F"/>
    <w:rsid w:val="007C75CE"/>
    <w:rsid w:val="007C7730"/>
    <w:rsid w:val="007C797C"/>
    <w:rsid w:val="007C7B7F"/>
    <w:rsid w:val="007C7E25"/>
    <w:rsid w:val="007D001C"/>
    <w:rsid w:val="007D00E5"/>
    <w:rsid w:val="007D055D"/>
    <w:rsid w:val="007D069A"/>
    <w:rsid w:val="007D0909"/>
    <w:rsid w:val="007D0D76"/>
    <w:rsid w:val="007D1933"/>
    <w:rsid w:val="007D1DC7"/>
    <w:rsid w:val="007D2599"/>
    <w:rsid w:val="007D2723"/>
    <w:rsid w:val="007D3F6D"/>
    <w:rsid w:val="007D4478"/>
    <w:rsid w:val="007D4632"/>
    <w:rsid w:val="007D48C4"/>
    <w:rsid w:val="007D4E38"/>
    <w:rsid w:val="007D5257"/>
    <w:rsid w:val="007D55C2"/>
    <w:rsid w:val="007D6553"/>
    <w:rsid w:val="007D690A"/>
    <w:rsid w:val="007D6B08"/>
    <w:rsid w:val="007D6FD8"/>
    <w:rsid w:val="007D6FDB"/>
    <w:rsid w:val="007D720C"/>
    <w:rsid w:val="007D7BBD"/>
    <w:rsid w:val="007E044F"/>
    <w:rsid w:val="007E0B5F"/>
    <w:rsid w:val="007E0D1E"/>
    <w:rsid w:val="007E1C5B"/>
    <w:rsid w:val="007E1C68"/>
    <w:rsid w:val="007E1DB2"/>
    <w:rsid w:val="007E1DDA"/>
    <w:rsid w:val="007E25C0"/>
    <w:rsid w:val="007E2773"/>
    <w:rsid w:val="007E2A7B"/>
    <w:rsid w:val="007E2AB5"/>
    <w:rsid w:val="007E42BE"/>
    <w:rsid w:val="007E4343"/>
    <w:rsid w:val="007E4380"/>
    <w:rsid w:val="007E45AF"/>
    <w:rsid w:val="007E5476"/>
    <w:rsid w:val="007E56FE"/>
    <w:rsid w:val="007E64B8"/>
    <w:rsid w:val="007E7176"/>
    <w:rsid w:val="007E7885"/>
    <w:rsid w:val="007E793D"/>
    <w:rsid w:val="007E7FA6"/>
    <w:rsid w:val="007E7FE9"/>
    <w:rsid w:val="007F0931"/>
    <w:rsid w:val="007F0D6A"/>
    <w:rsid w:val="007F1264"/>
    <w:rsid w:val="007F1D46"/>
    <w:rsid w:val="007F1EA6"/>
    <w:rsid w:val="007F1F20"/>
    <w:rsid w:val="007F206A"/>
    <w:rsid w:val="007F2420"/>
    <w:rsid w:val="007F2AA3"/>
    <w:rsid w:val="007F2B2E"/>
    <w:rsid w:val="007F2C2D"/>
    <w:rsid w:val="007F330C"/>
    <w:rsid w:val="007F36CB"/>
    <w:rsid w:val="007F38CD"/>
    <w:rsid w:val="007F3D66"/>
    <w:rsid w:val="007F4003"/>
    <w:rsid w:val="007F4B39"/>
    <w:rsid w:val="007F4DEE"/>
    <w:rsid w:val="007F5A48"/>
    <w:rsid w:val="007F5D8E"/>
    <w:rsid w:val="007F6376"/>
    <w:rsid w:val="007F6AD9"/>
    <w:rsid w:val="007F6ADC"/>
    <w:rsid w:val="007F6E13"/>
    <w:rsid w:val="007F6FAD"/>
    <w:rsid w:val="007F7240"/>
    <w:rsid w:val="007F7368"/>
    <w:rsid w:val="007F77A1"/>
    <w:rsid w:val="007F7D65"/>
    <w:rsid w:val="00800C5C"/>
    <w:rsid w:val="00800EC7"/>
    <w:rsid w:val="0080201A"/>
    <w:rsid w:val="008023B0"/>
    <w:rsid w:val="008024EE"/>
    <w:rsid w:val="00802522"/>
    <w:rsid w:val="00802880"/>
    <w:rsid w:val="00802D7D"/>
    <w:rsid w:val="00803297"/>
    <w:rsid w:val="008033D8"/>
    <w:rsid w:val="0080354D"/>
    <w:rsid w:val="00804677"/>
    <w:rsid w:val="008047FE"/>
    <w:rsid w:val="00804885"/>
    <w:rsid w:val="00804BDE"/>
    <w:rsid w:val="00804C75"/>
    <w:rsid w:val="00804DFB"/>
    <w:rsid w:val="00804F8F"/>
    <w:rsid w:val="0080530A"/>
    <w:rsid w:val="0080553E"/>
    <w:rsid w:val="008059EB"/>
    <w:rsid w:val="00806527"/>
    <w:rsid w:val="00806774"/>
    <w:rsid w:val="00806C02"/>
    <w:rsid w:val="00806C04"/>
    <w:rsid w:val="00806E32"/>
    <w:rsid w:val="008071F1"/>
    <w:rsid w:val="008071F9"/>
    <w:rsid w:val="0080754F"/>
    <w:rsid w:val="00807858"/>
    <w:rsid w:val="00807894"/>
    <w:rsid w:val="008100DD"/>
    <w:rsid w:val="00810764"/>
    <w:rsid w:val="00810968"/>
    <w:rsid w:val="00810D1F"/>
    <w:rsid w:val="00811024"/>
    <w:rsid w:val="00811644"/>
    <w:rsid w:val="00811712"/>
    <w:rsid w:val="00812233"/>
    <w:rsid w:val="0081224C"/>
    <w:rsid w:val="008126FA"/>
    <w:rsid w:val="00812A47"/>
    <w:rsid w:val="008136E6"/>
    <w:rsid w:val="008138D6"/>
    <w:rsid w:val="00813CF4"/>
    <w:rsid w:val="00814CC6"/>
    <w:rsid w:val="00814DE8"/>
    <w:rsid w:val="00815175"/>
    <w:rsid w:val="008155B4"/>
    <w:rsid w:val="00815EB7"/>
    <w:rsid w:val="0081600A"/>
    <w:rsid w:val="008167AC"/>
    <w:rsid w:val="008173C5"/>
    <w:rsid w:val="008175D1"/>
    <w:rsid w:val="0082005E"/>
    <w:rsid w:val="008202BB"/>
    <w:rsid w:val="00820519"/>
    <w:rsid w:val="00820B59"/>
    <w:rsid w:val="00820CA2"/>
    <w:rsid w:val="00820ECE"/>
    <w:rsid w:val="00821156"/>
    <w:rsid w:val="00821F73"/>
    <w:rsid w:val="00822313"/>
    <w:rsid w:val="008223E3"/>
    <w:rsid w:val="00822B84"/>
    <w:rsid w:val="008231DD"/>
    <w:rsid w:val="008232C6"/>
    <w:rsid w:val="00823D47"/>
    <w:rsid w:val="00823DAD"/>
    <w:rsid w:val="0082413E"/>
    <w:rsid w:val="00824543"/>
    <w:rsid w:val="00824891"/>
    <w:rsid w:val="00825582"/>
    <w:rsid w:val="00825746"/>
    <w:rsid w:val="008258BE"/>
    <w:rsid w:val="00825BE2"/>
    <w:rsid w:val="00825E75"/>
    <w:rsid w:val="00826392"/>
    <w:rsid w:val="00826565"/>
    <w:rsid w:val="008270DB"/>
    <w:rsid w:val="00827329"/>
    <w:rsid w:val="00827452"/>
    <w:rsid w:val="008274B4"/>
    <w:rsid w:val="00827A16"/>
    <w:rsid w:val="00830206"/>
    <w:rsid w:val="008304DE"/>
    <w:rsid w:val="0083083B"/>
    <w:rsid w:val="00831152"/>
    <w:rsid w:val="00831576"/>
    <w:rsid w:val="00831BD8"/>
    <w:rsid w:val="00832281"/>
    <w:rsid w:val="00832322"/>
    <w:rsid w:val="0083235B"/>
    <w:rsid w:val="008323A4"/>
    <w:rsid w:val="008325E4"/>
    <w:rsid w:val="00832985"/>
    <w:rsid w:val="00832A9D"/>
    <w:rsid w:val="00832B22"/>
    <w:rsid w:val="00832C39"/>
    <w:rsid w:val="00833494"/>
    <w:rsid w:val="008337B8"/>
    <w:rsid w:val="008338ED"/>
    <w:rsid w:val="00833E93"/>
    <w:rsid w:val="00833FCE"/>
    <w:rsid w:val="00834717"/>
    <w:rsid w:val="0083499C"/>
    <w:rsid w:val="00834E3A"/>
    <w:rsid w:val="0083555E"/>
    <w:rsid w:val="008357FC"/>
    <w:rsid w:val="00835E89"/>
    <w:rsid w:val="008365F7"/>
    <w:rsid w:val="0083661A"/>
    <w:rsid w:val="008370AB"/>
    <w:rsid w:val="0083765E"/>
    <w:rsid w:val="00837AEF"/>
    <w:rsid w:val="00837FE4"/>
    <w:rsid w:val="0084004F"/>
    <w:rsid w:val="00840273"/>
    <w:rsid w:val="00840A7E"/>
    <w:rsid w:val="00840D5B"/>
    <w:rsid w:val="00840F72"/>
    <w:rsid w:val="00841011"/>
    <w:rsid w:val="00841593"/>
    <w:rsid w:val="00841BF6"/>
    <w:rsid w:val="00841FFB"/>
    <w:rsid w:val="008420AF"/>
    <w:rsid w:val="008427A0"/>
    <w:rsid w:val="00843067"/>
    <w:rsid w:val="00843284"/>
    <w:rsid w:val="00843377"/>
    <w:rsid w:val="00843612"/>
    <w:rsid w:val="00843870"/>
    <w:rsid w:val="00843993"/>
    <w:rsid w:val="00843EA3"/>
    <w:rsid w:val="008440AB"/>
    <w:rsid w:val="00844660"/>
    <w:rsid w:val="00845830"/>
    <w:rsid w:val="00845872"/>
    <w:rsid w:val="00845D20"/>
    <w:rsid w:val="00846DF2"/>
    <w:rsid w:val="00847204"/>
    <w:rsid w:val="00847BF1"/>
    <w:rsid w:val="008502B5"/>
    <w:rsid w:val="008503CB"/>
    <w:rsid w:val="008505C2"/>
    <w:rsid w:val="00850DAB"/>
    <w:rsid w:val="00850EE7"/>
    <w:rsid w:val="00850F20"/>
    <w:rsid w:val="008511D9"/>
    <w:rsid w:val="00851305"/>
    <w:rsid w:val="00851522"/>
    <w:rsid w:val="008515F0"/>
    <w:rsid w:val="00851840"/>
    <w:rsid w:val="008519CB"/>
    <w:rsid w:val="00851AE0"/>
    <w:rsid w:val="00851DE4"/>
    <w:rsid w:val="00851F26"/>
    <w:rsid w:val="00851F4E"/>
    <w:rsid w:val="00852253"/>
    <w:rsid w:val="0085235D"/>
    <w:rsid w:val="00852816"/>
    <w:rsid w:val="00852DC3"/>
    <w:rsid w:val="00852F9D"/>
    <w:rsid w:val="00853505"/>
    <w:rsid w:val="00853682"/>
    <w:rsid w:val="00853730"/>
    <w:rsid w:val="00853859"/>
    <w:rsid w:val="00853B34"/>
    <w:rsid w:val="00853EA5"/>
    <w:rsid w:val="0085422B"/>
    <w:rsid w:val="008547A3"/>
    <w:rsid w:val="008557BE"/>
    <w:rsid w:val="008558B7"/>
    <w:rsid w:val="00855970"/>
    <w:rsid w:val="00855CBC"/>
    <w:rsid w:val="008560FA"/>
    <w:rsid w:val="00856226"/>
    <w:rsid w:val="008562A9"/>
    <w:rsid w:val="008563D9"/>
    <w:rsid w:val="00856484"/>
    <w:rsid w:val="00856486"/>
    <w:rsid w:val="008565F4"/>
    <w:rsid w:val="00856701"/>
    <w:rsid w:val="00856716"/>
    <w:rsid w:val="0085671A"/>
    <w:rsid w:val="008567F7"/>
    <w:rsid w:val="00856B99"/>
    <w:rsid w:val="00856DB0"/>
    <w:rsid w:val="0085703F"/>
    <w:rsid w:val="008570E1"/>
    <w:rsid w:val="0085730F"/>
    <w:rsid w:val="0085739A"/>
    <w:rsid w:val="00857EFB"/>
    <w:rsid w:val="00860CCA"/>
    <w:rsid w:val="00860E80"/>
    <w:rsid w:val="00861015"/>
    <w:rsid w:val="008612A9"/>
    <w:rsid w:val="008612F9"/>
    <w:rsid w:val="00861934"/>
    <w:rsid w:val="008620DF"/>
    <w:rsid w:val="00862105"/>
    <w:rsid w:val="00862930"/>
    <w:rsid w:val="00862FD5"/>
    <w:rsid w:val="00863343"/>
    <w:rsid w:val="008634FA"/>
    <w:rsid w:val="008635A5"/>
    <w:rsid w:val="00863661"/>
    <w:rsid w:val="00863BE0"/>
    <w:rsid w:val="008640AF"/>
    <w:rsid w:val="00864189"/>
    <w:rsid w:val="008644B6"/>
    <w:rsid w:val="00864750"/>
    <w:rsid w:val="00864B37"/>
    <w:rsid w:val="00864DE1"/>
    <w:rsid w:val="00864DE3"/>
    <w:rsid w:val="00865567"/>
    <w:rsid w:val="00867D03"/>
    <w:rsid w:val="00867D52"/>
    <w:rsid w:val="00870732"/>
    <w:rsid w:val="00870D3C"/>
    <w:rsid w:val="00870E5F"/>
    <w:rsid w:val="008711B9"/>
    <w:rsid w:val="0087146B"/>
    <w:rsid w:val="00871C98"/>
    <w:rsid w:val="008724E7"/>
    <w:rsid w:val="008726E3"/>
    <w:rsid w:val="00872991"/>
    <w:rsid w:val="0087309C"/>
    <w:rsid w:val="008734E4"/>
    <w:rsid w:val="0087373C"/>
    <w:rsid w:val="00873DD3"/>
    <w:rsid w:val="00873F06"/>
    <w:rsid w:val="0087469F"/>
    <w:rsid w:val="00874A1C"/>
    <w:rsid w:val="00874D73"/>
    <w:rsid w:val="00874F09"/>
    <w:rsid w:val="0087530F"/>
    <w:rsid w:val="0087574A"/>
    <w:rsid w:val="0087582C"/>
    <w:rsid w:val="00875D6B"/>
    <w:rsid w:val="00876294"/>
    <w:rsid w:val="008766CA"/>
    <w:rsid w:val="00876CE4"/>
    <w:rsid w:val="008770D0"/>
    <w:rsid w:val="008774A7"/>
    <w:rsid w:val="008779D0"/>
    <w:rsid w:val="00877E2A"/>
    <w:rsid w:val="008802DA"/>
    <w:rsid w:val="0088065A"/>
    <w:rsid w:val="00880B28"/>
    <w:rsid w:val="00880BFF"/>
    <w:rsid w:val="00880C0C"/>
    <w:rsid w:val="00882739"/>
    <w:rsid w:val="00882773"/>
    <w:rsid w:val="00882A04"/>
    <w:rsid w:val="0088306D"/>
    <w:rsid w:val="00883297"/>
    <w:rsid w:val="008838C7"/>
    <w:rsid w:val="00883989"/>
    <w:rsid w:val="00883A78"/>
    <w:rsid w:val="00883CB5"/>
    <w:rsid w:val="0088418A"/>
    <w:rsid w:val="00884346"/>
    <w:rsid w:val="00884A0C"/>
    <w:rsid w:val="00884F31"/>
    <w:rsid w:val="00884F54"/>
    <w:rsid w:val="0088500F"/>
    <w:rsid w:val="0088525B"/>
    <w:rsid w:val="008852C0"/>
    <w:rsid w:val="008853F7"/>
    <w:rsid w:val="00885A48"/>
    <w:rsid w:val="00885A9F"/>
    <w:rsid w:val="0088688D"/>
    <w:rsid w:val="00886E3B"/>
    <w:rsid w:val="008871D0"/>
    <w:rsid w:val="0089096D"/>
    <w:rsid w:val="00890996"/>
    <w:rsid w:val="008911A1"/>
    <w:rsid w:val="008918CC"/>
    <w:rsid w:val="00891B51"/>
    <w:rsid w:val="00891CE1"/>
    <w:rsid w:val="008921F7"/>
    <w:rsid w:val="0089227D"/>
    <w:rsid w:val="008924C2"/>
    <w:rsid w:val="00892610"/>
    <w:rsid w:val="008926B4"/>
    <w:rsid w:val="008938ED"/>
    <w:rsid w:val="00893FF2"/>
    <w:rsid w:val="0089419E"/>
    <w:rsid w:val="00894622"/>
    <w:rsid w:val="00894805"/>
    <w:rsid w:val="00894EE0"/>
    <w:rsid w:val="008954BC"/>
    <w:rsid w:val="008955C7"/>
    <w:rsid w:val="00895B47"/>
    <w:rsid w:val="00895CE0"/>
    <w:rsid w:val="008962EF"/>
    <w:rsid w:val="00896395"/>
    <w:rsid w:val="00896E1F"/>
    <w:rsid w:val="00896FC4"/>
    <w:rsid w:val="00897091"/>
    <w:rsid w:val="00897220"/>
    <w:rsid w:val="00897E15"/>
    <w:rsid w:val="008A022C"/>
    <w:rsid w:val="008A1136"/>
    <w:rsid w:val="008A1154"/>
    <w:rsid w:val="008A1F7E"/>
    <w:rsid w:val="008A2112"/>
    <w:rsid w:val="008A21B9"/>
    <w:rsid w:val="008A2238"/>
    <w:rsid w:val="008A24C3"/>
    <w:rsid w:val="008A251D"/>
    <w:rsid w:val="008A2A1E"/>
    <w:rsid w:val="008A2C20"/>
    <w:rsid w:val="008A34DF"/>
    <w:rsid w:val="008A352F"/>
    <w:rsid w:val="008A36C2"/>
    <w:rsid w:val="008A3AEB"/>
    <w:rsid w:val="008A501F"/>
    <w:rsid w:val="008A535D"/>
    <w:rsid w:val="008A593F"/>
    <w:rsid w:val="008A59BF"/>
    <w:rsid w:val="008A5B56"/>
    <w:rsid w:val="008A61CF"/>
    <w:rsid w:val="008A6BFD"/>
    <w:rsid w:val="008A71BA"/>
    <w:rsid w:val="008A7570"/>
    <w:rsid w:val="008A7AC6"/>
    <w:rsid w:val="008A7BC7"/>
    <w:rsid w:val="008A7CCF"/>
    <w:rsid w:val="008B017B"/>
    <w:rsid w:val="008B0DB0"/>
    <w:rsid w:val="008B1180"/>
    <w:rsid w:val="008B16E7"/>
    <w:rsid w:val="008B173C"/>
    <w:rsid w:val="008B2242"/>
    <w:rsid w:val="008B231C"/>
    <w:rsid w:val="008B23D0"/>
    <w:rsid w:val="008B2434"/>
    <w:rsid w:val="008B2567"/>
    <w:rsid w:val="008B26E5"/>
    <w:rsid w:val="008B27BB"/>
    <w:rsid w:val="008B2844"/>
    <w:rsid w:val="008B2A20"/>
    <w:rsid w:val="008B2A7F"/>
    <w:rsid w:val="008B2BD8"/>
    <w:rsid w:val="008B2CBF"/>
    <w:rsid w:val="008B2D84"/>
    <w:rsid w:val="008B2E29"/>
    <w:rsid w:val="008B37F2"/>
    <w:rsid w:val="008B3A78"/>
    <w:rsid w:val="008B3CAA"/>
    <w:rsid w:val="008B4271"/>
    <w:rsid w:val="008B4978"/>
    <w:rsid w:val="008B51DD"/>
    <w:rsid w:val="008B5662"/>
    <w:rsid w:val="008B593F"/>
    <w:rsid w:val="008B5E86"/>
    <w:rsid w:val="008B612F"/>
    <w:rsid w:val="008B6363"/>
    <w:rsid w:val="008B6641"/>
    <w:rsid w:val="008B66B9"/>
    <w:rsid w:val="008B6764"/>
    <w:rsid w:val="008B69B3"/>
    <w:rsid w:val="008B6B4E"/>
    <w:rsid w:val="008B7966"/>
    <w:rsid w:val="008B7A9B"/>
    <w:rsid w:val="008B7BFD"/>
    <w:rsid w:val="008C014C"/>
    <w:rsid w:val="008C05BF"/>
    <w:rsid w:val="008C09D0"/>
    <w:rsid w:val="008C1236"/>
    <w:rsid w:val="008C16B5"/>
    <w:rsid w:val="008C186D"/>
    <w:rsid w:val="008C1CC8"/>
    <w:rsid w:val="008C1F05"/>
    <w:rsid w:val="008C201D"/>
    <w:rsid w:val="008C2D33"/>
    <w:rsid w:val="008C3A9B"/>
    <w:rsid w:val="008C45B5"/>
    <w:rsid w:val="008C4625"/>
    <w:rsid w:val="008C4FAD"/>
    <w:rsid w:val="008C5026"/>
    <w:rsid w:val="008C53F1"/>
    <w:rsid w:val="008C6667"/>
    <w:rsid w:val="008C702E"/>
    <w:rsid w:val="008C7051"/>
    <w:rsid w:val="008D02E2"/>
    <w:rsid w:val="008D07A2"/>
    <w:rsid w:val="008D10C8"/>
    <w:rsid w:val="008D1148"/>
    <w:rsid w:val="008D27C4"/>
    <w:rsid w:val="008D292A"/>
    <w:rsid w:val="008D3B98"/>
    <w:rsid w:val="008D3EDC"/>
    <w:rsid w:val="008D40F7"/>
    <w:rsid w:val="008D4298"/>
    <w:rsid w:val="008D4488"/>
    <w:rsid w:val="008D4532"/>
    <w:rsid w:val="008D4A69"/>
    <w:rsid w:val="008D5FB7"/>
    <w:rsid w:val="008D61E8"/>
    <w:rsid w:val="008D66D5"/>
    <w:rsid w:val="008D69B5"/>
    <w:rsid w:val="008D6C97"/>
    <w:rsid w:val="008D6F1A"/>
    <w:rsid w:val="008D7102"/>
    <w:rsid w:val="008D7C78"/>
    <w:rsid w:val="008D7CEE"/>
    <w:rsid w:val="008E14C5"/>
    <w:rsid w:val="008E2341"/>
    <w:rsid w:val="008E2767"/>
    <w:rsid w:val="008E370D"/>
    <w:rsid w:val="008E4110"/>
    <w:rsid w:val="008E4831"/>
    <w:rsid w:val="008E4A23"/>
    <w:rsid w:val="008E4F01"/>
    <w:rsid w:val="008E5666"/>
    <w:rsid w:val="008E57C2"/>
    <w:rsid w:val="008E5975"/>
    <w:rsid w:val="008E5C20"/>
    <w:rsid w:val="008E62C7"/>
    <w:rsid w:val="008E658F"/>
    <w:rsid w:val="008E661D"/>
    <w:rsid w:val="008E6744"/>
    <w:rsid w:val="008E76ED"/>
    <w:rsid w:val="008F0020"/>
    <w:rsid w:val="008F003E"/>
    <w:rsid w:val="008F01C7"/>
    <w:rsid w:val="008F0710"/>
    <w:rsid w:val="008F07C5"/>
    <w:rsid w:val="008F0B5B"/>
    <w:rsid w:val="008F156E"/>
    <w:rsid w:val="008F2285"/>
    <w:rsid w:val="008F2322"/>
    <w:rsid w:val="008F244C"/>
    <w:rsid w:val="008F2F58"/>
    <w:rsid w:val="008F318F"/>
    <w:rsid w:val="008F364D"/>
    <w:rsid w:val="008F3ABA"/>
    <w:rsid w:val="008F3C60"/>
    <w:rsid w:val="008F4100"/>
    <w:rsid w:val="008F41A7"/>
    <w:rsid w:val="008F46AE"/>
    <w:rsid w:val="008F4BBC"/>
    <w:rsid w:val="008F4BC1"/>
    <w:rsid w:val="008F4BF2"/>
    <w:rsid w:val="008F4DC6"/>
    <w:rsid w:val="008F4F40"/>
    <w:rsid w:val="008F5462"/>
    <w:rsid w:val="008F5495"/>
    <w:rsid w:val="008F5B59"/>
    <w:rsid w:val="008F5D16"/>
    <w:rsid w:val="008F619F"/>
    <w:rsid w:val="008F61CC"/>
    <w:rsid w:val="008F62F8"/>
    <w:rsid w:val="008F6354"/>
    <w:rsid w:val="008F652C"/>
    <w:rsid w:val="008F689B"/>
    <w:rsid w:val="008F6A1E"/>
    <w:rsid w:val="008F6E97"/>
    <w:rsid w:val="008F7924"/>
    <w:rsid w:val="00900175"/>
    <w:rsid w:val="009006C5"/>
    <w:rsid w:val="00900B3F"/>
    <w:rsid w:val="00900E02"/>
    <w:rsid w:val="00900E32"/>
    <w:rsid w:val="00900F3A"/>
    <w:rsid w:val="00900FFB"/>
    <w:rsid w:val="00901057"/>
    <w:rsid w:val="00901872"/>
    <w:rsid w:val="00901AB3"/>
    <w:rsid w:val="00902236"/>
    <w:rsid w:val="0090254A"/>
    <w:rsid w:val="0090267E"/>
    <w:rsid w:val="00903722"/>
    <w:rsid w:val="00903E58"/>
    <w:rsid w:val="00903E8E"/>
    <w:rsid w:val="00903FE0"/>
    <w:rsid w:val="00904458"/>
    <w:rsid w:val="00904B3B"/>
    <w:rsid w:val="00904EEF"/>
    <w:rsid w:val="00905035"/>
    <w:rsid w:val="0090555C"/>
    <w:rsid w:val="00906114"/>
    <w:rsid w:val="0090622D"/>
    <w:rsid w:val="00906599"/>
    <w:rsid w:val="0090687C"/>
    <w:rsid w:val="00906CCE"/>
    <w:rsid w:val="00906EBC"/>
    <w:rsid w:val="009074F5"/>
    <w:rsid w:val="009100D7"/>
    <w:rsid w:val="009103F2"/>
    <w:rsid w:val="00910553"/>
    <w:rsid w:val="009109EB"/>
    <w:rsid w:val="00910AC6"/>
    <w:rsid w:val="0091164B"/>
    <w:rsid w:val="0091205B"/>
    <w:rsid w:val="00912295"/>
    <w:rsid w:val="00912309"/>
    <w:rsid w:val="0091254D"/>
    <w:rsid w:val="00912900"/>
    <w:rsid w:val="00912EF3"/>
    <w:rsid w:val="0091344B"/>
    <w:rsid w:val="0091345F"/>
    <w:rsid w:val="00913942"/>
    <w:rsid w:val="00913994"/>
    <w:rsid w:val="00913AFE"/>
    <w:rsid w:val="00913F55"/>
    <w:rsid w:val="00914304"/>
    <w:rsid w:val="0091439D"/>
    <w:rsid w:val="00914564"/>
    <w:rsid w:val="00914B2F"/>
    <w:rsid w:val="0091503A"/>
    <w:rsid w:val="00915343"/>
    <w:rsid w:val="00915448"/>
    <w:rsid w:val="009155F8"/>
    <w:rsid w:val="00915ABC"/>
    <w:rsid w:val="00915D9A"/>
    <w:rsid w:val="00916196"/>
    <w:rsid w:val="00917342"/>
    <w:rsid w:val="009176D2"/>
    <w:rsid w:val="009204AB"/>
    <w:rsid w:val="009208F1"/>
    <w:rsid w:val="009209C2"/>
    <w:rsid w:val="00920FA8"/>
    <w:rsid w:val="00921021"/>
    <w:rsid w:val="00921C47"/>
    <w:rsid w:val="0092233C"/>
    <w:rsid w:val="00922866"/>
    <w:rsid w:val="00922EBC"/>
    <w:rsid w:val="009236BE"/>
    <w:rsid w:val="00923747"/>
    <w:rsid w:val="00923984"/>
    <w:rsid w:val="00923C78"/>
    <w:rsid w:val="00923D6F"/>
    <w:rsid w:val="00923F2A"/>
    <w:rsid w:val="0092404E"/>
    <w:rsid w:val="009242AA"/>
    <w:rsid w:val="00924605"/>
    <w:rsid w:val="0092479F"/>
    <w:rsid w:val="00924EA2"/>
    <w:rsid w:val="009253CF"/>
    <w:rsid w:val="00925C7A"/>
    <w:rsid w:val="00925D4F"/>
    <w:rsid w:val="00925F53"/>
    <w:rsid w:val="00926911"/>
    <w:rsid w:val="00926AD9"/>
    <w:rsid w:val="00926CBA"/>
    <w:rsid w:val="00926EA8"/>
    <w:rsid w:val="00927090"/>
    <w:rsid w:val="009271A0"/>
    <w:rsid w:val="009272EB"/>
    <w:rsid w:val="009272F0"/>
    <w:rsid w:val="0092760A"/>
    <w:rsid w:val="0092765E"/>
    <w:rsid w:val="009277B3"/>
    <w:rsid w:val="00927918"/>
    <w:rsid w:val="00927A46"/>
    <w:rsid w:val="00927A79"/>
    <w:rsid w:val="00927CA9"/>
    <w:rsid w:val="00927D68"/>
    <w:rsid w:val="00930622"/>
    <w:rsid w:val="00930D3D"/>
    <w:rsid w:val="009310DB"/>
    <w:rsid w:val="009316DB"/>
    <w:rsid w:val="00931A76"/>
    <w:rsid w:val="00931EED"/>
    <w:rsid w:val="00932F5B"/>
    <w:rsid w:val="009332E0"/>
    <w:rsid w:val="00933711"/>
    <w:rsid w:val="00933825"/>
    <w:rsid w:val="00933C53"/>
    <w:rsid w:val="00933E82"/>
    <w:rsid w:val="009340D1"/>
    <w:rsid w:val="009341BC"/>
    <w:rsid w:val="009351FB"/>
    <w:rsid w:val="0093534A"/>
    <w:rsid w:val="009353CC"/>
    <w:rsid w:val="00935598"/>
    <w:rsid w:val="0093586A"/>
    <w:rsid w:val="00935ADD"/>
    <w:rsid w:val="00935AF0"/>
    <w:rsid w:val="00935B66"/>
    <w:rsid w:val="00935C19"/>
    <w:rsid w:val="00935D90"/>
    <w:rsid w:val="00936184"/>
    <w:rsid w:val="0093680B"/>
    <w:rsid w:val="00936A11"/>
    <w:rsid w:val="00936D52"/>
    <w:rsid w:val="00937B29"/>
    <w:rsid w:val="00937DAB"/>
    <w:rsid w:val="00937E9E"/>
    <w:rsid w:val="00940377"/>
    <w:rsid w:val="00940607"/>
    <w:rsid w:val="00940957"/>
    <w:rsid w:val="009417D2"/>
    <w:rsid w:val="00941BBF"/>
    <w:rsid w:val="00941E27"/>
    <w:rsid w:val="0094204C"/>
    <w:rsid w:val="00942353"/>
    <w:rsid w:val="009424B4"/>
    <w:rsid w:val="00942A46"/>
    <w:rsid w:val="00942B16"/>
    <w:rsid w:val="00942E03"/>
    <w:rsid w:val="00942E4B"/>
    <w:rsid w:val="00942F92"/>
    <w:rsid w:val="00943035"/>
    <w:rsid w:val="009437CE"/>
    <w:rsid w:val="00943BE9"/>
    <w:rsid w:val="00943CA4"/>
    <w:rsid w:val="00943ECD"/>
    <w:rsid w:val="0094457E"/>
    <w:rsid w:val="00945101"/>
    <w:rsid w:val="009458BF"/>
    <w:rsid w:val="009461BA"/>
    <w:rsid w:val="00946202"/>
    <w:rsid w:val="00946521"/>
    <w:rsid w:val="009467ED"/>
    <w:rsid w:val="00946AAE"/>
    <w:rsid w:val="009473F4"/>
    <w:rsid w:val="00947736"/>
    <w:rsid w:val="00947A1A"/>
    <w:rsid w:val="009500EA"/>
    <w:rsid w:val="00950260"/>
    <w:rsid w:val="0095094A"/>
    <w:rsid w:val="00950C97"/>
    <w:rsid w:val="00950EBF"/>
    <w:rsid w:val="00951E73"/>
    <w:rsid w:val="0095237A"/>
    <w:rsid w:val="009524C7"/>
    <w:rsid w:val="00954498"/>
    <w:rsid w:val="00954A65"/>
    <w:rsid w:val="00955441"/>
    <w:rsid w:val="00956037"/>
    <w:rsid w:val="00956686"/>
    <w:rsid w:val="009568D8"/>
    <w:rsid w:val="00956F96"/>
    <w:rsid w:val="00956FF8"/>
    <w:rsid w:val="00957023"/>
    <w:rsid w:val="009578F9"/>
    <w:rsid w:val="009579D0"/>
    <w:rsid w:val="00957DD3"/>
    <w:rsid w:val="009603FB"/>
    <w:rsid w:val="0096068F"/>
    <w:rsid w:val="00960D4A"/>
    <w:rsid w:val="00960F30"/>
    <w:rsid w:val="009612F1"/>
    <w:rsid w:val="00961D2D"/>
    <w:rsid w:val="00961E99"/>
    <w:rsid w:val="00961FE9"/>
    <w:rsid w:val="00961FF5"/>
    <w:rsid w:val="009628EB"/>
    <w:rsid w:val="00962A95"/>
    <w:rsid w:val="00962C3A"/>
    <w:rsid w:val="00963A43"/>
    <w:rsid w:val="00963B0C"/>
    <w:rsid w:val="009643DD"/>
    <w:rsid w:val="009644AE"/>
    <w:rsid w:val="00964546"/>
    <w:rsid w:val="0096464D"/>
    <w:rsid w:val="009648EA"/>
    <w:rsid w:val="00964BE7"/>
    <w:rsid w:val="009654C9"/>
    <w:rsid w:val="009658C7"/>
    <w:rsid w:val="00965D0F"/>
    <w:rsid w:val="00965E74"/>
    <w:rsid w:val="00965E8A"/>
    <w:rsid w:val="009666AC"/>
    <w:rsid w:val="009667DE"/>
    <w:rsid w:val="009667F9"/>
    <w:rsid w:val="00966D85"/>
    <w:rsid w:val="00967014"/>
    <w:rsid w:val="00967134"/>
    <w:rsid w:val="00967410"/>
    <w:rsid w:val="009675AD"/>
    <w:rsid w:val="0096769F"/>
    <w:rsid w:val="009677AE"/>
    <w:rsid w:val="009678BF"/>
    <w:rsid w:val="009678E1"/>
    <w:rsid w:val="00967912"/>
    <w:rsid w:val="0096796C"/>
    <w:rsid w:val="00967B20"/>
    <w:rsid w:val="00967BA5"/>
    <w:rsid w:val="00967D02"/>
    <w:rsid w:val="0097018F"/>
    <w:rsid w:val="009706EA"/>
    <w:rsid w:val="00970C39"/>
    <w:rsid w:val="00970CFA"/>
    <w:rsid w:val="00970EA9"/>
    <w:rsid w:val="009714B8"/>
    <w:rsid w:val="00971840"/>
    <w:rsid w:val="00971BEE"/>
    <w:rsid w:val="00971E68"/>
    <w:rsid w:val="00972159"/>
    <w:rsid w:val="0097279C"/>
    <w:rsid w:val="00972D54"/>
    <w:rsid w:val="00972E72"/>
    <w:rsid w:val="00972FBE"/>
    <w:rsid w:val="009744F6"/>
    <w:rsid w:val="009745C7"/>
    <w:rsid w:val="009745F5"/>
    <w:rsid w:val="009746A1"/>
    <w:rsid w:val="00974745"/>
    <w:rsid w:val="00974D17"/>
    <w:rsid w:val="00975394"/>
    <w:rsid w:val="009756A7"/>
    <w:rsid w:val="00975927"/>
    <w:rsid w:val="00975C68"/>
    <w:rsid w:val="00975CA5"/>
    <w:rsid w:val="009766C4"/>
    <w:rsid w:val="009769A4"/>
    <w:rsid w:val="009769FB"/>
    <w:rsid w:val="00977282"/>
    <w:rsid w:val="0097744E"/>
    <w:rsid w:val="009774CD"/>
    <w:rsid w:val="009774E3"/>
    <w:rsid w:val="00977657"/>
    <w:rsid w:val="00977927"/>
    <w:rsid w:val="00977B5E"/>
    <w:rsid w:val="00977FA6"/>
    <w:rsid w:val="00980122"/>
    <w:rsid w:val="009802E4"/>
    <w:rsid w:val="0098172D"/>
    <w:rsid w:val="00981786"/>
    <w:rsid w:val="00981CD7"/>
    <w:rsid w:val="00981D60"/>
    <w:rsid w:val="00982A1A"/>
    <w:rsid w:val="0098307E"/>
    <w:rsid w:val="00983F62"/>
    <w:rsid w:val="009842D9"/>
    <w:rsid w:val="009843C2"/>
    <w:rsid w:val="009845D3"/>
    <w:rsid w:val="00984675"/>
    <w:rsid w:val="00984997"/>
    <w:rsid w:val="009852B2"/>
    <w:rsid w:val="009852E7"/>
    <w:rsid w:val="00985567"/>
    <w:rsid w:val="0098580B"/>
    <w:rsid w:val="00985922"/>
    <w:rsid w:val="00985D7C"/>
    <w:rsid w:val="00985F15"/>
    <w:rsid w:val="0098704A"/>
    <w:rsid w:val="0098781D"/>
    <w:rsid w:val="0099012C"/>
    <w:rsid w:val="009904D9"/>
    <w:rsid w:val="009907C1"/>
    <w:rsid w:val="00990972"/>
    <w:rsid w:val="00990A3A"/>
    <w:rsid w:val="00990FD4"/>
    <w:rsid w:val="00991389"/>
    <w:rsid w:val="0099283A"/>
    <w:rsid w:val="00992DB7"/>
    <w:rsid w:val="00993088"/>
    <w:rsid w:val="0099327D"/>
    <w:rsid w:val="0099332E"/>
    <w:rsid w:val="00993708"/>
    <w:rsid w:val="0099384B"/>
    <w:rsid w:val="00993A5C"/>
    <w:rsid w:val="00993C9A"/>
    <w:rsid w:val="0099455C"/>
    <w:rsid w:val="00994AE6"/>
    <w:rsid w:val="00994FD4"/>
    <w:rsid w:val="00995489"/>
    <w:rsid w:val="009954FE"/>
    <w:rsid w:val="00995830"/>
    <w:rsid w:val="00995B5F"/>
    <w:rsid w:val="00995D12"/>
    <w:rsid w:val="00995DFE"/>
    <w:rsid w:val="00995FF3"/>
    <w:rsid w:val="0099601E"/>
    <w:rsid w:val="00996126"/>
    <w:rsid w:val="00996B90"/>
    <w:rsid w:val="0099714F"/>
    <w:rsid w:val="0099738D"/>
    <w:rsid w:val="00997422"/>
    <w:rsid w:val="0099766A"/>
    <w:rsid w:val="0099791F"/>
    <w:rsid w:val="00997BC2"/>
    <w:rsid w:val="009A00B3"/>
    <w:rsid w:val="009A011A"/>
    <w:rsid w:val="009A0737"/>
    <w:rsid w:val="009A0748"/>
    <w:rsid w:val="009A086A"/>
    <w:rsid w:val="009A0CCE"/>
    <w:rsid w:val="009A0D7E"/>
    <w:rsid w:val="009A0E7A"/>
    <w:rsid w:val="009A110F"/>
    <w:rsid w:val="009A176D"/>
    <w:rsid w:val="009A2201"/>
    <w:rsid w:val="009A2526"/>
    <w:rsid w:val="009A25CF"/>
    <w:rsid w:val="009A2B4E"/>
    <w:rsid w:val="009A3388"/>
    <w:rsid w:val="009A3877"/>
    <w:rsid w:val="009A3B4F"/>
    <w:rsid w:val="009A3C1F"/>
    <w:rsid w:val="009A3EF4"/>
    <w:rsid w:val="009A42F3"/>
    <w:rsid w:val="009A4724"/>
    <w:rsid w:val="009A4842"/>
    <w:rsid w:val="009A4A33"/>
    <w:rsid w:val="009A4DDA"/>
    <w:rsid w:val="009A5114"/>
    <w:rsid w:val="009A5600"/>
    <w:rsid w:val="009A568B"/>
    <w:rsid w:val="009A5B81"/>
    <w:rsid w:val="009A608D"/>
    <w:rsid w:val="009A61B5"/>
    <w:rsid w:val="009A654E"/>
    <w:rsid w:val="009A723A"/>
    <w:rsid w:val="009A75DA"/>
    <w:rsid w:val="009A7AAE"/>
    <w:rsid w:val="009A7D1C"/>
    <w:rsid w:val="009A7D98"/>
    <w:rsid w:val="009A7EB6"/>
    <w:rsid w:val="009B1258"/>
    <w:rsid w:val="009B15D5"/>
    <w:rsid w:val="009B1E53"/>
    <w:rsid w:val="009B2CEB"/>
    <w:rsid w:val="009B365A"/>
    <w:rsid w:val="009B369C"/>
    <w:rsid w:val="009B3877"/>
    <w:rsid w:val="009B3BA1"/>
    <w:rsid w:val="009B3F6F"/>
    <w:rsid w:val="009B4278"/>
    <w:rsid w:val="009B4A7C"/>
    <w:rsid w:val="009B4C9E"/>
    <w:rsid w:val="009B5726"/>
    <w:rsid w:val="009B5BC2"/>
    <w:rsid w:val="009B6012"/>
    <w:rsid w:val="009B6C83"/>
    <w:rsid w:val="009B6E25"/>
    <w:rsid w:val="009B7A4A"/>
    <w:rsid w:val="009B7C8D"/>
    <w:rsid w:val="009C074A"/>
    <w:rsid w:val="009C08B2"/>
    <w:rsid w:val="009C08CC"/>
    <w:rsid w:val="009C117F"/>
    <w:rsid w:val="009C17C7"/>
    <w:rsid w:val="009C17D9"/>
    <w:rsid w:val="009C189E"/>
    <w:rsid w:val="009C1A7F"/>
    <w:rsid w:val="009C1D96"/>
    <w:rsid w:val="009C24B1"/>
    <w:rsid w:val="009C2AAB"/>
    <w:rsid w:val="009C2C95"/>
    <w:rsid w:val="009C32E3"/>
    <w:rsid w:val="009C395E"/>
    <w:rsid w:val="009C3C03"/>
    <w:rsid w:val="009C40BE"/>
    <w:rsid w:val="009C44FA"/>
    <w:rsid w:val="009C4999"/>
    <w:rsid w:val="009C4C63"/>
    <w:rsid w:val="009C4D73"/>
    <w:rsid w:val="009C4ECC"/>
    <w:rsid w:val="009C5161"/>
    <w:rsid w:val="009C5458"/>
    <w:rsid w:val="009C5C8E"/>
    <w:rsid w:val="009C625A"/>
    <w:rsid w:val="009C6401"/>
    <w:rsid w:val="009C6515"/>
    <w:rsid w:val="009C6D8F"/>
    <w:rsid w:val="009C7153"/>
    <w:rsid w:val="009C75A7"/>
    <w:rsid w:val="009C7C9D"/>
    <w:rsid w:val="009C7F77"/>
    <w:rsid w:val="009C7F99"/>
    <w:rsid w:val="009D0981"/>
    <w:rsid w:val="009D1546"/>
    <w:rsid w:val="009D16C3"/>
    <w:rsid w:val="009D198E"/>
    <w:rsid w:val="009D1C0D"/>
    <w:rsid w:val="009D1D02"/>
    <w:rsid w:val="009D21FD"/>
    <w:rsid w:val="009D2368"/>
    <w:rsid w:val="009D23AC"/>
    <w:rsid w:val="009D2639"/>
    <w:rsid w:val="009D2ACD"/>
    <w:rsid w:val="009D2EA5"/>
    <w:rsid w:val="009D3418"/>
    <w:rsid w:val="009D3A70"/>
    <w:rsid w:val="009D3E2A"/>
    <w:rsid w:val="009D4263"/>
    <w:rsid w:val="009D4429"/>
    <w:rsid w:val="009D4677"/>
    <w:rsid w:val="009D4F94"/>
    <w:rsid w:val="009D54C4"/>
    <w:rsid w:val="009D5B89"/>
    <w:rsid w:val="009D5E21"/>
    <w:rsid w:val="009D6554"/>
    <w:rsid w:val="009D6847"/>
    <w:rsid w:val="009D6A8D"/>
    <w:rsid w:val="009D6B74"/>
    <w:rsid w:val="009D6CF0"/>
    <w:rsid w:val="009D6D44"/>
    <w:rsid w:val="009D6F03"/>
    <w:rsid w:val="009D6FCC"/>
    <w:rsid w:val="009D728E"/>
    <w:rsid w:val="009D795D"/>
    <w:rsid w:val="009D7A57"/>
    <w:rsid w:val="009D7ABA"/>
    <w:rsid w:val="009D7AF6"/>
    <w:rsid w:val="009E029E"/>
    <w:rsid w:val="009E057D"/>
    <w:rsid w:val="009E08B6"/>
    <w:rsid w:val="009E0A34"/>
    <w:rsid w:val="009E0DD3"/>
    <w:rsid w:val="009E0F20"/>
    <w:rsid w:val="009E12B1"/>
    <w:rsid w:val="009E1456"/>
    <w:rsid w:val="009E1C2F"/>
    <w:rsid w:val="009E1E94"/>
    <w:rsid w:val="009E2125"/>
    <w:rsid w:val="009E269F"/>
    <w:rsid w:val="009E2A69"/>
    <w:rsid w:val="009E2CCD"/>
    <w:rsid w:val="009E305E"/>
    <w:rsid w:val="009E3523"/>
    <w:rsid w:val="009E3AB9"/>
    <w:rsid w:val="009E483E"/>
    <w:rsid w:val="009E487D"/>
    <w:rsid w:val="009E4A01"/>
    <w:rsid w:val="009E53D2"/>
    <w:rsid w:val="009E5608"/>
    <w:rsid w:val="009E5AEC"/>
    <w:rsid w:val="009E66C6"/>
    <w:rsid w:val="009E6711"/>
    <w:rsid w:val="009E6A45"/>
    <w:rsid w:val="009E6C56"/>
    <w:rsid w:val="009E6EA1"/>
    <w:rsid w:val="009E6F08"/>
    <w:rsid w:val="009E70D4"/>
    <w:rsid w:val="009E7FFE"/>
    <w:rsid w:val="009F00F0"/>
    <w:rsid w:val="009F048E"/>
    <w:rsid w:val="009F0ADB"/>
    <w:rsid w:val="009F0DCA"/>
    <w:rsid w:val="009F16BB"/>
    <w:rsid w:val="009F29F3"/>
    <w:rsid w:val="009F2B08"/>
    <w:rsid w:val="009F2B9C"/>
    <w:rsid w:val="009F30F4"/>
    <w:rsid w:val="009F456F"/>
    <w:rsid w:val="009F4B44"/>
    <w:rsid w:val="009F4FF0"/>
    <w:rsid w:val="009F5383"/>
    <w:rsid w:val="009F5834"/>
    <w:rsid w:val="009F592E"/>
    <w:rsid w:val="009F5965"/>
    <w:rsid w:val="009F60A2"/>
    <w:rsid w:val="009F63B3"/>
    <w:rsid w:val="009F66AB"/>
    <w:rsid w:val="009F672E"/>
    <w:rsid w:val="009F6967"/>
    <w:rsid w:val="009F69B2"/>
    <w:rsid w:val="009F6A79"/>
    <w:rsid w:val="009F754C"/>
    <w:rsid w:val="009F7719"/>
    <w:rsid w:val="009F790F"/>
    <w:rsid w:val="009F7BD3"/>
    <w:rsid w:val="009F7FFA"/>
    <w:rsid w:val="00A009A8"/>
    <w:rsid w:val="00A00EAE"/>
    <w:rsid w:val="00A012D5"/>
    <w:rsid w:val="00A012D6"/>
    <w:rsid w:val="00A01332"/>
    <w:rsid w:val="00A01C23"/>
    <w:rsid w:val="00A01E4D"/>
    <w:rsid w:val="00A01E8B"/>
    <w:rsid w:val="00A0212B"/>
    <w:rsid w:val="00A022FF"/>
    <w:rsid w:val="00A0295E"/>
    <w:rsid w:val="00A02F56"/>
    <w:rsid w:val="00A02FF1"/>
    <w:rsid w:val="00A03041"/>
    <w:rsid w:val="00A030D4"/>
    <w:rsid w:val="00A033A0"/>
    <w:rsid w:val="00A0394B"/>
    <w:rsid w:val="00A03998"/>
    <w:rsid w:val="00A03B65"/>
    <w:rsid w:val="00A03E86"/>
    <w:rsid w:val="00A03E94"/>
    <w:rsid w:val="00A046D7"/>
    <w:rsid w:val="00A05354"/>
    <w:rsid w:val="00A0606A"/>
    <w:rsid w:val="00A06DD7"/>
    <w:rsid w:val="00A07270"/>
    <w:rsid w:val="00A1061C"/>
    <w:rsid w:val="00A10678"/>
    <w:rsid w:val="00A106EC"/>
    <w:rsid w:val="00A10705"/>
    <w:rsid w:val="00A10A84"/>
    <w:rsid w:val="00A10C9C"/>
    <w:rsid w:val="00A10E48"/>
    <w:rsid w:val="00A10F0C"/>
    <w:rsid w:val="00A1149E"/>
    <w:rsid w:val="00A117DE"/>
    <w:rsid w:val="00A118BC"/>
    <w:rsid w:val="00A11ADD"/>
    <w:rsid w:val="00A11B9A"/>
    <w:rsid w:val="00A11DCC"/>
    <w:rsid w:val="00A11EBA"/>
    <w:rsid w:val="00A12303"/>
    <w:rsid w:val="00A12588"/>
    <w:rsid w:val="00A127A1"/>
    <w:rsid w:val="00A12BE8"/>
    <w:rsid w:val="00A134DB"/>
    <w:rsid w:val="00A13C08"/>
    <w:rsid w:val="00A14479"/>
    <w:rsid w:val="00A146BE"/>
    <w:rsid w:val="00A1532C"/>
    <w:rsid w:val="00A15459"/>
    <w:rsid w:val="00A15488"/>
    <w:rsid w:val="00A15925"/>
    <w:rsid w:val="00A15959"/>
    <w:rsid w:val="00A16103"/>
    <w:rsid w:val="00A16461"/>
    <w:rsid w:val="00A16BC0"/>
    <w:rsid w:val="00A1704D"/>
    <w:rsid w:val="00A17703"/>
    <w:rsid w:val="00A1779C"/>
    <w:rsid w:val="00A17A23"/>
    <w:rsid w:val="00A17A5C"/>
    <w:rsid w:val="00A17BA9"/>
    <w:rsid w:val="00A2135A"/>
    <w:rsid w:val="00A214B1"/>
    <w:rsid w:val="00A21538"/>
    <w:rsid w:val="00A21572"/>
    <w:rsid w:val="00A219C5"/>
    <w:rsid w:val="00A2207D"/>
    <w:rsid w:val="00A2215B"/>
    <w:rsid w:val="00A2274E"/>
    <w:rsid w:val="00A228D6"/>
    <w:rsid w:val="00A236E7"/>
    <w:rsid w:val="00A23E95"/>
    <w:rsid w:val="00A241A2"/>
    <w:rsid w:val="00A24472"/>
    <w:rsid w:val="00A24478"/>
    <w:rsid w:val="00A24712"/>
    <w:rsid w:val="00A248EB"/>
    <w:rsid w:val="00A24C3B"/>
    <w:rsid w:val="00A24F81"/>
    <w:rsid w:val="00A256AA"/>
    <w:rsid w:val="00A25779"/>
    <w:rsid w:val="00A25968"/>
    <w:rsid w:val="00A25FF8"/>
    <w:rsid w:val="00A26D7B"/>
    <w:rsid w:val="00A26DC8"/>
    <w:rsid w:val="00A270BC"/>
    <w:rsid w:val="00A2738E"/>
    <w:rsid w:val="00A27C4C"/>
    <w:rsid w:val="00A30186"/>
    <w:rsid w:val="00A30371"/>
    <w:rsid w:val="00A307E8"/>
    <w:rsid w:val="00A30814"/>
    <w:rsid w:val="00A30998"/>
    <w:rsid w:val="00A309BE"/>
    <w:rsid w:val="00A30A8D"/>
    <w:rsid w:val="00A30ADD"/>
    <w:rsid w:val="00A31CAF"/>
    <w:rsid w:val="00A31EBC"/>
    <w:rsid w:val="00A32246"/>
    <w:rsid w:val="00A3244F"/>
    <w:rsid w:val="00A32ACC"/>
    <w:rsid w:val="00A330EA"/>
    <w:rsid w:val="00A33257"/>
    <w:rsid w:val="00A33CA6"/>
    <w:rsid w:val="00A33EE2"/>
    <w:rsid w:val="00A3426B"/>
    <w:rsid w:val="00A34632"/>
    <w:rsid w:val="00A34BAE"/>
    <w:rsid w:val="00A34C4A"/>
    <w:rsid w:val="00A34C66"/>
    <w:rsid w:val="00A34DD4"/>
    <w:rsid w:val="00A356BD"/>
    <w:rsid w:val="00A35C81"/>
    <w:rsid w:val="00A35CE8"/>
    <w:rsid w:val="00A360BC"/>
    <w:rsid w:val="00A362B2"/>
    <w:rsid w:val="00A363A8"/>
    <w:rsid w:val="00A36AC5"/>
    <w:rsid w:val="00A36B35"/>
    <w:rsid w:val="00A3765C"/>
    <w:rsid w:val="00A376E5"/>
    <w:rsid w:val="00A377DC"/>
    <w:rsid w:val="00A37994"/>
    <w:rsid w:val="00A40001"/>
    <w:rsid w:val="00A40117"/>
    <w:rsid w:val="00A40437"/>
    <w:rsid w:val="00A4078F"/>
    <w:rsid w:val="00A4176F"/>
    <w:rsid w:val="00A41940"/>
    <w:rsid w:val="00A41AFD"/>
    <w:rsid w:val="00A420E3"/>
    <w:rsid w:val="00A422AD"/>
    <w:rsid w:val="00A4245A"/>
    <w:rsid w:val="00A42679"/>
    <w:rsid w:val="00A430ED"/>
    <w:rsid w:val="00A43187"/>
    <w:rsid w:val="00A432C1"/>
    <w:rsid w:val="00A43D28"/>
    <w:rsid w:val="00A444C7"/>
    <w:rsid w:val="00A44576"/>
    <w:rsid w:val="00A4471C"/>
    <w:rsid w:val="00A44A7C"/>
    <w:rsid w:val="00A45F88"/>
    <w:rsid w:val="00A46BA4"/>
    <w:rsid w:val="00A46E6C"/>
    <w:rsid w:val="00A47117"/>
    <w:rsid w:val="00A47533"/>
    <w:rsid w:val="00A47CEE"/>
    <w:rsid w:val="00A47F79"/>
    <w:rsid w:val="00A50CC8"/>
    <w:rsid w:val="00A51D95"/>
    <w:rsid w:val="00A52692"/>
    <w:rsid w:val="00A527E0"/>
    <w:rsid w:val="00A52B1C"/>
    <w:rsid w:val="00A53101"/>
    <w:rsid w:val="00A5311C"/>
    <w:rsid w:val="00A53B93"/>
    <w:rsid w:val="00A54037"/>
    <w:rsid w:val="00A542B4"/>
    <w:rsid w:val="00A5440E"/>
    <w:rsid w:val="00A54FAC"/>
    <w:rsid w:val="00A5530D"/>
    <w:rsid w:val="00A55495"/>
    <w:rsid w:val="00A554CA"/>
    <w:rsid w:val="00A55958"/>
    <w:rsid w:val="00A55BDE"/>
    <w:rsid w:val="00A55E2D"/>
    <w:rsid w:val="00A55FAC"/>
    <w:rsid w:val="00A5612B"/>
    <w:rsid w:val="00A56214"/>
    <w:rsid w:val="00A56458"/>
    <w:rsid w:val="00A56C56"/>
    <w:rsid w:val="00A56E3D"/>
    <w:rsid w:val="00A57040"/>
    <w:rsid w:val="00A57044"/>
    <w:rsid w:val="00A57E4C"/>
    <w:rsid w:val="00A57FB5"/>
    <w:rsid w:val="00A6034F"/>
    <w:rsid w:val="00A6072A"/>
    <w:rsid w:val="00A60924"/>
    <w:rsid w:val="00A610B0"/>
    <w:rsid w:val="00A61BD1"/>
    <w:rsid w:val="00A62139"/>
    <w:rsid w:val="00A62542"/>
    <w:rsid w:val="00A62643"/>
    <w:rsid w:val="00A62B24"/>
    <w:rsid w:val="00A62CEE"/>
    <w:rsid w:val="00A631C9"/>
    <w:rsid w:val="00A63689"/>
    <w:rsid w:val="00A6375B"/>
    <w:rsid w:val="00A63C1A"/>
    <w:rsid w:val="00A64525"/>
    <w:rsid w:val="00A646F2"/>
    <w:rsid w:val="00A64A01"/>
    <w:rsid w:val="00A65047"/>
    <w:rsid w:val="00A65109"/>
    <w:rsid w:val="00A6552E"/>
    <w:rsid w:val="00A65739"/>
    <w:rsid w:val="00A65970"/>
    <w:rsid w:val="00A65B51"/>
    <w:rsid w:val="00A65DBB"/>
    <w:rsid w:val="00A6615A"/>
    <w:rsid w:val="00A66325"/>
    <w:rsid w:val="00A6659C"/>
    <w:rsid w:val="00A66802"/>
    <w:rsid w:val="00A66E40"/>
    <w:rsid w:val="00A670CB"/>
    <w:rsid w:val="00A67153"/>
    <w:rsid w:val="00A67220"/>
    <w:rsid w:val="00A674F3"/>
    <w:rsid w:val="00A67A38"/>
    <w:rsid w:val="00A67BB3"/>
    <w:rsid w:val="00A67F04"/>
    <w:rsid w:val="00A7003B"/>
    <w:rsid w:val="00A704E0"/>
    <w:rsid w:val="00A70963"/>
    <w:rsid w:val="00A71398"/>
    <w:rsid w:val="00A7169C"/>
    <w:rsid w:val="00A7193D"/>
    <w:rsid w:val="00A71A72"/>
    <w:rsid w:val="00A722BD"/>
    <w:rsid w:val="00A7238D"/>
    <w:rsid w:val="00A72448"/>
    <w:rsid w:val="00A72598"/>
    <w:rsid w:val="00A728BA"/>
    <w:rsid w:val="00A72D26"/>
    <w:rsid w:val="00A72D60"/>
    <w:rsid w:val="00A72DE4"/>
    <w:rsid w:val="00A72FB2"/>
    <w:rsid w:val="00A73191"/>
    <w:rsid w:val="00A73245"/>
    <w:rsid w:val="00A7378B"/>
    <w:rsid w:val="00A73836"/>
    <w:rsid w:val="00A75152"/>
    <w:rsid w:val="00A751DE"/>
    <w:rsid w:val="00A757C6"/>
    <w:rsid w:val="00A76823"/>
    <w:rsid w:val="00A76A3F"/>
    <w:rsid w:val="00A7766C"/>
    <w:rsid w:val="00A77978"/>
    <w:rsid w:val="00A77CC1"/>
    <w:rsid w:val="00A77F64"/>
    <w:rsid w:val="00A77F87"/>
    <w:rsid w:val="00A800F8"/>
    <w:rsid w:val="00A81103"/>
    <w:rsid w:val="00A812D3"/>
    <w:rsid w:val="00A81556"/>
    <w:rsid w:val="00A81710"/>
    <w:rsid w:val="00A81C40"/>
    <w:rsid w:val="00A8243C"/>
    <w:rsid w:val="00A826B5"/>
    <w:rsid w:val="00A82946"/>
    <w:rsid w:val="00A82AF4"/>
    <w:rsid w:val="00A82B81"/>
    <w:rsid w:val="00A82C2B"/>
    <w:rsid w:val="00A8328A"/>
    <w:rsid w:val="00A83D11"/>
    <w:rsid w:val="00A840F9"/>
    <w:rsid w:val="00A842F7"/>
    <w:rsid w:val="00A84A27"/>
    <w:rsid w:val="00A84B6C"/>
    <w:rsid w:val="00A84E1A"/>
    <w:rsid w:val="00A862B5"/>
    <w:rsid w:val="00A866B9"/>
    <w:rsid w:val="00A86CC4"/>
    <w:rsid w:val="00A871B7"/>
    <w:rsid w:val="00A87232"/>
    <w:rsid w:val="00A8790F"/>
    <w:rsid w:val="00A90C6E"/>
    <w:rsid w:val="00A910B7"/>
    <w:rsid w:val="00A9181E"/>
    <w:rsid w:val="00A926A9"/>
    <w:rsid w:val="00A930B2"/>
    <w:rsid w:val="00A938ED"/>
    <w:rsid w:val="00A93C81"/>
    <w:rsid w:val="00A9406D"/>
    <w:rsid w:val="00A94B71"/>
    <w:rsid w:val="00A94BD2"/>
    <w:rsid w:val="00A94CF5"/>
    <w:rsid w:val="00A95A1A"/>
    <w:rsid w:val="00A963E9"/>
    <w:rsid w:val="00A96536"/>
    <w:rsid w:val="00A965DE"/>
    <w:rsid w:val="00A96BFF"/>
    <w:rsid w:val="00A97237"/>
    <w:rsid w:val="00A97841"/>
    <w:rsid w:val="00AA07FE"/>
    <w:rsid w:val="00AA0D43"/>
    <w:rsid w:val="00AA0ECB"/>
    <w:rsid w:val="00AA1BA3"/>
    <w:rsid w:val="00AA1E8C"/>
    <w:rsid w:val="00AA2FF1"/>
    <w:rsid w:val="00AA303E"/>
    <w:rsid w:val="00AA35C2"/>
    <w:rsid w:val="00AA37CD"/>
    <w:rsid w:val="00AA389B"/>
    <w:rsid w:val="00AA3A4C"/>
    <w:rsid w:val="00AA3A65"/>
    <w:rsid w:val="00AA3BC0"/>
    <w:rsid w:val="00AA4027"/>
    <w:rsid w:val="00AA41B1"/>
    <w:rsid w:val="00AA4785"/>
    <w:rsid w:val="00AA48BA"/>
    <w:rsid w:val="00AA53E7"/>
    <w:rsid w:val="00AA5402"/>
    <w:rsid w:val="00AA5570"/>
    <w:rsid w:val="00AA5E1D"/>
    <w:rsid w:val="00AA5EE9"/>
    <w:rsid w:val="00AA5F1D"/>
    <w:rsid w:val="00AA617B"/>
    <w:rsid w:val="00AA693C"/>
    <w:rsid w:val="00AA6E6E"/>
    <w:rsid w:val="00AA78E0"/>
    <w:rsid w:val="00AA78E8"/>
    <w:rsid w:val="00AB05B6"/>
    <w:rsid w:val="00AB05D1"/>
    <w:rsid w:val="00AB0E4D"/>
    <w:rsid w:val="00AB0FA8"/>
    <w:rsid w:val="00AB1023"/>
    <w:rsid w:val="00AB178F"/>
    <w:rsid w:val="00AB18A6"/>
    <w:rsid w:val="00AB19A6"/>
    <w:rsid w:val="00AB1AEF"/>
    <w:rsid w:val="00AB1F77"/>
    <w:rsid w:val="00AB1FD7"/>
    <w:rsid w:val="00AB2285"/>
    <w:rsid w:val="00AB22EC"/>
    <w:rsid w:val="00AB2527"/>
    <w:rsid w:val="00AB258F"/>
    <w:rsid w:val="00AB3040"/>
    <w:rsid w:val="00AB391C"/>
    <w:rsid w:val="00AB3CD7"/>
    <w:rsid w:val="00AB41D3"/>
    <w:rsid w:val="00AB4236"/>
    <w:rsid w:val="00AB5060"/>
    <w:rsid w:val="00AB5775"/>
    <w:rsid w:val="00AB5BF2"/>
    <w:rsid w:val="00AB6BC9"/>
    <w:rsid w:val="00AB6C20"/>
    <w:rsid w:val="00AB74F0"/>
    <w:rsid w:val="00AB7CCB"/>
    <w:rsid w:val="00AC026B"/>
    <w:rsid w:val="00AC0B0E"/>
    <w:rsid w:val="00AC0B55"/>
    <w:rsid w:val="00AC16BD"/>
    <w:rsid w:val="00AC1B70"/>
    <w:rsid w:val="00AC1DA2"/>
    <w:rsid w:val="00AC22C5"/>
    <w:rsid w:val="00AC28B6"/>
    <w:rsid w:val="00AC2CE5"/>
    <w:rsid w:val="00AC40EA"/>
    <w:rsid w:val="00AC4E41"/>
    <w:rsid w:val="00AC5F08"/>
    <w:rsid w:val="00AC5FA6"/>
    <w:rsid w:val="00AC60CE"/>
    <w:rsid w:val="00AC64A6"/>
    <w:rsid w:val="00AC6902"/>
    <w:rsid w:val="00AC6D5C"/>
    <w:rsid w:val="00AC6E97"/>
    <w:rsid w:val="00AC7BE7"/>
    <w:rsid w:val="00AC7D57"/>
    <w:rsid w:val="00AC7D85"/>
    <w:rsid w:val="00AC7DB1"/>
    <w:rsid w:val="00AD074A"/>
    <w:rsid w:val="00AD0C32"/>
    <w:rsid w:val="00AD10F2"/>
    <w:rsid w:val="00AD1810"/>
    <w:rsid w:val="00AD19CA"/>
    <w:rsid w:val="00AD1B12"/>
    <w:rsid w:val="00AD28D3"/>
    <w:rsid w:val="00AD2EF1"/>
    <w:rsid w:val="00AD2F48"/>
    <w:rsid w:val="00AD321D"/>
    <w:rsid w:val="00AD32D2"/>
    <w:rsid w:val="00AD34A2"/>
    <w:rsid w:val="00AD3858"/>
    <w:rsid w:val="00AD3B36"/>
    <w:rsid w:val="00AD3E3A"/>
    <w:rsid w:val="00AD467A"/>
    <w:rsid w:val="00AD49E2"/>
    <w:rsid w:val="00AD54A4"/>
    <w:rsid w:val="00AD55BA"/>
    <w:rsid w:val="00AD5780"/>
    <w:rsid w:val="00AD5AE2"/>
    <w:rsid w:val="00AD6B21"/>
    <w:rsid w:val="00AD720F"/>
    <w:rsid w:val="00AD76F0"/>
    <w:rsid w:val="00AD7C90"/>
    <w:rsid w:val="00AE0330"/>
    <w:rsid w:val="00AE065E"/>
    <w:rsid w:val="00AE067E"/>
    <w:rsid w:val="00AE0E6D"/>
    <w:rsid w:val="00AE1012"/>
    <w:rsid w:val="00AE1C38"/>
    <w:rsid w:val="00AE20EE"/>
    <w:rsid w:val="00AE2174"/>
    <w:rsid w:val="00AE27AB"/>
    <w:rsid w:val="00AE2B8B"/>
    <w:rsid w:val="00AE3034"/>
    <w:rsid w:val="00AE30E4"/>
    <w:rsid w:val="00AE3BA4"/>
    <w:rsid w:val="00AE3E35"/>
    <w:rsid w:val="00AE3F99"/>
    <w:rsid w:val="00AE4704"/>
    <w:rsid w:val="00AE48E7"/>
    <w:rsid w:val="00AE4B2E"/>
    <w:rsid w:val="00AE543F"/>
    <w:rsid w:val="00AE5869"/>
    <w:rsid w:val="00AE5B04"/>
    <w:rsid w:val="00AE7C91"/>
    <w:rsid w:val="00AF05F1"/>
    <w:rsid w:val="00AF06A8"/>
    <w:rsid w:val="00AF0714"/>
    <w:rsid w:val="00AF0D3D"/>
    <w:rsid w:val="00AF0D50"/>
    <w:rsid w:val="00AF0E36"/>
    <w:rsid w:val="00AF1518"/>
    <w:rsid w:val="00AF1CF0"/>
    <w:rsid w:val="00AF2311"/>
    <w:rsid w:val="00AF2329"/>
    <w:rsid w:val="00AF264C"/>
    <w:rsid w:val="00AF2D12"/>
    <w:rsid w:val="00AF2ECC"/>
    <w:rsid w:val="00AF31B1"/>
    <w:rsid w:val="00AF3282"/>
    <w:rsid w:val="00AF347D"/>
    <w:rsid w:val="00AF3831"/>
    <w:rsid w:val="00AF4253"/>
    <w:rsid w:val="00AF4B7E"/>
    <w:rsid w:val="00AF538B"/>
    <w:rsid w:val="00AF54F8"/>
    <w:rsid w:val="00AF58DB"/>
    <w:rsid w:val="00AF6119"/>
    <w:rsid w:val="00AF66C5"/>
    <w:rsid w:val="00AF696C"/>
    <w:rsid w:val="00AF6BE9"/>
    <w:rsid w:val="00AF6ECF"/>
    <w:rsid w:val="00AF7185"/>
    <w:rsid w:val="00AF74E1"/>
    <w:rsid w:val="00AF7531"/>
    <w:rsid w:val="00AF7903"/>
    <w:rsid w:val="00B000C2"/>
    <w:rsid w:val="00B00645"/>
    <w:rsid w:val="00B00A6D"/>
    <w:rsid w:val="00B00B36"/>
    <w:rsid w:val="00B00FC8"/>
    <w:rsid w:val="00B01158"/>
    <w:rsid w:val="00B0124B"/>
    <w:rsid w:val="00B01396"/>
    <w:rsid w:val="00B01F43"/>
    <w:rsid w:val="00B0259C"/>
    <w:rsid w:val="00B025E2"/>
    <w:rsid w:val="00B0295D"/>
    <w:rsid w:val="00B02A1C"/>
    <w:rsid w:val="00B02A74"/>
    <w:rsid w:val="00B02DB9"/>
    <w:rsid w:val="00B0312A"/>
    <w:rsid w:val="00B03513"/>
    <w:rsid w:val="00B038B4"/>
    <w:rsid w:val="00B03F5A"/>
    <w:rsid w:val="00B03FB0"/>
    <w:rsid w:val="00B057C7"/>
    <w:rsid w:val="00B05C20"/>
    <w:rsid w:val="00B06584"/>
    <w:rsid w:val="00B06777"/>
    <w:rsid w:val="00B068BC"/>
    <w:rsid w:val="00B06BCE"/>
    <w:rsid w:val="00B06ED2"/>
    <w:rsid w:val="00B074D0"/>
    <w:rsid w:val="00B07AE8"/>
    <w:rsid w:val="00B07C21"/>
    <w:rsid w:val="00B07EE8"/>
    <w:rsid w:val="00B10343"/>
    <w:rsid w:val="00B10421"/>
    <w:rsid w:val="00B105EB"/>
    <w:rsid w:val="00B106D8"/>
    <w:rsid w:val="00B108D0"/>
    <w:rsid w:val="00B10CE0"/>
    <w:rsid w:val="00B11383"/>
    <w:rsid w:val="00B1196C"/>
    <w:rsid w:val="00B11C79"/>
    <w:rsid w:val="00B11F2D"/>
    <w:rsid w:val="00B125A0"/>
    <w:rsid w:val="00B130D3"/>
    <w:rsid w:val="00B13354"/>
    <w:rsid w:val="00B13A3F"/>
    <w:rsid w:val="00B13A8B"/>
    <w:rsid w:val="00B144A9"/>
    <w:rsid w:val="00B144B7"/>
    <w:rsid w:val="00B145CB"/>
    <w:rsid w:val="00B14A3B"/>
    <w:rsid w:val="00B14D2E"/>
    <w:rsid w:val="00B14DF2"/>
    <w:rsid w:val="00B150F8"/>
    <w:rsid w:val="00B151D9"/>
    <w:rsid w:val="00B15E85"/>
    <w:rsid w:val="00B161E0"/>
    <w:rsid w:val="00B16BC6"/>
    <w:rsid w:val="00B179B8"/>
    <w:rsid w:val="00B17C2D"/>
    <w:rsid w:val="00B17D63"/>
    <w:rsid w:val="00B20531"/>
    <w:rsid w:val="00B20EFF"/>
    <w:rsid w:val="00B21101"/>
    <w:rsid w:val="00B21AE8"/>
    <w:rsid w:val="00B21B56"/>
    <w:rsid w:val="00B21F53"/>
    <w:rsid w:val="00B22088"/>
    <w:rsid w:val="00B22227"/>
    <w:rsid w:val="00B22D41"/>
    <w:rsid w:val="00B22F2A"/>
    <w:rsid w:val="00B2318F"/>
    <w:rsid w:val="00B2436E"/>
    <w:rsid w:val="00B24655"/>
    <w:rsid w:val="00B24E44"/>
    <w:rsid w:val="00B251B2"/>
    <w:rsid w:val="00B2579A"/>
    <w:rsid w:val="00B26041"/>
    <w:rsid w:val="00B2624C"/>
    <w:rsid w:val="00B2677A"/>
    <w:rsid w:val="00B26985"/>
    <w:rsid w:val="00B26C5F"/>
    <w:rsid w:val="00B26FB1"/>
    <w:rsid w:val="00B277BF"/>
    <w:rsid w:val="00B27EC2"/>
    <w:rsid w:val="00B30094"/>
    <w:rsid w:val="00B30533"/>
    <w:rsid w:val="00B30840"/>
    <w:rsid w:val="00B30EA8"/>
    <w:rsid w:val="00B30ECD"/>
    <w:rsid w:val="00B3131E"/>
    <w:rsid w:val="00B31764"/>
    <w:rsid w:val="00B31B98"/>
    <w:rsid w:val="00B31DEA"/>
    <w:rsid w:val="00B31E69"/>
    <w:rsid w:val="00B31F55"/>
    <w:rsid w:val="00B31FA5"/>
    <w:rsid w:val="00B3203F"/>
    <w:rsid w:val="00B3244F"/>
    <w:rsid w:val="00B329BE"/>
    <w:rsid w:val="00B32FE5"/>
    <w:rsid w:val="00B331A5"/>
    <w:rsid w:val="00B33957"/>
    <w:rsid w:val="00B33A41"/>
    <w:rsid w:val="00B3406B"/>
    <w:rsid w:val="00B34606"/>
    <w:rsid w:val="00B347C3"/>
    <w:rsid w:val="00B34FCD"/>
    <w:rsid w:val="00B35BD8"/>
    <w:rsid w:val="00B3621F"/>
    <w:rsid w:val="00B36230"/>
    <w:rsid w:val="00B3662C"/>
    <w:rsid w:val="00B3670C"/>
    <w:rsid w:val="00B36939"/>
    <w:rsid w:val="00B36A15"/>
    <w:rsid w:val="00B36AA2"/>
    <w:rsid w:val="00B36EC7"/>
    <w:rsid w:val="00B370F7"/>
    <w:rsid w:val="00B37541"/>
    <w:rsid w:val="00B37A27"/>
    <w:rsid w:val="00B37EB4"/>
    <w:rsid w:val="00B40405"/>
    <w:rsid w:val="00B40516"/>
    <w:rsid w:val="00B40560"/>
    <w:rsid w:val="00B40565"/>
    <w:rsid w:val="00B405E7"/>
    <w:rsid w:val="00B41EFC"/>
    <w:rsid w:val="00B4249C"/>
    <w:rsid w:val="00B4265D"/>
    <w:rsid w:val="00B42FDB"/>
    <w:rsid w:val="00B432D5"/>
    <w:rsid w:val="00B43736"/>
    <w:rsid w:val="00B43B32"/>
    <w:rsid w:val="00B4443B"/>
    <w:rsid w:val="00B4457D"/>
    <w:rsid w:val="00B447ED"/>
    <w:rsid w:val="00B44AB8"/>
    <w:rsid w:val="00B44BBB"/>
    <w:rsid w:val="00B4532D"/>
    <w:rsid w:val="00B466E4"/>
    <w:rsid w:val="00B46D11"/>
    <w:rsid w:val="00B46D4B"/>
    <w:rsid w:val="00B47372"/>
    <w:rsid w:val="00B4794F"/>
    <w:rsid w:val="00B50042"/>
    <w:rsid w:val="00B504AB"/>
    <w:rsid w:val="00B5083C"/>
    <w:rsid w:val="00B50871"/>
    <w:rsid w:val="00B50A7E"/>
    <w:rsid w:val="00B51402"/>
    <w:rsid w:val="00B5186F"/>
    <w:rsid w:val="00B51D90"/>
    <w:rsid w:val="00B51EC0"/>
    <w:rsid w:val="00B521AF"/>
    <w:rsid w:val="00B52215"/>
    <w:rsid w:val="00B522B5"/>
    <w:rsid w:val="00B52547"/>
    <w:rsid w:val="00B52B91"/>
    <w:rsid w:val="00B533C8"/>
    <w:rsid w:val="00B537B4"/>
    <w:rsid w:val="00B539AD"/>
    <w:rsid w:val="00B54517"/>
    <w:rsid w:val="00B54599"/>
    <w:rsid w:val="00B54D41"/>
    <w:rsid w:val="00B54EA3"/>
    <w:rsid w:val="00B54F4D"/>
    <w:rsid w:val="00B5538A"/>
    <w:rsid w:val="00B557C8"/>
    <w:rsid w:val="00B560BA"/>
    <w:rsid w:val="00B567D6"/>
    <w:rsid w:val="00B56BA6"/>
    <w:rsid w:val="00B56D7F"/>
    <w:rsid w:val="00B57D08"/>
    <w:rsid w:val="00B60038"/>
    <w:rsid w:val="00B600BC"/>
    <w:rsid w:val="00B6053D"/>
    <w:rsid w:val="00B60F60"/>
    <w:rsid w:val="00B612FB"/>
    <w:rsid w:val="00B613EA"/>
    <w:rsid w:val="00B61CFC"/>
    <w:rsid w:val="00B6243C"/>
    <w:rsid w:val="00B6250E"/>
    <w:rsid w:val="00B626CA"/>
    <w:rsid w:val="00B627E3"/>
    <w:rsid w:val="00B627FE"/>
    <w:rsid w:val="00B62A93"/>
    <w:rsid w:val="00B636DC"/>
    <w:rsid w:val="00B6391A"/>
    <w:rsid w:val="00B63ABA"/>
    <w:rsid w:val="00B63B20"/>
    <w:rsid w:val="00B63D5A"/>
    <w:rsid w:val="00B64128"/>
    <w:rsid w:val="00B6479D"/>
    <w:rsid w:val="00B652E9"/>
    <w:rsid w:val="00B65302"/>
    <w:rsid w:val="00B658CE"/>
    <w:rsid w:val="00B66215"/>
    <w:rsid w:val="00B6625B"/>
    <w:rsid w:val="00B66530"/>
    <w:rsid w:val="00B66616"/>
    <w:rsid w:val="00B66905"/>
    <w:rsid w:val="00B672FF"/>
    <w:rsid w:val="00B67A62"/>
    <w:rsid w:val="00B707A2"/>
    <w:rsid w:val="00B708FE"/>
    <w:rsid w:val="00B70909"/>
    <w:rsid w:val="00B7095B"/>
    <w:rsid w:val="00B71C1B"/>
    <w:rsid w:val="00B71D69"/>
    <w:rsid w:val="00B7232A"/>
    <w:rsid w:val="00B7310B"/>
    <w:rsid w:val="00B737B4"/>
    <w:rsid w:val="00B73BA1"/>
    <w:rsid w:val="00B73E26"/>
    <w:rsid w:val="00B73FFB"/>
    <w:rsid w:val="00B74156"/>
    <w:rsid w:val="00B74459"/>
    <w:rsid w:val="00B75984"/>
    <w:rsid w:val="00B75A19"/>
    <w:rsid w:val="00B75AB5"/>
    <w:rsid w:val="00B75C67"/>
    <w:rsid w:val="00B76190"/>
    <w:rsid w:val="00B76B06"/>
    <w:rsid w:val="00B76F00"/>
    <w:rsid w:val="00B76F49"/>
    <w:rsid w:val="00B778A3"/>
    <w:rsid w:val="00B779EA"/>
    <w:rsid w:val="00B80162"/>
    <w:rsid w:val="00B80477"/>
    <w:rsid w:val="00B80483"/>
    <w:rsid w:val="00B80640"/>
    <w:rsid w:val="00B80F06"/>
    <w:rsid w:val="00B81162"/>
    <w:rsid w:val="00B81536"/>
    <w:rsid w:val="00B817D8"/>
    <w:rsid w:val="00B81E44"/>
    <w:rsid w:val="00B8211B"/>
    <w:rsid w:val="00B8229A"/>
    <w:rsid w:val="00B823BF"/>
    <w:rsid w:val="00B8244E"/>
    <w:rsid w:val="00B8258E"/>
    <w:rsid w:val="00B833F8"/>
    <w:rsid w:val="00B83D8B"/>
    <w:rsid w:val="00B83ED5"/>
    <w:rsid w:val="00B84443"/>
    <w:rsid w:val="00B8452A"/>
    <w:rsid w:val="00B847EE"/>
    <w:rsid w:val="00B84FA0"/>
    <w:rsid w:val="00B85E8A"/>
    <w:rsid w:val="00B86096"/>
    <w:rsid w:val="00B86921"/>
    <w:rsid w:val="00B86980"/>
    <w:rsid w:val="00B87978"/>
    <w:rsid w:val="00B87C50"/>
    <w:rsid w:val="00B87D7A"/>
    <w:rsid w:val="00B87F1C"/>
    <w:rsid w:val="00B90187"/>
    <w:rsid w:val="00B90244"/>
    <w:rsid w:val="00B90354"/>
    <w:rsid w:val="00B90C10"/>
    <w:rsid w:val="00B90D61"/>
    <w:rsid w:val="00B9149F"/>
    <w:rsid w:val="00B9186B"/>
    <w:rsid w:val="00B9188D"/>
    <w:rsid w:val="00B91AE2"/>
    <w:rsid w:val="00B91E77"/>
    <w:rsid w:val="00B9208E"/>
    <w:rsid w:val="00B920AD"/>
    <w:rsid w:val="00B92480"/>
    <w:rsid w:val="00B92559"/>
    <w:rsid w:val="00B92601"/>
    <w:rsid w:val="00B92943"/>
    <w:rsid w:val="00B92BC9"/>
    <w:rsid w:val="00B93390"/>
    <w:rsid w:val="00B93442"/>
    <w:rsid w:val="00B9349C"/>
    <w:rsid w:val="00B93667"/>
    <w:rsid w:val="00B93C70"/>
    <w:rsid w:val="00B949A0"/>
    <w:rsid w:val="00B94C66"/>
    <w:rsid w:val="00B95D64"/>
    <w:rsid w:val="00B963F2"/>
    <w:rsid w:val="00B9642E"/>
    <w:rsid w:val="00B96892"/>
    <w:rsid w:val="00B96C08"/>
    <w:rsid w:val="00B96DF8"/>
    <w:rsid w:val="00B97330"/>
    <w:rsid w:val="00B9743F"/>
    <w:rsid w:val="00B97C9F"/>
    <w:rsid w:val="00B97CFC"/>
    <w:rsid w:val="00BA02AB"/>
    <w:rsid w:val="00BA0976"/>
    <w:rsid w:val="00BA0E3D"/>
    <w:rsid w:val="00BA0F4B"/>
    <w:rsid w:val="00BA11E6"/>
    <w:rsid w:val="00BA154F"/>
    <w:rsid w:val="00BA1982"/>
    <w:rsid w:val="00BA19D4"/>
    <w:rsid w:val="00BA1A01"/>
    <w:rsid w:val="00BA1D15"/>
    <w:rsid w:val="00BA2244"/>
    <w:rsid w:val="00BA2327"/>
    <w:rsid w:val="00BA2424"/>
    <w:rsid w:val="00BA26DA"/>
    <w:rsid w:val="00BA283F"/>
    <w:rsid w:val="00BA31B0"/>
    <w:rsid w:val="00BA47BE"/>
    <w:rsid w:val="00BA4E9A"/>
    <w:rsid w:val="00BA56AD"/>
    <w:rsid w:val="00BA5EA9"/>
    <w:rsid w:val="00BA5F27"/>
    <w:rsid w:val="00BA604A"/>
    <w:rsid w:val="00BA6398"/>
    <w:rsid w:val="00BA67FB"/>
    <w:rsid w:val="00BA75F1"/>
    <w:rsid w:val="00BA7738"/>
    <w:rsid w:val="00BA7BCE"/>
    <w:rsid w:val="00BA7C83"/>
    <w:rsid w:val="00BA7F5F"/>
    <w:rsid w:val="00BB01E2"/>
    <w:rsid w:val="00BB0371"/>
    <w:rsid w:val="00BB0762"/>
    <w:rsid w:val="00BB09F2"/>
    <w:rsid w:val="00BB0ACA"/>
    <w:rsid w:val="00BB121A"/>
    <w:rsid w:val="00BB1598"/>
    <w:rsid w:val="00BB16E1"/>
    <w:rsid w:val="00BB2934"/>
    <w:rsid w:val="00BB2A4D"/>
    <w:rsid w:val="00BB2B7B"/>
    <w:rsid w:val="00BB3401"/>
    <w:rsid w:val="00BB3D63"/>
    <w:rsid w:val="00BB3E7A"/>
    <w:rsid w:val="00BB42EE"/>
    <w:rsid w:val="00BB439B"/>
    <w:rsid w:val="00BB4814"/>
    <w:rsid w:val="00BB515E"/>
    <w:rsid w:val="00BB5433"/>
    <w:rsid w:val="00BB5E3C"/>
    <w:rsid w:val="00BB602C"/>
    <w:rsid w:val="00BB627B"/>
    <w:rsid w:val="00BB634D"/>
    <w:rsid w:val="00BB64EB"/>
    <w:rsid w:val="00BB6845"/>
    <w:rsid w:val="00BB6DAC"/>
    <w:rsid w:val="00BB6E33"/>
    <w:rsid w:val="00BB6EB7"/>
    <w:rsid w:val="00BB7580"/>
    <w:rsid w:val="00BB76B8"/>
    <w:rsid w:val="00BC0099"/>
    <w:rsid w:val="00BC02FF"/>
    <w:rsid w:val="00BC0328"/>
    <w:rsid w:val="00BC04AB"/>
    <w:rsid w:val="00BC0D66"/>
    <w:rsid w:val="00BC1313"/>
    <w:rsid w:val="00BC1400"/>
    <w:rsid w:val="00BC1885"/>
    <w:rsid w:val="00BC2395"/>
    <w:rsid w:val="00BC2B45"/>
    <w:rsid w:val="00BC2C82"/>
    <w:rsid w:val="00BC31FC"/>
    <w:rsid w:val="00BC3C44"/>
    <w:rsid w:val="00BC3C4A"/>
    <w:rsid w:val="00BC44EF"/>
    <w:rsid w:val="00BC4538"/>
    <w:rsid w:val="00BC4845"/>
    <w:rsid w:val="00BC4AEA"/>
    <w:rsid w:val="00BC4C3B"/>
    <w:rsid w:val="00BC4E7C"/>
    <w:rsid w:val="00BC4ED2"/>
    <w:rsid w:val="00BC5E10"/>
    <w:rsid w:val="00BC62BE"/>
    <w:rsid w:val="00BC68D7"/>
    <w:rsid w:val="00BC78BC"/>
    <w:rsid w:val="00BD0668"/>
    <w:rsid w:val="00BD07B9"/>
    <w:rsid w:val="00BD091D"/>
    <w:rsid w:val="00BD0ADA"/>
    <w:rsid w:val="00BD158B"/>
    <w:rsid w:val="00BD17FB"/>
    <w:rsid w:val="00BD234B"/>
    <w:rsid w:val="00BD285E"/>
    <w:rsid w:val="00BD29B8"/>
    <w:rsid w:val="00BD2F1A"/>
    <w:rsid w:val="00BD2F40"/>
    <w:rsid w:val="00BD3560"/>
    <w:rsid w:val="00BD3669"/>
    <w:rsid w:val="00BD388D"/>
    <w:rsid w:val="00BD3A40"/>
    <w:rsid w:val="00BD3F5C"/>
    <w:rsid w:val="00BD4440"/>
    <w:rsid w:val="00BD4851"/>
    <w:rsid w:val="00BD5808"/>
    <w:rsid w:val="00BD60F9"/>
    <w:rsid w:val="00BD62EF"/>
    <w:rsid w:val="00BD655B"/>
    <w:rsid w:val="00BD6C58"/>
    <w:rsid w:val="00BD6C61"/>
    <w:rsid w:val="00BD6E30"/>
    <w:rsid w:val="00BD7080"/>
    <w:rsid w:val="00BD7094"/>
    <w:rsid w:val="00BD7557"/>
    <w:rsid w:val="00BD76FB"/>
    <w:rsid w:val="00BD7D82"/>
    <w:rsid w:val="00BE0897"/>
    <w:rsid w:val="00BE0980"/>
    <w:rsid w:val="00BE0AD0"/>
    <w:rsid w:val="00BE0C10"/>
    <w:rsid w:val="00BE0F3D"/>
    <w:rsid w:val="00BE1075"/>
    <w:rsid w:val="00BE1E54"/>
    <w:rsid w:val="00BE2040"/>
    <w:rsid w:val="00BE26F2"/>
    <w:rsid w:val="00BE2A39"/>
    <w:rsid w:val="00BE2BAD"/>
    <w:rsid w:val="00BE2E58"/>
    <w:rsid w:val="00BE385B"/>
    <w:rsid w:val="00BE39CF"/>
    <w:rsid w:val="00BE3C5D"/>
    <w:rsid w:val="00BE42DF"/>
    <w:rsid w:val="00BE45CB"/>
    <w:rsid w:val="00BE47F4"/>
    <w:rsid w:val="00BE505A"/>
    <w:rsid w:val="00BE54AC"/>
    <w:rsid w:val="00BE54F9"/>
    <w:rsid w:val="00BE568F"/>
    <w:rsid w:val="00BE636D"/>
    <w:rsid w:val="00BE697D"/>
    <w:rsid w:val="00BE6C39"/>
    <w:rsid w:val="00BE70A9"/>
    <w:rsid w:val="00BE75F3"/>
    <w:rsid w:val="00BE7F3C"/>
    <w:rsid w:val="00BF0D9C"/>
    <w:rsid w:val="00BF0EBA"/>
    <w:rsid w:val="00BF17B5"/>
    <w:rsid w:val="00BF1802"/>
    <w:rsid w:val="00BF2458"/>
    <w:rsid w:val="00BF2651"/>
    <w:rsid w:val="00BF2CD2"/>
    <w:rsid w:val="00BF31B3"/>
    <w:rsid w:val="00BF3430"/>
    <w:rsid w:val="00BF386F"/>
    <w:rsid w:val="00BF43B9"/>
    <w:rsid w:val="00BF4EAE"/>
    <w:rsid w:val="00BF50E2"/>
    <w:rsid w:val="00BF57EA"/>
    <w:rsid w:val="00BF5920"/>
    <w:rsid w:val="00BF5EBF"/>
    <w:rsid w:val="00BF67E1"/>
    <w:rsid w:val="00BF6B9C"/>
    <w:rsid w:val="00BF70CD"/>
    <w:rsid w:val="00BF7BAB"/>
    <w:rsid w:val="00BF7DCA"/>
    <w:rsid w:val="00C000E4"/>
    <w:rsid w:val="00C001A0"/>
    <w:rsid w:val="00C001FC"/>
    <w:rsid w:val="00C00BC4"/>
    <w:rsid w:val="00C00BEB"/>
    <w:rsid w:val="00C00F7A"/>
    <w:rsid w:val="00C0101C"/>
    <w:rsid w:val="00C01666"/>
    <w:rsid w:val="00C01D01"/>
    <w:rsid w:val="00C02197"/>
    <w:rsid w:val="00C02A60"/>
    <w:rsid w:val="00C031A8"/>
    <w:rsid w:val="00C034BD"/>
    <w:rsid w:val="00C038DB"/>
    <w:rsid w:val="00C0394E"/>
    <w:rsid w:val="00C03D79"/>
    <w:rsid w:val="00C046DF"/>
    <w:rsid w:val="00C047D2"/>
    <w:rsid w:val="00C04975"/>
    <w:rsid w:val="00C05336"/>
    <w:rsid w:val="00C055AC"/>
    <w:rsid w:val="00C05C39"/>
    <w:rsid w:val="00C05D1A"/>
    <w:rsid w:val="00C05DFC"/>
    <w:rsid w:val="00C064F6"/>
    <w:rsid w:val="00C0694A"/>
    <w:rsid w:val="00C0791F"/>
    <w:rsid w:val="00C105CB"/>
    <w:rsid w:val="00C10B5C"/>
    <w:rsid w:val="00C10ED3"/>
    <w:rsid w:val="00C10FCA"/>
    <w:rsid w:val="00C114A1"/>
    <w:rsid w:val="00C118E4"/>
    <w:rsid w:val="00C11928"/>
    <w:rsid w:val="00C11E7B"/>
    <w:rsid w:val="00C121AF"/>
    <w:rsid w:val="00C12D98"/>
    <w:rsid w:val="00C12D99"/>
    <w:rsid w:val="00C139DC"/>
    <w:rsid w:val="00C14032"/>
    <w:rsid w:val="00C14451"/>
    <w:rsid w:val="00C1463A"/>
    <w:rsid w:val="00C14C98"/>
    <w:rsid w:val="00C15BAC"/>
    <w:rsid w:val="00C15CF2"/>
    <w:rsid w:val="00C162C1"/>
    <w:rsid w:val="00C16398"/>
    <w:rsid w:val="00C16CDD"/>
    <w:rsid w:val="00C16E9F"/>
    <w:rsid w:val="00C2005E"/>
    <w:rsid w:val="00C204C7"/>
    <w:rsid w:val="00C210F7"/>
    <w:rsid w:val="00C21237"/>
    <w:rsid w:val="00C21280"/>
    <w:rsid w:val="00C21461"/>
    <w:rsid w:val="00C22814"/>
    <w:rsid w:val="00C22B24"/>
    <w:rsid w:val="00C23243"/>
    <w:rsid w:val="00C234D7"/>
    <w:rsid w:val="00C23742"/>
    <w:rsid w:val="00C23E46"/>
    <w:rsid w:val="00C247E5"/>
    <w:rsid w:val="00C24A42"/>
    <w:rsid w:val="00C24B97"/>
    <w:rsid w:val="00C24C5E"/>
    <w:rsid w:val="00C250CF"/>
    <w:rsid w:val="00C25426"/>
    <w:rsid w:val="00C25607"/>
    <w:rsid w:val="00C2596F"/>
    <w:rsid w:val="00C25EB5"/>
    <w:rsid w:val="00C25EC8"/>
    <w:rsid w:val="00C264EF"/>
    <w:rsid w:val="00C27201"/>
    <w:rsid w:val="00C276E8"/>
    <w:rsid w:val="00C27B93"/>
    <w:rsid w:val="00C27FEC"/>
    <w:rsid w:val="00C3055A"/>
    <w:rsid w:val="00C30ED3"/>
    <w:rsid w:val="00C317EB"/>
    <w:rsid w:val="00C3187B"/>
    <w:rsid w:val="00C31B34"/>
    <w:rsid w:val="00C31E56"/>
    <w:rsid w:val="00C321E6"/>
    <w:rsid w:val="00C32544"/>
    <w:rsid w:val="00C325BA"/>
    <w:rsid w:val="00C325E5"/>
    <w:rsid w:val="00C32AF0"/>
    <w:rsid w:val="00C32B4B"/>
    <w:rsid w:val="00C32C3B"/>
    <w:rsid w:val="00C32F6A"/>
    <w:rsid w:val="00C33305"/>
    <w:rsid w:val="00C334D0"/>
    <w:rsid w:val="00C334D7"/>
    <w:rsid w:val="00C33558"/>
    <w:rsid w:val="00C33E1A"/>
    <w:rsid w:val="00C33EE8"/>
    <w:rsid w:val="00C3423F"/>
    <w:rsid w:val="00C349AC"/>
    <w:rsid w:val="00C34FFF"/>
    <w:rsid w:val="00C362A9"/>
    <w:rsid w:val="00C366D1"/>
    <w:rsid w:val="00C36C38"/>
    <w:rsid w:val="00C36C4B"/>
    <w:rsid w:val="00C36D44"/>
    <w:rsid w:val="00C371BB"/>
    <w:rsid w:val="00C376A9"/>
    <w:rsid w:val="00C37BA2"/>
    <w:rsid w:val="00C37EDF"/>
    <w:rsid w:val="00C404EE"/>
    <w:rsid w:val="00C40551"/>
    <w:rsid w:val="00C4056B"/>
    <w:rsid w:val="00C407AD"/>
    <w:rsid w:val="00C40CDB"/>
    <w:rsid w:val="00C4110B"/>
    <w:rsid w:val="00C4143D"/>
    <w:rsid w:val="00C414D0"/>
    <w:rsid w:val="00C41509"/>
    <w:rsid w:val="00C41CCA"/>
    <w:rsid w:val="00C4212F"/>
    <w:rsid w:val="00C42616"/>
    <w:rsid w:val="00C42969"/>
    <w:rsid w:val="00C429A1"/>
    <w:rsid w:val="00C429F8"/>
    <w:rsid w:val="00C42EF1"/>
    <w:rsid w:val="00C43944"/>
    <w:rsid w:val="00C44083"/>
    <w:rsid w:val="00C441D9"/>
    <w:rsid w:val="00C44352"/>
    <w:rsid w:val="00C44619"/>
    <w:rsid w:val="00C446FA"/>
    <w:rsid w:val="00C45448"/>
    <w:rsid w:val="00C45D96"/>
    <w:rsid w:val="00C463CA"/>
    <w:rsid w:val="00C46C40"/>
    <w:rsid w:val="00C46E1D"/>
    <w:rsid w:val="00C46F66"/>
    <w:rsid w:val="00C47063"/>
    <w:rsid w:val="00C47100"/>
    <w:rsid w:val="00C4719C"/>
    <w:rsid w:val="00C472E6"/>
    <w:rsid w:val="00C4747F"/>
    <w:rsid w:val="00C47C6A"/>
    <w:rsid w:val="00C50697"/>
    <w:rsid w:val="00C50750"/>
    <w:rsid w:val="00C50C7E"/>
    <w:rsid w:val="00C50DB0"/>
    <w:rsid w:val="00C50E00"/>
    <w:rsid w:val="00C50E67"/>
    <w:rsid w:val="00C50F63"/>
    <w:rsid w:val="00C51308"/>
    <w:rsid w:val="00C51C73"/>
    <w:rsid w:val="00C51D46"/>
    <w:rsid w:val="00C51F3D"/>
    <w:rsid w:val="00C5252A"/>
    <w:rsid w:val="00C525BA"/>
    <w:rsid w:val="00C52C91"/>
    <w:rsid w:val="00C53381"/>
    <w:rsid w:val="00C543F0"/>
    <w:rsid w:val="00C54DEA"/>
    <w:rsid w:val="00C550D8"/>
    <w:rsid w:val="00C55668"/>
    <w:rsid w:val="00C563C3"/>
    <w:rsid w:val="00C565F1"/>
    <w:rsid w:val="00C565FE"/>
    <w:rsid w:val="00C5668C"/>
    <w:rsid w:val="00C567FF"/>
    <w:rsid w:val="00C56B68"/>
    <w:rsid w:val="00C57C44"/>
    <w:rsid w:val="00C57F4D"/>
    <w:rsid w:val="00C6046A"/>
    <w:rsid w:val="00C615E8"/>
    <w:rsid w:val="00C61CA9"/>
    <w:rsid w:val="00C61E7A"/>
    <w:rsid w:val="00C62163"/>
    <w:rsid w:val="00C6218D"/>
    <w:rsid w:val="00C62232"/>
    <w:rsid w:val="00C62DCC"/>
    <w:rsid w:val="00C6364D"/>
    <w:rsid w:val="00C639A5"/>
    <w:rsid w:val="00C63D35"/>
    <w:rsid w:val="00C6434E"/>
    <w:rsid w:val="00C6465D"/>
    <w:rsid w:val="00C64873"/>
    <w:rsid w:val="00C64A71"/>
    <w:rsid w:val="00C64D84"/>
    <w:rsid w:val="00C64FA6"/>
    <w:rsid w:val="00C657FB"/>
    <w:rsid w:val="00C65F09"/>
    <w:rsid w:val="00C65FFB"/>
    <w:rsid w:val="00C6630F"/>
    <w:rsid w:val="00C66963"/>
    <w:rsid w:val="00C66A3D"/>
    <w:rsid w:val="00C66F30"/>
    <w:rsid w:val="00C671D9"/>
    <w:rsid w:val="00C67473"/>
    <w:rsid w:val="00C67566"/>
    <w:rsid w:val="00C67576"/>
    <w:rsid w:val="00C67620"/>
    <w:rsid w:val="00C67840"/>
    <w:rsid w:val="00C70271"/>
    <w:rsid w:val="00C70443"/>
    <w:rsid w:val="00C70C53"/>
    <w:rsid w:val="00C70F54"/>
    <w:rsid w:val="00C71172"/>
    <w:rsid w:val="00C714FF"/>
    <w:rsid w:val="00C7180E"/>
    <w:rsid w:val="00C7188E"/>
    <w:rsid w:val="00C719AB"/>
    <w:rsid w:val="00C71A6B"/>
    <w:rsid w:val="00C72079"/>
    <w:rsid w:val="00C7272C"/>
    <w:rsid w:val="00C7278A"/>
    <w:rsid w:val="00C73121"/>
    <w:rsid w:val="00C73403"/>
    <w:rsid w:val="00C7371A"/>
    <w:rsid w:val="00C73AF9"/>
    <w:rsid w:val="00C74776"/>
    <w:rsid w:val="00C75127"/>
    <w:rsid w:val="00C75179"/>
    <w:rsid w:val="00C753C5"/>
    <w:rsid w:val="00C759E3"/>
    <w:rsid w:val="00C75A4E"/>
    <w:rsid w:val="00C76381"/>
    <w:rsid w:val="00C7665D"/>
    <w:rsid w:val="00C76CE1"/>
    <w:rsid w:val="00C76EF9"/>
    <w:rsid w:val="00C770FC"/>
    <w:rsid w:val="00C774F0"/>
    <w:rsid w:val="00C778E8"/>
    <w:rsid w:val="00C800E1"/>
    <w:rsid w:val="00C80F15"/>
    <w:rsid w:val="00C81725"/>
    <w:rsid w:val="00C81916"/>
    <w:rsid w:val="00C823E1"/>
    <w:rsid w:val="00C8250C"/>
    <w:rsid w:val="00C829F9"/>
    <w:rsid w:val="00C82CE0"/>
    <w:rsid w:val="00C83ABF"/>
    <w:rsid w:val="00C83D98"/>
    <w:rsid w:val="00C84999"/>
    <w:rsid w:val="00C849CE"/>
    <w:rsid w:val="00C84B31"/>
    <w:rsid w:val="00C85936"/>
    <w:rsid w:val="00C85DDB"/>
    <w:rsid w:val="00C85F19"/>
    <w:rsid w:val="00C86BDF"/>
    <w:rsid w:val="00C86E49"/>
    <w:rsid w:val="00C86E4A"/>
    <w:rsid w:val="00C86F62"/>
    <w:rsid w:val="00C8782A"/>
    <w:rsid w:val="00C87BA1"/>
    <w:rsid w:val="00C90088"/>
    <w:rsid w:val="00C90AA7"/>
    <w:rsid w:val="00C91296"/>
    <w:rsid w:val="00C9246A"/>
    <w:rsid w:val="00C92932"/>
    <w:rsid w:val="00C92C15"/>
    <w:rsid w:val="00C92E6E"/>
    <w:rsid w:val="00C92E7E"/>
    <w:rsid w:val="00C9383C"/>
    <w:rsid w:val="00C9388D"/>
    <w:rsid w:val="00C93993"/>
    <w:rsid w:val="00C93AAE"/>
    <w:rsid w:val="00C94008"/>
    <w:rsid w:val="00C94AED"/>
    <w:rsid w:val="00C94B03"/>
    <w:rsid w:val="00C94D85"/>
    <w:rsid w:val="00C95B33"/>
    <w:rsid w:val="00C96BB6"/>
    <w:rsid w:val="00C96EC4"/>
    <w:rsid w:val="00C9722C"/>
    <w:rsid w:val="00C9776B"/>
    <w:rsid w:val="00C979BA"/>
    <w:rsid w:val="00C97C12"/>
    <w:rsid w:val="00C97DD4"/>
    <w:rsid w:val="00C97F3E"/>
    <w:rsid w:val="00CA0011"/>
    <w:rsid w:val="00CA09A3"/>
    <w:rsid w:val="00CA0F5C"/>
    <w:rsid w:val="00CA1ED2"/>
    <w:rsid w:val="00CA2019"/>
    <w:rsid w:val="00CA249B"/>
    <w:rsid w:val="00CA24EA"/>
    <w:rsid w:val="00CA25F7"/>
    <w:rsid w:val="00CA26D0"/>
    <w:rsid w:val="00CA29A4"/>
    <w:rsid w:val="00CA2F3A"/>
    <w:rsid w:val="00CA3396"/>
    <w:rsid w:val="00CA3477"/>
    <w:rsid w:val="00CA38EF"/>
    <w:rsid w:val="00CA3B21"/>
    <w:rsid w:val="00CA3B31"/>
    <w:rsid w:val="00CA3E83"/>
    <w:rsid w:val="00CA407F"/>
    <w:rsid w:val="00CA47A5"/>
    <w:rsid w:val="00CA4EB4"/>
    <w:rsid w:val="00CA551F"/>
    <w:rsid w:val="00CA552A"/>
    <w:rsid w:val="00CA6793"/>
    <w:rsid w:val="00CA6C8D"/>
    <w:rsid w:val="00CA6D9B"/>
    <w:rsid w:val="00CA710B"/>
    <w:rsid w:val="00CA74C6"/>
    <w:rsid w:val="00CA7787"/>
    <w:rsid w:val="00CA78C8"/>
    <w:rsid w:val="00CB0BAF"/>
    <w:rsid w:val="00CB14A1"/>
    <w:rsid w:val="00CB1515"/>
    <w:rsid w:val="00CB1B03"/>
    <w:rsid w:val="00CB2121"/>
    <w:rsid w:val="00CB234D"/>
    <w:rsid w:val="00CB27D0"/>
    <w:rsid w:val="00CB2AE9"/>
    <w:rsid w:val="00CB2DB5"/>
    <w:rsid w:val="00CB3057"/>
    <w:rsid w:val="00CB3435"/>
    <w:rsid w:val="00CB37C0"/>
    <w:rsid w:val="00CB3B4A"/>
    <w:rsid w:val="00CB3E6F"/>
    <w:rsid w:val="00CB43A6"/>
    <w:rsid w:val="00CB4AF1"/>
    <w:rsid w:val="00CB4D98"/>
    <w:rsid w:val="00CB50D3"/>
    <w:rsid w:val="00CB54DD"/>
    <w:rsid w:val="00CB57AA"/>
    <w:rsid w:val="00CB59A8"/>
    <w:rsid w:val="00CB5AB1"/>
    <w:rsid w:val="00CB5CAF"/>
    <w:rsid w:val="00CB6B6F"/>
    <w:rsid w:val="00CB6F8E"/>
    <w:rsid w:val="00CB721E"/>
    <w:rsid w:val="00CB743A"/>
    <w:rsid w:val="00CB75E8"/>
    <w:rsid w:val="00CB7F74"/>
    <w:rsid w:val="00CB7FD2"/>
    <w:rsid w:val="00CC02DA"/>
    <w:rsid w:val="00CC03BD"/>
    <w:rsid w:val="00CC08DD"/>
    <w:rsid w:val="00CC0D18"/>
    <w:rsid w:val="00CC0E05"/>
    <w:rsid w:val="00CC1172"/>
    <w:rsid w:val="00CC1973"/>
    <w:rsid w:val="00CC1DC2"/>
    <w:rsid w:val="00CC27BE"/>
    <w:rsid w:val="00CC29CB"/>
    <w:rsid w:val="00CC29FF"/>
    <w:rsid w:val="00CC2AE8"/>
    <w:rsid w:val="00CC3C4B"/>
    <w:rsid w:val="00CC3E38"/>
    <w:rsid w:val="00CC40C8"/>
    <w:rsid w:val="00CC4639"/>
    <w:rsid w:val="00CC4F27"/>
    <w:rsid w:val="00CC65C3"/>
    <w:rsid w:val="00CC68A9"/>
    <w:rsid w:val="00CC6AFD"/>
    <w:rsid w:val="00CC6B46"/>
    <w:rsid w:val="00CC7500"/>
    <w:rsid w:val="00CC7A53"/>
    <w:rsid w:val="00CC7C7D"/>
    <w:rsid w:val="00CD00A5"/>
    <w:rsid w:val="00CD0200"/>
    <w:rsid w:val="00CD19F1"/>
    <w:rsid w:val="00CD1AE6"/>
    <w:rsid w:val="00CD2175"/>
    <w:rsid w:val="00CD219F"/>
    <w:rsid w:val="00CD2536"/>
    <w:rsid w:val="00CD2566"/>
    <w:rsid w:val="00CD2799"/>
    <w:rsid w:val="00CD2D2D"/>
    <w:rsid w:val="00CD3310"/>
    <w:rsid w:val="00CD36BF"/>
    <w:rsid w:val="00CD38E0"/>
    <w:rsid w:val="00CD3917"/>
    <w:rsid w:val="00CD3B0C"/>
    <w:rsid w:val="00CD3B70"/>
    <w:rsid w:val="00CD4215"/>
    <w:rsid w:val="00CD4298"/>
    <w:rsid w:val="00CD42BD"/>
    <w:rsid w:val="00CD44B0"/>
    <w:rsid w:val="00CD45C6"/>
    <w:rsid w:val="00CD47FB"/>
    <w:rsid w:val="00CD4B09"/>
    <w:rsid w:val="00CD597E"/>
    <w:rsid w:val="00CD5A16"/>
    <w:rsid w:val="00CD5CE7"/>
    <w:rsid w:val="00CD65AC"/>
    <w:rsid w:val="00CD6665"/>
    <w:rsid w:val="00CD6781"/>
    <w:rsid w:val="00CD6DA3"/>
    <w:rsid w:val="00CD7505"/>
    <w:rsid w:val="00CD765B"/>
    <w:rsid w:val="00CD76EF"/>
    <w:rsid w:val="00CD77FB"/>
    <w:rsid w:val="00CE01AF"/>
    <w:rsid w:val="00CE06FA"/>
    <w:rsid w:val="00CE0B34"/>
    <w:rsid w:val="00CE0EEF"/>
    <w:rsid w:val="00CE147F"/>
    <w:rsid w:val="00CE16B0"/>
    <w:rsid w:val="00CE1DF8"/>
    <w:rsid w:val="00CE1F58"/>
    <w:rsid w:val="00CE201F"/>
    <w:rsid w:val="00CE26CC"/>
    <w:rsid w:val="00CE2E87"/>
    <w:rsid w:val="00CE3490"/>
    <w:rsid w:val="00CE359E"/>
    <w:rsid w:val="00CE361A"/>
    <w:rsid w:val="00CE3AB9"/>
    <w:rsid w:val="00CE3AC7"/>
    <w:rsid w:val="00CE3BA2"/>
    <w:rsid w:val="00CE420E"/>
    <w:rsid w:val="00CE4D20"/>
    <w:rsid w:val="00CE515C"/>
    <w:rsid w:val="00CE51E2"/>
    <w:rsid w:val="00CE5760"/>
    <w:rsid w:val="00CE5AB3"/>
    <w:rsid w:val="00CE5E78"/>
    <w:rsid w:val="00CE617E"/>
    <w:rsid w:val="00CE6192"/>
    <w:rsid w:val="00CE6384"/>
    <w:rsid w:val="00CE68D7"/>
    <w:rsid w:val="00CE69CA"/>
    <w:rsid w:val="00CE6F99"/>
    <w:rsid w:val="00CE73E5"/>
    <w:rsid w:val="00CE7943"/>
    <w:rsid w:val="00CE7CF3"/>
    <w:rsid w:val="00CE7DC4"/>
    <w:rsid w:val="00CE7E5D"/>
    <w:rsid w:val="00CF0319"/>
    <w:rsid w:val="00CF0BE5"/>
    <w:rsid w:val="00CF0DED"/>
    <w:rsid w:val="00CF0F7A"/>
    <w:rsid w:val="00CF13B6"/>
    <w:rsid w:val="00CF191B"/>
    <w:rsid w:val="00CF1BCF"/>
    <w:rsid w:val="00CF328C"/>
    <w:rsid w:val="00CF39CF"/>
    <w:rsid w:val="00CF3DBB"/>
    <w:rsid w:val="00CF3E6D"/>
    <w:rsid w:val="00CF428E"/>
    <w:rsid w:val="00CF4777"/>
    <w:rsid w:val="00CF4B83"/>
    <w:rsid w:val="00CF52ED"/>
    <w:rsid w:val="00CF552B"/>
    <w:rsid w:val="00CF5F0B"/>
    <w:rsid w:val="00CF724E"/>
    <w:rsid w:val="00CF73E8"/>
    <w:rsid w:val="00CF76EE"/>
    <w:rsid w:val="00CF7AC9"/>
    <w:rsid w:val="00D003B4"/>
    <w:rsid w:val="00D003F4"/>
    <w:rsid w:val="00D0064E"/>
    <w:rsid w:val="00D00AC6"/>
    <w:rsid w:val="00D00BD7"/>
    <w:rsid w:val="00D0115B"/>
    <w:rsid w:val="00D011FE"/>
    <w:rsid w:val="00D015E4"/>
    <w:rsid w:val="00D018AA"/>
    <w:rsid w:val="00D01E24"/>
    <w:rsid w:val="00D01F19"/>
    <w:rsid w:val="00D026E0"/>
    <w:rsid w:val="00D02BF0"/>
    <w:rsid w:val="00D03214"/>
    <w:rsid w:val="00D03828"/>
    <w:rsid w:val="00D04009"/>
    <w:rsid w:val="00D04166"/>
    <w:rsid w:val="00D041D6"/>
    <w:rsid w:val="00D04218"/>
    <w:rsid w:val="00D042C4"/>
    <w:rsid w:val="00D043B7"/>
    <w:rsid w:val="00D049BB"/>
    <w:rsid w:val="00D049E4"/>
    <w:rsid w:val="00D050CC"/>
    <w:rsid w:val="00D0576B"/>
    <w:rsid w:val="00D057A8"/>
    <w:rsid w:val="00D05AB7"/>
    <w:rsid w:val="00D05F15"/>
    <w:rsid w:val="00D06687"/>
    <w:rsid w:val="00D073D8"/>
    <w:rsid w:val="00D076D8"/>
    <w:rsid w:val="00D07D91"/>
    <w:rsid w:val="00D101FD"/>
    <w:rsid w:val="00D103DF"/>
    <w:rsid w:val="00D1093D"/>
    <w:rsid w:val="00D10A4A"/>
    <w:rsid w:val="00D1121B"/>
    <w:rsid w:val="00D11409"/>
    <w:rsid w:val="00D115F7"/>
    <w:rsid w:val="00D11A95"/>
    <w:rsid w:val="00D11CD4"/>
    <w:rsid w:val="00D11E39"/>
    <w:rsid w:val="00D11FB0"/>
    <w:rsid w:val="00D1332A"/>
    <w:rsid w:val="00D13470"/>
    <w:rsid w:val="00D13E21"/>
    <w:rsid w:val="00D141F7"/>
    <w:rsid w:val="00D142FE"/>
    <w:rsid w:val="00D14B13"/>
    <w:rsid w:val="00D14D3E"/>
    <w:rsid w:val="00D152FD"/>
    <w:rsid w:val="00D1574B"/>
    <w:rsid w:val="00D16196"/>
    <w:rsid w:val="00D16AA6"/>
    <w:rsid w:val="00D16F6A"/>
    <w:rsid w:val="00D1735D"/>
    <w:rsid w:val="00D174B6"/>
    <w:rsid w:val="00D17729"/>
    <w:rsid w:val="00D177EE"/>
    <w:rsid w:val="00D17B47"/>
    <w:rsid w:val="00D17E3E"/>
    <w:rsid w:val="00D17F33"/>
    <w:rsid w:val="00D20E6A"/>
    <w:rsid w:val="00D21BEC"/>
    <w:rsid w:val="00D222D3"/>
    <w:rsid w:val="00D2268B"/>
    <w:rsid w:val="00D23023"/>
    <w:rsid w:val="00D2317A"/>
    <w:rsid w:val="00D23378"/>
    <w:rsid w:val="00D234DF"/>
    <w:rsid w:val="00D242E3"/>
    <w:rsid w:val="00D24AD2"/>
    <w:rsid w:val="00D24C8B"/>
    <w:rsid w:val="00D2511A"/>
    <w:rsid w:val="00D25FEF"/>
    <w:rsid w:val="00D26520"/>
    <w:rsid w:val="00D26771"/>
    <w:rsid w:val="00D26BAB"/>
    <w:rsid w:val="00D27369"/>
    <w:rsid w:val="00D27BD5"/>
    <w:rsid w:val="00D27C81"/>
    <w:rsid w:val="00D302F2"/>
    <w:rsid w:val="00D3143A"/>
    <w:rsid w:val="00D316F3"/>
    <w:rsid w:val="00D31772"/>
    <w:rsid w:val="00D31A02"/>
    <w:rsid w:val="00D31E6F"/>
    <w:rsid w:val="00D31E74"/>
    <w:rsid w:val="00D33395"/>
    <w:rsid w:val="00D333E7"/>
    <w:rsid w:val="00D338D6"/>
    <w:rsid w:val="00D33CFD"/>
    <w:rsid w:val="00D33F85"/>
    <w:rsid w:val="00D3477F"/>
    <w:rsid w:val="00D3484B"/>
    <w:rsid w:val="00D34A23"/>
    <w:rsid w:val="00D34ABF"/>
    <w:rsid w:val="00D35268"/>
    <w:rsid w:val="00D3579E"/>
    <w:rsid w:val="00D35A36"/>
    <w:rsid w:val="00D35CE8"/>
    <w:rsid w:val="00D35F81"/>
    <w:rsid w:val="00D36BCF"/>
    <w:rsid w:val="00D36CFB"/>
    <w:rsid w:val="00D3732B"/>
    <w:rsid w:val="00D375D3"/>
    <w:rsid w:val="00D37D19"/>
    <w:rsid w:val="00D40E56"/>
    <w:rsid w:val="00D40F65"/>
    <w:rsid w:val="00D41AF6"/>
    <w:rsid w:val="00D42363"/>
    <w:rsid w:val="00D423FD"/>
    <w:rsid w:val="00D42746"/>
    <w:rsid w:val="00D42F31"/>
    <w:rsid w:val="00D434CB"/>
    <w:rsid w:val="00D43625"/>
    <w:rsid w:val="00D436B0"/>
    <w:rsid w:val="00D4397B"/>
    <w:rsid w:val="00D43982"/>
    <w:rsid w:val="00D442E7"/>
    <w:rsid w:val="00D44970"/>
    <w:rsid w:val="00D45D21"/>
    <w:rsid w:val="00D4633D"/>
    <w:rsid w:val="00D4757D"/>
    <w:rsid w:val="00D4761A"/>
    <w:rsid w:val="00D50531"/>
    <w:rsid w:val="00D50742"/>
    <w:rsid w:val="00D50C05"/>
    <w:rsid w:val="00D5108E"/>
    <w:rsid w:val="00D5120B"/>
    <w:rsid w:val="00D513FF"/>
    <w:rsid w:val="00D51623"/>
    <w:rsid w:val="00D51B36"/>
    <w:rsid w:val="00D51E2C"/>
    <w:rsid w:val="00D51E81"/>
    <w:rsid w:val="00D52178"/>
    <w:rsid w:val="00D524A4"/>
    <w:rsid w:val="00D52506"/>
    <w:rsid w:val="00D529FA"/>
    <w:rsid w:val="00D52DAB"/>
    <w:rsid w:val="00D52FB2"/>
    <w:rsid w:val="00D53005"/>
    <w:rsid w:val="00D532EE"/>
    <w:rsid w:val="00D5332A"/>
    <w:rsid w:val="00D53A87"/>
    <w:rsid w:val="00D53D3F"/>
    <w:rsid w:val="00D53DB3"/>
    <w:rsid w:val="00D541B9"/>
    <w:rsid w:val="00D54430"/>
    <w:rsid w:val="00D54678"/>
    <w:rsid w:val="00D548C8"/>
    <w:rsid w:val="00D54A1E"/>
    <w:rsid w:val="00D54CA9"/>
    <w:rsid w:val="00D55BEE"/>
    <w:rsid w:val="00D55F5E"/>
    <w:rsid w:val="00D563A1"/>
    <w:rsid w:val="00D56A32"/>
    <w:rsid w:val="00D5736E"/>
    <w:rsid w:val="00D57EAF"/>
    <w:rsid w:val="00D600A6"/>
    <w:rsid w:val="00D601C9"/>
    <w:rsid w:val="00D602A7"/>
    <w:rsid w:val="00D60301"/>
    <w:rsid w:val="00D6030F"/>
    <w:rsid w:val="00D608C3"/>
    <w:rsid w:val="00D60CF6"/>
    <w:rsid w:val="00D62940"/>
    <w:rsid w:val="00D62CE6"/>
    <w:rsid w:val="00D62E2C"/>
    <w:rsid w:val="00D62EC7"/>
    <w:rsid w:val="00D62FA5"/>
    <w:rsid w:val="00D6314E"/>
    <w:rsid w:val="00D6315E"/>
    <w:rsid w:val="00D63E1B"/>
    <w:rsid w:val="00D64128"/>
    <w:rsid w:val="00D64A89"/>
    <w:rsid w:val="00D64F78"/>
    <w:rsid w:val="00D6605A"/>
    <w:rsid w:val="00D6619D"/>
    <w:rsid w:val="00D66491"/>
    <w:rsid w:val="00D665E0"/>
    <w:rsid w:val="00D6689B"/>
    <w:rsid w:val="00D66CD5"/>
    <w:rsid w:val="00D674E2"/>
    <w:rsid w:val="00D67B59"/>
    <w:rsid w:val="00D67BF7"/>
    <w:rsid w:val="00D67CF6"/>
    <w:rsid w:val="00D67FA3"/>
    <w:rsid w:val="00D7027F"/>
    <w:rsid w:val="00D709EA"/>
    <w:rsid w:val="00D714F2"/>
    <w:rsid w:val="00D7167B"/>
    <w:rsid w:val="00D717B7"/>
    <w:rsid w:val="00D718A5"/>
    <w:rsid w:val="00D71A3A"/>
    <w:rsid w:val="00D71E64"/>
    <w:rsid w:val="00D71FEE"/>
    <w:rsid w:val="00D723C3"/>
    <w:rsid w:val="00D728A8"/>
    <w:rsid w:val="00D72C77"/>
    <w:rsid w:val="00D7316D"/>
    <w:rsid w:val="00D73316"/>
    <w:rsid w:val="00D73E08"/>
    <w:rsid w:val="00D74008"/>
    <w:rsid w:val="00D741D5"/>
    <w:rsid w:val="00D74271"/>
    <w:rsid w:val="00D743F2"/>
    <w:rsid w:val="00D753E6"/>
    <w:rsid w:val="00D75460"/>
    <w:rsid w:val="00D75743"/>
    <w:rsid w:val="00D75888"/>
    <w:rsid w:val="00D75B1C"/>
    <w:rsid w:val="00D75BD2"/>
    <w:rsid w:val="00D75DFE"/>
    <w:rsid w:val="00D75E98"/>
    <w:rsid w:val="00D7657F"/>
    <w:rsid w:val="00D76EE9"/>
    <w:rsid w:val="00D771F7"/>
    <w:rsid w:val="00D77570"/>
    <w:rsid w:val="00D7772F"/>
    <w:rsid w:val="00D77A3C"/>
    <w:rsid w:val="00D77BF9"/>
    <w:rsid w:val="00D77CF5"/>
    <w:rsid w:val="00D80182"/>
    <w:rsid w:val="00D803E3"/>
    <w:rsid w:val="00D80522"/>
    <w:rsid w:val="00D80622"/>
    <w:rsid w:val="00D80D2F"/>
    <w:rsid w:val="00D80DC0"/>
    <w:rsid w:val="00D818A7"/>
    <w:rsid w:val="00D81EDC"/>
    <w:rsid w:val="00D82059"/>
    <w:rsid w:val="00D821D2"/>
    <w:rsid w:val="00D82675"/>
    <w:rsid w:val="00D8299B"/>
    <w:rsid w:val="00D82BFF"/>
    <w:rsid w:val="00D82D44"/>
    <w:rsid w:val="00D83080"/>
    <w:rsid w:val="00D8360F"/>
    <w:rsid w:val="00D8379E"/>
    <w:rsid w:val="00D83AC6"/>
    <w:rsid w:val="00D841F4"/>
    <w:rsid w:val="00D846A7"/>
    <w:rsid w:val="00D848D1"/>
    <w:rsid w:val="00D84AA4"/>
    <w:rsid w:val="00D85450"/>
    <w:rsid w:val="00D8553E"/>
    <w:rsid w:val="00D85CB1"/>
    <w:rsid w:val="00D86701"/>
    <w:rsid w:val="00D86FDC"/>
    <w:rsid w:val="00D870A0"/>
    <w:rsid w:val="00D872B3"/>
    <w:rsid w:val="00D874D8"/>
    <w:rsid w:val="00D87AAC"/>
    <w:rsid w:val="00D87D27"/>
    <w:rsid w:val="00D87EFD"/>
    <w:rsid w:val="00D90251"/>
    <w:rsid w:val="00D90CE7"/>
    <w:rsid w:val="00D9102E"/>
    <w:rsid w:val="00D91830"/>
    <w:rsid w:val="00D919A7"/>
    <w:rsid w:val="00D91A8A"/>
    <w:rsid w:val="00D91C43"/>
    <w:rsid w:val="00D91F6C"/>
    <w:rsid w:val="00D924CF"/>
    <w:rsid w:val="00D92E39"/>
    <w:rsid w:val="00D92FCE"/>
    <w:rsid w:val="00D930A1"/>
    <w:rsid w:val="00D932E9"/>
    <w:rsid w:val="00D946D9"/>
    <w:rsid w:val="00D94E09"/>
    <w:rsid w:val="00D94E65"/>
    <w:rsid w:val="00D9503D"/>
    <w:rsid w:val="00D956AE"/>
    <w:rsid w:val="00D9585A"/>
    <w:rsid w:val="00D95A4E"/>
    <w:rsid w:val="00D95D73"/>
    <w:rsid w:val="00D96151"/>
    <w:rsid w:val="00D96524"/>
    <w:rsid w:val="00D96B6A"/>
    <w:rsid w:val="00D96BDC"/>
    <w:rsid w:val="00D96CD3"/>
    <w:rsid w:val="00D971D4"/>
    <w:rsid w:val="00D97D55"/>
    <w:rsid w:val="00DA0826"/>
    <w:rsid w:val="00DA0C08"/>
    <w:rsid w:val="00DA1F2E"/>
    <w:rsid w:val="00DA209C"/>
    <w:rsid w:val="00DA20D6"/>
    <w:rsid w:val="00DA2578"/>
    <w:rsid w:val="00DA2700"/>
    <w:rsid w:val="00DA27C5"/>
    <w:rsid w:val="00DA2CEC"/>
    <w:rsid w:val="00DA3503"/>
    <w:rsid w:val="00DA3647"/>
    <w:rsid w:val="00DA3865"/>
    <w:rsid w:val="00DA3882"/>
    <w:rsid w:val="00DA3F7E"/>
    <w:rsid w:val="00DA4090"/>
    <w:rsid w:val="00DA4742"/>
    <w:rsid w:val="00DA48E6"/>
    <w:rsid w:val="00DA5304"/>
    <w:rsid w:val="00DA5BD5"/>
    <w:rsid w:val="00DA62D9"/>
    <w:rsid w:val="00DA63D8"/>
    <w:rsid w:val="00DA7035"/>
    <w:rsid w:val="00DA705F"/>
    <w:rsid w:val="00DA755C"/>
    <w:rsid w:val="00DA78BB"/>
    <w:rsid w:val="00DA7BFA"/>
    <w:rsid w:val="00DB00C6"/>
    <w:rsid w:val="00DB025A"/>
    <w:rsid w:val="00DB08CE"/>
    <w:rsid w:val="00DB0F11"/>
    <w:rsid w:val="00DB1082"/>
    <w:rsid w:val="00DB13AC"/>
    <w:rsid w:val="00DB1AE4"/>
    <w:rsid w:val="00DB1EE0"/>
    <w:rsid w:val="00DB2044"/>
    <w:rsid w:val="00DB21AE"/>
    <w:rsid w:val="00DB2446"/>
    <w:rsid w:val="00DB2813"/>
    <w:rsid w:val="00DB3100"/>
    <w:rsid w:val="00DB34AF"/>
    <w:rsid w:val="00DB3C39"/>
    <w:rsid w:val="00DB4177"/>
    <w:rsid w:val="00DB41BD"/>
    <w:rsid w:val="00DB43AC"/>
    <w:rsid w:val="00DB4B09"/>
    <w:rsid w:val="00DB4B68"/>
    <w:rsid w:val="00DB5A92"/>
    <w:rsid w:val="00DB5B1B"/>
    <w:rsid w:val="00DB5B69"/>
    <w:rsid w:val="00DB5BDE"/>
    <w:rsid w:val="00DB5BE4"/>
    <w:rsid w:val="00DB5ECE"/>
    <w:rsid w:val="00DB6342"/>
    <w:rsid w:val="00DB6919"/>
    <w:rsid w:val="00DB6A45"/>
    <w:rsid w:val="00DB6B0C"/>
    <w:rsid w:val="00DB751C"/>
    <w:rsid w:val="00DB78D6"/>
    <w:rsid w:val="00DB7A42"/>
    <w:rsid w:val="00DB7DFD"/>
    <w:rsid w:val="00DB7F0D"/>
    <w:rsid w:val="00DC07D6"/>
    <w:rsid w:val="00DC0A13"/>
    <w:rsid w:val="00DC0E08"/>
    <w:rsid w:val="00DC170E"/>
    <w:rsid w:val="00DC184B"/>
    <w:rsid w:val="00DC1898"/>
    <w:rsid w:val="00DC19CE"/>
    <w:rsid w:val="00DC20D0"/>
    <w:rsid w:val="00DC268B"/>
    <w:rsid w:val="00DC29EE"/>
    <w:rsid w:val="00DC29F0"/>
    <w:rsid w:val="00DC35A5"/>
    <w:rsid w:val="00DC3A17"/>
    <w:rsid w:val="00DC3A38"/>
    <w:rsid w:val="00DC4177"/>
    <w:rsid w:val="00DC4987"/>
    <w:rsid w:val="00DC4BA3"/>
    <w:rsid w:val="00DC530E"/>
    <w:rsid w:val="00DC5800"/>
    <w:rsid w:val="00DC6069"/>
    <w:rsid w:val="00DC6B42"/>
    <w:rsid w:val="00DC6E1F"/>
    <w:rsid w:val="00DC735F"/>
    <w:rsid w:val="00DC7A56"/>
    <w:rsid w:val="00DC7F75"/>
    <w:rsid w:val="00DD0186"/>
    <w:rsid w:val="00DD040B"/>
    <w:rsid w:val="00DD05FC"/>
    <w:rsid w:val="00DD0B04"/>
    <w:rsid w:val="00DD0F47"/>
    <w:rsid w:val="00DD11C2"/>
    <w:rsid w:val="00DD2961"/>
    <w:rsid w:val="00DD2FEB"/>
    <w:rsid w:val="00DD315E"/>
    <w:rsid w:val="00DD363B"/>
    <w:rsid w:val="00DD41A6"/>
    <w:rsid w:val="00DD5021"/>
    <w:rsid w:val="00DD597A"/>
    <w:rsid w:val="00DD5B7A"/>
    <w:rsid w:val="00DD6B6C"/>
    <w:rsid w:val="00DD7140"/>
    <w:rsid w:val="00DD7230"/>
    <w:rsid w:val="00DD7349"/>
    <w:rsid w:val="00DD7BCC"/>
    <w:rsid w:val="00DD7E17"/>
    <w:rsid w:val="00DD7E23"/>
    <w:rsid w:val="00DE00F4"/>
    <w:rsid w:val="00DE121B"/>
    <w:rsid w:val="00DE1766"/>
    <w:rsid w:val="00DE185F"/>
    <w:rsid w:val="00DE267D"/>
    <w:rsid w:val="00DE298C"/>
    <w:rsid w:val="00DE2B6F"/>
    <w:rsid w:val="00DE2BBB"/>
    <w:rsid w:val="00DE2CCF"/>
    <w:rsid w:val="00DE2D3C"/>
    <w:rsid w:val="00DE3C08"/>
    <w:rsid w:val="00DE417B"/>
    <w:rsid w:val="00DE4224"/>
    <w:rsid w:val="00DE4726"/>
    <w:rsid w:val="00DE4CEE"/>
    <w:rsid w:val="00DE5714"/>
    <w:rsid w:val="00DE5E8B"/>
    <w:rsid w:val="00DE6197"/>
    <w:rsid w:val="00DE6509"/>
    <w:rsid w:val="00DE67D9"/>
    <w:rsid w:val="00DE7618"/>
    <w:rsid w:val="00DE7782"/>
    <w:rsid w:val="00DE79AA"/>
    <w:rsid w:val="00DF003D"/>
    <w:rsid w:val="00DF1206"/>
    <w:rsid w:val="00DF2181"/>
    <w:rsid w:val="00DF2A3A"/>
    <w:rsid w:val="00DF2BF4"/>
    <w:rsid w:val="00DF2D93"/>
    <w:rsid w:val="00DF330D"/>
    <w:rsid w:val="00DF3B25"/>
    <w:rsid w:val="00DF4028"/>
    <w:rsid w:val="00DF40BF"/>
    <w:rsid w:val="00DF45DC"/>
    <w:rsid w:val="00DF578B"/>
    <w:rsid w:val="00DF5ACA"/>
    <w:rsid w:val="00DF5B7E"/>
    <w:rsid w:val="00DF722C"/>
    <w:rsid w:val="00DF76F1"/>
    <w:rsid w:val="00E00140"/>
    <w:rsid w:val="00E010FE"/>
    <w:rsid w:val="00E01320"/>
    <w:rsid w:val="00E016EB"/>
    <w:rsid w:val="00E02344"/>
    <w:rsid w:val="00E02A24"/>
    <w:rsid w:val="00E02AC9"/>
    <w:rsid w:val="00E0324C"/>
    <w:rsid w:val="00E036D9"/>
    <w:rsid w:val="00E039D8"/>
    <w:rsid w:val="00E03CAA"/>
    <w:rsid w:val="00E043DA"/>
    <w:rsid w:val="00E044C5"/>
    <w:rsid w:val="00E04600"/>
    <w:rsid w:val="00E04927"/>
    <w:rsid w:val="00E04A73"/>
    <w:rsid w:val="00E04C35"/>
    <w:rsid w:val="00E051E8"/>
    <w:rsid w:val="00E057F2"/>
    <w:rsid w:val="00E05D92"/>
    <w:rsid w:val="00E065B9"/>
    <w:rsid w:val="00E065BF"/>
    <w:rsid w:val="00E065C0"/>
    <w:rsid w:val="00E06765"/>
    <w:rsid w:val="00E072CF"/>
    <w:rsid w:val="00E07C26"/>
    <w:rsid w:val="00E104BE"/>
    <w:rsid w:val="00E10987"/>
    <w:rsid w:val="00E109AB"/>
    <w:rsid w:val="00E10A10"/>
    <w:rsid w:val="00E10B81"/>
    <w:rsid w:val="00E10C66"/>
    <w:rsid w:val="00E10CD1"/>
    <w:rsid w:val="00E11031"/>
    <w:rsid w:val="00E11FDE"/>
    <w:rsid w:val="00E12217"/>
    <w:rsid w:val="00E1240F"/>
    <w:rsid w:val="00E12CDE"/>
    <w:rsid w:val="00E12D26"/>
    <w:rsid w:val="00E12E91"/>
    <w:rsid w:val="00E12EE6"/>
    <w:rsid w:val="00E13643"/>
    <w:rsid w:val="00E13C9B"/>
    <w:rsid w:val="00E141A7"/>
    <w:rsid w:val="00E1423A"/>
    <w:rsid w:val="00E146EB"/>
    <w:rsid w:val="00E14914"/>
    <w:rsid w:val="00E149D0"/>
    <w:rsid w:val="00E14B54"/>
    <w:rsid w:val="00E150C5"/>
    <w:rsid w:val="00E159BB"/>
    <w:rsid w:val="00E15D3A"/>
    <w:rsid w:val="00E165EB"/>
    <w:rsid w:val="00E16AEC"/>
    <w:rsid w:val="00E176AA"/>
    <w:rsid w:val="00E17958"/>
    <w:rsid w:val="00E17B56"/>
    <w:rsid w:val="00E17D05"/>
    <w:rsid w:val="00E17D6A"/>
    <w:rsid w:val="00E17E6D"/>
    <w:rsid w:val="00E17FF2"/>
    <w:rsid w:val="00E209F0"/>
    <w:rsid w:val="00E20EE2"/>
    <w:rsid w:val="00E2113A"/>
    <w:rsid w:val="00E216FA"/>
    <w:rsid w:val="00E22607"/>
    <w:rsid w:val="00E226C4"/>
    <w:rsid w:val="00E226CC"/>
    <w:rsid w:val="00E22EFA"/>
    <w:rsid w:val="00E22F1B"/>
    <w:rsid w:val="00E2453E"/>
    <w:rsid w:val="00E24ACF"/>
    <w:rsid w:val="00E24CEE"/>
    <w:rsid w:val="00E24ED7"/>
    <w:rsid w:val="00E25C21"/>
    <w:rsid w:val="00E26024"/>
    <w:rsid w:val="00E261D6"/>
    <w:rsid w:val="00E262D5"/>
    <w:rsid w:val="00E267C8"/>
    <w:rsid w:val="00E26D2E"/>
    <w:rsid w:val="00E26F3B"/>
    <w:rsid w:val="00E27352"/>
    <w:rsid w:val="00E27607"/>
    <w:rsid w:val="00E27704"/>
    <w:rsid w:val="00E2777D"/>
    <w:rsid w:val="00E27A91"/>
    <w:rsid w:val="00E27F17"/>
    <w:rsid w:val="00E30078"/>
    <w:rsid w:val="00E30576"/>
    <w:rsid w:val="00E312A4"/>
    <w:rsid w:val="00E31437"/>
    <w:rsid w:val="00E315CF"/>
    <w:rsid w:val="00E31FED"/>
    <w:rsid w:val="00E31FF0"/>
    <w:rsid w:val="00E33693"/>
    <w:rsid w:val="00E33A59"/>
    <w:rsid w:val="00E33EA4"/>
    <w:rsid w:val="00E347AA"/>
    <w:rsid w:val="00E34A19"/>
    <w:rsid w:val="00E34F34"/>
    <w:rsid w:val="00E350EE"/>
    <w:rsid w:val="00E35B22"/>
    <w:rsid w:val="00E36209"/>
    <w:rsid w:val="00E36259"/>
    <w:rsid w:val="00E364B3"/>
    <w:rsid w:val="00E36FD0"/>
    <w:rsid w:val="00E3712A"/>
    <w:rsid w:val="00E3765B"/>
    <w:rsid w:val="00E3780A"/>
    <w:rsid w:val="00E405C7"/>
    <w:rsid w:val="00E407CF"/>
    <w:rsid w:val="00E40886"/>
    <w:rsid w:val="00E4137A"/>
    <w:rsid w:val="00E415DD"/>
    <w:rsid w:val="00E41BA2"/>
    <w:rsid w:val="00E42DDA"/>
    <w:rsid w:val="00E43217"/>
    <w:rsid w:val="00E4342E"/>
    <w:rsid w:val="00E434C9"/>
    <w:rsid w:val="00E43F75"/>
    <w:rsid w:val="00E44952"/>
    <w:rsid w:val="00E4504C"/>
    <w:rsid w:val="00E450AB"/>
    <w:rsid w:val="00E45473"/>
    <w:rsid w:val="00E456FE"/>
    <w:rsid w:val="00E459DC"/>
    <w:rsid w:val="00E45B30"/>
    <w:rsid w:val="00E45F67"/>
    <w:rsid w:val="00E460B2"/>
    <w:rsid w:val="00E46C8F"/>
    <w:rsid w:val="00E46EBD"/>
    <w:rsid w:val="00E47105"/>
    <w:rsid w:val="00E476CA"/>
    <w:rsid w:val="00E476F6"/>
    <w:rsid w:val="00E47E5A"/>
    <w:rsid w:val="00E50A3B"/>
    <w:rsid w:val="00E50B0E"/>
    <w:rsid w:val="00E5135D"/>
    <w:rsid w:val="00E51B3A"/>
    <w:rsid w:val="00E52534"/>
    <w:rsid w:val="00E52B9F"/>
    <w:rsid w:val="00E531B3"/>
    <w:rsid w:val="00E53684"/>
    <w:rsid w:val="00E53A9A"/>
    <w:rsid w:val="00E53C92"/>
    <w:rsid w:val="00E53D08"/>
    <w:rsid w:val="00E54307"/>
    <w:rsid w:val="00E544C2"/>
    <w:rsid w:val="00E553EC"/>
    <w:rsid w:val="00E55450"/>
    <w:rsid w:val="00E55A1E"/>
    <w:rsid w:val="00E5636E"/>
    <w:rsid w:val="00E56776"/>
    <w:rsid w:val="00E56784"/>
    <w:rsid w:val="00E56876"/>
    <w:rsid w:val="00E56915"/>
    <w:rsid w:val="00E56BDE"/>
    <w:rsid w:val="00E57346"/>
    <w:rsid w:val="00E573C2"/>
    <w:rsid w:val="00E5776A"/>
    <w:rsid w:val="00E6013B"/>
    <w:rsid w:val="00E6032A"/>
    <w:rsid w:val="00E60486"/>
    <w:rsid w:val="00E604A6"/>
    <w:rsid w:val="00E60EFD"/>
    <w:rsid w:val="00E60F20"/>
    <w:rsid w:val="00E61256"/>
    <w:rsid w:val="00E612B9"/>
    <w:rsid w:val="00E61FB1"/>
    <w:rsid w:val="00E6201A"/>
    <w:rsid w:val="00E629D0"/>
    <w:rsid w:val="00E62AE3"/>
    <w:rsid w:val="00E62ED5"/>
    <w:rsid w:val="00E632DF"/>
    <w:rsid w:val="00E6336A"/>
    <w:rsid w:val="00E634AC"/>
    <w:rsid w:val="00E63526"/>
    <w:rsid w:val="00E637F3"/>
    <w:rsid w:val="00E64363"/>
    <w:rsid w:val="00E64727"/>
    <w:rsid w:val="00E64878"/>
    <w:rsid w:val="00E648CC"/>
    <w:rsid w:val="00E650CF"/>
    <w:rsid w:val="00E65100"/>
    <w:rsid w:val="00E65A5B"/>
    <w:rsid w:val="00E65BE5"/>
    <w:rsid w:val="00E65D5B"/>
    <w:rsid w:val="00E65F48"/>
    <w:rsid w:val="00E661A5"/>
    <w:rsid w:val="00E667FF"/>
    <w:rsid w:val="00E66D9A"/>
    <w:rsid w:val="00E6735D"/>
    <w:rsid w:val="00E67620"/>
    <w:rsid w:val="00E6768F"/>
    <w:rsid w:val="00E677C6"/>
    <w:rsid w:val="00E67AD9"/>
    <w:rsid w:val="00E7006F"/>
    <w:rsid w:val="00E7022E"/>
    <w:rsid w:val="00E70D56"/>
    <w:rsid w:val="00E70F6C"/>
    <w:rsid w:val="00E72460"/>
    <w:rsid w:val="00E7264E"/>
    <w:rsid w:val="00E72D05"/>
    <w:rsid w:val="00E72DF5"/>
    <w:rsid w:val="00E73499"/>
    <w:rsid w:val="00E738FD"/>
    <w:rsid w:val="00E73AD5"/>
    <w:rsid w:val="00E73C67"/>
    <w:rsid w:val="00E73DCF"/>
    <w:rsid w:val="00E741FB"/>
    <w:rsid w:val="00E743D1"/>
    <w:rsid w:val="00E749C9"/>
    <w:rsid w:val="00E750EA"/>
    <w:rsid w:val="00E75735"/>
    <w:rsid w:val="00E764C2"/>
    <w:rsid w:val="00E76606"/>
    <w:rsid w:val="00E77483"/>
    <w:rsid w:val="00E7748B"/>
    <w:rsid w:val="00E776FE"/>
    <w:rsid w:val="00E77983"/>
    <w:rsid w:val="00E77A5C"/>
    <w:rsid w:val="00E77F50"/>
    <w:rsid w:val="00E80643"/>
    <w:rsid w:val="00E80EA9"/>
    <w:rsid w:val="00E80F59"/>
    <w:rsid w:val="00E81FC2"/>
    <w:rsid w:val="00E82838"/>
    <w:rsid w:val="00E82848"/>
    <w:rsid w:val="00E82ACB"/>
    <w:rsid w:val="00E82E1D"/>
    <w:rsid w:val="00E82E45"/>
    <w:rsid w:val="00E8349F"/>
    <w:rsid w:val="00E83556"/>
    <w:rsid w:val="00E83912"/>
    <w:rsid w:val="00E843EF"/>
    <w:rsid w:val="00E84792"/>
    <w:rsid w:val="00E84EA8"/>
    <w:rsid w:val="00E85DB1"/>
    <w:rsid w:val="00E85E7B"/>
    <w:rsid w:val="00E863D0"/>
    <w:rsid w:val="00E8687A"/>
    <w:rsid w:val="00E86BA6"/>
    <w:rsid w:val="00E8710C"/>
    <w:rsid w:val="00E874CA"/>
    <w:rsid w:val="00E874EE"/>
    <w:rsid w:val="00E87CED"/>
    <w:rsid w:val="00E87D70"/>
    <w:rsid w:val="00E90224"/>
    <w:rsid w:val="00E91931"/>
    <w:rsid w:val="00E927B9"/>
    <w:rsid w:val="00E92AE0"/>
    <w:rsid w:val="00E9347C"/>
    <w:rsid w:val="00E937EE"/>
    <w:rsid w:val="00E93DC1"/>
    <w:rsid w:val="00E949BF"/>
    <w:rsid w:val="00E94D9D"/>
    <w:rsid w:val="00E956DF"/>
    <w:rsid w:val="00E958B5"/>
    <w:rsid w:val="00E95DCA"/>
    <w:rsid w:val="00E96001"/>
    <w:rsid w:val="00E96AB3"/>
    <w:rsid w:val="00E96C1B"/>
    <w:rsid w:val="00E96D18"/>
    <w:rsid w:val="00E96E8E"/>
    <w:rsid w:val="00E96EAA"/>
    <w:rsid w:val="00E9789A"/>
    <w:rsid w:val="00E97915"/>
    <w:rsid w:val="00EA09B1"/>
    <w:rsid w:val="00EA0B9D"/>
    <w:rsid w:val="00EA0F3D"/>
    <w:rsid w:val="00EA16D4"/>
    <w:rsid w:val="00EA22C7"/>
    <w:rsid w:val="00EA23BE"/>
    <w:rsid w:val="00EA25ED"/>
    <w:rsid w:val="00EA27F3"/>
    <w:rsid w:val="00EA2BD7"/>
    <w:rsid w:val="00EA302F"/>
    <w:rsid w:val="00EA30F7"/>
    <w:rsid w:val="00EA3AF6"/>
    <w:rsid w:val="00EA3D6E"/>
    <w:rsid w:val="00EA43CE"/>
    <w:rsid w:val="00EA45CE"/>
    <w:rsid w:val="00EA4A8E"/>
    <w:rsid w:val="00EA4D5F"/>
    <w:rsid w:val="00EA56D5"/>
    <w:rsid w:val="00EA5792"/>
    <w:rsid w:val="00EA596C"/>
    <w:rsid w:val="00EA5B5C"/>
    <w:rsid w:val="00EA6194"/>
    <w:rsid w:val="00EA61D0"/>
    <w:rsid w:val="00EA67DB"/>
    <w:rsid w:val="00EA6C5F"/>
    <w:rsid w:val="00EA6DA6"/>
    <w:rsid w:val="00EA7813"/>
    <w:rsid w:val="00EA7C4D"/>
    <w:rsid w:val="00EB0C06"/>
    <w:rsid w:val="00EB0E26"/>
    <w:rsid w:val="00EB0E7C"/>
    <w:rsid w:val="00EB1209"/>
    <w:rsid w:val="00EB1A6A"/>
    <w:rsid w:val="00EB1DAD"/>
    <w:rsid w:val="00EB1FAA"/>
    <w:rsid w:val="00EB2091"/>
    <w:rsid w:val="00EB300D"/>
    <w:rsid w:val="00EB3103"/>
    <w:rsid w:val="00EB3420"/>
    <w:rsid w:val="00EB39F2"/>
    <w:rsid w:val="00EB4028"/>
    <w:rsid w:val="00EB510F"/>
    <w:rsid w:val="00EB5184"/>
    <w:rsid w:val="00EB5852"/>
    <w:rsid w:val="00EB608E"/>
    <w:rsid w:val="00EB647A"/>
    <w:rsid w:val="00EB6CD8"/>
    <w:rsid w:val="00EB6F58"/>
    <w:rsid w:val="00EB72E0"/>
    <w:rsid w:val="00EB7338"/>
    <w:rsid w:val="00EB73AD"/>
    <w:rsid w:val="00EB7494"/>
    <w:rsid w:val="00EB78CE"/>
    <w:rsid w:val="00EB78D6"/>
    <w:rsid w:val="00EB7C82"/>
    <w:rsid w:val="00EB7DE1"/>
    <w:rsid w:val="00EC0767"/>
    <w:rsid w:val="00EC09DF"/>
    <w:rsid w:val="00EC0AC7"/>
    <w:rsid w:val="00EC116B"/>
    <w:rsid w:val="00EC16FD"/>
    <w:rsid w:val="00EC1CB7"/>
    <w:rsid w:val="00EC1D4E"/>
    <w:rsid w:val="00EC28B8"/>
    <w:rsid w:val="00EC2A78"/>
    <w:rsid w:val="00EC319D"/>
    <w:rsid w:val="00EC38FA"/>
    <w:rsid w:val="00EC398D"/>
    <w:rsid w:val="00EC3BE9"/>
    <w:rsid w:val="00EC43BE"/>
    <w:rsid w:val="00EC44DC"/>
    <w:rsid w:val="00EC4606"/>
    <w:rsid w:val="00EC4C8E"/>
    <w:rsid w:val="00EC5E2D"/>
    <w:rsid w:val="00EC604C"/>
    <w:rsid w:val="00EC62A6"/>
    <w:rsid w:val="00EC6663"/>
    <w:rsid w:val="00EC6805"/>
    <w:rsid w:val="00EC680D"/>
    <w:rsid w:val="00EC6B79"/>
    <w:rsid w:val="00EC6D39"/>
    <w:rsid w:val="00EC6E07"/>
    <w:rsid w:val="00EC7448"/>
    <w:rsid w:val="00EC76B3"/>
    <w:rsid w:val="00EC7894"/>
    <w:rsid w:val="00EC7905"/>
    <w:rsid w:val="00EC7F26"/>
    <w:rsid w:val="00ED019C"/>
    <w:rsid w:val="00ED0401"/>
    <w:rsid w:val="00ED076B"/>
    <w:rsid w:val="00ED0C7A"/>
    <w:rsid w:val="00ED0D53"/>
    <w:rsid w:val="00ED0DA3"/>
    <w:rsid w:val="00ED123B"/>
    <w:rsid w:val="00ED14C0"/>
    <w:rsid w:val="00ED1CAB"/>
    <w:rsid w:val="00ED27F3"/>
    <w:rsid w:val="00ED280F"/>
    <w:rsid w:val="00ED2C74"/>
    <w:rsid w:val="00ED30E3"/>
    <w:rsid w:val="00ED34E7"/>
    <w:rsid w:val="00ED38E7"/>
    <w:rsid w:val="00ED4BD4"/>
    <w:rsid w:val="00ED4F9F"/>
    <w:rsid w:val="00ED5BF8"/>
    <w:rsid w:val="00ED6D4A"/>
    <w:rsid w:val="00ED726E"/>
    <w:rsid w:val="00ED7520"/>
    <w:rsid w:val="00EE00CE"/>
    <w:rsid w:val="00EE04D0"/>
    <w:rsid w:val="00EE051A"/>
    <w:rsid w:val="00EE08EF"/>
    <w:rsid w:val="00EE16B8"/>
    <w:rsid w:val="00EE18C6"/>
    <w:rsid w:val="00EE19EE"/>
    <w:rsid w:val="00EE1D92"/>
    <w:rsid w:val="00EE1F31"/>
    <w:rsid w:val="00EE23AC"/>
    <w:rsid w:val="00EE25A9"/>
    <w:rsid w:val="00EE2760"/>
    <w:rsid w:val="00EE27F4"/>
    <w:rsid w:val="00EE2A6A"/>
    <w:rsid w:val="00EE3033"/>
    <w:rsid w:val="00EE3DA1"/>
    <w:rsid w:val="00EE4756"/>
    <w:rsid w:val="00EE48DE"/>
    <w:rsid w:val="00EE48E2"/>
    <w:rsid w:val="00EE53E0"/>
    <w:rsid w:val="00EE53E8"/>
    <w:rsid w:val="00EE547C"/>
    <w:rsid w:val="00EE5957"/>
    <w:rsid w:val="00EE6633"/>
    <w:rsid w:val="00EE6CEA"/>
    <w:rsid w:val="00EE77B9"/>
    <w:rsid w:val="00EE7943"/>
    <w:rsid w:val="00EE7AFD"/>
    <w:rsid w:val="00EF09FA"/>
    <w:rsid w:val="00EF0BAE"/>
    <w:rsid w:val="00EF1721"/>
    <w:rsid w:val="00EF18D5"/>
    <w:rsid w:val="00EF1919"/>
    <w:rsid w:val="00EF1AC5"/>
    <w:rsid w:val="00EF1ADD"/>
    <w:rsid w:val="00EF1C42"/>
    <w:rsid w:val="00EF1E67"/>
    <w:rsid w:val="00EF2040"/>
    <w:rsid w:val="00EF33F6"/>
    <w:rsid w:val="00EF384A"/>
    <w:rsid w:val="00EF3882"/>
    <w:rsid w:val="00EF3B80"/>
    <w:rsid w:val="00EF3BEE"/>
    <w:rsid w:val="00EF3F94"/>
    <w:rsid w:val="00EF4160"/>
    <w:rsid w:val="00EF438C"/>
    <w:rsid w:val="00EF43D2"/>
    <w:rsid w:val="00EF4449"/>
    <w:rsid w:val="00EF44F3"/>
    <w:rsid w:val="00EF4FBD"/>
    <w:rsid w:val="00EF524F"/>
    <w:rsid w:val="00EF558A"/>
    <w:rsid w:val="00EF5680"/>
    <w:rsid w:val="00EF5D58"/>
    <w:rsid w:val="00EF68ED"/>
    <w:rsid w:val="00EF6C20"/>
    <w:rsid w:val="00EF6F03"/>
    <w:rsid w:val="00EF77DB"/>
    <w:rsid w:val="00F001FB"/>
    <w:rsid w:val="00F00218"/>
    <w:rsid w:val="00F00A6D"/>
    <w:rsid w:val="00F00F43"/>
    <w:rsid w:val="00F015BB"/>
    <w:rsid w:val="00F0162F"/>
    <w:rsid w:val="00F01DE9"/>
    <w:rsid w:val="00F0206F"/>
    <w:rsid w:val="00F02238"/>
    <w:rsid w:val="00F023D8"/>
    <w:rsid w:val="00F0297A"/>
    <w:rsid w:val="00F02A49"/>
    <w:rsid w:val="00F02E86"/>
    <w:rsid w:val="00F03085"/>
    <w:rsid w:val="00F033C9"/>
    <w:rsid w:val="00F03D5E"/>
    <w:rsid w:val="00F03EAF"/>
    <w:rsid w:val="00F04128"/>
    <w:rsid w:val="00F04192"/>
    <w:rsid w:val="00F045C3"/>
    <w:rsid w:val="00F0476C"/>
    <w:rsid w:val="00F04D35"/>
    <w:rsid w:val="00F04DE3"/>
    <w:rsid w:val="00F05655"/>
    <w:rsid w:val="00F05676"/>
    <w:rsid w:val="00F0688F"/>
    <w:rsid w:val="00F06EB2"/>
    <w:rsid w:val="00F07500"/>
    <w:rsid w:val="00F07848"/>
    <w:rsid w:val="00F106C8"/>
    <w:rsid w:val="00F106F6"/>
    <w:rsid w:val="00F10746"/>
    <w:rsid w:val="00F10AF7"/>
    <w:rsid w:val="00F10B1D"/>
    <w:rsid w:val="00F10D2B"/>
    <w:rsid w:val="00F10D9F"/>
    <w:rsid w:val="00F11073"/>
    <w:rsid w:val="00F11375"/>
    <w:rsid w:val="00F11A5C"/>
    <w:rsid w:val="00F12337"/>
    <w:rsid w:val="00F12D7E"/>
    <w:rsid w:val="00F137F4"/>
    <w:rsid w:val="00F13FD9"/>
    <w:rsid w:val="00F13FF7"/>
    <w:rsid w:val="00F1532B"/>
    <w:rsid w:val="00F15599"/>
    <w:rsid w:val="00F1577C"/>
    <w:rsid w:val="00F158AA"/>
    <w:rsid w:val="00F158FB"/>
    <w:rsid w:val="00F165E0"/>
    <w:rsid w:val="00F16AFB"/>
    <w:rsid w:val="00F16CA1"/>
    <w:rsid w:val="00F16CEB"/>
    <w:rsid w:val="00F1711E"/>
    <w:rsid w:val="00F174DF"/>
    <w:rsid w:val="00F17C8D"/>
    <w:rsid w:val="00F17E1D"/>
    <w:rsid w:val="00F2018F"/>
    <w:rsid w:val="00F20329"/>
    <w:rsid w:val="00F208A2"/>
    <w:rsid w:val="00F209ED"/>
    <w:rsid w:val="00F20E98"/>
    <w:rsid w:val="00F2233E"/>
    <w:rsid w:val="00F2261A"/>
    <w:rsid w:val="00F22BE5"/>
    <w:rsid w:val="00F23048"/>
    <w:rsid w:val="00F232C3"/>
    <w:rsid w:val="00F234E9"/>
    <w:rsid w:val="00F24BA3"/>
    <w:rsid w:val="00F24BB7"/>
    <w:rsid w:val="00F24BB8"/>
    <w:rsid w:val="00F2519D"/>
    <w:rsid w:val="00F257F5"/>
    <w:rsid w:val="00F260ED"/>
    <w:rsid w:val="00F26329"/>
    <w:rsid w:val="00F26B18"/>
    <w:rsid w:val="00F26B52"/>
    <w:rsid w:val="00F26E78"/>
    <w:rsid w:val="00F270E9"/>
    <w:rsid w:val="00F27101"/>
    <w:rsid w:val="00F27A43"/>
    <w:rsid w:val="00F27BD8"/>
    <w:rsid w:val="00F27C32"/>
    <w:rsid w:val="00F27D64"/>
    <w:rsid w:val="00F30A8C"/>
    <w:rsid w:val="00F3121E"/>
    <w:rsid w:val="00F31B6C"/>
    <w:rsid w:val="00F31BB0"/>
    <w:rsid w:val="00F31FBF"/>
    <w:rsid w:val="00F3211C"/>
    <w:rsid w:val="00F336D1"/>
    <w:rsid w:val="00F340FB"/>
    <w:rsid w:val="00F341F1"/>
    <w:rsid w:val="00F34214"/>
    <w:rsid w:val="00F347D9"/>
    <w:rsid w:val="00F34E55"/>
    <w:rsid w:val="00F353B5"/>
    <w:rsid w:val="00F35601"/>
    <w:rsid w:val="00F3594D"/>
    <w:rsid w:val="00F35C9E"/>
    <w:rsid w:val="00F35D55"/>
    <w:rsid w:val="00F36B1D"/>
    <w:rsid w:val="00F37D5F"/>
    <w:rsid w:val="00F37EF4"/>
    <w:rsid w:val="00F40288"/>
    <w:rsid w:val="00F40378"/>
    <w:rsid w:val="00F40AA1"/>
    <w:rsid w:val="00F41003"/>
    <w:rsid w:val="00F4116D"/>
    <w:rsid w:val="00F41D4B"/>
    <w:rsid w:val="00F422C6"/>
    <w:rsid w:val="00F4300B"/>
    <w:rsid w:val="00F432F8"/>
    <w:rsid w:val="00F43869"/>
    <w:rsid w:val="00F4390B"/>
    <w:rsid w:val="00F43AB7"/>
    <w:rsid w:val="00F4496D"/>
    <w:rsid w:val="00F44C5F"/>
    <w:rsid w:val="00F44E68"/>
    <w:rsid w:val="00F451A0"/>
    <w:rsid w:val="00F45740"/>
    <w:rsid w:val="00F459AA"/>
    <w:rsid w:val="00F46897"/>
    <w:rsid w:val="00F47259"/>
    <w:rsid w:val="00F474E0"/>
    <w:rsid w:val="00F476E6"/>
    <w:rsid w:val="00F47FC4"/>
    <w:rsid w:val="00F50AF5"/>
    <w:rsid w:val="00F50BA2"/>
    <w:rsid w:val="00F50D9D"/>
    <w:rsid w:val="00F51396"/>
    <w:rsid w:val="00F514DD"/>
    <w:rsid w:val="00F51AF4"/>
    <w:rsid w:val="00F51CCF"/>
    <w:rsid w:val="00F52C44"/>
    <w:rsid w:val="00F52EEF"/>
    <w:rsid w:val="00F54047"/>
    <w:rsid w:val="00F541A3"/>
    <w:rsid w:val="00F54BB1"/>
    <w:rsid w:val="00F54EE6"/>
    <w:rsid w:val="00F54F96"/>
    <w:rsid w:val="00F55475"/>
    <w:rsid w:val="00F55AC2"/>
    <w:rsid w:val="00F55F5B"/>
    <w:rsid w:val="00F55F60"/>
    <w:rsid w:val="00F56211"/>
    <w:rsid w:val="00F56549"/>
    <w:rsid w:val="00F56631"/>
    <w:rsid w:val="00F568C2"/>
    <w:rsid w:val="00F56AA0"/>
    <w:rsid w:val="00F56F3C"/>
    <w:rsid w:val="00F56FAC"/>
    <w:rsid w:val="00F60268"/>
    <w:rsid w:val="00F60658"/>
    <w:rsid w:val="00F60AB4"/>
    <w:rsid w:val="00F60C00"/>
    <w:rsid w:val="00F60C99"/>
    <w:rsid w:val="00F61007"/>
    <w:rsid w:val="00F6106A"/>
    <w:rsid w:val="00F611F6"/>
    <w:rsid w:val="00F619B5"/>
    <w:rsid w:val="00F62007"/>
    <w:rsid w:val="00F62A7E"/>
    <w:rsid w:val="00F62B8D"/>
    <w:rsid w:val="00F63272"/>
    <w:rsid w:val="00F6346E"/>
    <w:rsid w:val="00F6485B"/>
    <w:rsid w:val="00F64890"/>
    <w:rsid w:val="00F64B34"/>
    <w:rsid w:val="00F64CF9"/>
    <w:rsid w:val="00F64FBA"/>
    <w:rsid w:val="00F650B4"/>
    <w:rsid w:val="00F65A32"/>
    <w:rsid w:val="00F660BC"/>
    <w:rsid w:val="00F66279"/>
    <w:rsid w:val="00F66F32"/>
    <w:rsid w:val="00F6710B"/>
    <w:rsid w:val="00F67B22"/>
    <w:rsid w:val="00F67E96"/>
    <w:rsid w:val="00F7013B"/>
    <w:rsid w:val="00F704EE"/>
    <w:rsid w:val="00F70520"/>
    <w:rsid w:val="00F706E0"/>
    <w:rsid w:val="00F70B21"/>
    <w:rsid w:val="00F70C74"/>
    <w:rsid w:val="00F71095"/>
    <w:rsid w:val="00F719BD"/>
    <w:rsid w:val="00F71A5D"/>
    <w:rsid w:val="00F71C8A"/>
    <w:rsid w:val="00F71DA6"/>
    <w:rsid w:val="00F72752"/>
    <w:rsid w:val="00F72BD4"/>
    <w:rsid w:val="00F734B0"/>
    <w:rsid w:val="00F73D7C"/>
    <w:rsid w:val="00F745FE"/>
    <w:rsid w:val="00F74C96"/>
    <w:rsid w:val="00F74F1D"/>
    <w:rsid w:val="00F74FB2"/>
    <w:rsid w:val="00F750E8"/>
    <w:rsid w:val="00F75129"/>
    <w:rsid w:val="00F752CA"/>
    <w:rsid w:val="00F756B9"/>
    <w:rsid w:val="00F75B88"/>
    <w:rsid w:val="00F75BEB"/>
    <w:rsid w:val="00F765FF"/>
    <w:rsid w:val="00F767A6"/>
    <w:rsid w:val="00F76AE1"/>
    <w:rsid w:val="00F76F65"/>
    <w:rsid w:val="00F775D3"/>
    <w:rsid w:val="00F77E57"/>
    <w:rsid w:val="00F8043A"/>
    <w:rsid w:val="00F811E6"/>
    <w:rsid w:val="00F813AB"/>
    <w:rsid w:val="00F82A76"/>
    <w:rsid w:val="00F82C55"/>
    <w:rsid w:val="00F830F8"/>
    <w:rsid w:val="00F831E3"/>
    <w:rsid w:val="00F83483"/>
    <w:rsid w:val="00F835AE"/>
    <w:rsid w:val="00F83D1F"/>
    <w:rsid w:val="00F84303"/>
    <w:rsid w:val="00F84B2D"/>
    <w:rsid w:val="00F85002"/>
    <w:rsid w:val="00F85D1E"/>
    <w:rsid w:val="00F8698F"/>
    <w:rsid w:val="00F86C5F"/>
    <w:rsid w:val="00F86F6E"/>
    <w:rsid w:val="00F87242"/>
    <w:rsid w:val="00F87352"/>
    <w:rsid w:val="00F8781D"/>
    <w:rsid w:val="00F90184"/>
    <w:rsid w:val="00F90568"/>
    <w:rsid w:val="00F90868"/>
    <w:rsid w:val="00F90E75"/>
    <w:rsid w:val="00F9107C"/>
    <w:rsid w:val="00F91649"/>
    <w:rsid w:val="00F91657"/>
    <w:rsid w:val="00F916EB"/>
    <w:rsid w:val="00F91E4E"/>
    <w:rsid w:val="00F9214A"/>
    <w:rsid w:val="00F9319B"/>
    <w:rsid w:val="00F93B29"/>
    <w:rsid w:val="00F93C81"/>
    <w:rsid w:val="00F94263"/>
    <w:rsid w:val="00F942CF"/>
    <w:rsid w:val="00F945FA"/>
    <w:rsid w:val="00F94738"/>
    <w:rsid w:val="00F94ACC"/>
    <w:rsid w:val="00F94B52"/>
    <w:rsid w:val="00F94C38"/>
    <w:rsid w:val="00F95031"/>
    <w:rsid w:val="00F9586E"/>
    <w:rsid w:val="00F96331"/>
    <w:rsid w:val="00F97650"/>
    <w:rsid w:val="00F97FC6"/>
    <w:rsid w:val="00FA02B6"/>
    <w:rsid w:val="00FA0614"/>
    <w:rsid w:val="00FA0D71"/>
    <w:rsid w:val="00FA14D3"/>
    <w:rsid w:val="00FA1897"/>
    <w:rsid w:val="00FA1F04"/>
    <w:rsid w:val="00FA2243"/>
    <w:rsid w:val="00FA226D"/>
    <w:rsid w:val="00FA2677"/>
    <w:rsid w:val="00FA2C72"/>
    <w:rsid w:val="00FA2FA3"/>
    <w:rsid w:val="00FA3AE1"/>
    <w:rsid w:val="00FA3B39"/>
    <w:rsid w:val="00FA3DB6"/>
    <w:rsid w:val="00FA3FA3"/>
    <w:rsid w:val="00FA42E8"/>
    <w:rsid w:val="00FA4B1B"/>
    <w:rsid w:val="00FA4E28"/>
    <w:rsid w:val="00FA4E43"/>
    <w:rsid w:val="00FA4EDF"/>
    <w:rsid w:val="00FA50F6"/>
    <w:rsid w:val="00FA5B0B"/>
    <w:rsid w:val="00FA5EE2"/>
    <w:rsid w:val="00FA5FD3"/>
    <w:rsid w:val="00FA6804"/>
    <w:rsid w:val="00FA699C"/>
    <w:rsid w:val="00FA6C95"/>
    <w:rsid w:val="00FA6CEE"/>
    <w:rsid w:val="00FA6D2A"/>
    <w:rsid w:val="00FA6E64"/>
    <w:rsid w:val="00FA6F16"/>
    <w:rsid w:val="00FA73B1"/>
    <w:rsid w:val="00FB0968"/>
    <w:rsid w:val="00FB120D"/>
    <w:rsid w:val="00FB17DE"/>
    <w:rsid w:val="00FB1CE6"/>
    <w:rsid w:val="00FB2128"/>
    <w:rsid w:val="00FB219A"/>
    <w:rsid w:val="00FB2D7D"/>
    <w:rsid w:val="00FB3977"/>
    <w:rsid w:val="00FB3C28"/>
    <w:rsid w:val="00FB3FBD"/>
    <w:rsid w:val="00FB41E0"/>
    <w:rsid w:val="00FB46FC"/>
    <w:rsid w:val="00FB4A58"/>
    <w:rsid w:val="00FB4BB5"/>
    <w:rsid w:val="00FB4C9C"/>
    <w:rsid w:val="00FB59E5"/>
    <w:rsid w:val="00FB5DB5"/>
    <w:rsid w:val="00FB611B"/>
    <w:rsid w:val="00FB6721"/>
    <w:rsid w:val="00FB68D5"/>
    <w:rsid w:val="00FB7371"/>
    <w:rsid w:val="00FB7B31"/>
    <w:rsid w:val="00FB7BF5"/>
    <w:rsid w:val="00FC0B58"/>
    <w:rsid w:val="00FC1D89"/>
    <w:rsid w:val="00FC1FA3"/>
    <w:rsid w:val="00FC2A17"/>
    <w:rsid w:val="00FC2B43"/>
    <w:rsid w:val="00FC3565"/>
    <w:rsid w:val="00FC3940"/>
    <w:rsid w:val="00FC3A8E"/>
    <w:rsid w:val="00FC3B26"/>
    <w:rsid w:val="00FC3D38"/>
    <w:rsid w:val="00FC3E06"/>
    <w:rsid w:val="00FC45C2"/>
    <w:rsid w:val="00FC4699"/>
    <w:rsid w:val="00FC46B3"/>
    <w:rsid w:val="00FC46DE"/>
    <w:rsid w:val="00FC4FE5"/>
    <w:rsid w:val="00FC57F3"/>
    <w:rsid w:val="00FC65B2"/>
    <w:rsid w:val="00FC6A9D"/>
    <w:rsid w:val="00FC6D68"/>
    <w:rsid w:val="00FC6E69"/>
    <w:rsid w:val="00FC77AA"/>
    <w:rsid w:val="00FC7C69"/>
    <w:rsid w:val="00FD0409"/>
    <w:rsid w:val="00FD0628"/>
    <w:rsid w:val="00FD07F5"/>
    <w:rsid w:val="00FD0B2C"/>
    <w:rsid w:val="00FD0B87"/>
    <w:rsid w:val="00FD0D2D"/>
    <w:rsid w:val="00FD10D4"/>
    <w:rsid w:val="00FD1395"/>
    <w:rsid w:val="00FD1939"/>
    <w:rsid w:val="00FD1D58"/>
    <w:rsid w:val="00FD28F6"/>
    <w:rsid w:val="00FD2DC4"/>
    <w:rsid w:val="00FD2EA2"/>
    <w:rsid w:val="00FD3A94"/>
    <w:rsid w:val="00FD4A67"/>
    <w:rsid w:val="00FD4D82"/>
    <w:rsid w:val="00FD4DAB"/>
    <w:rsid w:val="00FD51C0"/>
    <w:rsid w:val="00FD680B"/>
    <w:rsid w:val="00FD6CA3"/>
    <w:rsid w:val="00FD704C"/>
    <w:rsid w:val="00FD77E3"/>
    <w:rsid w:val="00FD794F"/>
    <w:rsid w:val="00FD796D"/>
    <w:rsid w:val="00FD7F1F"/>
    <w:rsid w:val="00FE0197"/>
    <w:rsid w:val="00FE05E4"/>
    <w:rsid w:val="00FE0747"/>
    <w:rsid w:val="00FE0A32"/>
    <w:rsid w:val="00FE0B0A"/>
    <w:rsid w:val="00FE0C17"/>
    <w:rsid w:val="00FE11EC"/>
    <w:rsid w:val="00FE176E"/>
    <w:rsid w:val="00FE181F"/>
    <w:rsid w:val="00FE1B41"/>
    <w:rsid w:val="00FE291C"/>
    <w:rsid w:val="00FE2E51"/>
    <w:rsid w:val="00FE3212"/>
    <w:rsid w:val="00FE4062"/>
    <w:rsid w:val="00FE491D"/>
    <w:rsid w:val="00FE4ADF"/>
    <w:rsid w:val="00FE52E1"/>
    <w:rsid w:val="00FE55FA"/>
    <w:rsid w:val="00FE56D0"/>
    <w:rsid w:val="00FE5F66"/>
    <w:rsid w:val="00FE60B7"/>
    <w:rsid w:val="00FE621A"/>
    <w:rsid w:val="00FE713C"/>
    <w:rsid w:val="00FE7276"/>
    <w:rsid w:val="00FE76F8"/>
    <w:rsid w:val="00FF0137"/>
    <w:rsid w:val="00FF027C"/>
    <w:rsid w:val="00FF0952"/>
    <w:rsid w:val="00FF0B87"/>
    <w:rsid w:val="00FF0E4F"/>
    <w:rsid w:val="00FF2A5D"/>
    <w:rsid w:val="00FF33BD"/>
    <w:rsid w:val="00FF37B1"/>
    <w:rsid w:val="00FF3ADF"/>
    <w:rsid w:val="00FF44CC"/>
    <w:rsid w:val="00FF484E"/>
    <w:rsid w:val="00FF4A26"/>
    <w:rsid w:val="00FF4A65"/>
    <w:rsid w:val="00FF4E81"/>
    <w:rsid w:val="00FF5C64"/>
    <w:rsid w:val="00FF5D0E"/>
    <w:rsid w:val="00FF5DB7"/>
    <w:rsid w:val="00FF61A7"/>
    <w:rsid w:val="00FF6663"/>
    <w:rsid w:val="00FF6A41"/>
    <w:rsid w:val="00FF735B"/>
    <w:rsid w:val="00FF75F7"/>
    <w:rsid w:val="00FF7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A5E1D"/>
    <w:rPr>
      <w:sz w:val="24"/>
      <w:szCs w:val="24"/>
    </w:rPr>
  </w:style>
  <w:style w:type="paragraph" w:styleId="Heading1">
    <w:name w:val="heading 1"/>
    <w:basedOn w:val="BodyText"/>
    <w:next w:val="BodyText"/>
    <w:link w:val="Heading1Char"/>
    <w:rsid w:val="00AA5E1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5E1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5E1D"/>
    <w:pPr>
      <w:spacing w:before="560" w:line="320" w:lineRule="exact"/>
      <w:ind w:left="0" w:firstLine="0"/>
      <w:outlineLvl w:val="2"/>
    </w:pPr>
    <w:rPr>
      <w:sz w:val="26"/>
    </w:rPr>
  </w:style>
  <w:style w:type="paragraph" w:styleId="Heading4">
    <w:name w:val="heading 4"/>
    <w:basedOn w:val="Heading3"/>
    <w:next w:val="BodyText"/>
    <w:link w:val="Heading4Char"/>
    <w:qFormat/>
    <w:rsid w:val="00AA5E1D"/>
    <w:pPr>
      <w:spacing w:before="480"/>
      <w:outlineLvl w:val="3"/>
    </w:pPr>
    <w:rPr>
      <w:b w:val="0"/>
      <w:sz w:val="24"/>
    </w:rPr>
  </w:style>
  <w:style w:type="paragraph" w:styleId="Heading5">
    <w:name w:val="heading 5"/>
    <w:basedOn w:val="Heading4"/>
    <w:next w:val="BodyText"/>
    <w:link w:val="Heading5Char"/>
    <w:qFormat/>
    <w:rsid w:val="00AA5E1D"/>
    <w:pPr>
      <w:outlineLvl w:val="4"/>
    </w:pPr>
    <w:rPr>
      <w:i/>
      <w:sz w:val="22"/>
    </w:rPr>
  </w:style>
  <w:style w:type="paragraph" w:styleId="Heading6">
    <w:name w:val="heading 6"/>
    <w:basedOn w:val="BodyText"/>
    <w:next w:val="BodyText"/>
    <w:rsid w:val="00AA5E1D"/>
    <w:pPr>
      <w:spacing w:after="60"/>
      <w:jc w:val="left"/>
      <w:outlineLvl w:val="5"/>
    </w:pPr>
    <w:rPr>
      <w:i/>
      <w:sz w:val="22"/>
    </w:rPr>
  </w:style>
  <w:style w:type="paragraph" w:styleId="Heading7">
    <w:name w:val="heading 7"/>
    <w:basedOn w:val="BodyText"/>
    <w:next w:val="BodyText"/>
    <w:rsid w:val="00AA5E1D"/>
    <w:pPr>
      <w:spacing w:after="60" w:line="240" w:lineRule="auto"/>
      <w:jc w:val="left"/>
      <w:outlineLvl w:val="6"/>
    </w:pPr>
    <w:rPr>
      <w:rFonts w:ascii="Arial" w:hAnsi="Arial"/>
      <w:sz w:val="20"/>
    </w:rPr>
  </w:style>
  <w:style w:type="paragraph" w:styleId="Heading8">
    <w:name w:val="heading 8"/>
    <w:basedOn w:val="BodyText"/>
    <w:next w:val="BodyText"/>
    <w:rsid w:val="00AA5E1D"/>
    <w:pPr>
      <w:spacing w:after="60" w:line="240" w:lineRule="auto"/>
      <w:jc w:val="left"/>
      <w:outlineLvl w:val="7"/>
    </w:pPr>
    <w:rPr>
      <w:rFonts w:ascii="Arial" w:hAnsi="Arial"/>
      <w:i/>
      <w:sz w:val="20"/>
    </w:rPr>
  </w:style>
  <w:style w:type="paragraph" w:styleId="Heading9">
    <w:name w:val="heading 9"/>
    <w:basedOn w:val="BodyText"/>
    <w:next w:val="BodyText"/>
    <w:rsid w:val="00AA5E1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5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E1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A5E1D"/>
    <w:pPr>
      <w:spacing w:before="240" w:line="300" w:lineRule="atLeast"/>
      <w:jc w:val="both"/>
    </w:pPr>
    <w:rPr>
      <w:sz w:val="24"/>
    </w:rPr>
  </w:style>
  <w:style w:type="paragraph" w:customStyle="1" w:styleId="Chapter">
    <w:name w:val="Chapter"/>
    <w:basedOn w:val="Heading1"/>
    <w:next w:val="BodyText"/>
    <w:link w:val="ChapterChar"/>
    <w:semiHidden/>
    <w:rsid w:val="00AA5E1D"/>
    <w:pPr>
      <w:ind w:left="0" w:firstLine="0"/>
      <w:outlineLvl w:val="9"/>
    </w:pPr>
  </w:style>
  <w:style w:type="paragraph" w:customStyle="1" w:styleId="SequenceInfo">
    <w:name w:val="Sequence Info"/>
    <w:basedOn w:val="BodyText"/>
    <w:semiHidden/>
    <w:rsid w:val="00AA5E1D"/>
    <w:rPr>
      <w:vanish/>
      <w:sz w:val="16"/>
    </w:rPr>
  </w:style>
  <w:style w:type="character" w:styleId="CommentReference">
    <w:name w:val="annotation reference"/>
    <w:basedOn w:val="DefaultParagraphFont"/>
    <w:rsid w:val="00AA5E1D"/>
    <w:rPr>
      <w:b/>
      <w:vanish/>
      <w:color w:val="FF00FF"/>
      <w:sz w:val="20"/>
    </w:rPr>
  </w:style>
  <w:style w:type="paragraph" w:styleId="CommentText">
    <w:name w:val="annotation text"/>
    <w:basedOn w:val="Normal"/>
    <w:link w:val="CommentTextChar"/>
    <w:semiHidden/>
    <w:rsid w:val="00AA5E1D"/>
    <w:pPr>
      <w:spacing w:before="120" w:line="240" w:lineRule="atLeast"/>
      <w:ind w:left="567" w:hanging="567"/>
    </w:pPr>
    <w:rPr>
      <w:sz w:val="20"/>
    </w:rPr>
  </w:style>
  <w:style w:type="paragraph" w:customStyle="1" w:styleId="Abbreviation">
    <w:name w:val="Abbreviation"/>
    <w:basedOn w:val="BodyText"/>
    <w:rsid w:val="00AA5E1D"/>
    <w:pPr>
      <w:spacing w:before="120"/>
      <w:ind w:left="2381" w:hanging="2381"/>
      <w:jc w:val="left"/>
    </w:pPr>
  </w:style>
  <w:style w:type="paragraph" w:customStyle="1" w:styleId="Box">
    <w:name w:val="Box"/>
    <w:basedOn w:val="BodyText"/>
    <w:link w:val="BoxChar"/>
    <w:qFormat/>
    <w:rsid w:val="00AA5E1D"/>
    <w:pPr>
      <w:keepNext/>
      <w:spacing w:before="120" w:line="260" w:lineRule="atLeast"/>
    </w:pPr>
    <w:rPr>
      <w:rFonts w:ascii="Arial" w:hAnsi="Arial"/>
      <w:sz w:val="20"/>
    </w:rPr>
  </w:style>
  <w:style w:type="paragraph" w:customStyle="1" w:styleId="QuoteBullet">
    <w:name w:val="Quote Bullet"/>
    <w:basedOn w:val="Quote"/>
    <w:rsid w:val="00AA5E1D"/>
    <w:pPr>
      <w:numPr>
        <w:numId w:val="11"/>
      </w:numPr>
    </w:pPr>
  </w:style>
  <w:style w:type="paragraph" w:customStyle="1" w:styleId="BoxListBullet">
    <w:name w:val="Box List Bullet"/>
    <w:basedOn w:val="BodyText"/>
    <w:link w:val="BoxListBulletChar"/>
    <w:rsid w:val="00AA5E1D"/>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AA5E1D"/>
    <w:pPr>
      <w:numPr>
        <w:numId w:val="3"/>
      </w:numPr>
      <w:ind w:left="568" w:hanging="284"/>
    </w:pPr>
  </w:style>
  <w:style w:type="paragraph" w:customStyle="1" w:styleId="BoxListNumber">
    <w:name w:val="Box List Number"/>
    <w:basedOn w:val="BodyText"/>
    <w:link w:val="BoxListNumberChar"/>
    <w:rsid w:val="00AA5E1D"/>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AA5E1D"/>
    <w:pPr>
      <w:numPr>
        <w:ilvl w:val="1"/>
      </w:numPr>
      <w:ind w:left="681" w:hanging="397"/>
    </w:pPr>
  </w:style>
  <w:style w:type="paragraph" w:customStyle="1" w:styleId="BoxQuote">
    <w:name w:val="Box Quote"/>
    <w:basedOn w:val="BodyText"/>
    <w:next w:val="Box"/>
    <w:qFormat/>
    <w:rsid w:val="00AA5E1D"/>
    <w:pPr>
      <w:keepNext/>
      <w:spacing w:before="60" w:line="240" w:lineRule="exact"/>
      <w:ind w:left="284"/>
    </w:pPr>
    <w:rPr>
      <w:rFonts w:ascii="Arial" w:hAnsi="Arial"/>
      <w:sz w:val="18"/>
    </w:rPr>
  </w:style>
  <w:style w:type="paragraph" w:customStyle="1" w:styleId="BoxSource">
    <w:name w:val="Box Source"/>
    <w:basedOn w:val="Source"/>
    <w:next w:val="BodyText"/>
    <w:link w:val="BoxSourceChar"/>
    <w:rsid w:val="00AA5E1D"/>
    <w:pPr>
      <w:spacing w:before="12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AA5E1D"/>
    <w:pPr>
      <w:spacing w:after="80" w:line="200" w:lineRule="exact"/>
      <w:ind w:firstLine="0"/>
    </w:pPr>
    <w:rPr>
      <w:b w:val="0"/>
      <w:sz w:val="20"/>
    </w:rPr>
  </w:style>
  <w:style w:type="paragraph" w:customStyle="1" w:styleId="BoxTitle">
    <w:name w:val="Box Title"/>
    <w:basedOn w:val="Caption"/>
    <w:next w:val="BoxSubtitle"/>
    <w:link w:val="BoxTitleChar"/>
    <w:rsid w:val="00AA5E1D"/>
    <w:pPr>
      <w:spacing w:before="120" w:after="0"/>
    </w:pPr>
  </w:style>
  <w:style w:type="paragraph" w:styleId="Caption">
    <w:name w:val="caption"/>
    <w:basedOn w:val="Normal"/>
    <w:next w:val="BodyText"/>
    <w:link w:val="CaptionChar"/>
    <w:rsid w:val="00AA5E1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A5E1D"/>
    <w:pPr>
      <w:spacing w:line="280" w:lineRule="atLeast"/>
      <w:ind w:left="907"/>
    </w:pPr>
    <w:rPr>
      <w:rFonts w:ascii="Arial" w:hAnsi="Arial"/>
      <w:b/>
      <w:sz w:val="20"/>
    </w:rPr>
  </w:style>
  <w:style w:type="character" w:customStyle="1" w:styleId="DocumentInfo">
    <w:name w:val="Document Info"/>
    <w:basedOn w:val="DefaultParagraphFont"/>
    <w:semiHidden/>
    <w:rsid w:val="00AA5E1D"/>
    <w:rPr>
      <w:rFonts w:ascii="Arial" w:hAnsi="Arial"/>
      <w:sz w:val="14"/>
    </w:rPr>
  </w:style>
  <w:style w:type="paragraph" w:styleId="Footer">
    <w:name w:val="footer"/>
    <w:basedOn w:val="BodyText"/>
    <w:link w:val="FooterChar"/>
    <w:rsid w:val="00AA5E1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A5E1D"/>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AA5E1D"/>
    <w:pPr>
      <w:keepNext/>
      <w:spacing w:before="120" w:after="120" w:line="240" w:lineRule="atLeast"/>
      <w:jc w:val="center"/>
    </w:pPr>
  </w:style>
  <w:style w:type="paragraph" w:customStyle="1" w:styleId="FigureTitle">
    <w:name w:val="Figure Title"/>
    <w:basedOn w:val="Caption"/>
    <w:next w:val="Subtitle"/>
    <w:link w:val="FigureTitleChar"/>
    <w:rsid w:val="00AA5E1D"/>
    <w:pPr>
      <w:spacing w:before="120"/>
    </w:pPr>
  </w:style>
  <w:style w:type="paragraph" w:styleId="Subtitle">
    <w:name w:val="Subtitle"/>
    <w:basedOn w:val="Caption"/>
    <w:link w:val="SubtitleChar"/>
    <w:qFormat/>
    <w:rsid w:val="00AA5E1D"/>
    <w:pPr>
      <w:spacing w:before="0" w:line="200" w:lineRule="exact"/>
      <w:ind w:firstLine="0"/>
    </w:pPr>
    <w:rPr>
      <w:b w:val="0"/>
      <w:sz w:val="20"/>
    </w:rPr>
  </w:style>
  <w:style w:type="paragraph" w:customStyle="1" w:styleId="Finding">
    <w:name w:val="Finding"/>
    <w:basedOn w:val="BodyText"/>
    <w:rsid w:val="00AA5E1D"/>
    <w:pPr>
      <w:keepLines/>
      <w:spacing w:before="120" w:line="280" w:lineRule="atLeast"/>
    </w:pPr>
    <w:rPr>
      <w:rFonts w:ascii="Arial" w:hAnsi="Arial"/>
      <w:sz w:val="22"/>
    </w:rPr>
  </w:style>
  <w:style w:type="paragraph" w:customStyle="1" w:styleId="FindingBullet">
    <w:name w:val="Finding Bullet"/>
    <w:basedOn w:val="Finding"/>
    <w:rsid w:val="00AA5E1D"/>
    <w:pPr>
      <w:numPr>
        <w:numId w:val="7"/>
      </w:numPr>
      <w:spacing w:before="80"/>
    </w:pPr>
  </w:style>
  <w:style w:type="paragraph" w:customStyle="1" w:styleId="FindingNoTitle">
    <w:name w:val="Finding NoTitle"/>
    <w:basedOn w:val="Finding"/>
    <w:rsid w:val="00AA5E1D"/>
    <w:pPr>
      <w:spacing w:before="240"/>
    </w:pPr>
  </w:style>
  <w:style w:type="paragraph" w:customStyle="1" w:styleId="FindingTitle">
    <w:name w:val="Finding Title"/>
    <w:basedOn w:val="RecTitle"/>
    <w:next w:val="Finding"/>
    <w:rsid w:val="00AA5E1D"/>
  </w:style>
  <w:style w:type="paragraph" w:customStyle="1" w:styleId="FooterEnd">
    <w:name w:val="Footer End"/>
    <w:basedOn w:val="Footer"/>
    <w:rsid w:val="00AA5E1D"/>
    <w:pPr>
      <w:spacing w:before="0" w:line="20" w:lineRule="exact"/>
    </w:pPr>
  </w:style>
  <w:style w:type="character" w:styleId="FootnoteReference">
    <w:name w:val="footnote reference"/>
    <w:basedOn w:val="DefaultParagraphFont"/>
    <w:semiHidden/>
    <w:rsid w:val="00AA5E1D"/>
    <w:rPr>
      <w:rFonts w:ascii="Times New Roman" w:hAnsi="Times New Roman"/>
      <w:position w:val="6"/>
      <w:sz w:val="20"/>
      <w:vertAlign w:val="baseline"/>
    </w:rPr>
  </w:style>
  <w:style w:type="paragraph" w:styleId="FootnoteText">
    <w:name w:val="footnote text"/>
    <w:basedOn w:val="BodyText"/>
    <w:rsid w:val="00AA5E1D"/>
    <w:pPr>
      <w:tabs>
        <w:tab w:val="left" w:pos="284"/>
      </w:tabs>
      <w:spacing w:before="80" w:line="240" w:lineRule="exact"/>
      <w:ind w:left="284" w:hanging="284"/>
    </w:pPr>
    <w:rPr>
      <w:sz w:val="20"/>
    </w:rPr>
  </w:style>
  <w:style w:type="paragraph" w:styleId="Header">
    <w:name w:val="header"/>
    <w:basedOn w:val="BodyText"/>
    <w:link w:val="HeaderChar"/>
    <w:rsid w:val="00AA5E1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5E1D"/>
    <w:pPr>
      <w:spacing w:line="20" w:lineRule="exact"/>
    </w:pPr>
    <w:rPr>
      <w:sz w:val="16"/>
    </w:rPr>
  </w:style>
  <w:style w:type="paragraph" w:customStyle="1" w:styleId="HeaderEven">
    <w:name w:val="Header Even"/>
    <w:basedOn w:val="Header"/>
    <w:semiHidden/>
    <w:rsid w:val="00AA5E1D"/>
  </w:style>
  <w:style w:type="paragraph" w:customStyle="1" w:styleId="HeaderOdd">
    <w:name w:val="Header Odd"/>
    <w:basedOn w:val="Header"/>
    <w:semiHidden/>
    <w:rsid w:val="00AA5E1D"/>
  </w:style>
  <w:style w:type="paragraph" w:customStyle="1" w:styleId="InformationRequest">
    <w:name w:val="Information Request"/>
    <w:basedOn w:val="Finding"/>
    <w:next w:val="BodyText"/>
    <w:rsid w:val="00AA5E1D"/>
    <w:rPr>
      <w:i/>
    </w:rPr>
  </w:style>
  <w:style w:type="paragraph" w:styleId="ListBullet">
    <w:name w:val="List Bullet"/>
    <w:basedOn w:val="BodyText"/>
    <w:link w:val="ListBulletChar"/>
    <w:rsid w:val="00AA5E1D"/>
    <w:pPr>
      <w:numPr>
        <w:numId w:val="5"/>
      </w:numPr>
      <w:spacing w:before="120"/>
    </w:pPr>
  </w:style>
  <w:style w:type="paragraph" w:styleId="ListBullet2">
    <w:name w:val="List Bullet 2"/>
    <w:basedOn w:val="BodyText"/>
    <w:rsid w:val="00AA5E1D"/>
    <w:pPr>
      <w:numPr>
        <w:numId w:val="2"/>
      </w:numPr>
      <w:spacing w:before="120"/>
    </w:pPr>
  </w:style>
  <w:style w:type="paragraph" w:styleId="ListBullet3">
    <w:name w:val="List Bullet 3"/>
    <w:basedOn w:val="BodyText"/>
    <w:rsid w:val="00AA5E1D"/>
    <w:pPr>
      <w:numPr>
        <w:numId w:val="1"/>
      </w:numPr>
      <w:spacing w:before="120"/>
      <w:ind w:left="1020" w:hanging="340"/>
    </w:pPr>
  </w:style>
  <w:style w:type="paragraph" w:styleId="ListNumber">
    <w:name w:val="List Number"/>
    <w:basedOn w:val="BodyText"/>
    <w:rsid w:val="00AA5E1D"/>
    <w:pPr>
      <w:numPr>
        <w:numId w:val="13"/>
      </w:numPr>
      <w:spacing w:before="120"/>
    </w:pPr>
  </w:style>
  <w:style w:type="paragraph" w:styleId="ListNumber2">
    <w:name w:val="List Number 2"/>
    <w:basedOn w:val="ListNumber"/>
    <w:rsid w:val="00AA5E1D"/>
    <w:pPr>
      <w:numPr>
        <w:ilvl w:val="1"/>
      </w:numPr>
    </w:pPr>
  </w:style>
  <w:style w:type="paragraph" w:styleId="ListNumber3">
    <w:name w:val="List Number 3"/>
    <w:basedOn w:val="ListNumber2"/>
    <w:rsid w:val="00AA5E1D"/>
    <w:pPr>
      <w:numPr>
        <w:ilvl w:val="2"/>
      </w:numPr>
    </w:pPr>
  </w:style>
  <w:style w:type="paragraph" w:customStyle="1" w:styleId="Note">
    <w:name w:val="Note"/>
    <w:basedOn w:val="BodyText"/>
    <w:next w:val="BodyText"/>
    <w:link w:val="NoteChar"/>
    <w:rsid w:val="00AA5E1D"/>
    <w:pPr>
      <w:keepLines/>
      <w:spacing w:before="80" w:line="220" w:lineRule="exact"/>
    </w:pPr>
    <w:rPr>
      <w:rFonts w:ascii="Arial" w:hAnsi="Arial"/>
      <w:sz w:val="18"/>
    </w:rPr>
  </w:style>
  <w:style w:type="character" w:customStyle="1" w:styleId="NoteLabel">
    <w:name w:val="Note Label"/>
    <w:basedOn w:val="DefaultParagraphFont"/>
    <w:rsid w:val="00AA5E1D"/>
    <w:rPr>
      <w:rFonts w:ascii="Arial" w:hAnsi="Arial"/>
      <w:b/>
      <w:position w:val="6"/>
      <w:sz w:val="18"/>
    </w:rPr>
  </w:style>
  <w:style w:type="character" w:styleId="PageNumber">
    <w:name w:val="page number"/>
    <w:basedOn w:val="DefaultParagraphFont"/>
    <w:rsid w:val="00AA5E1D"/>
    <w:rPr>
      <w:rFonts w:ascii="Arial" w:hAnsi="Arial"/>
      <w:b/>
      <w:sz w:val="16"/>
    </w:rPr>
  </w:style>
  <w:style w:type="paragraph" w:customStyle="1" w:styleId="PartDivider">
    <w:name w:val="Part Divider"/>
    <w:basedOn w:val="BodyText"/>
    <w:next w:val="BodyText"/>
    <w:semiHidden/>
    <w:rsid w:val="00AA5E1D"/>
    <w:pPr>
      <w:spacing w:before="0" w:line="40" w:lineRule="exact"/>
      <w:jc w:val="right"/>
    </w:pPr>
    <w:rPr>
      <w:smallCaps/>
      <w:sz w:val="16"/>
    </w:rPr>
  </w:style>
  <w:style w:type="paragraph" w:customStyle="1" w:styleId="PartNumber">
    <w:name w:val="Part Number"/>
    <w:basedOn w:val="BodyText"/>
    <w:next w:val="BodyText"/>
    <w:semiHidden/>
    <w:rsid w:val="00AA5E1D"/>
    <w:pPr>
      <w:spacing w:before="4000" w:line="320" w:lineRule="exact"/>
      <w:ind w:left="6634"/>
      <w:jc w:val="right"/>
    </w:pPr>
    <w:rPr>
      <w:smallCaps/>
      <w:spacing w:val="60"/>
      <w:sz w:val="32"/>
    </w:rPr>
  </w:style>
  <w:style w:type="paragraph" w:customStyle="1" w:styleId="PartTitle">
    <w:name w:val="Part Title"/>
    <w:basedOn w:val="BodyText"/>
    <w:semiHidden/>
    <w:rsid w:val="00AA5E1D"/>
    <w:pPr>
      <w:spacing w:before="160" w:after="1360" w:line="520" w:lineRule="exact"/>
      <w:ind w:right="2381"/>
      <w:jc w:val="right"/>
    </w:pPr>
    <w:rPr>
      <w:smallCaps/>
      <w:sz w:val="52"/>
    </w:rPr>
  </w:style>
  <w:style w:type="paragraph" w:styleId="Quote">
    <w:name w:val="Quote"/>
    <w:basedOn w:val="BodyText"/>
    <w:next w:val="BodyText"/>
    <w:qFormat/>
    <w:rsid w:val="00AA5E1D"/>
    <w:pPr>
      <w:spacing w:before="120" w:line="280" w:lineRule="exact"/>
      <w:ind w:left="340"/>
    </w:pPr>
    <w:rPr>
      <w:sz w:val="22"/>
    </w:rPr>
  </w:style>
  <w:style w:type="paragraph" w:customStyle="1" w:styleId="Rec">
    <w:name w:val="Rec"/>
    <w:basedOn w:val="BodyText"/>
    <w:qFormat/>
    <w:rsid w:val="00AA5E1D"/>
    <w:pPr>
      <w:keepLines/>
      <w:spacing w:before="120" w:line="280" w:lineRule="atLeast"/>
    </w:pPr>
    <w:rPr>
      <w:rFonts w:ascii="Arial" w:hAnsi="Arial"/>
      <w:sz w:val="22"/>
    </w:rPr>
  </w:style>
  <w:style w:type="paragraph" w:customStyle="1" w:styleId="RecBullet">
    <w:name w:val="Rec Bullet"/>
    <w:basedOn w:val="Rec"/>
    <w:rsid w:val="00AA5E1D"/>
    <w:pPr>
      <w:numPr>
        <w:numId w:val="8"/>
      </w:numPr>
      <w:spacing w:before="80"/>
    </w:pPr>
  </w:style>
  <w:style w:type="paragraph" w:customStyle="1" w:styleId="RecTitle">
    <w:name w:val="Rec Title"/>
    <w:basedOn w:val="BodyText"/>
    <w:next w:val="Rec"/>
    <w:qFormat/>
    <w:rsid w:val="00AA5E1D"/>
    <w:pPr>
      <w:keepNext/>
      <w:keepLines/>
      <w:spacing w:line="280" w:lineRule="atLeast"/>
    </w:pPr>
    <w:rPr>
      <w:rFonts w:ascii="Arial" w:hAnsi="Arial"/>
      <w:caps/>
      <w:sz w:val="18"/>
    </w:rPr>
  </w:style>
  <w:style w:type="paragraph" w:customStyle="1" w:styleId="RecB">
    <w:name w:val="RecB"/>
    <w:basedOn w:val="Normal"/>
    <w:rsid w:val="00AA5E1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5E1D"/>
    <w:pPr>
      <w:numPr>
        <w:numId w:val="9"/>
      </w:numPr>
      <w:spacing w:before="80"/>
    </w:pPr>
  </w:style>
  <w:style w:type="paragraph" w:customStyle="1" w:styleId="RecBNoTitle">
    <w:name w:val="RecB NoTitle"/>
    <w:basedOn w:val="RecB"/>
    <w:rsid w:val="00AA5E1D"/>
    <w:pPr>
      <w:spacing w:before="240"/>
    </w:pPr>
  </w:style>
  <w:style w:type="paragraph" w:customStyle="1" w:styleId="Reference">
    <w:name w:val="Reference"/>
    <w:basedOn w:val="BodyText"/>
    <w:link w:val="ReferenceChar"/>
    <w:rsid w:val="00AA5E1D"/>
    <w:pPr>
      <w:spacing w:before="120"/>
      <w:ind w:left="340" w:hanging="340"/>
    </w:pPr>
  </w:style>
  <w:style w:type="paragraph" w:customStyle="1" w:styleId="SideNote">
    <w:name w:val="Side Note"/>
    <w:basedOn w:val="BodyText"/>
    <w:next w:val="BodyText"/>
    <w:semiHidden/>
    <w:rsid w:val="00AA5E1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5E1D"/>
    <w:pPr>
      <w:framePr w:wrap="around"/>
      <w:numPr>
        <w:numId w:val="4"/>
      </w:numPr>
      <w:tabs>
        <w:tab w:val="left" w:pos="227"/>
      </w:tabs>
    </w:pPr>
  </w:style>
  <w:style w:type="paragraph" w:customStyle="1" w:styleId="SideNoteGraphic">
    <w:name w:val="Side Note Graphic"/>
    <w:basedOn w:val="SideNote"/>
    <w:next w:val="BodyText"/>
    <w:semiHidden/>
    <w:rsid w:val="00AA5E1D"/>
    <w:pPr>
      <w:framePr w:wrap="around"/>
    </w:pPr>
  </w:style>
  <w:style w:type="paragraph" w:customStyle="1" w:styleId="Source">
    <w:name w:val="Source"/>
    <w:basedOn w:val="Normal"/>
    <w:next w:val="BodyText"/>
    <w:link w:val="SourceChar"/>
    <w:rsid w:val="00AA5E1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A5E1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A5E1D"/>
    <w:pPr>
      <w:numPr>
        <w:numId w:val="10"/>
      </w:numPr>
      <w:jc w:val="left"/>
    </w:pPr>
  </w:style>
  <w:style w:type="paragraph" w:customStyle="1" w:styleId="TableColumnHeading">
    <w:name w:val="Table Column Heading"/>
    <w:basedOn w:val="TableBodyText"/>
    <w:rsid w:val="00AA5E1D"/>
    <w:pPr>
      <w:spacing w:before="80" w:after="80"/>
    </w:pPr>
    <w:rPr>
      <w:i/>
    </w:rPr>
  </w:style>
  <w:style w:type="paragraph" w:styleId="TableofFigures">
    <w:name w:val="table of figures"/>
    <w:basedOn w:val="TOC3"/>
    <w:next w:val="BodyText"/>
    <w:semiHidden/>
    <w:rsid w:val="00AA5E1D"/>
    <w:pPr>
      <w:ind w:left="737" w:hanging="737"/>
    </w:pPr>
  </w:style>
  <w:style w:type="paragraph" w:styleId="TOC3">
    <w:name w:val="toc 3"/>
    <w:basedOn w:val="TOC2"/>
    <w:rsid w:val="00AA5E1D"/>
    <w:pPr>
      <w:spacing w:before="60"/>
      <w:ind w:left="1190" w:hanging="680"/>
    </w:pPr>
  </w:style>
  <w:style w:type="paragraph" w:customStyle="1" w:styleId="TableTitle">
    <w:name w:val="Table Title"/>
    <w:basedOn w:val="Caption"/>
    <w:next w:val="Subtitle"/>
    <w:qFormat/>
    <w:rsid w:val="00AA5E1D"/>
    <w:pPr>
      <w:spacing w:before="120"/>
    </w:pPr>
  </w:style>
  <w:style w:type="paragraph" w:customStyle="1" w:styleId="TableUnitsRow">
    <w:name w:val="Table Units Row"/>
    <w:basedOn w:val="TableBodyText"/>
    <w:rsid w:val="00AA5E1D"/>
    <w:pPr>
      <w:spacing w:before="40"/>
    </w:pPr>
  </w:style>
  <w:style w:type="paragraph" w:styleId="TOC1">
    <w:name w:val="toc 1"/>
    <w:basedOn w:val="Normal"/>
    <w:next w:val="TOC2"/>
    <w:link w:val="TOC1Char"/>
    <w:rsid w:val="00AA5E1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A5E1D"/>
    <w:pPr>
      <w:ind w:left="1134" w:hanging="624"/>
    </w:pPr>
    <w:rPr>
      <w:b w:val="0"/>
    </w:rPr>
  </w:style>
  <w:style w:type="paragraph" w:styleId="TOC4">
    <w:name w:val="toc 4"/>
    <w:basedOn w:val="TOC3"/>
    <w:semiHidden/>
    <w:rsid w:val="00AA5E1D"/>
    <w:pPr>
      <w:ind w:left="1191" w:firstLine="0"/>
    </w:pPr>
  </w:style>
  <w:style w:type="paragraph" w:customStyle="1" w:styleId="BoxContinued">
    <w:name w:val="Box Continued"/>
    <w:basedOn w:val="BodyText"/>
    <w:next w:val="BodyText"/>
    <w:link w:val="BoxContinuedChar"/>
    <w:semiHidden/>
    <w:rsid w:val="00AA5E1D"/>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A5E1D"/>
  </w:style>
  <w:style w:type="paragraph" w:customStyle="1" w:styleId="BoxHeading1">
    <w:name w:val="Box Heading 1"/>
    <w:basedOn w:val="BodyText"/>
    <w:next w:val="Box"/>
    <w:link w:val="BoxHeading1Char"/>
    <w:rsid w:val="00AA5E1D"/>
    <w:pPr>
      <w:keepNext/>
      <w:spacing w:before="200" w:line="280" w:lineRule="atLeast"/>
    </w:pPr>
    <w:rPr>
      <w:rFonts w:ascii="Arial" w:hAnsi="Arial"/>
      <w:b/>
      <w:sz w:val="22"/>
    </w:rPr>
  </w:style>
  <w:style w:type="paragraph" w:customStyle="1" w:styleId="BoxHeading2">
    <w:name w:val="Box Heading 2"/>
    <w:basedOn w:val="BoxHeading1"/>
    <w:next w:val="Normal"/>
    <w:rsid w:val="00AA5E1D"/>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AA5E1D"/>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A5E1D"/>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A5E1D"/>
    <w:pPr>
      <w:spacing w:after="140"/>
      <w:jc w:val="both"/>
    </w:pPr>
    <w:rPr>
      <w:rFonts w:ascii="Arial" w:hAnsi="Arial"/>
      <w:sz w:val="24"/>
      <w:lang w:eastAsia="en-US"/>
    </w:rPr>
  </w:style>
  <w:style w:type="paragraph" w:customStyle="1" w:styleId="Jurisdictioncommentsheading">
    <w:name w:val="Jurisdiction comments heading"/>
    <w:rsid w:val="00AA5E1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5E1D"/>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A5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sz w:val="24"/>
    </w:rPr>
  </w:style>
  <w:style w:type="character" w:customStyle="1" w:styleId="Heading5Char">
    <w:name w:val="Heading 5 Char"/>
    <w:basedOn w:val="DefaultParagraphFont"/>
    <w:link w:val="Heading5"/>
    <w:rsid w:val="00AA5E1D"/>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AA5E1D"/>
    <w:pPr>
      <w:pBdr>
        <w:left w:val="single" w:sz="24" w:space="29" w:color="C0C0C0"/>
      </w:pBdr>
    </w:pPr>
    <w:rPr>
      <w:b/>
      <w:i/>
    </w:rPr>
  </w:style>
  <w:style w:type="character" w:customStyle="1" w:styleId="BalloonTextChar">
    <w:name w:val="Balloon Text Char"/>
    <w:basedOn w:val="DefaultParagraphFont"/>
    <w:link w:val="BalloonText"/>
    <w:rsid w:val="00AA5E1D"/>
    <w:rPr>
      <w:rFonts w:ascii="Tahoma" w:hAnsi="Tahoma" w:cs="Tahoma"/>
      <w:sz w:val="16"/>
      <w:szCs w:val="16"/>
    </w:rPr>
  </w:style>
  <w:style w:type="character" w:customStyle="1" w:styleId="SubtitleChar">
    <w:name w:val="Subtitle Char"/>
    <w:basedOn w:val="DefaultParagraphFont"/>
    <w:link w:val="Subtitle"/>
    <w:rsid w:val="00AA5E1D"/>
    <w:rPr>
      <w:rFonts w:ascii="Arial" w:hAnsi="Arial"/>
      <w:szCs w:val="24"/>
    </w:rPr>
  </w:style>
  <w:style w:type="paragraph" w:customStyle="1" w:styleId="BoxListBullet3">
    <w:name w:val="Box List Bullet 3"/>
    <w:basedOn w:val="ListBullet3"/>
    <w:rsid w:val="00AA5E1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5E1D"/>
    <w:rPr>
      <w:i/>
      <w:iCs/>
    </w:rPr>
  </w:style>
  <w:style w:type="paragraph" w:customStyle="1" w:styleId="BoxQuoteBullet">
    <w:name w:val="Box Quote Bullet"/>
    <w:basedOn w:val="BoxQuote"/>
    <w:next w:val="Box"/>
    <w:rsid w:val="00AA5E1D"/>
    <w:pPr>
      <w:numPr>
        <w:numId w:val="16"/>
      </w:numPr>
      <w:ind w:left="568" w:hanging="284"/>
    </w:pPr>
  </w:style>
  <w:style w:type="paragraph" w:customStyle="1" w:styleId="InformationRequestBullet">
    <w:name w:val="Information Request Bullet"/>
    <w:basedOn w:val="ListBullet"/>
    <w:next w:val="BodyText"/>
    <w:rsid w:val="00AA5E1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AA5E1D"/>
    <w:pPr>
      <w:keepNext/>
      <w:spacing w:before="360" w:line="80" w:lineRule="exact"/>
      <w:jc w:val="left"/>
    </w:pPr>
  </w:style>
  <w:style w:type="paragraph" w:customStyle="1" w:styleId="BoxSpaceBelow">
    <w:name w:val="Box Space Below"/>
    <w:basedOn w:val="Box"/>
    <w:rsid w:val="00AA5E1D"/>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4"/>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4"/>
    </w:rPr>
  </w:style>
  <w:style w:type="paragraph" w:customStyle="1" w:styleId="KeyPointsListBullet">
    <w:name w:val="Key Points List Bullet"/>
    <w:basedOn w:val="Normal"/>
    <w:qFormat/>
    <w:rsid w:val="00AA5E1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5E1D"/>
    <w:pPr>
      <w:numPr>
        <w:numId w:val="20"/>
      </w:numPr>
      <w:ind w:left="568" w:hanging="284"/>
    </w:pPr>
  </w:style>
  <w:style w:type="paragraph" w:customStyle="1" w:styleId="InformationRequestTitle">
    <w:name w:val="Information Request Title"/>
    <w:basedOn w:val="FindingTitle"/>
    <w:next w:val="InformationRequest"/>
    <w:rsid w:val="00AA5E1D"/>
    <w:rPr>
      <w:i/>
    </w:rPr>
  </w:style>
  <w:style w:type="paragraph" w:customStyle="1" w:styleId="Space">
    <w:name w:val="Space"/>
    <w:basedOn w:val="Normal"/>
    <w:rsid w:val="00AA5E1D"/>
    <w:pPr>
      <w:keepNext/>
      <w:spacing w:line="120" w:lineRule="exact"/>
      <w:jc w:val="both"/>
    </w:pPr>
    <w:rPr>
      <w:rFonts w:ascii="Arial" w:hAnsi="Arial"/>
      <w:sz w:val="20"/>
      <w:szCs w:val="20"/>
    </w:rPr>
  </w:style>
  <w:style w:type="paragraph" w:customStyle="1" w:styleId="Heading1nochapterno">
    <w:name w:val="Heading 1 (no chapter no.)"/>
    <w:basedOn w:val="Heading1"/>
    <w:rsid w:val="00AA5E1D"/>
    <w:pPr>
      <w:spacing w:before="0"/>
      <w:ind w:left="0" w:firstLine="0"/>
    </w:pPr>
  </w:style>
  <w:style w:type="paragraph" w:customStyle="1" w:styleId="Heading2nosectionno">
    <w:name w:val="Heading 2 (no section no.)"/>
    <w:basedOn w:val="Heading2"/>
    <w:rsid w:val="00AA5E1D"/>
    <w:pPr>
      <w:ind w:left="0" w:firstLine="0"/>
    </w:pPr>
  </w:style>
  <w:style w:type="paragraph" w:customStyle="1" w:styleId="Figurespace">
    <w:name w:val="Figure space"/>
    <w:basedOn w:val="Box"/>
    <w:rsid w:val="00AA5E1D"/>
    <w:pPr>
      <w:spacing w:before="0" w:line="120" w:lineRule="exact"/>
    </w:pPr>
  </w:style>
  <w:style w:type="paragraph" w:customStyle="1" w:styleId="FooterDraftReport">
    <w:name w:val="FooterDraftReport"/>
    <w:basedOn w:val="Footer"/>
    <w:link w:val="FooterDraftReportChar"/>
    <w:rsid w:val="00AA5E1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A5E1D"/>
    <w:rPr>
      <w:rFonts w:ascii="Arial" w:hAnsi="Arial"/>
      <w:caps/>
      <w:spacing w:val="-4"/>
      <w:sz w:val="16"/>
    </w:rPr>
  </w:style>
  <w:style w:type="character" w:customStyle="1" w:styleId="FooterDraftReportChar">
    <w:name w:val="FooterDraftReport Char"/>
    <w:basedOn w:val="FooterChar"/>
    <w:link w:val="FooterDraftReport"/>
    <w:rsid w:val="00AA5E1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5E1D"/>
    <w:rPr>
      <w:rFonts w:ascii="Arial" w:hAnsi="Arial"/>
      <w:b/>
      <w:sz w:val="26"/>
      <w:szCs w:val="26"/>
      <w:lang w:eastAsia="en-US"/>
    </w:rPr>
  </w:style>
  <w:style w:type="paragraph" w:customStyle="1" w:styleId="Heading1NotTOC">
    <w:name w:val="Heading 1 Not TOC"/>
    <w:basedOn w:val="Heading1"/>
    <w:next w:val="BodyText"/>
    <w:rsid w:val="006C0B56"/>
    <w:rPr>
      <w:kern w:val="28"/>
      <w:szCs w:val="26"/>
      <w:lang w:eastAsia="en-US"/>
    </w:rPr>
  </w:style>
  <w:style w:type="character" w:styleId="Strong">
    <w:name w:val="Strong"/>
    <w:basedOn w:val="DefaultParagraphFont"/>
    <w:uiPriority w:val="99"/>
    <w:qFormat/>
    <w:rsid w:val="001D1651"/>
    <w:rPr>
      <w:rFonts w:cs="Times New Roman"/>
      <w:b/>
    </w:rPr>
  </w:style>
  <w:style w:type="paragraph" w:customStyle="1" w:styleId="Responselevel1">
    <w:name w:val="Response (level 1)"/>
    <w:basedOn w:val="Normal"/>
    <w:semiHidden/>
    <w:rsid w:val="00B36A15"/>
    <w:pPr>
      <w:keepLines/>
      <w:numPr>
        <w:numId w:val="36"/>
      </w:numPr>
      <w:spacing w:before="240" w:after="60"/>
    </w:pPr>
    <w:rPr>
      <w:sz w:val="32"/>
      <w:szCs w:val="32"/>
    </w:rPr>
  </w:style>
  <w:style w:type="character" w:customStyle="1" w:styleId="CommentTextChar">
    <w:name w:val="Comment Text Char"/>
    <w:basedOn w:val="DefaultParagraphFont"/>
    <w:link w:val="CommentText"/>
    <w:semiHidden/>
    <w:rsid w:val="00B36A15"/>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uiPriority="99"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A5E1D"/>
    <w:rPr>
      <w:sz w:val="24"/>
      <w:szCs w:val="24"/>
    </w:rPr>
  </w:style>
  <w:style w:type="paragraph" w:styleId="Heading1">
    <w:name w:val="heading 1"/>
    <w:basedOn w:val="BodyText"/>
    <w:next w:val="BodyText"/>
    <w:link w:val="Heading1Char"/>
    <w:rsid w:val="00AA5E1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5E1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5E1D"/>
    <w:pPr>
      <w:spacing w:before="560" w:line="320" w:lineRule="exact"/>
      <w:ind w:left="0" w:firstLine="0"/>
      <w:outlineLvl w:val="2"/>
    </w:pPr>
    <w:rPr>
      <w:sz w:val="26"/>
    </w:rPr>
  </w:style>
  <w:style w:type="paragraph" w:styleId="Heading4">
    <w:name w:val="heading 4"/>
    <w:basedOn w:val="Heading3"/>
    <w:next w:val="BodyText"/>
    <w:link w:val="Heading4Char"/>
    <w:qFormat/>
    <w:rsid w:val="00AA5E1D"/>
    <w:pPr>
      <w:spacing w:before="480"/>
      <w:outlineLvl w:val="3"/>
    </w:pPr>
    <w:rPr>
      <w:b w:val="0"/>
      <w:sz w:val="24"/>
    </w:rPr>
  </w:style>
  <w:style w:type="paragraph" w:styleId="Heading5">
    <w:name w:val="heading 5"/>
    <w:basedOn w:val="Heading4"/>
    <w:next w:val="BodyText"/>
    <w:link w:val="Heading5Char"/>
    <w:qFormat/>
    <w:rsid w:val="00AA5E1D"/>
    <w:pPr>
      <w:outlineLvl w:val="4"/>
    </w:pPr>
    <w:rPr>
      <w:i/>
      <w:sz w:val="22"/>
    </w:rPr>
  </w:style>
  <w:style w:type="paragraph" w:styleId="Heading6">
    <w:name w:val="heading 6"/>
    <w:basedOn w:val="BodyText"/>
    <w:next w:val="BodyText"/>
    <w:rsid w:val="00AA5E1D"/>
    <w:pPr>
      <w:spacing w:after="60"/>
      <w:jc w:val="left"/>
      <w:outlineLvl w:val="5"/>
    </w:pPr>
    <w:rPr>
      <w:i/>
      <w:sz w:val="22"/>
    </w:rPr>
  </w:style>
  <w:style w:type="paragraph" w:styleId="Heading7">
    <w:name w:val="heading 7"/>
    <w:basedOn w:val="BodyText"/>
    <w:next w:val="BodyText"/>
    <w:rsid w:val="00AA5E1D"/>
    <w:pPr>
      <w:spacing w:after="60" w:line="240" w:lineRule="auto"/>
      <w:jc w:val="left"/>
      <w:outlineLvl w:val="6"/>
    </w:pPr>
    <w:rPr>
      <w:rFonts w:ascii="Arial" w:hAnsi="Arial"/>
      <w:sz w:val="20"/>
    </w:rPr>
  </w:style>
  <w:style w:type="paragraph" w:styleId="Heading8">
    <w:name w:val="heading 8"/>
    <w:basedOn w:val="BodyText"/>
    <w:next w:val="BodyText"/>
    <w:rsid w:val="00AA5E1D"/>
    <w:pPr>
      <w:spacing w:after="60" w:line="240" w:lineRule="auto"/>
      <w:jc w:val="left"/>
      <w:outlineLvl w:val="7"/>
    </w:pPr>
    <w:rPr>
      <w:rFonts w:ascii="Arial" w:hAnsi="Arial"/>
      <w:i/>
      <w:sz w:val="20"/>
    </w:rPr>
  </w:style>
  <w:style w:type="paragraph" w:styleId="Heading9">
    <w:name w:val="heading 9"/>
    <w:basedOn w:val="BodyText"/>
    <w:next w:val="BodyText"/>
    <w:rsid w:val="00AA5E1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5E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5E1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AA5E1D"/>
    <w:pPr>
      <w:spacing w:before="240" w:line="300" w:lineRule="atLeast"/>
      <w:jc w:val="both"/>
    </w:pPr>
    <w:rPr>
      <w:sz w:val="24"/>
    </w:rPr>
  </w:style>
  <w:style w:type="paragraph" w:customStyle="1" w:styleId="Chapter">
    <w:name w:val="Chapter"/>
    <w:basedOn w:val="Heading1"/>
    <w:next w:val="BodyText"/>
    <w:link w:val="ChapterChar"/>
    <w:semiHidden/>
    <w:rsid w:val="00AA5E1D"/>
    <w:pPr>
      <w:ind w:left="0" w:firstLine="0"/>
      <w:outlineLvl w:val="9"/>
    </w:pPr>
  </w:style>
  <w:style w:type="paragraph" w:customStyle="1" w:styleId="SequenceInfo">
    <w:name w:val="Sequence Info"/>
    <w:basedOn w:val="BodyText"/>
    <w:semiHidden/>
    <w:rsid w:val="00AA5E1D"/>
    <w:rPr>
      <w:vanish/>
      <w:sz w:val="16"/>
    </w:rPr>
  </w:style>
  <w:style w:type="character" w:styleId="CommentReference">
    <w:name w:val="annotation reference"/>
    <w:basedOn w:val="DefaultParagraphFont"/>
    <w:rsid w:val="00AA5E1D"/>
    <w:rPr>
      <w:b/>
      <w:vanish/>
      <w:color w:val="FF00FF"/>
      <w:sz w:val="20"/>
    </w:rPr>
  </w:style>
  <w:style w:type="paragraph" w:styleId="CommentText">
    <w:name w:val="annotation text"/>
    <w:basedOn w:val="Normal"/>
    <w:link w:val="CommentTextChar"/>
    <w:semiHidden/>
    <w:rsid w:val="00AA5E1D"/>
    <w:pPr>
      <w:spacing w:before="120" w:line="240" w:lineRule="atLeast"/>
      <w:ind w:left="567" w:hanging="567"/>
    </w:pPr>
    <w:rPr>
      <w:sz w:val="20"/>
    </w:rPr>
  </w:style>
  <w:style w:type="paragraph" w:customStyle="1" w:styleId="Abbreviation">
    <w:name w:val="Abbreviation"/>
    <w:basedOn w:val="BodyText"/>
    <w:rsid w:val="00AA5E1D"/>
    <w:pPr>
      <w:spacing w:before="120"/>
      <w:ind w:left="2381" w:hanging="2381"/>
      <w:jc w:val="left"/>
    </w:pPr>
  </w:style>
  <w:style w:type="paragraph" w:customStyle="1" w:styleId="Box">
    <w:name w:val="Box"/>
    <w:basedOn w:val="BodyText"/>
    <w:link w:val="BoxChar"/>
    <w:qFormat/>
    <w:rsid w:val="00AA5E1D"/>
    <w:pPr>
      <w:keepNext/>
      <w:spacing w:before="120" w:line="260" w:lineRule="atLeast"/>
    </w:pPr>
    <w:rPr>
      <w:rFonts w:ascii="Arial" w:hAnsi="Arial"/>
      <w:sz w:val="20"/>
    </w:rPr>
  </w:style>
  <w:style w:type="paragraph" w:customStyle="1" w:styleId="QuoteBullet">
    <w:name w:val="Quote Bullet"/>
    <w:basedOn w:val="Quote"/>
    <w:rsid w:val="00AA5E1D"/>
    <w:pPr>
      <w:numPr>
        <w:numId w:val="11"/>
      </w:numPr>
    </w:pPr>
  </w:style>
  <w:style w:type="paragraph" w:customStyle="1" w:styleId="BoxListBullet">
    <w:name w:val="Box List Bullet"/>
    <w:basedOn w:val="BodyText"/>
    <w:link w:val="BoxListBulletChar"/>
    <w:rsid w:val="00AA5E1D"/>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AA5E1D"/>
    <w:pPr>
      <w:numPr>
        <w:numId w:val="3"/>
      </w:numPr>
      <w:ind w:left="568" w:hanging="284"/>
    </w:pPr>
  </w:style>
  <w:style w:type="paragraph" w:customStyle="1" w:styleId="BoxListNumber">
    <w:name w:val="Box List Number"/>
    <w:basedOn w:val="BodyText"/>
    <w:link w:val="BoxListNumberChar"/>
    <w:rsid w:val="00AA5E1D"/>
    <w:pPr>
      <w:keepNext/>
      <w:numPr>
        <w:numId w:val="14"/>
      </w:numPr>
      <w:spacing w:before="100" w:line="260" w:lineRule="atLeast"/>
    </w:pPr>
    <w:rPr>
      <w:rFonts w:ascii="Arial" w:hAnsi="Arial"/>
      <w:sz w:val="20"/>
    </w:rPr>
  </w:style>
  <w:style w:type="paragraph" w:customStyle="1" w:styleId="BoxListNumber2">
    <w:name w:val="Box List Number 2"/>
    <w:basedOn w:val="BoxListNumber"/>
    <w:link w:val="BoxListNumber2Char"/>
    <w:rsid w:val="00AA5E1D"/>
    <w:pPr>
      <w:numPr>
        <w:ilvl w:val="1"/>
      </w:numPr>
      <w:ind w:left="681" w:hanging="397"/>
    </w:pPr>
  </w:style>
  <w:style w:type="paragraph" w:customStyle="1" w:styleId="BoxQuote">
    <w:name w:val="Box Quote"/>
    <w:basedOn w:val="BodyText"/>
    <w:next w:val="Box"/>
    <w:qFormat/>
    <w:rsid w:val="00AA5E1D"/>
    <w:pPr>
      <w:keepNext/>
      <w:spacing w:before="60" w:line="240" w:lineRule="exact"/>
      <w:ind w:left="284"/>
    </w:pPr>
    <w:rPr>
      <w:rFonts w:ascii="Arial" w:hAnsi="Arial"/>
      <w:sz w:val="18"/>
    </w:rPr>
  </w:style>
  <w:style w:type="paragraph" w:customStyle="1" w:styleId="BoxSource">
    <w:name w:val="Box Source"/>
    <w:basedOn w:val="Source"/>
    <w:next w:val="BodyText"/>
    <w:link w:val="BoxSourceChar"/>
    <w:rsid w:val="00AA5E1D"/>
    <w:pPr>
      <w:spacing w:before="12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AA5E1D"/>
    <w:pPr>
      <w:spacing w:after="80" w:line="200" w:lineRule="exact"/>
      <w:ind w:firstLine="0"/>
    </w:pPr>
    <w:rPr>
      <w:b w:val="0"/>
      <w:sz w:val="20"/>
    </w:rPr>
  </w:style>
  <w:style w:type="paragraph" w:customStyle="1" w:styleId="BoxTitle">
    <w:name w:val="Box Title"/>
    <w:basedOn w:val="Caption"/>
    <w:next w:val="BoxSubtitle"/>
    <w:link w:val="BoxTitleChar"/>
    <w:rsid w:val="00AA5E1D"/>
    <w:pPr>
      <w:spacing w:before="120" w:after="0"/>
    </w:pPr>
  </w:style>
  <w:style w:type="paragraph" w:styleId="Caption">
    <w:name w:val="caption"/>
    <w:basedOn w:val="Normal"/>
    <w:next w:val="BodyText"/>
    <w:link w:val="CaptionChar"/>
    <w:rsid w:val="00AA5E1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AA5E1D"/>
    <w:pPr>
      <w:spacing w:line="280" w:lineRule="atLeast"/>
      <w:ind w:left="907"/>
    </w:pPr>
    <w:rPr>
      <w:rFonts w:ascii="Arial" w:hAnsi="Arial"/>
      <w:b/>
      <w:sz w:val="20"/>
    </w:rPr>
  </w:style>
  <w:style w:type="character" w:customStyle="1" w:styleId="DocumentInfo">
    <w:name w:val="Document Info"/>
    <w:basedOn w:val="DefaultParagraphFont"/>
    <w:semiHidden/>
    <w:rsid w:val="00AA5E1D"/>
    <w:rPr>
      <w:rFonts w:ascii="Arial" w:hAnsi="Arial"/>
      <w:sz w:val="14"/>
    </w:rPr>
  </w:style>
  <w:style w:type="paragraph" w:styleId="Footer">
    <w:name w:val="footer"/>
    <w:basedOn w:val="BodyText"/>
    <w:link w:val="FooterChar"/>
    <w:rsid w:val="00AA5E1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AA5E1D"/>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AA5E1D"/>
    <w:pPr>
      <w:keepNext/>
      <w:spacing w:before="120" w:after="120" w:line="240" w:lineRule="atLeast"/>
      <w:jc w:val="center"/>
    </w:pPr>
  </w:style>
  <w:style w:type="paragraph" w:customStyle="1" w:styleId="FigureTitle">
    <w:name w:val="Figure Title"/>
    <w:basedOn w:val="Caption"/>
    <w:next w:val="Subtitle"/>
    <w:link w:val="FigureTitleChar"/>
    <w:rsid w:val="00AA5E1D"/>
    <w:pPr>
      <w:spacing w:before="120"/>
    </w:pPr>
  </w:style>
  <w:style w:type="paragraph" w:styleId="Subtitle">
    <w:name w:val="Subtitle"/>
    <w:basedOn w:val="Caption"/>
    <w:link w:val="SubtitleChar"/>
    <w:qFormat/>
    <w:rsid w:val="00AA5E1D"/>
    <w:pPr>
      <w:spacing w:before="0" w:line="200" w:lineRule="exact"/>
      <w:ind w:firstLine="0"/>
    </w:pPr>
    <w:rPr>
      <w:b w:val="0"/>
      <w:sz w:val="20"/>
    </w:rPr>
  </w:style>
  <w:style w:type="paragraph" w:customStyle="1" w:styleId="Finding">
    <w:name w:val="Finding"/>
    <w:basedOn w:val="BodyText"/>
    <w:rsid w:val="00AA5E1D"/>
    <w:pPr>
      <w:keepLines/>
      <w:spacing w:before="120" w:line="280" w:lineRule="atLeast"/>
    </w:pPr>
    <w:rPr>
      <w:rFonts w:ascii="Arial" w:hAnsi="Arial"/>
      <w:sz w:val="22"/>
    </w:rPr>
  </w:style>
  <w:style w:type="paragraph" w:customStyle="1" w:styleId="FindingBullet">
    <w:name w:val="Finding Bullet"/>
    <w:basedOn w:val="Finding"/>
    <w:rsid w:val="00AA5E1D"/>
    <w:pPr>
      <w:numPr>
        <w:numId w:val="7"/>
      </w:numPr>
      <w:spacing w:before="80"/>
    </w:pPr>
  </w:style>
  <w:style w:type="paragraph" w:customStyle="1" w:styleId="FindingNoTitle">
    <w:name w:val="Finding NoTitle"/>
    <w:basedOn w:val="Finding"/>
    <w:rsid w:val="00AA5E1D"/>
    <w:pPr>
      <w:spacing w:before="240"/>
    </w:pPr>
  </w:style>
  <w:style w:type="paragraph" w:customStyle="1" w:styleId="FindingTitle">
    <w:name w:val="Finding Title"/>
    <w:basedOn w:val="RecTitle"/>
    <w:next w:val="Finding"/>
    <w:rsid w:val="00AA5E1D"/>
  </w:style>
  <w:style w:type="paragraph" w:customStyle="1" w:styleId="FooterEnd">
    <w:name w:val="Footer End"/>
    <w:basedOn w:val="Footer"/>
    <w:rsid w:val="00AA5E1D"/>
    <w:pPr>
      <w:spacing w:before="0" w:line="20" w:lineRule="exact"/>
    </w:pPr>
  </w:style>
  <w:style w:type="character" w:styleId="FootnoteReference">
    <w:name w:val="footnote reference"/>
    <w:basedOn w:val="DefaultParagraphFont"/>
    <w:semiHidden/>
    <w:rsid w:val="00AA5E1D"/>
    <w:rPr>
      <w:rFonts w:ascii="Times New Roman" w:hAnsi="Times New Roman"/>
      <w:position w:val="6"/>
      <w:sz w:val="20"/>
      <w:vertAlign w:val="baseline"/>
    </w:rPr>
  </w:style>
  <w:style w:type="paragraph" w:styleId="FootnoteText">
    <w:name w:val="footnote text"/>
    <w:basedOn w:val="BodyText"/>
    <w:rsid w:val="00AA5E1D"/>
    <w:pPr>
      <w:tabs>
        <w:tab w:val="left" w:pos="284"/>
      </w:tabs>
      <w:spacing w:before="80" w:line="240" w:lineRule="exact"/>
      <w:ind w:left="284" w:hanging="284"/>
    </w:pPr>
    <w:rPr>
      <w:sz w:val="20"/>
    </w:rPr>
  </w:style>
  <w:style w:type="paragraph" w:styleId="Header">
    <w:name w:val="header"/>
    <w:basedOn w:val="BodyText"/>
    <w:link w:val="HeaderChar"/>
    <w:rsid w:val="00AA5E1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5E1D"/>
    <w:pPr>
      <w:spacing w:line="20" w:lineRule="exact"/>
    </w:pPr>
    <w:rPr>
      <w:sz w:val="16"/>
    </w:rPr>
  </w:style>
  <w:style w:type="paragraph" w:customStyle="1" w:styleId="HeaderEven">
    <w:name w:val="Header Even"/>
    <w:basedOn w:val="Header"/>
    <w:semiHidden/>
    <w:rsid w:val="00AA5E1D"/>
  </w:style>
  <w:style w:type="paragraph" w:customStyle="1" w:styleId="HeaderOdd">
    <w:name w:val="Header Odd"/>
    <w:basedOn w:val="Header"/>
    <w:semiHidden/>
    <w:rsid w:val="00AA5E1D"/>
  </w:style>
  <w:style w:type="paragraph" w:customStyle="1" w:styleId="InformationRequest">
    <w:name w:val="Information Request"/>
    <w:basedOn w:val="Finding"/>
    <w:next w:val="BodyText"/>
    <w:rsid w:val="00AA5E1D"/>
    <w:rPr>
      <w:i/>
    </w:rPr>
  </w:style>
  <w:style w:type="paragraph" w:styleId="ListBullet">
    <w:name w:val="List Bullet"/>
    <w:basedOn w:val="BodyText"/>
    <w:link w:val="ListBulletChar"/>
    <w:rsid w:val="00AA5E1D"/>
    <w:pPr>
      <w:numPr>
        <w:numId w:val="5"/>
      </w:numPr>
      <w:spacing w:before="120"/>
    </w:pPr>
  </w:style>
  <w:style w:type="paragraph" w:styleId="ListBullet2">
    <w:name w:val="List Bullet 2"/>
    <w:basedOn w:val="BodyText"/>
    <w:rsid w:val="00AA5E1D"/>
    <w:pPr>
      <w:numPr>
        <w:numId w:val="2"/>
      </w:numPr>
      <w:spacing w:before="120"/>
    </w:pPr>
  </w:style>
  <w:style w:type="paragraph" w:styleId="ListBullet3">
    <w:name w:val="List Bullet 3"/>
    <w:basedOn w:val="BodyText"/>
    <w:rsid w:val="00AA5E1D"/>
    <w:pPr>
      <w:numPr>
        <w:numId w:val="1"/>
      </w:numPr>
      <w:spacing w:before="120"/>
      <w:ind w:left="1020" w:hanging="340"/>
    </w:pPr>
  </w:style>
  <w:style w:type="paragraph" w:styleId="ListNumber">
    <w:name w:val="List Number"/>
    <w:basedOn w:val="BodyText"/>
    <w:rsid w:val="00AA5E1D"/>
    <w:pPr>
      <w:numPr>
        <w:numId w:val="13"/>
      </w:numPr>
      <w:spacing w:before="120"/>
    </w:pPr>
  </w:style>
  <w:style w:type="paragraph" w:styleId="ListNumber2">
    <w:name w:val="List Number 2"/>
    <w:basedOn w:val="ListNumber"/>
    <w:rsid w:val="00AA5E1D"/>
    <w:pPr>
      <w:numPr>
        <w:ilvl w:val="1"/>
      </w:numPr>
    </w:pPr>
  </w:style>
  <w:style w:type="paragraph" w:styleId="ListNumber3">
    <w:name w:val="List Number 3"/>
    <w:basedOn w:val="ListNumber2"/>
    <w:rsid w:val="00AA5E1D"/>
    <w:pPr>
      <w:numPr>
        <w:ilvl w:val="2"/>
      </w:numPr>
    </w:pPr>
  </w:style>
  <w:style w:type="paragraph" w:customStyle="1" w:styleId="Note">
    <w:name w:val="Note"/>
    <w:basedOn w:val="BodyText"/>
    <w:next w:val="BodyText"/>
    <w:link w:val="NoteChar"/>
    <w:rsid w:val="00AA5E1D"/>
    <w:pPr>
      <w:keepLines/>
      <w:spacing w:before="80" w:line="220" w:lineRule="exact"/>
    </w:pPr>
    <w:rPr>
      <w:rFonts w:ascii="Arial" w:hAnsi="Arial"/>
      <w:sz w:val="18"/>
    </w:rPr>
  </w:style>
  <w:style w:type="character" w:customStyle="1" w:styleId="NoteLabel">
    <w:name w:val="Note Label"/>
    <w:basedOn w:val="DefaultParagraphFont"/>
    <w:rsid w:val="00AA5E1D"/>
    <w:rPr>
      <w:rFonts w:ascii="Arial" w:hAnsi="Arial"/>
      <w:b/>
      <w:position w:val="6"/>
      <w:sz w:val="18"/>
    </w:rPr>
  </w:style>
  <w:style w:type="character" w:styleId="PageNumber">
    <w:name w:val="page number"/>
    <w:basedOn w:val="DefaultParagraphFont"/>
    <w:rsid w:val="00AA5E1D"/>
    <w:rPr>
      <w:rFonts w:ascii="Arial" w:hAnsi="Arial"/>
      <w:b/>
      <w:sz w:val="16"/>
    </w:rPr>
  </w:style>
  <w:style w:type="paragraph" w:customStyle="1" w:styleId="PartDivider">
    <w:name w:val="Part Divider"/>
    <w:basedOn w:val="BodyText"/>
    <w:next w:val="BodyText"/>
    <w:semiHidden/>
    <w:rsid w:val="00AA5E1D"/>
    <w:pPr>
      <w:spacing w:before="0" w:line="40" w:lineRule="exact"/>
      <w:jc w:val="right"/>
    </w:pPr>
    <w:rPr>
      <w:smallCaps/>
      <w:sz w:val="16"/>
    </w:rPr>
  </w:style>
  <w:style w:type="paragraph" w:customStyle="1" w:styleId="PartNumber">
    <w:name w:val="Part Number"/>
    <w:basedOn w:val="BodyText"/>
    <w:next w:val="BodyText"/>
    <w:semiHidden/>
    <w:rsid w:val="00AA5E1D"/>
    <w:pPr>
      <w:spacing w:before="4000" w:line="320" w:lineRule="exact"/>
      <w:ind w:left="6634"/>
      <w:jc w:val="right"/>
    </w:pPr>
    <w:rPr>
      <w:smallCaps/>
      <w:spacing w:val="60"/>
      <w:sz w:val="32"/>
    </w:rPr>
  </w:style>
  <w:style w:type="paragraph" w:customStyle="1" w:styleId="PartTitle">
    <w:name w:val="Part Title"/>
    <w:basedOn w:val="BodyText"/>
    <w:semiHidden/>
    <w:rsid w:val="00AA5E1D"/>
    <w:pPr>
      <w:spacing w:before="160" w:after="1360" w:line="520" w:lineRule="exact"/>
      <w:ind w:right="2381"/>
      <w:jc w:val="right"/>
    </w:pPr>
    <w:rPr>
      <w:smallCaps/>
      <w:sz w:val="52"/>
    </w:rPr>
  </w:style>
  <w:style w:type="paragraph" w:styleId="Quote">
    <w:name w:val="Quote"/>
    <w:basedOn w:val="BodyText"/>
    <w:next w:val="BodyText"/>
    <w:qFormat/>
    <w:rsid w:val="00AA5E1D"/>
    <w:pPr>
      <w:spacing w:before="120" w:line="280" w:lineRule="exact"/>
      <w:ind w:left="340"/>
    </w:pPr>
    <w:rPr>
      <w:sz w:val="22"/>
    </w:rPr>
  </w:style>
  <w:style w:type="paragraph" w:customStyle="1" w:styleId="Rec">
    <w:name w:val="Rec"/>
    <w:basedOn w:val="BodyText"/>
    <w:qFormat/>
    <w:rsid w:val="00AA5E1D"/>
    <w:pPr>
      <w:keepLines/>
      <w:spacing w:before="120" w:line="280" w:lineRule="atLeast"/>
    </w:pPr>
    <w:rPr>
      <w:rFonts w:ascii="Arial" w:hAnsi="Arial"/>
      <w:sz w:val="22"/>
    </w:rPr>
  </w:style>
  <w:style w:type="paragraph" w:customStyle="1" w:styleId="RecBullet">
    <w:name w:val="Rec Bullet"/>
    <w:basedOn w:val="Rec"/>
    <w:rsid w:val="00AA5E1D"/>
    <w:pPr>
      <w:numPr>
        <w:numId w:val="8"/>
      </w:numPr>
      <w:spacing w:before="80"/>
    </w:pPr>
  </w:style>
  <w:style w:type="paragraph" w:customStyle="1" w:styleId="RecTitle">
    <w:name w:val="Rec Title"/>
    <w:basedOn w:val="BodyText"/>
    <w:next w:val="Rec"/>
    <w:qFormat/>
    <w:rsid w:val="00AA5E1D"/>
    <w:pPr>
      <w:keepNext/>
      <w:keepLines/>
      <w:spacing w:line="280" w:lineRule="atLeast"/>
    </w:pPr>
    <w:rPr>
      <w:rFonts w:ascii="Arial" w:hAnsi="Arial"/>
      <w:caps/>
      <w:sz w:val="18"/>
    </w:rPr>
  </w:style>
  <w:style w:type="paragraph" w:customStyle="1" w:styleId="RecB">
    <w:name w:val="RecB"/>
    <w:basedOn w:val="Normal"/>
    <w:rsid w:val="00AA5E1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A5E1D"/>
    <w:pPr>
      <w:numPr>
        <w:numId w:val="9"/>
      </w:numPr>
      <w:spacing w:before="80"/>
    </w:pPr>
  </w:style>
  <w:style w:type="paragraph" w:customStyle="1" w:styleId="RecBNoTitle">
    <w:name w:val="RecB NoTitle"/>
    <w:basedOn w:val="RecB"/>
    <w:rsid w:val="00AA5E1D"/>
    <w:pPr>
      <w:spacing w:before="240"/>
    </w:pPr>
  </w:style>
  <w:style w:type="paragraph" w:customStyle="1" w:styleId="Reference">
    <w:name w:val="Reference"/>
    <w:basedOn w:val="BodyText"/>
    <w:link w:val="ReferenceChar"/>
    <w:rsid w:val="00AA5E1D"/>
    <w:pPr>
      <w:spacing w:before="120"/>
      <w:ind w:left="340" w:hanging="340"/>
    </w:pPr>
  </w:style>
  <w:style w:type="paragraph" w:customStyle="1" w:styleId="SideNote">
    <w:name w:val="Side Note"/>
    <w:basedOn w:val="BodyText"/>
    <w:next w:val="BodyText"/>
    <w:semiHidden/>
    <w:rsid w:val="00AA5E1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5E1D"/>
    <w:pPr>
      <w:framePr w:wrap="around"/>
      <w:numPr>
        <w:numId w:val="4"/>
      </w:numPr>
      <w:tabs>
        <w:tab w:val="left" w:pos="227"/>
      </w:tabs>
    </w:pPr>
  </w:style>
  <w:style w:type="paragraph" w:customStyle="1" w:styleId="SideNoteGraphic">
    <w:name w:val="Side Note Graphic"/>
    <w:basedOn w:val="SideNote"/>
    <w:next w:val="BodyText"/>
    <w:semiHidden/>
    <w:rsid w:val="00AA5E1D"/>
    <w:pPr>
      <w:framePr w:wrap="around"/>
    </w:pPr>
  </w:style>
  <w:style w:type="paragraph" w:customStyle="1" w:styleId="Source">
    <w:name w:val="Source"/>
    <w:basedOn w:val="Normal"/>
    <w:next w:val="BodyText"/>
    <w:link w:val="SourceChar"/>
    <w:rsid w:val="00AA5E1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AA5E1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A5E1D"/>
    <w:pPr>
      <w:numPr>
        <w:numId w:val="10"/>
      </w:numPr>
      <w:jc w:val="left"/>
    </w:pPr>
  </w:style>
  <w:style w:type="paragraph" w:customStyle="1" w:styleId="TableColumnHeading">
    <w:name w:val="Table Column Heading"/>
    <w:basedOn w:val="TableBodyText"/>
    <w:rsid w:val="00AA5E1D"/>
    <w:pPr>
      <w:spacing w:before="80" w:after="80"/>
    </w:pPr>
    <w:rPr>
      <w:i/>
    </w:rPr>
  </w:style>
  <w:style w:type="paragraph" w:styleId="TableofFigures">
    <w:name w:val="table of figures"/>
    <w:basedOn w:val="TOC3"/>
    <w:next w:val="BodyText"/>
    <w:semiHidden/>
    <w:rsid w:val="00AA5E1D"/>
    <w:pPr>
      <w:ind w:left="737" w:hanging="737"/>
    </w:pPr>
  </w:style>
  <w:style w:type="paragraph" w:styleId="TOC3">
    <w:name w:val="toc 3"/>
    <w:basedOn w:val="TOC2"/>
    <w:rsid w:val="00AA5E1D"/>
    <w:pPr>
      <w:spacing w:before="60"/>
      <w:ind w:left="1190" w:hanging="680"/>
    </w:pPr>
  </w:style>
  <w:style w:type="paragraph" w:customStyle="1" w:styleId="TableTitle">
    <w:name w:val="Table Title"/>
    <w:basedOn w:val="Caption"/>
    <w:next w:val="Subtitle"/>
    <w:qFormat/>
    <w:rsid w:val="00AA5E1D"/>
    <w:pPr>
      <w:spacing w:before="120"/>
    </w:pPr>
  </w:style>
  <w:style w:type="paragraph" w:customStyle="1" w:styleId="TableUnitsRow">
    <w:name w:val="Table Units Row"/>
    <w:basedOn w:val="TableBodyText"/>
    <w:rsid w:val="00AA5E1D"/>
    <w:pPr>
      <w:spacing w:before="40"/>
    </w:pPr>
  </w:style>
  <w:style w:type="paragraph" w:styleId="TOC1">
    <w:name w:val="toc 1"/>
    <w:basedOn w:val="Normal"/>
    <w:next w:val="TOC2"/>
    <w:link w:val="TOC1Char"/>
    <w:rsid w:val="00AA5E1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AA5E1D"/>
    <w:pPr>
      <w:ind w:left="1134" w:hanging="624"/>
    </w:pPr>
    <w:rPr>
      <w:b w:val="0"/>
    </w:rPr>
  </w:style>
  <w:style w:type="paragraph" w:styleId="TOC4">
    <w:name w:val="toc 4"/>
    <w:basedOn w:val="TOC3"/>
    <w:semiHidden/>
    <w:rsid w:val="00AA5E1D"/>
    <w:pPr>
      <w:ind w:left="1191" w:firstLine="0"/>
    </w:pPr>
  </w:style>
  <w:style w:type="paragraph" w:customStyle="1" w:styleId="BoxContinued">
    <w:name w:val="Box Continued"/>
    <w:basedOn w:val="BodyText"/>
    <w:next w:val="BodyText"/>
    <w:link w:val="BoxContinuedChar"/>
    <w:semiHidden/>
    <w:rsid w:val="00AA5E1D"/>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AA5E1D"/>
  </w:style>
  <w:style w:type="paragraph" w:customStyle="1" w:styleId="BoxHeading1">
    <w:name w:val="Box Heading 1"/>
    <w:basedOn w:val="BodyText"/>
    <w:next w:val="Box"/>
    <w:link w:val="BoxHeading1Char"/>
    <w:rsid w:val="00AA5E1D"/>
    <w:pPr>
      <w:keepNext/>
      <w:spacing w:before="200" w:line="280" w:lineRule="atLeast"/>
    </w:pPr>
    <w:rPr>
      <w:rFonts w:ascii="Arial" w:hAnsi="Arial"/>
      <w:b/>
      <w:sz w:val="22"/>
    </w:rPr>
  </w:style>
  <w:style w:type="paragraph" w:customStyle="1" w:styleId="BoxHeading2">
    <w:name w:val="Box Heading 2"/>
    <w:basedOn w:val="BoxHeading1"/>
    <w:next w:val="Normal"/>
    <w:rsid w:val="00AA5E1D"/>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rPr>
  </w:style>
  <w:style w:type="character" w:customStyle="1" w:styleId="BoxListNumberChar">
    <w:name w:val="Box List Number Char"/>
    <w:basedOn w:val="BoxChar"/>
    <w:link w:val="BoxListNumber"/>
    <w:rsid w:val="000F4BFC"/>
    <w:rPr>
      <w:rFonts w:ascii="Arial" w:hAnsi="Arial"/>
    </w:rPr>
  </w:style>
  <w:style w:type="character" w:customStyle="1" w:styleId="BoxListNumber2Char">
    <w:name w:val="Box List Number 2 Char"/>
    <w:basedOn w:val="BoxListNumberChar"/>
    <w:link w:val="BoxListNumber2"/>
    <w:rsid w:val="000F4BFC"/>
    <w:rPr>
      <w:rFonts w:ascii="Arial" w:hAnsi="Arial"/>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AA5E1D"/>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A5E1D"/>
    <w:rPr>
      <w:sz w:val="24"/>
    </w:rPr>
  </w:style>
  <w:style w:type="character" w:customStyle="1" w:styleId="TableBodyTextChar">
    <w:name w:val="Table Body Text Char"/>
    <w:link w:val="TableBodyText"/>
    <w:rsid w:val="00FD28F6"/>
    <w:rPr>
      <w:rFonts w:ascii="Arial" w:hAnsi="Arial"/>
      <w:sz w:val="18"/>
    </w:rPr>
  </w:style>
  <w:style w:type="character" w:customStyle="1" w:styleId="TableBulletChar">
    <w:name w:val="Table Bullet Char"/>
    <w:basedOn w:val="TableBodyTextChar"/>
    <w:link w:val="TableBullet"/>
    <w:rsid w:val="00AB3040"/>
    <w:rPr>
      <w:rFonts w:ascii="Arial" w:hAnsi="Arial"/>
      <w:sz w:val="18"/>
    </w:rPr>
  </w:style>
  <w:style w:type="paragraph" w:customStyle="1" w:styleId="Jurisdictioncommentsbodytext">
    <w:name w:val="Jurisdiction comments body text"/>
    <w:link w:val="JurisdictioncommentsbodytextChar"/>
    <w:rsid w:val="00AA5E1D"/>
    <w:pPr>
      <w:spacing w:after="140"/>
      <w:jc w:val="both"/>
    </w:pPr>
    <w:rPr>
      <w:rFonts w:ascii="Arial" w:hAnsi="Arial"/>
      <w:sz w:val="24"/>
      <w:lang w:eastAsia="en-US"/>
    </w:rPr>
  </w:style>
  <w:style w:type="paragraph" w:customStyle="1" w:styleId="Jurisdictioncommentsheading">
    <w:name w:val="Jurisdiction comments heading"/>
    <w:rsid w:val="00AA5E1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5E1D"/>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AA5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4"/>
    </w:rPr>
  </w:style>
  <w:style w:type="paragraph" w:customStyle="1" w:styleId="SOC">
    <w:name w:val="SOC"/>
    <w:basedOn w:val="BodyText"/>
    <w:rsid w:val="006A272C"/>
    <w:pPr>
      <w:spacing w:before="0" w:after="140" w:line="240" w:lineRule="auto"/>
    </w:pPr>
    <w:rPr>
      <w:rFonts w:ascii="Arial" w:hAnsi="Arial"/>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sz w:val="24"/>
    </w:rPr>
  </w:style>
  <w:style w:type="character" w:customStyle="1" w:styleId="Heading5Char">
    <w:name w:val="Heading 5 Char"/>
    <w:basedOn w:val="DefaultParagraphFont"/>
    <w:link w:val="Heading5"/>
    <w:rsid w:val="00AA5E1D"/>
    <w:rPr>
      <w:rFonts w:ascii="Arial" w:hAnsi="Arial"/>
      <w:i/>
      <w:sz w:val="22"/>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4"/>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AA5E1D"/>
    <w:pPr>
      <w:pBdr>
        <w:left w:val="single" w:sz="24" w:space="29" w:color="C0C0C0"/>
      </w:pBdr>
    </w:pPr>
    <w:rPr>
      <w:b/>
      <w:i/>
    </w:rPr>
  </w:style>
  <w:style w:type="character" w:customStyle="1" w:styleId="BalloonTextChar">
    <w:name w:val="Balloon Text Char"/>
    <w:basedOn w:val="DefaultParagraphFont"/>
    <w:link w:val="BalloonText"/>
    <w:rsid w:val="00AA5E1D"/>
    <w:rPr>
      <w:rFonts w:ascii="Tahoma" w:hAnsi="Tahoma" w:cs="Tahoma"/>
      <w:sz w:val="16"/>
      <w:szCs w:val="16"/>
    </w:rPr>
  </w:style>
  <w:style w:type="character" w:customStyle="1" w:styleId="SubtitleChar">
    <w:name w:val="Subtitle Char"/>
    <w:basedOn w:val="DefaultParagraphFont"/>
    <w:link w:val="Subtitle"/>
    <w:rsid w:val="00AA5E1D"/>
    <w:rPr>
      <w:rFonts w:ascii="Arial" w:hAnsi="Arial"/>
      <w:szCs w:val="24"/>
    </w:rPr>
  </w:style>
  <w:style w:type="paragraph" w:customStyle="1" w:styleId="BoxListBullet3">
    <w:name w:val="Box List Bullet 3"/>
    <w:basedOn w:val="ListBullet3"/>
    <w:rsid w:val="00AA5E1D"/>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5E1D"/>
    <w:rPr>
      <w:i/>
      <w:iCs/>
    </w:rPr>
  </w:style>
  <w:style w:type="paragraph" w:customStyle="1" w:styleId="BoxQuoteBullet">
    <w:name w:val="Box Quote Bullet"/>
    <w:basedOn w:val="BoxQuote"/>
    <w:next w:val="Box"/>
    <w:rsid w:val="00AA5E1D"/>
    <w:pPr>
      <w:numPr>
        <w:numId w:val="16"/>
      </w:numPr>
      <w:ind w:left="568" w:hanging="284"/>
    </w:pPr>
  </w:style>
  <w:style w:type="paragraph" w:customStyle="1" w:styleId="InformationRequestBullet">
    <w:name w:val="Information Request Bullet"/>
    <w:basedOn w:val="ListBullet"/>
    <w:next w:val="BodyText"/>
    <w:rsid w:val="00AA5E1D"/>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AA5E1D"/>
    <w:pPr>
      <w:keepNext/>
      <w:spacing w:before="360" w:line="80" w:lineRule="exact"/>
      <w:jc w:val="left"/>
    </w:pPr>
  </w:style>
  <w:style w:type="paragraph" w:customStyle="1" w:styleId="BoxSpaceBelow">
    <w:name w:val="Box Space Below"/>
    <w:basedOn w:val="Box"/>
    <w:rsid w:val="00AA5E1D"/>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4"/>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4"/>
    </w:rPr>
  </w:style>
  <w:style w:type="paragraph" w:customStyle="1" w:styleId="KeyPointsListBullet">
    <w:name w:val="Key Points List Bullet"/>
    <w:basedOn w:val="Normal"/>
    <w:qFormat/>
    <w:rsid w:val="00AA5E1D"/>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5E1D"/>
    <w:pPr>
      <w:numPr>
        <w:numId w:val="20"/>
      </w:numPr>
      <w:ind w:left="568" w:hanging="284"/>
    </w:pPr>
  </w:style>
  <w:style w:type="paragraph" w:customStyle="1" w:styleId="InformationRequestTitle">
    <w:name w:val="Information Request Title"/>
    <w:basedOn w:val="FindingTitle"/>
    <w:next w:val="InformationRequest"/>
    <w:rsid w:val="00AA5E1D"/>
    <w:rPr>
      <w:i/>
    </w:rPr>
  </w:style>
  <w:style w:type="paragraph" w:customStyle="1" w:styleId="Space">
    <w:name w:val="Space"/>
    <w:basedOn w:val="Normal"/>
    <w:rsid w:val="00AA5E1D"/>
    <w:pPr>
      <w:keepNext/>
      <w:spacing w:line="120" w:lineRule="exact"/>
      <w:jc w:val="both"/>
    </w:pPr>
    <w:rPr>
      <w:rFonts w:ascii="Arial" w:hAnsi="Arial"/>
      <w:sz w:val="20"/>
      <w:szCs w:val="20"/>
    </w:rPr>
  </w:style>
  <w:style w:type="paragraph" w:customStyle="1" w:styleId="Heading1nochapterno">
    <w:name w:val="Heading 1 (no chapter no.)"/>
    <w:basedOn w:val="Heading1"/>
    <w:rsid w:val="00AA5E1D"/>
    <w:pPr>
      <w:spacing w:before="0"/>
      <w:ind w:left="0" w:firstLine="0"/>
    </w:pPr>
  </w:style>
  <w:style w:type="paragraph" w:customStyle="1" w:styleId="Heading2nosectionno">
    <w:name w:val="Heading 2 (no section no.)"/>
    <w:basedOn w:val="Heading2"/>
    <w:rsid w:val="00AA5E1D"/>
    <w:pPr>
      <w:ind w:left="0" w:firstLine="0"/>
    </w:pPr>
  </w:style>
  <w:style w:type="paragraph" w:customStyle="1" w:styleId="Figurespace">
    <w:name w:val="Figure space"/>
    <w:basedOn w:val="Box"/>
    <w:rsid w:val="00AA5E1D"/>
    <w:pPr>
      <w:spacing w:before="0" w:line="120" w:lineRule="exact"/>
    </w:pPr>
  </w:style>
  <w:style w:type="paragraph" w:customStyle="1" w:styleId="FooterDraftReport">
    <w:name w:val="FooterDraftReport"/>
    <w:basedOn w:val="Footer"/>
    <w:link w:val="FooterDraftReportChar"/>
    <w:rsid w:val="00AA5E1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A5E1D"/>
    <w:rPr>
      <w:rFonts w:ascii="Arial" w:hAnsi="Arial"/>
      <w:caps/>
      <w:spacing w:val="-4"/>
      <w:sz w:val="16"/>
    </w:rPr>
  </w:style>
  <w:style w:type="character" w:customStyle="1" w:styleId="FooterDraftReportChar">
    <w:name w:val="FooterDraftReport Char"/>
    <w:basedOn w:val="FooterChar"/>
    <w:link w:val="FooterDraftReport"/>
    <w:rsid w:val="00AA5E1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A5E1D"/>
    <w:rPr>
      <w:rFonts w:ascii="Arial" w:hAnsi="Arial"/>
      <w:b/>
      <w:sz w:val="26"/>
      <w:szCs w:val="26"/>
      <w:lang w:eastAsia="en-US"/>
    </w:rPr>
  </w:style>
  <w:style w:type="paragraph" w:customStyle="1" w:styleId="Heading1NotTOC">
    <w:name w:val="Heading 1 Not TOC"/>
    <w:basedOn w:val="Heading1"/>
    <w:next w:val="BodyText"/>
    <w:rsid w:val="006C0B56"/>
    <w:rPr>
      <w:kern w:val="28"/>
      <w:szCs w:val="26"/>
      <w:lang w:eastAsia="en-US"/>
    </w:rPr>
  </w:style>
  <w:style w:type="character" w:styleId="Strong">
    <w:name w:val="Strong"/>
    <w:basedOn w:val="DefaultParagraphFont"/>
    <w:uiPriority w:val="99"/>
    <w:qFormat/>
    <w:rsid w:val="001D1651"/>
    <w:rPr>
      <w:rFonts w:cs="Times New Roman"/>
      <w:b/>
    </w:rPr>
  </w:style>
  <w:style w:type="paragraph" w:customStyle="1" w:styleId="Responselevel1">
    <w:name w:val="Response (level 1)"/>
    <w:basedOn w:val="Normal"/>
    <w:semiHidden/>
    <w:rsid w:val="00B36A15"/>
    <w:pPr>
      <w:keepLines/>
      <w:numPr>
        <w:numId w:val="36"/>
      </w:numPr>
      <w:spacing w:before="240" w:after="60"/>
    </w:pPr>
    <w:rPr>
      <w:sz w:val="32"/>
      <w:szCs w:val="32"/>
    </w:rPr>
  </w:style>
  <w:style w:type="character" w:customStyle="1" w:styleId="CommentTextChar">
    <w:name w:val="Comment Text Char"/>
    <w:basedOn w:val="DefaultParagraphFont"/>
    <w:link w:val="CommentText"/>
    <w:semiHidden/>
    <w:rsid w:val="00B36A1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6777">
      <w:bodyDiv w:val="1"/>
      <w:marLeft w:val="0"/>
      <w:marRight w:val="0"/>
      <w:marTop w:val="0"/>
      <w:marBottom w:val="0"/>
      <w:divBdr>
        <w:top w:val="none" w:sz="0" w:space="0" w:color="auto"/>
        <w:left w:val="none" w:sz="0" w:space="0" w:color="auto"/>
        <w:bottom w:val="none" w:sz="0" w:space="0" w:color="auto"/>
        <w:right w:val="none" w:sz="0" w:space="0" w:color="auto"/>
      </w:divBdr>
    </w:div>
    <w:div w:id="96945643">
      <w:bodyDiv w:val="1"/>
      <w:marLeft w:val="0"/>
      <w:marRight w:val="0"/>
      <w:marTop w:val="0"/>
      <w:marBottom w:val="0"/>
      <w:divBdr>
        <w:top w:val="none" w:sz="0" w:space="0" w:color="auto"/>
        <w:left w:val="none" w:sz="0" w:space="0" w:color="auto"/>
        <w:bottom w:val="none" w:sz="0" w:space="0" w:color="auto"/>
        <w:right w:val="none" w:sz="0" w:space="0" w:color="auto"/>
      </w:divBdr>
      <w:divsChild>
        <w:div w:id="1301305095">
          <w:marLeft w:val="0"/>
          <w:marRight w:val="0"/>
          <w:marTop w:val="0"/>
          <w:marBottom w:val="0"/>
          <w:divBdr>
            <w:top w:val="none" w:sz="0" w:space="0" w:color="auto"/>
            <w:left w:val="none" w:sz="0" w:space="0" w:color="auto"/>
            <w:bottom w:val="none" w:sz="0" w:space="0" w:color="auto"/>
            <w:right w:val="none" w:sz="0" w:space="0" w:color="auto"/>
          </w:divBdr>
          <w:divsChild>
            <w:div w:id="1875997105">
              <w:marLeft w:val="0"/>
              <w:marRight w:val="0"/>
              <w:marTop w:val="0"/>
              <w:marBottom w:val="0"/>
              <w:divBdr>
                <w:top w:val="none" w:sz="0" w:space="0" w:color="auto"/>
                <w:left w:val="none" w:sz="0" w:space="0" w:color="auto"/>
                <w:bottom w:val="none" w:sz="0" w:space="0" w:color="auto"/>
                <w:right w:val="none" w:sz="0" w:space="0" w:color="auto"/>
              </w:divBdr>
              <w:divsChild>
                <w:div w:id="13830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536853">
          <w:marLeft w:val="0"/>
          <w:marRight w:val="0"/>
          <w:marTop w:val="0"/>
          <w:marBottom w:val="0"/>
          <w:divBdr>
            <w:top w:val="none" w:sz="0" w:space="0" w:color="auto"/>
            <w:left w:val="none" w:sz="0" w:space="0" w:color="auto"/>
            <w:bottom w:val="none" w:sz="0" w:space="0" w:color="auto"/>
            <w:right w:val="none" w:sz="0" w:space="0" w:color="auto"/>
          </w:divBdr>
        </w:div>
      </w:divsChild>
    </w:div>
    <w:div w:id="100224963">
      <w:bodyDiv w:val="1"/>
      <w:marLeft w:val="0"/>
      <w:marRight w:val="0"/>
      <w:marTop w:val="0"/>
      <w:marBottom w:val="0"/>
      <w:divBdr>
        <w:top w:val="none" w:sz="0" w:space="0" w:color="auto"/>
        <w:left w:val="none" w:sz="0" w:space="0" w:color="auto"/>
        <w:bottom w:val="none" w:sz="0" w:space="0" w:color="auto"/>
        <w:right w:val="none" w:sz="0" w:space="0" w:color="auto"/>
      </w:divBdr>
    </w:div>
    <w:div w:id="122429710">
      <w:bodyDiv w:val="1"/>
      <w:marLeft w:val="0"/>
      <w:marRight w:val="0"/>
      <w:marTop w:val="0"/>
      <w:marBottom w:val="0"/>
      <w:divBdr>
        <w:top w:val="none" w:sz="0" w:space="0" w:color="auto"/>
        <w:left w:val="none" w:sz="0" w:space="0" w:color="auto"/>
        <w:bottom w:val="none" w:sz="0" w:space="0" w:color="auto"/>
        <w:right w:val="none" w:sz="0" w:space="0" w:color="auto"/>
      </w:divBdr>
    </w:div>
    <w:div w:id="139271703">
      <w:bodyDiv w:val="1"/>
      <w:marLeft w:val="0"/>
      <w:marRight w:val="0"/>
      <w:marTop w:val="0"/>
      <w:marBottom w:val="0"/>
      <w:divBdr>
        <w:top w:val="none" w:sz="0" w:space="0" w:color="auto"/>
        <w:left w:val="none" w:sz="0" w:space="0" w:color="auto"/>
        <w:bottom w:val="none" w:sz="0" w:space="0" w:color="auto"/>
        <w:right w:val="none" w:sz="0" w:space="0" w:color="auto"/>
      </w:divBdr>
    </w:div>
    <w:div w:id="141040823">
      <w:bodyDiv w:val="1"/>
      <w:marLeft w:val="0"/>
      <w:marRight w:val="0"/>
      <w:marTop w:val="0"/>
      <w:marBottom w:val="0"/>
      <w:divBdr>
        <w:top w:val="none" w:sz="0" w:space="0" w:color="auto"/>
        <w:left w:val="none" w:sz="0" w:space="0" w:color="auto"/>
        <w:bottom w:val="none" w:sz="0" w:space="0" w:color="auto"/>
        <w:right w:val="none" w:sz="0" w:space="0" w:color="auto"/>
      </w:divBdr>
    </w:div>
    <w:div w:id="221527251">
      <w:bodyDiv w:val="1"/>
      <w:marLeft w:val="0"/>
      <w:marRight w:val="0"/>
      <w:marTop w:val="0"/>
      <w:marBottom w:val="0"/>
      <w:divBdr>
        <w:top w:val="none" w:sz="0" w:space="0" w:color="auto"/>
        <w:left w:val="none" w:sz="0" w:space="0" w:color="auto"/>
        <w:bottom w:val="none" w:sz="0" w:space="0" w:color="auto"/>
        <w:right w:val="none" w:sz="0" w:space="0" w:color="auto"/>
      </w:divBdr>
    </w:div>
    <w:div w:id="275988250">
      <w:bodyDiv w:val="1"/>
      <w:marLeft w:val="0"/>
      <w:marRight w:val="0"/>
      <w:marTop w:val="0"/>
      <w:marBottom w:val="0"/>
      <w:divBdr>
        <w:top w:val="none" w:sz="0" w:space="0" w:color="auto"/>
        <w:left w:val="none" w:sz="0" w:space="0" w:color="auto"/>
        <w:bottom w:val="none" w:sz="0" w:space="0" w:color="auto"/>
        <w:right w:val="none" w:sz="0" w:space="0" w:color="auto"/>
      </w:divBdr>
    </w:div>
    <w:div w:id="443379476">
      <w:bodyDiv w:val="1"/>
      <w:marLeft w:val="0"/>
      <w:marRight w:val="0"/>
      <w:marTop w:val="0"/>
      <w:marBottom w:val="0"/>
      <w:divBdr>
        <w:top w:val="none" w:sz="0" w:space="0" w:color="auto"/>
        <w:left w:val="none" w:sz="0" w:space="0" w:color="auto"/>
        <w:bottom w:val="none" w:sz="0" w:space="0" w:color="auto"/>
        <w:right w:val="none" w:sz="0" w:space="0" w:color="auto"/>
      </w:divBdr>
    </w:div>
    <w:div w:id="465860258">
      <w:bodyDiv w:val="1"/>
      <w:marLeft w:val="0"/>
      <w:marRight w:val="0"/>
      <w:marTop w:val="0"/>
      <w:marBottom w:val="0"/>
      <w:divBdr>
        <w:top w:val="none" w:sz="0" w:space="0" w:color="auto"/>
        <w:left w:val="none" w:sz="0" w:space="0" w:color="auto"/>
        <w:bottom w:val="none" w:sz="0" w:space="0" w:color="auto"/>
        <w:right w:val="none" w:sz="0" w:space="0" w:color="auto"/>
      </w:divBdr>
    </w:div>
    <w:div w:id="488400336">
      <w:bodyDiv w:val="1"/>
      <w:marLeft w:val="0"/>
      <w:marRight w:val="0"/>
      <w:marTop w:val="0"/>
      <w:marBottom w:val="0"/>
      <w:divBdr>
        <w:top w:val="none" w:sz="0" w:space="0" w:color="auto"/>
        <w:left w:val="none" w:sz="0" w:space="0" w:color="auto"/>
        <w:bottom w:val="none" w:sz="0" w:space="0" w:color="auto"/>
        <w:right w:val="none" w:sz="0" w:space="0" w:color="auto"/>
      </w:divBdr>
    </w:div>
    <w:div w:id="545066116">
      <w:bodyDiv w:val="1"/>
      <w:marLeft w:val="0"/>
      <w:marRight w:val="0"/>
      <w:marTop w:val="0"/>
      <w:marBottom w:val="0"/>
      <w:divBdr>
        <w:top w:val="none" w:sz="0" w:space="0" w:color="auto"/>
        <w:left w:val="none" w:sz="0" w:space="0" w:color="auto"/>
        <w:bottom w:val="none" w:sz="0" w:space="0" w:color="auto"/>
        <w:right w:val="none" w:sz="0" w:space="0" w:color="auto"/>
      </w:divBdr>
    </w:div>
    <w:div w:id="551234627">
      <w:bodyDiv w:val="1"/>
      <w:marLeft w:val="0"/>
      <w:marRight w:val="0"/>
      <w:marTop w:val="0"/>
      <w:marBottom w:val="0"/>
      <w:divBdr>
        <w:top w:val="none" w:sz="0" w:space="0" w:color="auto"/>
        <w:left w:val="none" w:sz="0" w:space="0" w:color="auto"/>
        <w:bottom w:val="none" w:sz="0" w:space="0" w:color="auto"/>
        <w:right w:val="none" w:sz="0" w:space="0" w:color="auto"/>
      </w:divBdr>
    </w:div>
    <w:div w:id="738408169">
      <w:bodyDiv w:val="1"/>
      <w:marLeft w:val="0"/>
      <w:marRight w:val="0"/>
      <w:marTop w:val="0"/>
      <w:marBottom w:val="0"/>
      <w:divBdr>
        <w:top w:val="none" w:sz="0" w:space="0" w:color="auto"/>
        <w:left w:val="none" w:sz="0" w:space="0" w:color="auto"/>
        <w:bottom w:val="none" w:sz="0" w:space="0" w:color="auto"/>
        <w:right w:val="none" w:sz="0" w:space="0" w:color="auto"/>
      </w:divBdr>
    </w:div>
    <w:div w:id="767238347">
      <w:bodyDiv w:val="1"/>
      <w:marLeft w:val="0"/>
      <w:marRight w:val="0"/>
      <w:marTop w:val="0"/>
      <w:marBottom w:val="0"/>
      <w:divBdr>
        <w:top w:val="none" w:sz="0" w:space="0" w:color="auto"/>
        <w:left w:val="none" w:sz="0" w:space="0" w:color="auto"/>
        <w:bottom w:val="none" w:sz="0" w:space="0" w:color="auto"/>
        <w:right w:val="none" w:sz="0" w:space="0" w:color="auto"/>
      </w:divBdr>
    </w:div>
    <w:div w:id="863402023">
      <w:bodyDiv w:val="1"/>
      <w:marLeft w:val="0"/>
      <w:marRight w:val="0"/>
      <w:marTop w:val="0"/>
      <w:marBottom w:val="0"/>
      <w:divBdr>
        <w:top w:val="none" w:sz="0" w:space="0" w:color="auto"/>
        <w:left w:val="none" w:sz="0" w:space="0" w:color="auto"/>
        <w:bottom w:val="none" w:sz="0" w:space="0" w:color="auto"/>
        <w:right w:val="none" w:sz="0" w:space="0" w:color="auto"/>
      </w:divBdr>
    </w:div>
    <w:div w:id="1072892950">
      <w:bodyDiv w:val="1"/>
      <w:marLeft w:val="0"/>
      <w:marRight w:val="0"/>
      <w:marTop w:val="0"/>
      <w:marBottom w:val="0"/>
      <w:divBdr>
        <w:top w:val="none" w:sz="0" w:space="0" w:color="auto"/>
        <w:left w:val="none" w:sz="0" w:space="0" w:color="auto"/>
        <w:bottom w:val="none" w:sz="0" w:space="0" w:color="auto"/>
        <w:right w:val="none" w:sz="0" w:space="0" w:color="auto"/>
      </w:divBdr>
    </w:div>
    <w:div w:id="1106995559">
      <w:bodyDiv w:val="1"/>
      <w:marLeft w:val="0"/>
      <w:marRight w:val="0"/>
      <w:marTop w:val="0"/>
      <w:marBottom w:val="0"/>
      <w:divBdr>
        <w:top w:val="none" w:sz="0" w:space="0" w:color="auto"/>
        <w:left w:val="none" w:sz="0" w:space="0" w:color="auto"/>
        <w:bottom w:val="none" w:sz="0" w:space="0" w:color="auto"/>
        <w:right w:val="none" w:sz="0" w:space="0" w:color="auto"/>
      </w:divBdr>
    </w:div>
    <w:div w:id="1114250910">
      <w:bodyDiv w:val="1"/>
      <w:marLeft w:val="0"/>
      <w:marRight w:val="0"/>
      <w:marTop w:val="0"/>
      <w:marBottom w:val="0"/>
      <w:divBdr>
        <w:top w:val="none" w:sz="0" w:space="0" w:color="auto"/>
        <w:left w:val="none" w:sz="0" w:space="0" w:color="auto"/>
        <w:bottom w:val="none" w:sz="0" w:space="0" w:color="auto"/>
        <w:right w:val="none" w:sz="0" w:space="0" w:color="auto"/>
      </w:divBdr>
    </w:div>
    <w:div w:id="1230265312">
      <w:bodyDiv w:val="1"/>
      <w:marLeft w:val="0"/>
      <w:marRight w:val="0"/>
      <w:marTop w:val="0"/>
      <w:marBottom w:val="0"/>
      <w:divBdr>
        <w:top w:val="none" w:sz="0" w:space="0" w:color="auto"/>
        <w:left w:val="none" w:sz="0" w:space="0" w:color="auto"/>
        <w:bottom w:val="none" w:sz="0" w:space="0" w:color="auto"/>
        <w:right w:val="none" w:sz="0" w:space="0" w:color="auto"/>
      </w:divBdr>
    </w:div>
    <w:div w:id="1256205954">
      <w:bodyDiv w:val="1"/>
      <w:marLeft w:val="0"/>
      <w:marRight w:val="0"/>
      <w:marTop w:val="0"/>
      <w:marBottom w:val="0"/>
      <w:divBdr>
        <w:top w:val="none" w:sz="0" w:space="0" w:color="auto"/>
        <w:left w:val="none" w:sz="0" w:space="0" w:color="auto"/>
        <w:bottom w:val="none" w:sz="0" w:space="0" w:color="auto"/>
        <w:right w:val="none" w:sz="0" w:space="0" w:color="auto"/>
      </w:divBdr>
      <w:divsChild>
        <w:div w:id="1514607229">
          <w:marLeft w:val="0"/>
          <w:marRight w:val="0"/>
          <w:marTop w:val="0"/>
          <w:marBottom w:val="0"/>
          <w:divBdr>
            <w:top w:val="none" w:sz="0" w:space="0" w:color="auto"/>
            <w:left w:val="none" w:sz="0" w:space="0" w:color="auto"/>
            <w:bottom w:val="none" w:sz="0" w:space="0" w:color="auto"/>
            <w:right w:val="none" w:sz="0" w:space="0" w:color="auto"/>
          </w:divBdr>
          <w:divsChild>
            <w:div w:id="761755181">
              <w:marLeft w:val="0"/>
              <w:marRight w:val="0"/>
              <w:marTop w:val="0"/>
              <w:marBottom w:val="0"/>
              <w:divBdr>
                <w:top w:val="none" w:sz="0" w:space="0" w:color="auto"/>
                <w:left w:val="none" w:sz="0" w:space="0" w:color="auto"/>
                <w:bottom w:val="none" w:sz="0" w:space="0" w:color="auto"/>
                <w:right w:val="none" w:sz="0" w:space="0" w:color="auto"/>
              </w:divBdr>
              <w:divsChild>
                <w:div w:id="1656184783">
                  <w:marLeft w:val="300"/>
                  <w:marRight w:val="0"/>
                  <w:marTop w:val="0"/>
                  <w:marBottom w:val="0"/>
                  <w:divBdr>
                    <w:top w:val="none" w:sz="0" w:space="0" w:color="auto"/>
                    <w:left w:val="none" w:sz="0" w:space="0" w:color="auto"/>
                    <w:bottom w:val="none" w:sz="0" w:space="0" w:color="auto"/>
                    <w:right w:val="none" w:sz="0" w:space="0" w:color="auto"/>
                  </w:divBdr>
                  <w:divsChild>
                    <w:div w:id="2087192572">
                      <w:marLeft w:val="0"/>
                      <w:marRight w:val="0"/>
                      <w:marTop w:val="0"/>
                      <w:marBottom w:val="0"/>
                      <w:divBdr>
                        <w:top w:val="none" w:sz="0" w:space="0" w:color="auto"/>
                        <w:left w:val="none" w:sz="0" w:space="0" w:color="auto"/>
                        <w:bottom w:val="none" w:sz="0" w:space="0" w:color="auto"/>
                        <w:right w:val="none" w:sz="0" w:space="0" w:color="auto"/>
                      </w:divBdr>
                      <w:divsChild>
                        <w:div w:id="117335714">
                          <w:marLeft w:val="0"/>
                          <w:marRight w:val="0"/>
                          <w:marTop w:val="0"/>
                          <w:marBottom w:val="0"/>
                          <w:divBdr>
                            <w:top w:val="none" w:sz="0" w:space="0" w:color="auto"/>
                            <w:left w:val="none" w:sz="0" w:space="0" w:color="auto"/>
                            <w:bottom w:val="none" w:sz="0" w:space="0" w:color="auto"/>
                            <w:right w:val="none" w:sz="0" w:space="0" w:color="auto"/>
                          </w:divBdr>
                          <w:divsChild>
                            <w:div w:id="11782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964003">
      <w:bodyDiv w:val="1"/>
      <w:marLeft w:val="0"/>
      <w:marRight w:val="0"/>
      <w:marTop w:val="0"/>
      <w:marBottom w:val="0"/>
      <w:divBdr>
        <w:top w:val="none" w:sz="0" w:space="0" w:color="auto"/>
        <w:left w:val="none" w:sz="0" w:space="0" w:color="auto"/>
        <w:bottom w:val="none" w:sz="0" w:space="0" w:color="auto"/>
        <w:right w:val="none" w:sz="0" w:space="0" w:color="auto"/>
      </w:divBdr>
    </w:div>
    <w:div w:id="1337223257">
      <w:bodyDiv w:val="1"/>
      <w:marLeft w:val="0"/>
      <w:marRight w:val="0"/>
      <w:marTop w:val="0"/>
      <w:marBottom w:val="0"/>
      <w:divBdr>
        <w:top w:val="none" w:sz="0" w:space="0" w:color="auto"/>
        <w:left w:val="none" w:sz="0" w:space="0" w:color="auto"/>
        <w:bottom w:val="none" w:sz="0" w:space="0" w:color="auto"/>
        <w:right w:val="none" w:sz="0" w:space="0" w:color="auto"/>
      </w:divBdr>
      <w:divsChild>
        <w:div w:id="1042171547">
          <w:marLeft w:val="0"/>
          <w:marRight w:val="0"/>
          <w:marTop w:val="0"/>
          <w:marBottom w:val="0"/>
          <w:divBdr>
            <w:top w:val="none" w:sz="0" w:space="0" w:color="auto"/>
            <w:left w:val="none" w:sz="0" w:space="0" w:color="auto"/>
            <w:bottom w:val="none" w:sz="0" w:space="0" w:color="auto"/>
            <w:right w:val="none" w:sz="0" w:space="0" w:color="auto"/>
          </w:divBdr>
          <w:divsChild>
            <w:div w:id="1147668505">
              <w:marLeft w:val="0"/>
              <w:marRight w:val="0"/>
              <w:marTop w:val="0"/>
              <w:marBottom w:val="0"/>
              <w:divBdr>
                <w:top w:val="none" w:sz="0" w:space="0" w:color="auto"/>
                <w:left w:val="none" w:sz="0" w:space="0" w:color="auto"/>
                <w:bottom w:val="none" w:sz="0" w:space="0" w:color="auto"/>
                <w:right w:val="none" w:sz="0" w:space="0" w:color="auto"/>
              </w:divBdr>
              <w:divsChild>
                <w:div w:id="1691224773">
                  <w:marLeft w:val="0"/>
                  <w:marRight w:val="0"/>
                  <w:marTop w:val="0"/>
                  <w:marBottom w:val="0"/>
                  <w:divBdr>
                    <w:top w:val="none" w:sz="0" w:space="0" w:color="auto"/>
                    <w:left w:val="none" w:sz="0" w:space="0" w:color="auto"/>
                    <w:bottom w:val="none" w:sz="0" w:space="0" w:color="auto"/>
                    <w:right w:val="none" w:sz="0" w:space="0" w:color="auto"/>
                  </w:divBdr>
                  <w:divsChild>
                    <w:div w:id="265620750">
                      <w:marLeft w:val="2850"/>
                      <w:marRight w:val="0"/>
                      <w:marTop w:val="0"/>
                      <w:marBottom w:val="300"/>
                      <w:divBdr>
                        <w:top w:val="none" w:sz="0" w:space="0" w:color="auto"/>
                        <w:left w:val="none" w:sz="0" w:space="0" w:color="auto"/>
                        <w:bottom w:val="none" w:sz="0" w:space="0" w:color="auto"/>
                        <w:right w:val="none" w:sz="0" w:space="0" w:color="auto"/>
                      </w:divBdr>
                      <w:divsChild>
                        <w:div w:id="1447390980">
                          <w:marLeft w:val="300"/>
                          <w:marRight w:val="0"/>
                          <w:marTop w:val="0"/>
                          <w:marBottom w:val="0"/>
                          <w:divBdr>
                            <w:top w:val="none" w:sz="0" w:space="0" w:color="auto"/>
                            <w:left w:val="none" w:sz="0" w:space="0" w:color="auto"/>
                            <w:bottom w:val="none" w:sz="0" w:space="0" w:color="auto"/>
                            <w:right w:val="none" w:sz="0" w:space="0" w:color="auto"/>
                          </w:divBdr>
                          <w:divsChild>
                            <w:div w:id="1483959920">
                              <w:marLeft w:val="0"/>
                              <w:marRight w:val="0"/>
                              <w:marTop w:val="0"/>
                              <w:marBottom w:val="0"/>
                              <w:divBdr>
                                <w:top w:val="none" w:sz="0" w:space="0" w:color="auto"/>
                                <w:left w:val="none" w:sz="0" w:space="0" w:color="auto"/>
                                <w:bottom w:val="none" w:sz="0" w:space="0" w:color="auto"/>
                                <w:right w:val="none" w:sz="0" w:space="0" w:color="auto"/>
                              </w:divBdr>
                              <w:divsChild>
                                <w:div w:id="664553169">
                                  <w:marLeft w:val="0"/>
                                  <w:marRight w:val="0"/>
                                  <w:marTop w:val="0"/>
                                  <w:marBottom w:val="0"/>
                                  <w:divBdr>
                                    <w:top w:val="none" w:sz="0" w:space="0" w:color="auto"/>
                                    <w:left w:val="none" w:sz="0" w:space="0" w:color="auto"/>
                                    <w:bottom w:val="none" w:sz="0" w:space="0" w:color="auto"/>
                                    <w:right w:val="none" w:sz="0" w:space="0" w:color="auto"/>
                                  </w:divBdr>
                                  <w:divsChild>
                                    <w:div w:id="1570772688">
                                      <w:marLeft w:val="0"/>
                                      <w:marRight w:val="0"/>
                                      <w:marTop w:val="0"/>
                                      <w:marBottom w:val="0"/>
                                      <w:divBdr>
                                        <w:top w:val="none" w:sz="0" w:space="0" w:color="auto"/>
                                        <w:left w:val="none" w:sz="0" w:space="0" w:color="auto"/>
                                        <w:bottom w:val="none" w:sz="0" w:space="0" w:color="auto"/>
                                        <w:right w:val="none" w:sz="0" w:space="0" w:color="auto"/>
                                      </w:divBdr>
                                      <w:divsChild>
                                        <w:div w:id="181556456">
                                          <w:marLeft w:val="0"/>
                                          <w:marRight w:val="0"/>
                                          <w:marTop w:val="75"/>
                                          <w:marBottom w:val="0"/>
                                          <w:divBdr>
                                            <w:top w:val="none" w:sz="0" w:space="0" w:color="auto"/>
                                            <w:left w:val="none" w:sz="0" w:space="0" w:color="auto"/>
                                            <w:bottom w:val="none" w:sz="0" w:space="0" w:color="auto"/>
                                            <w:right w:val="none" w:sz="0" w:space="0" w:color="auto"/>
                                          </w:divBdr>
                                          <w:divsChild>
                                            <w:div w:id="19257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4202991">
      <w:bodyDiv w:val="1"/>
      <w:marLeft w:val="0"/>
      <w:marRight w:val="0"/>
      <w:marTop w:val="0"/>
      <w:marBottom w:val="0"/>
      <w:divBdr>
        <w:top w:val="none" w:sz="0" w:space="0" w:color="auto"/>
        <w:left w:val="none" w:sz="0" w:space="0" w:color="auto"/>
        <w:bottom w:val="none" w:sz="0" w:space="0" w:color="auto"/>
        <w:right w:val="none" w:sz="0" w:space="0" w:color="auto"/>
      </w:divBdr>
    </w:div>
    <w:div w:id="1416591401">
      <w:bodyDiv w:val="1"/>
      <w:marLeft w:val="0"/>
      <w:marRight w:val="0"/>
      <w:marTop w:val="0"/>
      <w:marBottom w:val="0"/>
      <w:divBdr>
        <w:top w:val="none" w:sz="0" w:space="0" w:color="auto"/>
        <w:left w:val="none" w:sz="0" w:space="0" w:color="auto"/>
        <w:bottom w:val="none" w:sz="0" w:space="0" w:color="auto"/>
        <w:right w:val="none" w:sz="0" w:space="0" w:color="auto"/>
      </w:divBdr>
    </w:div>
    <w:div w:id="1457262415">
      <w:bodyDiv w:val="1"/>
      <w:marLeft w:val="0"/>
      <w:marRight w:val="0"/>
      <w:marTop w:val="0"/>
      <w:marBottom w:val="0"/>
      <w:divBdr>
        <w:top w:val="none" w:sz="0" w:space="0" w:color="auto"/>
        <w:left w:val="none" w:sz="0" w:space="0" w:color="auto"/>
        <w:bottom w:val="none" w:sz="0" w:space="0" w:color="auto"/>
        <w:right w:val="none" w:sz="0" w:space="0" w:color="auto"/>
      </w:divBdr>
      <w:divsChild>
        <w:div w:id="304819932">
          <w:marLeft w:val="0"/>
          <w:marRight w:val="0"/>
          <w:marTop w:val="0"/>
          <w:marBottom w:val="0"/>
          <w:divBdr>
            <w:top w:val="none" w:sz="0" w:space="0" w:color="auto"/>
            <w:left w:val="none" w:sz="0" w:space="0" w:color="auto"/>
            <w:bottom w:val="none" w:sz="0" w:space="0" w:color="auto"/>
            <w:right w:val="none" w:sz="0" w:space="0" w:color="auto"/>
          </w:divBdr>
          <w:divsChild>
            <w:div w:id="1676571169">
              <w:marLeft w:val="0"/>
              <w:marRight w:val="0"/>
              <w:marTop w:val="0"/>
              <w:marBottom w:val="0"/>
              <w:divBdr>
                <w:top w:val="none" w:sz="0" w:space="0" w:color="auto"/>
                <w:left w:val="none" w:sz="0" w:space="0" w:color="auto"/>
                <w:bottom w:val="none" w:sz="0" w:space="0" w:color="auto"/>
                <w:right w:val="none" w:sz="0" w:space="0" w:color="auto"/>
              </w:divBdr>
              <w:divsChild>
                <w:div w:id="273945704">
                  <w:marLeft w:val="0"/>
                  <w:marRight w:val="0"/>
                  <w:marTop w:val="0"/>
                  <w:marBottom w:val="0"/>
                  <w:divBdr>
                    <w:top w:val="none" w:sz="0" w:space="0" w:color="auto"/>
                    <w:left w:val="none" w:sz="0" w:space="0" w:color="auto"/>
                    <w:bottom w:val="none" w:sz="0" w:space="0" w:color="auto"/>
                    <w:right w:val="none" w:sz="0" w:space="0" w:color="auto"/>
                  </w:divBdr>
                  <w:divsChild>
                    <w:div w:id="757755045">
                      <w:marLeft w:val="0"/>
                      <w:marRight w:val="0"/>
                      <w:marTop w:val="0"/>
                      <w:marBottom w:val="0"/>
                      <w:divBdr>
                        <w:top w:val="none" w:sz="0" w:space="0" w:color="auto"/>
                        <w:left w:val="none" w:sz="0" w:space="0" w:color="auto"/>
                        <w:bottom w:val="none" w:sz="0" w:space="0" w:color="auto"/>
                        <w:right w:val="none" w:sz="0" w:space="0" w:color="auto"/>
                      </w:divBdr>
                      <w:divsChild>
                        <w:div w:id="301614636">
                          <w:marLeft w:val="0"/>
                          <w:marRight w:val="0"/>
                          <w:marTop w:val="0"/>
                          <w:marBottom w:val="0"/>
                          <w:divBdr>
                            <w:top w:val="none" w:sz="0" w:space="0" w:color="auto"/>
                            <w:left w:val="none" w:sz="0" w:space="0" w:color="auto"/>
                            <w:bottom w:val="none" w:sz="0" w:space="0" w:color="auto"/>
                            <w:right w:val="none" w:sz="0" w:space="0" w:color="auto"/>
                          </w:divBdr>
                          <w:divsChild>
                            <w:div w:id="558443270">
                              <w:marLeft w:val="0"/>
                              <w:marRight w:val="0"/>
                              <w:marTop w:val="0"/>
                              <w:marBottom w:val="0"/>
                              <w:divBdr>
                                <w:top w:val="none" w:sz="0" w:space="0" w:color="auto"/>
                                <w:left w:val="none" w:sz="0" w:space="0" w:color="auto"/>
                                <w:bottom w:val="none" w:sz="0" w:space="0" w:color="auto"/>
                                <w:right w:val="none" w:sz="0" w:space="0" w:color="auto"/>
                              </w:divBdr>
                              <w:divsChild>
                                <w:div w:id="3974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355557">
      <w:bodyDiv w:val="1"/>
      <w:marLeft w:val="0"/>
      <w:marRight w:val="0"/>
      <w:marTop w:val="0"/>
      <w:marBottom w:val="0"/>
      <w:divBdr>
        <w:top w:val="none" w:sz="0" w:space="0" w:color="auto"/>
        <w:left w:val="none" w:sz="0" w:space="0" w:color="auto"/>
        <w:bottom w:val="none" w:sz="0" w:space="0" w:color="auto"/>
        <w:right w:val="none" w:sz="0" w:space="0" w:color="auto"/>
      </w:divBdr>
    </w:div>
    <w:div w:id="1553812335">
      <w:bodyDiv w:val="1"/>
      <w:marLeft w:val="0"/>
      <w:marRight w:val="0"/>
      <w:marTop w:val="0"/>
      <w:marBottom w:val="0"/>
      <w:divBdr>
        <w:top w:val="none" w:sz="0" w:space="0" w:color="auto"/>
        <w:left w:val="none" w:sz="0" w:space="0" w:color="auto"/>
        <w:bottom w:val="none" w:sz="0" w:space="0" w:color="auto"/>
        <w:right w:val="none" w:sz="0" w:space="0" w:color="auto"/>
      </w:divBdr>
    </w:div>
    <w:div w:id="1596160643">
      <w:bodyDiv w:val="1"/>
      <w:marLeft w:val="0"/>
      <w:marRight w:val="0"/>
      <w:marTop w:val="0"/>
      <w:marBottom w:val="0"/>
      <w:divBdr>
        <w:top w:val="none" w:sz="0" w:space="0" w:color="auto"/>
        <w:left w:val="none" w:sz="0" w:space="0" w:color="auto"/>
        <w:bottom w:val="none" w:sz="0" w:space="0" w:color="auto"/>
        <w:right w:val="none" w:sz="0" w:space="0" w:color="auto"/>
      </w:divBdr>
    </w:div>
    <w:div w:id="1645815650">
      <w:bodyDiv w:val="1"/>
      <w:marLeft w:val="0"/>
      <w:marRight w:val="0"/>
      <w:marTop w:val="0"/>
      <w:marBottom w:val="0"/>
      <w:divBdr>
        <w:top w:val="none" w:sz="0" w:space="0" w:color="auto"/>
        <w:left w:val="none" w:sz="0" w:space="0" w:color="auto"/>
        <w:bottom w:val="none" w:sz="0" w:space="0" w:color="auto"/>
        <w:right w:val="none" w:sz="0" w:space="0" w:color="auto"/>
      </w:divBdr>
    </w:div>
    <w:div w:id="1661344070">
      <w:bodyDiv w:val="1"/>
      <w:marLeft w:val="0"/>
      <w:marRight w:val="0"/>
      <w:marTop w:val="0"/>
      <w:marBottom w:val="0"/>
      <w:divBdr>
        <w:top w:val="none" w:sz="0" w:space="0" w:color="auto"/>
        <w:left w:val="none" w:sz="0" w:space="0" w:color="auto"/>
        <w:bottom w:val="none" w:sz="0" w:space="0" w:color="auto"/>
        <w:right w:val="none" w:sz="0" w:space="0" w:color="auto"/>
      </w:divBdr>
    </w:div>
    <w:div w:id="1728450452">
      <w:bodyDiv w:val="1"/>
      <w:marLeft w:val="0"/>
      <w:marRight w:val="0"/>
      <w:marTop w:val="0"/>
      <w:marBottom w:val="0"/>
      <w:divBdr>
        <w:top w:val="none" w:sz="0" w:space="0" w:color="auto"/>
        <w:left w:val="none" w:sz="0" w:space="0" w:color="auto"/>
        <w:bottom w:val="none" w:sz="0" w:space="0" w:color="auto"/>
        <w:right w:val="none" w:sz="0" w:space="0" w:color="auto"/>
      </w:divBdr>
    </w:div>
    <w:div w:id="1798907703">
      <w:bodyDiv w:val="1"/>
      <w:marLeft w:val="0"/>
      <w:marRight w:val="0"/>
      <w:marTop w:val="0"/>
      <w:marBottom w:val="0"/>
      <w:divBdr>
        <w:top w:val="none" w:sz="0" w:space="0" w:color="auto"/>
        <w:left w:val="none" w:sz="0" w:space="0" w:color="auto"/>
        <w:bottom w:val="none" w:sz="0" w:space="0" w:color="auto"/>
        <w:right w:val="none" w:sz="0" w:space="0" w:color="auto"/>
      </w:divBdr>
    </w:div>
    <w:div w:id="1914927004">
      <w:bodyDiv w:val="1"/>
      <w:marLeft w:val="0"/>
      <w:marRight w:val="0"/>
      <w:marTop w:val="0"/>
      <w:marBottom w:val="0"/>
      <w:divBdr>
        <w:top w:val="none" w:sz="0" w:space="0" w:color="auto"/>
        <w:left w:val="none" w:sz="0" w:space="0" w:color="auto"/>
        <w:bottom w:val="none" w:sz="0" w:space="0" w:color="auto"/>
        <w:right w:val="none" w:sz="0" w:space="0" w:color="auto"/>
      </w:divBdr>
    </w:div>
    <w:div w:id="2017030510">
      <w:bodyDiv w:val="1"/>
      <w:marLeft w:val="0"/>
      <w:marRight w:val="0"/>
      <w:marTop w:val="0"/>
      <w:marBottom w:val="0"/>
      <w:divBdr>
        <w:top w:val="none" w:sz="0" w:space="0" w:color="auto"/>
        <w:left w:val="none" w:sz="0" w:space="0" w:color="auto"/>
        <w:bottom w:val="none" w:sz="0" w:space="0" w:color="auto"/>
        <w:right w:val="none" w:sz="0" w:space="0" w:color="auto"/>
      </w:divBdr>
    </w:div>
    <w:div w:id="2018531308">
      <w:bodyDiv w:val="1"/>
      <w:marLeft w:val="0"/>
      <w:marRight w:val="0"/>
      <w:marTop w:val="0"/>
      <w:marBottom w:val="0"/>
      <w:divBdr>
        <w:top w:val="none" w:sz="0" w:space="0" w:color="auto"/>
        <w:left w:val="none" w:sz="0" w:space="0" w:color="auto"/>
        <w:bottom w:val="none" w:sz="0" w:space="0" w:color="auto"/>
        <w:right w:val="none" w:sz="0" w:space="0" w:color="auto"/>
      </w:divBdr>
    </w:div>
    <w:div w:id="2040354512">
      <w:bodyDiv w:val="1"/>
      <w:marLeft w:val="0"/>
      <w:marRight w:val="0"/>
      <w:marTop w:val="0"/>
      <w:marBottom w:val="0"/>
      <w:divBdr>
        <w:top w:val="none" w:sz="0" w:space="0" w:color="auto"/>
        <w:left w:val="none" w:sz="0" w:space="0" w:color="auto"/>
        <w:bottom w:val="none" w:sz="0" w:space="0" w:color="auto"/>
        <w:right w:val="none" w:sz="0" w:space="0" w:color="auto"/>
      </w:divBdr>
    </w:div>
    <w:div w:id="2045867075">
      <w:bodyDiv w:val="1"/>
      <w:marLeft w:val="0"/>
      <w:marRight w:val="0"/>
      <w:marTop w:val="0"/>
      <w:marBottom w:val="0"/>
      <w:divBdr>
        <w:top w:val="none" w:sz="0" w:space="0" w:color="auto"/>
        <w:left w:val="none" w:sz="0" w:space="0" w:color="auto"/>
        <w:bottom w:val="none" w:sz="0" w:space="0" w:color="auto"/>
        <w:right w:val="none" w:sz="0" w:space="0" w:color="auto"/>
      </w:divBdr>
    </w:div>
    <w:div w:id="2107143747">
      <w:bodyDiv w:val="1"/>
      <w:marLeft w:val="0"/>
      <w:marRight w:val="0"/>
      <w:marTop w:val="0"/>
      <w:marBottom w:val="0"/>
      <w:divBdr>
        <w:top w:val="none" w:sz="0" w:space="0" w:color="auto"/>
        <w:left w:val="none" w:sz="0" w:space="0" w:color="auto"/>
        <w:bottom w:val="none" w:sz="0" w:space="0" w:color="auto"/>
        <w:right w:val="none" w:sz="0" w:space="0" w:color="auto"/>
      </w:divBdr>
    </w:div>
    <w:div w:id="212645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image" Target="media/image7.png"/><Relationship Id="rId39" Type="http://schemas.openxmlformats.org/officeDocument/2006/relationships/chart" Target="charts/chart21.xml"/><Relationship Id="rId21" Type="http://schemas.openxmlformats.org/officeDocument/2006/relationships/chart" Target="charts/chart11.xml"/><Relationship Id="rId34" Type="http://schemas.openxmlformats.org/officeDocument/2006/relationships/chart" Target="charts/chart16.xml"/><Relationship Id="rId42" Type="http://schemas.openxmlformats.org/officeDocument/2006/relationships/chart" Target="charts/chart24.xml"/><Relationship Id="rId47" Type="http://schemas.openxmlformats.org/officeDocument/2006/relationships/chart" Target="charts/chart29.xml"/><Relationship Id="rId50" Type="http://schemas.openxmlformats.org/officeDocument/2006/relationships/chart" Target="charts/chart32.xml"/><Relationship Id="rId55" Type="http://schemas.openxmlformats.org/officeDocument/2006/relationships/image" Target="media/image15.png"/><Relationship Id="rId63" Type="http://schemas.openxmlformats.org/officeDocument/2006/relationships/chart" Target="charts/chart37.xml"/><Relationship Id="rId68" Type="http://schemas.openxmlformats.org/officeDocument/2006/relationships/image" Target="media/image19.png"/><Relationship Id="rId76" Type="http://schemas.openxmlformats.org/officeDocument/2006/relationships/chart" Target="charts/chart42.xml"/><Relationship Id="rId7" Type="http://schemas.openxmlformats.org/officeDocument/2006/relationships/footnotes" Target="footnotes.xml"/><Relationship Id="rId71"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chart" Target="charts/chart6.xml"/><Relationship Id="rId29" Type="http://schemas.openxmlformats.org/officeDocument/2006/relationships/image" Target="media/image10.png"/><Relationship Id="rId11" Type="http://schemas.openxmlformats.org/officeDocument/2006/relationships/image" Target="media/image2.emf"/><Relationship Id="rId24" Type="http://schemas.openxmlformats.org/officeDocument/2006/relationships/image" Target="media/image5.png"/><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chart" Target="charts/chart22.xml"/><Relationship Id="rId45" Type="http://schemas.openxmlformats.org/officeDocument/2006/relationships/chart" Target="charts/chart27.xml"/><Relationship Id="rId53" Type="http://schemas.openxmlformats.org/officeDocument/2006/relationships/image" Target="media/image13.png"/><Relationship Id="rId58" Type="http://schemas.openxmlformats.org/officeDocument/2006/relationships/image" Target="media/image18.png"/><Relationship Id="rId66" Type="http://schemas.openxmlformats.org/officeDocument/2006/relationships/chart" Target="charts/chart40.xml"/><Relationship Id="rId74" Type="http://schemas.openxmlformats.org/officeDocument/2006/relationships/image" Target="media/image25.png"/><Relationship Id="rId79"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hart" Target="charts/chart35.xml"/><Relationship Id="rId82"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9.xml"/><Relationship Id="rId31" Type="http://schemas.openxmlformats.org/officeDocument/2006/relationships/chart" Target="charts/chart13.xml"/><Relationship Id="rId44" Type="http://schemas.openxmlformats.org/officeDocument/2006/relationships/chart" Target="charts/chart26.xml"/><Relationship Id="rId52" Type="http://schemas.openxmlformats.org/officeDocument/2006/relationships/image" Target="media/image12.png"/><Relationship Id="rId60" Type="http://schemas.openxmlformats.org/officeDocument/2006/relationships/chart" Target="charts/chart34.xml"/><Relationship Id="rId65" Type="http://schemas.openxmlformats.org/officeDocument/2006/relationships/chart" Target="charts/chart39.xml"/><Relationship Id="rId73" Type="http://schemas.openxmlformats.org/officeDocument/2006/relationships/image" Target="media/image24.png"/><Relationship Id="rId78" Type="http://schemas.openxmlformats.org/officeDocument/2006/relationships/header" Target="header2.xml"/><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chart" Target="charts/chart12.xml"/><Relationship Id="rId35" Type="http://schemas.openxmlformats.org/officeDocument/2006/relationships/chart" Target="charts/chart17.xml"/><Relationship Id="rId43" Type="http://schemas.openxmlformats.org/officeDocument/2006/relationships/chart" Target="charts/chart25.xml"/><Relationship Id="rId48" Type="http://schemas.openxmlformats.org/officeDocument/2006/relationships/chart" Target="charts/chart30.xml"/><Relationship Id="rId56" Type="http://schemas.openxmlformats.org/officeDocument/2006/relationships/image" Target="media/image16.png"/><Relationship Id="rId64" Type="http://schemas.openxmlformats.org/officeDocument/2006/relationships/chart" Target="charts/chart38.xml"/><Relationship Id="rId69" Type="http://schemas.openxmlformats.org/officeDocument/2006/relationships/image" Target="media/image20.png"/><Relationship Id="rId77"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11.png"/><Relationship Id="rId72" Type="http://schemas.openxmlformats.org/officeDocument/2006/relationships/image" Target="media/image23.png"/><Relationship Id="rId80" Type="http://schemas.openxmlformats.org/officeDocument/2006/relationships/footer" Target="footer2.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image" Target="media/image6.png"/><Relationship Id="rId33" Type="http://schemas.openxmlformats.org/officeDocument/2006/relationships/chart" Target="charts/chart15.xml"/><Relationship Id="rId38" Type="http://schemas.openxmlformats.org/officeDocument/2006/relationships/chart" Target="charts/chart20.xml"/><Relationship Id="rId46" Type="http://schemas.openxmlformats.org/officeDocument/2006/relationships/chart" Target="charts/chart28.xml"/><Relationship Id="rId59" Type="http://schemas.openxmlformats.org/officeDocument/2006/relationships/chart" Target="charts/chart33.xml"/><Relationship Id="rId67" Type="http://schemas.openxmlformats.org/officeDocument/2006/relationships/chart" Target="charts/chart41.xml"/><Relationship Id="rId20" Type="http://schemas.openxmlformats.org/officeDocument/2006/relationships/chart" Target="charts/chart10.xml"/><Relationship Id="rId41" Type="http://schemas.openxmlformats.org/officeDocument/2006/relationships/chart" Target="charts/chart23.xml"/><Relationship Id="rId54" Type="http://schemas.openxmlformats.org/officeDocument/2006/relationships/image" Target="media/image14.png"/><Relationship Id="rId62" Type="http://schemas.openxmlformats.org/officeDocument/2006/relationships/chart" Target="charts/chart36.xml"/><Relationship Id="rId70" Type="http://schemas.openxmlformats.org/officeDocument/2006/relationships/image" Target="media/image21.png"/><Relationship Id="rId75"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chart" Target="charts/chart18.xml"/><Relationship Id="rId49" Type="http://schemas.openxmlformats.org/officeDocument/2006/relationships/chart" Target="charts/chart31.xml"/><Relationship Id="rId57"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Data\3.%20Chart%20files\2016%20Report\Child%20protection%20charts\CP%20data%20and%20charts%20v2.xlsm"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Data\3.%20Chart%20files\2016%20Report\Child%20protection%20charts\CP%20data%20and%20charts%20v2.xlsm"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20v2.xlsm"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7.xml"/></Relationships>
</file>

<file path=word/charts/_rels/chart2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8.xml"/></Relationships>
</file>

<file path=word/charts/_rels/chart2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29.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xml"/></Relationships>
</file>

<file path=word/charts/_rels/chart3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0.xml"/></Relationships>
</file>

<file path=word/charts/_rels/chart3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1.xml"/></Relationships>
</file>

<file path=word/charts/_rels/chart3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2.xml"/></Relationships>
</file>

<file path=word/charts/_rels/chart3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3.xml"/></Relationships>
</file>

<file path=word/charts/_rels/chart3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4.xml"/></Relationships>
</file>

<file path=word/charts/_rels/chart3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5.xml"/></Relationships>
</file>

<file path=word/charts/_rels/chart3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6.xml"/></Relationships>
</file>

<file path=word/charts/_rels/chart3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7.xml"/></Relationships>
</file>

<file path=word/charts/_rels/chart3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8.xml"/></Relationships>
</file>

<file path=word/charts/_rels/chart3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39.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4.xml"/></Relationships>
</file>

<file path=word/charts/_rels/chart4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40.xml"/></Relationships>
</file>

<file path=word/charts/_rels/chart4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41.xml"/></Relationships>
</file>

<file path=word/charts/_rels/chart4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42.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6%20Report\Child%20protection%20charts\CP%20data%20and%20charts.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'Total $ on CP OOHC FSS'!$B$4</c:f>
              <c:strCache>
                <c:ptCount val="1"/>
                <c:pt idx="0">
                  <c:v>2011-12</c:v>
                </c:pt>
              </c:strCache>
            </c:strRef>
          </c:tx>
          <c:spPr>
            <a:solidFill>
              <a:srgbClr val="000000"/>
            </a:solidFill>
            <a:ln>
              <a:solidFill>
                <a:srgbClr val="000000"/>
              </a:solidFill>
            </a:ln>
          </c:spPr>
          <c:invertIfNegative val="0"/>
          <c:cat>
            <c:strRef>
              <c:f>'Total $ on CP OOHC FSS'!$C$2:$K$2</c:f>
              <c:strCache>
                <c:ptCount val="9"/>
                <c:pt idx="0">
                  <c:v>NSW</c:v>
                </c:pt>
                <c:pt idx="1">
                  <c:v>Vic</c:v>
                </c:pt>
                <c:pt idx="2">
                  <c:v>Qld</c:v>
                </c:pt>
                <c:pt idx="3">
                  <c:v>WA</c:v>
                </c:pt>
                <c:pt idx="4">
                  <c:v>SA</c:v>
                </c:pt>
                <c:pt idx="5">
                  <c:v>Tas</c:v>
                </c:pt>
                <c:pt idx="6">
                  <c:v>ACT</c:v>
                </c:pt>
                <c:pt idx="7">
                  <c:v>NT</c:v>
                </c:pt>
                <c:pt idx="8">
                  <c:v>Aust</c:v>
                </c:pt>
              </c:strCache>
            </c:strRef>
          </c:cat>
          <c:val>
            <c:numRef>
              <c:f>'Total $ on CP OOHC FSS'!$C$4:$K$4</c:f>
              <c:numCache>
                <c:formatCode>0.0</c:formatCode>
                <c:ptCount val="9"/>
                <c:pt idx="0">
                  <c:v>902.65285744904008</c:v>
                </c:pt>
                <c:pt idx="1">
                  <c:v>585.89095087557928</c:v>
                </c:pt>
                <c:pt idx="2">
                  <c:v>762.40187684588341</c:v>
                </c:pt>
                <c:pt idx="3">
                  <c:v>695.8827707513708</c:v>
                </c:pt>
                <c:pt idx="4">
                  <c:v>593.01894731575715</c:v>
                </c:pt>
                <c:pt idx="5">
                  <c:v>664.46926084651045</c:v>
                </c:pt>
                <c:pt idx="6">
                  <c:v>547.41651607636823</c:v>
                </c:pt>
                <c:pt idx="7">
                  <c:v>1664.522788788352</c:v>
                </c:pt>
                <c:pt idx="8">
                  <c:v>751.52444148560141</c:v>
                </c:pt>
              </c:numCache>
            </c:numRef>
          </c:val>
        </c:ser>
        <c:ser>
          <c:idx val="1"/>
          <c:order val="1"/>
          <c:tx>
            <c:strRef>
              <c:f>'Total $ on CP OOHC FSS'!$B$5</c:f>
              <c:strCache>
                <c:ptCount val="1"/>
                <c:pt idx="0">
                  <c:v>2012-13</c:v>
                </c:pt>
              </c:strCache>
            </c:strRef>
          </c:tx>
          <c:spPr>
            <a:solidFill>
              <a:srgbClr val="B2D673"/>
            </a:solidFill>
            <a:ln>
              <a:solidFill>
                <a:srgbClr val="B2D673"/>
              </a:solidFill>
            </a:ln>
          </c:spPr>
          <c:invertIfNegative val="0"/>
          <c:cat>
            <c:strRef>
              <c:f>'Total $ on CP OOHC FSS'!$C$2:$K$2</c:f>
              <c:strCache>
                <c:ptCount val="9"/>
                <c:pt idx="0">
                  <c:v>NSW</c:v>
                </c:pt>
                <c:pt idx="1">
                  <c:v>Vic</c:v>
                </c:pt>
                <c:pt idx="2">
                  <c:v>Qld</c:v>
                </c:pt>
                <c:pt idx="3">
                  <c:v>WA</c:v>
                </c:pt>
                <c:pt idx="4">
                  <c:v>SA</c:v>
                </c:pt>
                <c:pt idx="5">
                  <c:v>Tas</c:v>
                </c:pt>
                <c:pt idx="6">
                  <c:v>ACT</c:v>
                </c:pt>
                <c:pt idx="7">
                  <c:v>NT</c:v>
                </c:pt>
                <c:pt idx="8">
                  <c:v>Aust</c:v>
                </c:pt>
              </c:strCache>
            </c:strRef>
          </c:cat>
          <c:val>
            <c:numRef>
              <c:f>'Total $ on CP OOHC FSS'!$C$5:$K$5</c:f>
              <c:numCache>
                <c:formatCode>0.0</c:formatCode>
                <c:ptCount val="9"/>
                <c:pt idx="0">
                  <c:v>867.50169223851503</c:v>
                </c:pt>
                <c:pt idx="1">
                  <c:v>604.53259719592859</c:v>
                </c:pt>
                <c:pt idx="2">
                  <c:v>763.15103657236739</c:v>
                </c:pt>
                <c:pt idx="3">
                  <c:v>727.80197764794957</c:v>
                </c:pt>
                <c:pt idx="4">
                  <c:v>634.13765505600577</c:v>
                </c:pt>
                <c:pt idx="5">
                  <c:v>671.36232724402453</c:v>
                </c:pt>
                <c:pt idx="6">
                  <c:v>572.95276781577354</c:v>
                </c:pt>
                <c:pt idx="7">
                  <c:v>2873.2274319844632</c:v>
                </c:pt>
                <c:pt idx="8">
                  <c:v>766.20740898210329</c:v>
                </c:pt>
              </c:numCache>
            </c:numRef>
          </c:val>
        </c:ser>
        <c:ser>
          <c:idx val="2"/>
          <c:order val="2"/>
          <c:tx>
            <c:strRef>
              <c:f>'Total $ on CP OOHC FSS'!$B$6</c:f>
              <c:strCache>
                <c:ptCount val="1"/>
                <c:pt idx="0">
                  <c:v>2013-14</c:v>
                </c:pt>
              </c:strCache>
            </c:strRef>
          </c:tx>
          <c:spPr>
            <a:solidFill>
              <a:srgbClr val="265A9A"/>
            </a:solidFill>
            <a:ln>
              <a:solidFill>
                <a:srgbClr val="265A9A"/>
              </a:solidFill>
            </a:ln>
          </c:spPr>
          <c:invertIfNegative val="0"/>
          <c:cat>
            <c:strRef>
              <c:f>'Total $ on CP OOHC FSS'!$C$2:$K$2</c:f>
              <c:strCache>
                <c:ptCount val="9"/>
                <c:pt idx="0">
                  <c:v>NSW</c:v>
                </c:pt>
                <c:pt idx="1">
                  <c:v>Vic</c:v>
                </c:pt>
                <c:pt idx="2">
                  <c:v>Qld</c:v>
                </c:pt>
                <c:pt idx="3">
                  <c:v>WA</c:v>
                </c:pt>
                <c:pt idx="4">
                  <c:v>SA</c:v>
                </c:pt>
                <c:pt idx="5">
                  <c:v>Tas</c:v>
                </c:pt>
                <c:pt idx="6">
                  <c:v>ACT</c:v>
                </c:pt>
                <c:pt idx="7">
                  <c:v>NT</c:v>
                </c:pt>
                <c:pt idx="8">
                  <c:v>Aust</c:v>
                </c:pt>
              </c:strCache>
            </c:strRef>
          </c:cat>
          <c:val>
            <c:numRef>
              <c:f>'Total $ on CP OOHC FSS'!$C$6:$K$6</c:f>
              <c:numCache>
                <c:formatCode>0.0</c:formatCode>
                <c:ptCount val="9"/>
                <c:pt idx="0">
                  <c:v>879.61260015731398</c:v>
                </c:pt>
                <c:pt idx="1">
                  <c:v>625.94070036420862</c:v>
                </c:pt>
                <c:pt idx="2">
                  <c:v>744.17160123143674</c:v>
                </c:pt>
                <c:pt idx="3">
                  <c:v>737.30670910417427</c:v>
                </c:pt>
                <c:pt idx="4">
                  <c:v>740.28075201754746</c:v>
                </c:pt>
                <c:pt idx="5">
                  <c:v>720.5116347563536</c:v>
                </c:pt>
                <c:pt idx="6">
                  <c:v>577.39439464057625</c:v>
                </c:pt>
                <c:pt idx="7">
                  <c:v>2587.9329182787483</c:v>
                </c:pt>
                <c:pt idx="8">
                  <c:v>776.84551976189255</c:v>
                </c:pt>
              </c:numCache>
            </c:numRef>
          </c:val>
        </c:ser>
        <c:ser>
          <c:idx val="3"/>
          <c:order val="3"/>
          <c:tx>
            <c:strRef>
              <c:f>'Total $ on CP OOHC FSS'!$B$7</c:f>
              <c:strCache>
                <c:ptCount val="1"/>
                <c:pt idx="0">
                  <c:v>2014-15</c:v>
                </c:pt>
              </c:strCache>
            </c:strRef>
          </c:tx>
          <c:spPr>
            <a:solidFill>
              <a:srgbClr val="78A22F"/>
            </a:solidFill>
            <a:ln>
              <a:solidFill>
                <a:srgbClr val="78A22F"/>
              </a:solidFill>
            </a:ln>
          </c:spPr>
          <c:invertIfNegative val="0"/>
          <c:cat>
            <c:strRef>
              <c:f>'Total $ on CP OOHC FSS'!$C$2:$K$2</c:f>
              <c:strCache>
                <c:ptCount val="9"/>
                <c:pt idx="0">
                  <c:v>NSW</c:v>
                </c:pt>
                <c:pt idx="1">
                  <c:v>Vic</c:v>
                </c:pt>
                <c:pt idx="2">
                  <c:v>Qld</c:v>
                </c:pt>
                <c:pt idx="3">
                  <c:v>WA</c:v>
                </c:pt>
                <c:pt idx="4">
                  <c:v>SA</c:v>
                </c:pt>
                <c:pt idx="5">
                  <c:v>Tas</c:v>
                </c:pt>
                <c:pt idx="6">
                  <c:v>ACT</c:v>
                </c:pt>
                <c:pt idx="7">
                  <c:v>NT</c:v>
                </c:pt>
                <c:pt idx="8">
                  <c:v>Aust</c:v>
                </c:pt>
              </c:strCache>
            </c:strRef>
          </c:cat>
          <c:val>
            <c:numRef>
              <c:f>'Total $ on CP OOHC FSS'!$C$7:$K$7</c:f>
              <c:numCache>
                <c:formatCode>0.0</c:formatCode>
                <c:ptCount val="9"/>
                <c:pt idx="0">
                  <c:v>914.75855948774654</c:v>
                </c:pt>
                <c:pt idx="1">
                  <c:v>660.99900658139825</c:v>
                </c:pt>
                <c:pt idx="2">
                  <c:v>764.08195299342208</c:v>
                </c:pt>
                <c:pt idx="3">
                  <c:v>758.85683335731153</c:v>
                </c:pt>
                <c:pt idx="4">
                  <c:v>893.80624404393109</c:v>
                </c:pt>
                <c:pt idx="5">
                  <c:v>696.48220963123185</c:v>
                </c:pt>
                <c:pt idx="6">
                  <c:v>596.09252241427123</c:v>
                </c:pt>
                <c:pt idx="7">
                  <c:v>2791.5413563431953</c:v>
                </c:pt>
                <c:pt idx="8">
                  <c:v>815.28779650276931</c:v>
                </c:pt>
              </c:numCache>
            </c:numRef>
          </c:val>
        </c:ser>
        <c:dLbls>
          <c:showLegendKey val="0"/>
          <c:showVal val="0"/>
          <c:showCatName val="0"/>
          <c:showSerName val="0"/>
          <c:showPercent val="0"/>
          <c:showBubbleSize val="0"/>
        </c:dLbls>
        <c:gapWidth val="150"/>
        <c:axId val="35840000"/>
        <c:axId val="35841536"/>
      </c:barChart>
      <c:catAx>
        <c:axId val="3584000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5841536"/>
        <c:crosses val="autoZero"/>
        <c:auto val="1"/>
        <c:lblAlgn val="ctr"/>
        <c:lblOffset val="100"/>
        <c:noMultiLvlLbl val="0"/>
      </c:catAx>
      <c:valAx>
        <c:axId val="35841536"/>
        <c:scaling>
          <c:orientation val="minMax"/>
          <c:max val="3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$/child aged 0-17 years</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840000"/>
        <c:crosses val="autoZero"/>
        <c:crossBetween val="between"/>
        <c:majorUnit val="6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ACT</a:t>
            </a:r>
          </a:p>
        </c:rich>
      </c:tx>
      <c:overlay val="0"/>
    </c:title>
    <c:autoTitleDeleted val="0"/>
    <c:plotArea>
      <c:layout>
        <c:manualLayout>
          <c:layoutTarget val="inner"/>
          <c:xMode val="edge"/>
          <c:yMode val="edge"/>
          <c:x val="0.16763925925925927"/>
          <c:y val="0.21781485394399241"/>
          <c:w val="0.78392518518518517"/>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rate'!$I$3:$I$7</c:f>
              <c:numCache>
                <c:formatCode>0.0</c:formatCode>
                <c:ptCount val="5"/>
                <c:pt idx="0">
                  <c:v>43.442622950819668</c:v>
                </c:pt>
                <c:pt idx="1">
                  <c:v>41.654571843251084</c:v>
                </c:pt>
                <c:pt idx="2">
                  <c:v>37.209302325581397</c:v>
                </c:pt>
                <c:pt idx="3">
                  <c:v>38.310580204778155</c:v>
                </c:pt>
                <c:pt idx="4">
                  <c:v>41.006202618883528</c:v>
                </c:pt>
              </c:numCache>
            </c:numRef>
          </c:val>
        </c:ser>
        <c:dLbls>
          <c:showLegendKey val="0"/>
          <c:showVal val="0"/>
          <c:showCatName val="0"/>
          <c:showSerName val="0"/>
          <c:showPercent val="0"/>
          <c:showBubbleSize val="0"/>
        </c:dLbls>
        <c:gapWidth val="150"/>
        <c:axId val="204195328"/>
        <c:axId val="204196864"/>
      </c:barChart>
      <c:catAx>
        <c:axId val="204195328"/>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4196864"/>
        <c:crosses val="autoZero"/>
        <c:auto val="1"/>
        <c:lblAlgn val="ctr"/>
        <c:lblOffset val="100"/>
        <c:noMultiLvlLbl val="0"/>
      </c:catAx>
      <c:valAx>
        <c:axId val="20419686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4195328"/>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NT</a:t>
            </a:r>
          </a:p>
        </c:rich>
      </c:tx>
      <c:overlay val="0"/>
    </c:title>
    <c:autoTitleDeleted val="0"/>
    <c:plotArea>
      <c:layout>
        <c:manualLayout>
          <c:layoutTarget val="inner"/>
          <c:xMode val="edge"/>
          <c:yMode val="edge"/>
          <c:x val="0.15823185185185185"/>
          <c:y val="0.21781485394399241"/>
          <c:w val="0.79333259259259259"/>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rate'!$J$3:$J$7</c:f>
              <c:numCache>
                <c:formatCode>0.0</c:formatCode>
                <c:ptCount val="5"/>
                <c:pt idx="0">
                  <c:v>51.897533206831113</c:v>
                </c:pt>
                <c:pt idx="1">
                  <c:v>48.575498575498578</c:v>
                </c:pt>
                <c:pt idx="2">
                  <c:v>44.357212953876349</c:v>
                </c:pt>
                <c:pt idx="3">
                  <c:v>46.093088857545837</c:v>
                </c:pt>
                <c:pt idx="4">
                  <c:v>38.717201166180757</c:v>
                </c:pt>
              </c:numCache>
            </c:numRef>
          </c:val>
        </c:ser>
        <c:dLbls>
          <c:showLegendKey val="0"/>
          <c:showVal val="0"/>
          <c:showCatName val="0"/>
          <c:showSerName val="0"/>
          <c:showPercent val="0"/>
          <c:showBubbleSize val="0"/>
        </c:dLbls>
        <c:gapWidth val="150"/>
        <c:axId val="205077504"/>
        <c:axId val="205107968"/>
      </c:barChart>
      <c:catAx>
        <c:axId val="20507750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5107968"/>
        <c:crosses val="autoZero"/>
        <c:auto val="1"/>
        <c:lblAlgn val="ctr"/>
        <c:lblOffset val="100"/>
        <c:noMultiLvlLbl val="0"/>
      </c:catAx>
      <c:valAx>
        <c:axId val="205107968"/>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507750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'Orders less 12 mths care_1 or 2'!$B$3</c:f>
              <c:strCache>
                <c:ptCount val="1"/>
                <c:pt idx="0">
                  <c:v>2010-11</c:v>
                </c:pt>
              </c:strCache>
            </c:strRef>
          </c:tx>
          <c:spPr>
            <a:solidFill>
              <a:srgbClr val="387DD2"/>
            </a:solidFill>
            <a:ln>
              <a:solidFill>
                <a:srgbClr val="387DD2"/>
              </a:solidFill>
            </a:ln>
          </c:spPr>
          <c:invertIfNegative val="0"/>
          <c:cat>
            <c:strRef>
              <c:f>'Orders less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2'!$C$3:$K$3</c:f>
              <c:numCache>
                <c:formatCode>0.0</c:formatCode>
                <c:ptCount val="9"/>
                <c:pt idx="0">
                  <c:v>86.446886446886452</c:v>
                </c:pt>
                <c:pt idx="1">
                  <c:v>75.594294770206034</c:v>
                </c:pt>
                <c:pt idx="2">
                  <c:v>89.923954372623569</c:v>
                </c:pt>
                <c:pt idx="3">
                  <c:v>0</c:v>
                </c:pt>
                <c:pt idx="4">
                  <c:v>79.591836734693871</c:v>
                </c:pt>
                <c:pt idx="5">
                  <c:v>72.222222222222214</c:v>
                </c:pt>
                <c:pt idx="6">
                  <c:v>82.456140350877192</c:v>
                </c:pt>
                <c:pt idx="7">
                  <c:v>88.9908256880734</c:v>
                </c:pt>
                <c:pt idx="8">
                  <c:v>83.178028445316329</c:v>
                </c:pt>
              </c:numCache>
            </c:numRef>
          </c:val>
        </c:ser>
        <c:ser>
          <c:idx val="1"/>
          <c:order val="1"/>
          <c:tx>
            <c:strRef>
              <c:f>'Orders less 12 mths care_1 or 2'!$B$4</c:f>
              <c:strCache>
                <c:ptCount val="1"/>
                <c:pt idx="0">
                  <c:v>2011-12</c:v>
                </c:pt>
              </c:strCache>
            </c:strRef>
          </c:tx>
          <c:spPr>
            <a:solidFill>
              <a:srgbClr val="000000"/>
            </a:solidFill>
            <a:ln>
              <a:solidFill>
                <a:srgbClr val="000000"/>
              </a:solidFill>
            </a:ln>
          </c:spPr>
          <c:invertIfNegative val="0"/>
          <c:cat>
            <c:strRef>
              <c:f>'Orders less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2'!$C$4:$K$4</c:f>
              <c:numCache>
                <c:formatCode>0.0</c:formatCode>
                <c:ptCount val="9"/>
                <c:pt idx="0">
                  <c:v>90</c:v>
                </c:pt>
                <c:pt idx="1">
                  <c:v>88.356164383561648</c:v>
                </c:pt>
                <c:pt idx="2">
                  <c:v>81.770833333333343</c:v>
                </c:pt>
                <c:pt idx="3">
                  <c:v>0</c:v>
                </c:pt>
                <c:pt idx="4">
                  <c:v>77.38095238095238</c:v>
                </c:pt>
                <c:pt idx="5">
                  <c:v>94.444444444444443</c:v>
                </c:pt>
                <c:pt idx="6">
                  <c:v>81.132075471698116</c:v>
                </c:pt>
                <c:pt idx="7">
                  <c:v>82.962962962962962</c:v>
                </c:pt>
                <c:pt idx="8">
                  <c:v>86.720321931589538</c:v>
                </c:pt>
              </c:numCache>
            </c:numRef>
          </c:val>
        </c:ser>
        <c:ser>
          <c:idx val="2"/>
          <c:order val="2"/>
          <c:tx>
            <c:strRef>
              <c:f>'Orders less 12 mths care_1 or 2'!$B$5</c:f>
              <c:strCache>
                <c:ptCount val="1"/>
                <c:pt idx="0">
                  <c:v>2012-13</c:v>
                </c:pt>
              </c:strCache>
            </c:strRef>
          </c:tx>
          <c:spPr>
            <a:solidFill>
              <a:srgbClr val="B2D673"/>
            </a:solidFill>
            <a:ln>
              <a:solidFill>
                <a:srgbClr val="B2D673"/>
              </a:solidFill>
            </a:ln>
          </c:spPr>
          <c:invertIfNegative val="0"/>
          <c:cat>
            <c:strRef>
              <c:f>'Orders less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2'!$C$5:$K$5</c:f>
              <c:numCache>
                <c:formatCode>0.0</c:formatCode>
                <c:ptCount val="9"/>
                <c:pt idx="0">
                  <c:v>90.077821011673151</c:v>
                </c:pt>
                <c:pt idx="1">
                  <c:v>85.412844036697237</c:v>
                </c:pt>
                <c:pt idx="2">
                  <c:v>87.280701754385973</c:v>
                </c:pt>
                <c:pt idx="3">
                  <c:v>0</c:v>
                </c:pt>
                <c:pt idx="4">
                  <c:v>83.229813664596278</c:v>
                </c:pt>
                <c:pt idx="5">
                  <c:v>80.327868852459019</c:v>
                </c:pt>
                <c:pt idx="6">
                  <c:v>85.365853658536579</c:v>
                </c:pt>
                <c:pt idx="7">
                  <c:v>88.888888888888886</c:v>
                </c:pt>
                <c:pt idx="8">
                  <c:v>86.631016042780757</c:v>
                </c:pt>
              </c:numCache>
            </c:numRef>
          </c:val>
        </c:ser>
        <c:ser>
          <c:idx val="3"/>
          <c:order val="3"/>
          <c:tx>
            <c:strRef>
              <c:f>'Orders less 12 mths care_1 or 2'!$B$6</c:f>
              <c:strCache>
                <c:ptCount val="1"/>
                <c:pt idx="0">
                  <c:v>2013-14</c:v>
                </c:pt>
              </c:strCache>
            </c:strRef>
          </c:tx>
          <c:spPr>
            <a:solidFill>
              <a:srgbClr val="265A9A"/>
            </a:solidFill>
            <a:ln>
              <a:solidFill>
                <a:srgbClr val="265A9A"/>
              </a:solidFill>
            </a:ln>
          </c:spPr>
          <c:invertIfNegative val="0"/>
          <c:cat>
            <c:strRef>
              <c:f>'Orders less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2'!$C$6:$K$6</c:f>
              <c:numCache>
                <c:formatCode>0.0</c:formatCode>
                <c:ptCount val="9"/>
                <c:pt idx="0">
                  <c:v>89.727463312368968</c:v>
                </c:pt>
                <c:pt idx="1">
                  <c:v>78.84615384615384</c:v>
                </c:pt>
                <c:pt idx="2">
                  <c:v>88.461538461538453</c:v>
                </c:pt>
                <c:pt idx="3">
                  <c:v>0</c:v>
                </c:pt>
                <c:pt idx="4">
                  <c:v>79.816513761467888</c:v>
                </c:pt>
                <c:pt idx="5">
                  <c:v>90.140845070422543</c:v>
                </c:pt>
                <c:pt idx="6">
                  <c:v>75.510204081632651</c:v>
                </c:pt>
                <c:pt idx="7">
                  <c:v>88.333333333333329</c:v>
                </c:pt>
                <c:pt idx="8">
                  <c:v>84.00402414486922</c:v>
                </c:pt>
              </c:numCache>
            </c:numRef>
          </c:val>
        </c:ser>
        <c:ser>
          <c:idx val="4"/>
          <c:order val="4"/>
          <c:tx>
            <c:strRef>
              <c:f>'Orders less 12 mths care_1 or 2'!$B$7</c:f>
              <c:strCache>
                <c:ptCount val="1"/>
                <c:pt idx="0">
                  <c:v>2014-15</c:v>
                </c:pt>
              </c:strCache>
            </c:strRef>
          </c:tx>
          <c:spPr>
            <a:solidFill>
              <a:srgbClr val="78A22F"/>
            </a:solidFill>
            <a:ln>
              <a:solidFill>
                <a:srgbClr val="78A22F"/>
              </a:solidFill>
            </a:ln>
          </c:spPr>
          <c:invertIfNegative val="0"/>
          <c:cat>
            <c:strRef>
              <c:f>'Orders less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2'!$C$7:$K$7</c:f>
              <c:numCache>
                <c:formatCode>0.0</c:formatCode>
                <c:ptCount val="9"/>
                <c:pt idx="0">
                  <c:v>89.557522123893804</c:v>
                </c:pt>
                <c:pt idx="1">
                  <c:v>89.696969696969703</c:v>
                </c:pt>
                <c:pt idx="2">
                  <c:v>84.198113207547166</c:v>
                </c:pt>
                <c:pt idx="3">
                  <c:v>82.478632478632477</c:v>
                </c:pt>
                <c:pt idx="4">
                  <c:v>87.804878048780495</c:v>
                </c:pt>
                <c:pt idx="5">
                  <c:v>94.73684210526315</c:v>
                </c:pt>
                <c:pt idx="6">
                  <c:v>95.833333333333343</c:v>
                </c:pt>
                <c:pt idx="7">
                  <c:v>77.777777777777786</c:v>
                </c:pt>
                <c:pt idx="8">
                  <c:v>87.774670395525362</c:v>
                </c:pt>
              </c:numCache>
            </c:numRef>
          </c:val>
        </c:ser>
        <c:dLbls>
          <c:showLegendKey val="0"/>
          <c:showVal val="0"/>
          <c:showCatName val="0"/>
          <c:showSerName val="0"/>
          <c:showPercent val="0"/>
          <c:showBubbleSize val="0"/>
        </c:dLbls>
        <c:gapWidth val="150"/>
        <c:axId val="212734720"/>
        <c:axId val="212736256"/>
      </c:barChart>
      <c:catAx>
        <c:axId val="21273472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736256"/>
        <c:crosses val="autoZero"/>
        <c:auto val="1"/>
        <c:lblAlgn val="ctr"/>
        <c:lblOffset val="100"/>
        <c:noMultiLvlLbl val="0"/>
      </c:catAx>
      <c:valAx>
        <c:axId val="212736256"/>
        <c:scaling>
          <c:orientation val="minMax"/>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73472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'Orders more 12 mths care_1 or 2'!$B$3</c:f>
              <c:strCache>
                <c:ptCount val="1"/>
                <c:pt idx="0">
                  <c:v>2010-11</c:v>
                </c:pt>
              </c:strCache>
            </c:strRef>
          </c:tx>
          <c:spPr>
            <a:solidFill>
              <a:srgbClr val="387DD2"/>
            </a:solidFill>
            <a:ln>
              <a:solidFill>
                <a:srgbClr val="387DD2"/>
              </a:solidFill>
            </a:ln>
          </c:spPr>
          <c:invertIfNegative val="0"/>
          <c:cat>
            <c:strRef>
              <c:f>'Orders more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2'!$C$3:$K$3</c:f>
              <c:numCache>
                <c:formatCode>0.0</c:formatCode>
                <c:ptCount val="9"/>
                <c:pt idx="0">
                  <c:v>55.555555555555557</c:v>
                </c:pt>
                <c:pt idx="1">
                  <c:v>47.752808988764045</c:v>
                </c:pt>
                <c:pt idx="2">
                  <c:v>44.698544698544701</c:v>
                </c:pt>
                <c:pt idx="3">
                  <c:v>0</c:v>
                </c:pt>
                <c:pt idx="4">
                  <c:v>45.5026455026455</c:v>
                </c:pt>
                <c:pt idx="5">
                  <c:v>33.333333333333329</c:v>
                </c:pt>
                <c:pt idx="6">
                  <c:v>47.457627118644069</c:v>
                </c:pt>
                <c:pt idx="7">
                  <c:v>44.285714285714285</c:v>
                </c:pt>
                <c:pt idx="8">
                  <c:v>48.66013071895425</c:v>
                </c:pt>
              </c:numCache>
            </c:numRef>
          </c:val>
        </c:ser>
        <c:ser>
          <c:idx val="1"/>
          <c:order val="1"/>
          <c:tx>
            <c:strRef>
              <c:f>'Orders more 12 mths care_1 or 2'!$B$4</c:f>
              <c:strCache>
                <c:ptCount val="1"/>
                <c:pt idx="0">
                  <c:v>2011-12</c:v>
                </c:pt>
              </c:strCache>
            </c:strRef>
          </c:tx>
          <c:spPr>
            <a:solidFill>
              <a:srgbClr val="000000"/>
            </a:solidFill>
            <a:ln>
              <a:solidFill>
                <a:srgbClr val="000000"/>
              </a:solidFill>
            </a:ln>
          </c:spPr>
          <c:invertIfNegative val="0"/>
          <c:cat>
            <c:strRef>
              <c:f>'Orders more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2'!$C$4:$K$4</c:f>
              <c:numCache>
                <c:formatCode>0.0</c:formatCode>
                <c:ptCount val="9"/>
                <c:pt idx="0">
                  <c:v>52.695167286245351</c:v>
                </c:pt>
                <c:pt idx="1">
                  <c:v>53.910614525139664</c:v>
                </c:pt>
                <c:pt idx="2">
                  <c:v>38.21805392731536</c:v>
                </c:pt>
                <c:pt idx="3">
                  <c:v>0</c:v>
                </c:pt>
                <c:pt idx="4">
                  <c:v>44.390243902439025</c:v>
                </c:pt>
                <c:pt idx="5">
                  <c:v>51.304347826086961</c:v>
                </c:pt>
                <c:pt idx="6">
                  <c:v>47.887323943661968</c:v>
                </c:pt>
                <c:pt idx="7">
                  <c:v>40.506329113924053</c:v>
                </c:pt>
                <c:pt idx="8">
                  <c:v>47.993579454253613</c:v>
                </c:pt>
              </c:numCache>
            </c:numRef>
          </c:val>
        </c:ser>
        <c:ser>
          <c:idx val="2"/>
          <c:order val="2"/>
          <c:tx>
            <c:strRef>
              <c:f>'Orders more 12 mths care_1 or 2'!$B$5</c:f>
              <c:strCache>
                <c:ptCount val="1"/>
                <c:pt idx="0">
                  <c:v>2012-13</c:v>
                </c:pt>
              </c:strCache>
            </c:strRef>
          </c:tx>
          <c:spPr>
            <a:solidFill>
              <a:srgbClr val="B2D673"/>
            </a:solidFill>
            <a:ln>
              <a:solidFill>
                <a:srgbClr val="B2D673"/>
              </a:solidFill>
            </a:ln>
          </c:spPr>
          <c:invertIfNegative val="0"/>
          <c:cat>
            <c:strRef>
              <c:f>'Orders more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2'!$C$5:$K$5</c:f>
              <c:numCache>
                <c:formatCode>0.0</c:formatCode>
                <c:ptCount val="9"/>
                <c:pt idx="0">
                  <c:v>53.30848089468779</c:v>
                </c:pt>
                <c:pt idx="1">
                  <c:v>54.642475987193173</c:v>
                </c:pt>
                <c:pt idx="2">
                  <c:v>37.731958762886599</c:v>
                </c:pt>
                <c:pt idx="3">
                  <c:v>0</c:v>
                </c:pt>
                <c:pt idx="4">
                  <c:v>44.392523364485982</c:v>
                </c:pt>
                <c:pt idx="5">
                  <c:v>50.78125</c:v>
                </c:pt>
                <c:pt idx="6">
                  <c:v>59.722222222222221</c:v>
                </c:pt>
                <c:pt idx="7">
                  <c:v>43.678160919540232</c:v>
                </c:pt>
                <c:pt idx="8">
                  <c:v>48.577994829072111</c:v>
                </c:pt>
              </c:numCache>
            </c:numRef>
          </c:val>
        </c:ser>
        <c:ser>
          <c:idx val="3"/>
          <c:order val="3"/>
          <c:tx>
            <c:strRef>
              <c:f>'Orders more 12 mths care_1 or 2'!$B$6</c:f>
              <c:strCache>
                <c:ptCount val="1"/>
                <c:pt idx="0">
                  <c:v>2013-14</c:v>
                </c:pt>
              </c:strCache>
            </c:strRef>
          </c:tx>
          <c:spPr>
            <a:solidFill>
              <a:srgbClr val="265A9A"/>
            </a:solidFill>
            <a:ln>
              <a:solidFill>
                <a:srgbClr val="265A9A"/>
              </a:solidFill>
            </a:ln>
          </c:spPr>
          <c:invertIfNegative val="0"/>
          <c:cat>
            <c:strRef>
              <c:f>'Orders more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2'!$C$6:$K$6</c:f>
              <c:numCache>
                <c:formatCode>0.0</c:formatCode>
                <c:ptCount val="9"/>
                <c:pt idx="0">
                  <c:v>51.572847682119203</c:v>
                </c:pt>
                <c:pt idx="1">
                  <c:v>48.425196850393696</c:v>
                </c:pt>
                <c:pt idx="2">
                  <c:v>43.548387096774192</c:v>
                </c:pt>
                <c:pt idx="3">
                  <c:v>0</c:v>
                </c:pt>
                <c:pt idx="4">
                  <c:v>36.60377358490566</c:v>
                </c:pt>
                <c:pt idx="5">
                  <c:v>47.368421052631575</c:v>
                </c:pt>
                <c:pt idx="6">
                  <c:v>51.923076923076927</c:v>
                </c:pt>
                <c:pt idx="7">
                  <c:v>33.333333333333329</c:v>
                </c:pt>
                <c:pt idx="8">
                  <c:v>46.938186019641826</c:v>
                </c:pt>
              </c:numCache>
            </c:numRef>
          </c:val>
        </c:ser>
        <c:ser>
          <c:idx val="4"/>
          <c:order val="4"/>
          <c:tx>
            <c:strRef>
              <c:f>'Orders more 12 mths care_1 or 2'!$B$7</c:f>
              <c:strCache>
                <c:ptCount val="1"/>
                <c:pt idx="0">
                  <c:v>2014-15</c:v>
                </c:pt>
              </c:strCache>
            </c:strRef>
          </c:tx>
          <c:spPr>
            <a:solidFill>
              <a:srgbClr val="78A22F"/>
            </a:solidFill>
            <a:ln>
              <a:solidFill>
                <a:srgbClr val="78A22F"/>
              </a:solidFill>
            </a:ln>
          </c:spPr>
          <c:invertIfNegative val="0"/>
          <c:cat>
            <c:strRef>
              <c:f>'Orders more 12 mths care_1 or 2'!$C$2:$K$2</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2'!$C$7:$K$7</c:f>
              <c:numCache>
                <c:formatCode>0.0</c:formatCode>
                <c:ptCount val="9"/>
                <c:pt idx="0">
                  <c:v>72.76018099547511</c:v>
                </c:pt>
                <c:pt idx="1">
                  <c:v>46.041412911084045</c:v>
                </c:pt>
                <c:pt idx="2">
                  <c:v>41.138560687432872</c:v>
                </c:pt>
                <c:pt idx="3">
                  <c:v>57.638888888888886</c:v>
                </c:pt>
                <c:pt idx="4">
                  <c:v>29.249011857707508</c:v>
                </c:pt>
                <c:pt idx="5">
                  <c:v>56.488549618320619</c:v>
                </c:pt>
                <c:pt idx="6">
                  <c:v>63.414634146341463</c:v>
                </c:pt>
                <c:pt idx="7">
                  <c:v>34.090909090909086</c:v>
                </c:pt>
                <c:pt idx="8">
                  <c:v>60.312707917498329</c:v>
                </c:pt>
              </c:numCache>
            </c:numRef>
          </c:val>
        </c:ser>
        <c:dLbls>
          <c:showLegendKey val="0"/>
          <c:showVal val="0"/>
          <c:showCatName val="0"/>
          <c:showSerName val="0"/>
          <c:showPercent val="0"/>
          <c:showBubbleSize val="0"/>
        </c:dLbls>
        <c:gapWidth val="150"/>
        <c:axId val="212780928"/>
        <c:axId val="212782464"/>
      </c:barChart>
      <c:catAx>
        <c:axId val="212780928"/>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782464"/>
        <c:crosses val="autoZero"/>
        <c:auto val="1"/>
        <c:lblAlgn val="ctr"/>
        <c:lblOffset val="100"/>
        <c:noMultiLvlLbl val="0"/>
      </c:catAx>
      <c:valAx>
        <c:axId val="21278246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780928"/>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in home based placement'!$M$3:$N$3</c:f>
              <c:strCache>
                <c:ptCount val="1"/>
                <c:pt idx="0">
                  <c:v>Aboriginal and Torres Strait Islander</c:v>
                </c:pt>
              </c:strCache>
            </c:strRef>
          </c:tx>
          <c:spPr>
            <a:solidFill>
              <a:srgbClr val="B2D673"/>
            </a:solidFill>
            <a:ln>
              <a:solidFill>
                <a:srgbClr val="B2D673"/>
              </a:solidFill>
            </a:ln>
          </c:spPr>
          <c:invertIfNegative val="0"/>
          <c:cat>
            <c:strRef>
              <c:f>'Chn in home based placement'!$O$2:$W$2</c:f>
              <c:strCache>
                <c:ptCount val="9"/>
                <c:pt idx="0">
                  <c:v>NSW</c:v>
                </c:pt>
                <c:pt idx="1">
                  <c:v>Vic</c:v>
                </c:pt>
                <c:pt idx="2">
                  <c:v>Qld</c:v>
                </c:pt>
                <c:pt idx="3">
                  <c:v>WA</c:v>
                </c:pt>
                <c:pt idx="4">
                  <c:v>SA</c:v>
                </c:pt>
                <c:pt idx="5">
                  <c:v>Tas</c:v>
                </c:pt>
                <c:pt idx="6">
                  <c:v>ACT</c:v>
                </c:pt>
                <c:pt idx="7">
                  <c:v>NT</c:v>
                </c:pt>
                <c:pt idx="8">
                  <c:v>Aust</c:v>
                </c:pt>
              </c:strCache>
            </c:strRef>
          </c:cat>
          <c:val>
            <c:numRef>
              <c:f>'Chn in home based placement'!$O$3:$W$3</c:f>
              <c:numCache>
                <c:formatCode>0.0</c:formatCode>
                <c:ptCount val="9"/>
                <c:pt idx="0">
                  <c:v>99.317004239284032</c:v>
                </c:pt>
                <c:pt idx="1">
                  <c:v>98.813868613138695</c:v>
                </c:pt>
                <c:pt idx="2">
                  <c:v>96.068308181096114</c:v>
                </c:pt>
                <c:pt idx="3">
                  <c:v>91.174680462568475</c:v>
                </c:pt>
                <c:pt idx="4">
                  <c:v>85.11705685618729</c:v>
                </c:pt>
                <c:pt idx="5">
                  <c:v>96.341463414634148</c:v>
                </c:pt>
                <c:pt idx="6">
                  <c:v>100</c:v>
                </c:pt>
                <c:pt idx="7">
                  <c:v>92.715231788079464</c:v>
                </c:pt>
                <c:pt idx="8">
                  <c:v>96.139872842870119</c:v>
                </c:pt>
              </c:numCache>
            </c:numRef>
          </c:val>
        </c:ser>
        <c:ser>
          <c:idx val="1"/>
          <c:order val="1"/>
          <c:tx>
            <c:strRef>
              <c:f>'Chn in home based placement'!$M$4:$N$4</c:f>
              <c:strCache>
                <c:ptCount val="1"/>
                <c:pt idx="0">
                  <c:v>Non-Indigenous</c:v>
                </c:pt>
              </c:strCache>
            </c:strRef>
          </c:tx>
          <c:spPr>
            <a:solidFill>
              <a:srgbClr val="265A9A"/>
            </a:solidFill>
            <a:ln>
              <a:solidFill>
                <a:srgbClr val="265A9A"/>
              </a:solidFill>
            </a:ln>
          </c:spPr>
          <c:invertIfNegative val="0"/>
          <c:cat>
            <c:strRef>
              <c:f>'Chn in home based placement'!$O$2:$W$2</c:f>
              <c:strCache>
                <c:ptCount val="9"/>
                <c:pt idx="0">
                  <c:v>NSW</c:v>
                </c:pt>
                <c:pt idx="1">
                  <c:v>Vic</c:v>
                </c:pt>
                <c:pt idx="2">
                  <c:v>Qld</c:v>
                </c:pt>
                <c:pt idx="3">
                  <c:v>WA</c:v>
                </c:pt>
                <c:pt idx="4">
                  <c:v>SA</c:v>
                </c:pt>
                <c:pt idx="5">
                  <c:v>Tas</c:v>
                </c:pt>
                <c:pt idx="6">
                  <c:v>ACT</c:v>
                </c:pt>
                <c:pt idx="7">
                  <c:v>NT</c:v>
                </c:pt>
                <c:pt idx="8">
                  <c:v>Aust</c:v>
                </c:pt>
              </c:strCache>
            </c:strRef>
          </c:cat>
          <c:val>
            <c:numRef>
              <c:f>'Chn in home based placement'!$O$4:$W$4</c:f>
              <c:numCache>
                <c:formatCode>0.0</c:formatCode>
                <c:ptCount val="9"/>
                <c:pt idx="0">
                  <c:v>99.419785320568607</c:v>
                </c:pt>
                <c:pt idx="1">
                  <c:v>99.225149435466022</c:v>
                </c:pt>
                <c:pt idx="2">
                  <c:v>98.785942492012779</c:v>
                </c:pt>
                <c:pt idx="3">
                  <c:v>96.884498480243167</c:v>
                </c:pt>
                <c:pt idx="4">
                  <c:v>89.726027397260282</c:v>
                </c:pt>
                <c:pt idx="5">
                  <c:v>95.530726256983243</c:v>
                </c:pt>
                <c:pt idx="6">
                  <c:v>97.023809523809518</c:v>
                </c:pt>
                <c:pt idx="7">
                  <c:v>95.3125</c:v>
                </c:pt>
                <c:pt idx="8">
                  <c:v>98.199690744422355</c:v>
                </c:pt>
              </c:numCache>
            </c:numRef>
          </c:val>
        </c:ser>
        <c:ser>
          <c:idx val="2"/>
          <c:order val="2"/>
          <c:tx>
            <c:strRef>
              <c:f>'Chn in home based placement'!$M$5:$N$5</c:f>
              <c:strCache>
                <c:ptCount val="1"/>
                <c:pt idx="0">
                  <c:v>All children</c:v>
                </c:pt>
              </c:strCache>
            </c:strRef>
          </c:tx>
          <c:spPr>
            <a:solidFill>
              <a:srgbClr val="78A22F"/>
            </a:solidFill>
            <a:ln>
              <a:solidFill>
                <a:srgbClr val="78A22F"/>
              </a:solidFill>
            </a:ln>
          </c:spPr>
          <c:invertIfNegative val="0"/>
          <c:cat>
            <c:strRef>
              <c:f>'Chn in home based placement'!$O$2:$W$2</c:f>
              <c:strCache>
                <c:ptCount val="9"/>
                <c:pt idx="0">
                  <c:v>NSW</c:v>
                </c:pt>
                <c:pt idx="1">
                  <c:v>Vic</c:v>
                </c:pt>
                <c:pt idx="2">
                  <c:v>Qld</c:v>
                </c:pt>
                <c:pt idx="3">
                  <c:v>WA</c:v>
                </c:pt>
                <c:pt idx="4">
                  <c:v>SA</c:v>
                </c:pt>
                <c:pt idx="5">
                  <c:v>Tas</c:v>
                </c:pt>
                <c:pt idx="6">
                  <c:v>ACT</c:v>
                </c:pt>
                <c:pt idx="7">
                  <c:v>NT</c:v>
                </c:pt>
                <c:pt idx="8">
                  <c:v>Aust</c:v>
                </c:pt>
              </c:strCache>
            </c:strRef>
          </c:cat>
          <c:val>
            <c:numRef>
              <c:f>'Chn in home based placement'!$O$5:$W$5</c:f>
              <c:numCache>
                <c:formatCode>0.0</c:formatCode>
                <c:ptCount val="9"/>
                <c:pt idx="0">
                  <c:v>99.380610412926401</c:v>
                </c:pt>
                <c:pt idx="1">
                  <c:v>99.145603417586329</c:v>
                </c:pt>
                <c:pt idx="2">
                  <c:v>97.560547560547562</c:v>
                </c:pt>
                <c:pt idx="3">
                  <c:v>93.718338399189463</c:v>
                </c:pt>
                <c:pt idx="4">
                  <c:v>88.343558282208591</c:v>
                </c:pt>
                <c:pt idx="5">
                  <c:v>95.615275813295625</c:v>
                </c:pt>
                <c:pt idx="6">
                  <c:v>97.929606625258799</c:v>
                </c:pt>
                <c:pt idx="7">
                  <c:v>92.964071856287418</c:v>
                </c:pt>
                <c:pt idx="8">
                  <c:v>97.406862577400716</c:v>
                </c:pt>
              </c:numCache>
            </c:numRef>
          </c:val>
        </c:ser>
        <c:dLbls>
          <c:showLegendKey val="0"/>
          <c:showVal val="0"/>
          <c:showCatName val="0"/>
          <c:showSerName val="0"/>
          <c:showPercent val="0"/>
          <c:showBubbleSize val="0"/>
        </c:dLbls>
        <c:gapWidth val="150"/>
        <c:axId val="212694528"/>
        <c:axId val="212696064"/>
      </c:barChart>
      <c:catAx>
        <c:axId val="212694528"/>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696064"/>
        <c:crosses val="autoZero"/>
        <c:auto val="1"/>
        <c:lblAlgn val="ctr"/>
        <c:lblOffset val="100"/>
        <c:noMultiLvlLbl val="0"/>
      </c:catAx>
      <c:valAx>
        <c:axId val="212696064"/>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694528"/>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placed with relatives_kin'!$M$3:$N$3</c:f>
              <c:strCache>
                <c:ptCount val="1"/>
                <c:pt idx="0">
                  <c:v>Aboriginal and Torres Strait Islander</c:v>
                </c:pt>
              </c:strCache>
            </c:strRef>
          </c:tx>
          <c:spPr>
            <a:solidFill>
              <a:srgbClr val="B2D673"/>
            </a:solidFill>
            <a:ln>
              <a:solidFill>
                <a:srgbClr val="B2D673"/>
              </a:solidFill>
            </a:ln>
          </c:spPr>
          <c:invertIfNegative val="0"/>
          <c:cat>
            <c:strRef>
              <c:f>'Chn placed with relatives_kin'!$O$2:$W$2</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relatives_kin'!$O$3:$W$3</c:f>
              <c:numCache>
                <c:formatCode>0.0</c:formatCode>
                <c:ptCount val="9"/>
                <c:pt idx="0">
                  <c:v>55.378421900161037</c:v>
                </c:pt>
                <c:pt idx="1">
                  <c:v>58.504301786896093</c:v>
                </c:pt>
                <c:pt idx="2">
                  <c:v>41.799544419134399</c:v>
                </c:pt>
                <c:pt idx="3">
                  <c:v>54.316197866149373</c:v>
                </c:pt>
                <c:pt idx="4">
                  <c:v>52.488151658767769</c:v>
                </c:pt>
                <c:pt idx="5">
                  <c:v>26.141078838174277</c:v>
                </c:pt>
                <c:pt idx="6">
                  <c:v>54.644808743169406</c:v>
                </c:pt>
                <c:pt idx="7">
                  <c:v>3.2511210762331837</c:v>
                </c:pt>
                <c:pt idx="8">
                  <c:v>48.825622775800717</c:v>
                </c:pt>
              </c:numCache>
            </c:numRef>
          </c:val>
        </c:ser>
        <c:ser>
          <c:idx val="1"/>
          <c:order val="1"/>
          <c:tx>
            <c:strRef>
              <c:f>'Chn placed with relatives_kin'!$M$4:$N$4</c:f>
              <c:strCache>
                <c:ptCount val="1"/>
                <c:pt idx="0">
                  <c:v>Non-Indigenous</c:v>
                </c:pt>
              </c:strCache>
            </c:strRef>
          </c:tx>
          <c:spPr>
            <a:solidFill>
              <a:srgbClr val="265A9A"/>
            </a:solidFill>
            <a:ln>
              <a:solidFill>
                <a:srgbClr val="265A9A"/>
              </a:solidFill>
            </a:ln>
          </c:spPr>
          <c:invertIfNegative val="0"/>
          <c:cat>
            <c:strRef>
              <c:f>'Chn placed with relatives_kin'!$O$2:$W$2</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relatives_kin'!$O$4:$W$4</c:f>
              <c:numCache>
                <c:formatCode>0.0</c:formatCode>
                <c:ptCount val="9"/>
                <c:pt idx="0">
                  <c:v>45.480199416799927</c:v>
                </c:pt>
                <c:pt idx="1">
                  <c:v>54.220456802383325</c:v>
                </c:pt>
                <c:pt idx="2">
                  <c:v>43.758967001434719</c:v>
                </c:pt>
                <c:pt idx="3">
                  <c:v>44.338624338624335</c:v>
                </c:pt>
                <c:pt idx="4">
                  <c:v>40.99538224730631</c:v>
                </c:pt>
                <c:pt idx="5">
                  <c:v>28.817733990147783</c:v>
                </c:pt>
                <c:pt idx="6">
                  <c:v>52.697095435684652</c:v>
                </c:pt>
                <c:pt idx="7">
                  <c:v>3.2</c:v>
                </c:pt>
                <c:pt idx="8">
                  <c:v>46.450012582233882</c:v>
                </c:pt>
              </c:numCache>
            </c:numRef>
          </c:val>
        </c:ser>
        <c:ser>
          <c:idx val="2"/>
          <c:order val="2"/>
          <c:tx>
            <c:strRef>
              <c:f>'Chn placed with relatives_kin'!$M$5:$N$5</c:f>
              <c:strCache>
                <c:ptCount val="1"/>
                <c:pt idx="0">
                  <c:v>All children</c:v>
                </c:pt>
              </c:strCache>
            </c:strRef>
          </c:tx>
          <c:spPr>
            <a:solidFill>
              <a:srgbClr val="78A22F"/>
            </a:solidFill>
            <a:ln>
              <a:solidFill>
                <a:srgbClr val="78A22F"/>
              </a:solidFill>
            </a:ln>
          </c:spPr>
          <c:invertIfNegative val="0"/>
          <c:cat>
            <c:strRef>
              <c:f>'Chn placed with relatives_kin'!$O$2:$W$2</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relatives_kin'!$O$5:$W$5</c:f>
              <c:numCache>
                <c:formatCode>0.0</c:formatCode>
                <c:ptCount val="9"/>
                <c:pt idx="0">
                  <c:v>49.124265273407353</c:v>
                </c:pt>
                <c:pt idx="1">
                  <c:v>54.943387416832032</c:v>
                </c:pt>
                <c:pt idx="2">
                  <c:v>42.874053030303031</c:v>
                </c:pt>
                <c:pt idx="3">
                  <c:v>49.519473950429941</c:v>
                </c:pt>
                <c:pt idx="4">
                  <c:v>44.432699083861877</c:v>
                </c:pt>
                <c:pt idx="5">
                  <c:v>28.180961357210176</c:v>
                </c:pt>
                <c:pt idx="6">
                  <c:v>53.055141579731746</c:v>
                </c:pt>
                <c:pt idx="7">
                  <c:v>3.2448377581120944</c:v>
                </c:pt>
                <c:pt idx="8">
                  <c:v>47.259153436715131</c:v>
                </c:pt>
              </c:numCache>
            </c:numRef>
          </c:val>
        </c:ser>
        <c:dLbls>
          <c:showLegendKey val="0"/>
          <c:showVal val="0"/>
          <c:showCatName val="0"/>
          <c:showSerName val="0"/>
          <c:showPercent val="0"/>
          <c:showBubbleSize val="0"/>
        </c:dLbls>
        <c:gapWidth val="150"/>
        <c:axId val="212485632"/>
        <c:axId val="212487168"/>
      </c:barChart>
      <c:catAx>
        <c:axId val="21248563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487168"/>
        <c:crosses val="autoZero"/>
        <c:auto val="1"/>
        <c:lblAlgn val="ctr"/>
        <c:lblOffset val="100"/>
        <c:noMultiLvlLbl val="0"/>
      </c:catAx>
      <c:valAx>
        <c:axId val="212487168"/>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48563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'Placement of Indigenous chn'!$A$3</c:f>
              <c:strCache>
                <c:ptCount val="1"/>
                <c:pt idx="0">
                  <c:v>Relative/Kin</c:v>
                </c:pt>
              </c:strCache>
            </c:strRef>
          </c:tx>
          <c:spPr>
            <a:solidFill>
              <a:srgbClr val="B2D673"/>
            </a:solidFill>
            <a:ln>
              <a:solidFill>
                <a:srgbClr val="B2D673"/>
              </a:solidFill>
            </a:ln>
          </c:spPr>
          <c:invertIfNegative val="0"/>
          <c:cat>
            <c:strRef>
              <c:f>'Placement of Indigenous chn'!$C$2:$K$2</c:f>
              <c:strCache>
                <c:ptCount val="9"/>
                <c:pt idx="0">
                  <c:v>NSW</c:v>
                </c:pt>
                <c:pt idx="1">
                  <c:v>Vic</c:v>
                </c:pt>
                <c:pt idx="2">
                  <c:v>Qld</c:v>
                </c:pt>
                <c:pt idx="3">
                  <c:v>WA</c:v>
                </c:pt>
                <c:pt idx="4">
                  <c:v>SA</c:v>
                </c:pt>
                <c:pt idx="5">
                  <c:v>Tas</c:v>
                </c:pt>
                <c:pt idx="6">
                  <c:v>ACT</c:v>
                </c:pt>
                <c:pt idx="7">
                  <c:v>NT</c:v>
                </c:pt>
                <c:pt idx="8">
                  <c:v>Aust</c:v>
                </c:pt>
              </c:strCache>
            </c:strRef>
          </c:cat>
          <c:val>
            <c:numRef>
              <c:f>'Placement of Indigenous chn'!$C$3:$K$3</c:f>
              <c:numCache>
                <c:formatCode>0.0</c:formatCode>
                <c:ptCount val="9"/>
                <c:pt idx="0">
                  <c:v>55.611254851228978</c:v>
                </c:pt>
                <c:pt idx="1">
                  <c:v>65.632858340318521</c:v>
                </c:pt>
                <c:pt idx="2">
                  <c:v>41.799544419134399</c:v>
                </c:pt>
                <c:pt idx="3">
                  <c:v>54.320388349514559</c:v>
                </c:pt>
                <c:pt idx="4">
                  <c:v>52.738095238095241</c:v>
                </c:pt>
                <c:pt idx="5">
                  <c:v>26.25</c:v>
                </c:pt>
                <c:pt idx="6">
                  <c:v>55.248618784530393</c:v>
                </c:pt>
                <c:pt idx="7">
                  <c:v>28.571428571428569</c:v>
                </c:pt>
                <c:pt idx="8">
                  <c:v>50.822390237432025</c:v>
                </c:pt>
              </c:numCache>
            </c:numRef>
          </c:val>
        </c:ser>
        <c:ser>
          <c:idx val="1"/>
          <c:order val="1"/>
          <c:tx>
            <c:strRef>
              <c:f>'Placement of Indigenous chn'!$A$4</c:f>
              <c:strCache>
                <c:ptCount val="1"/>
                <c:pt idx="0">
                  <c:v>Other Aboriginal and Torres Strait Islander</c:v>
                </c:pt>
              </c:strCache>
            </c:strRef>
          </c:tx>
          <c:spPr>
            <a:solidFill>
              <a:srgbClr val="265A9A"/>
            </a:solidFill>
            <a:ln>
              <a:solidFill>
                <a:srgbClr val="265A9A"/>
              </a:solidFill>
            </a:ln>
          </c:spPr>
          <c:invertIfNegative val="0"/>
          <c:cat>
            <c:strRef>
              <c:f>'Placement of Indigenous chn'!$C$2:$K$2</c:f>
              <c:strCache>
                <c:ptCount val="9"/>
                <c:pt idx="0">
                  <c:v>NSW</c:v>
                </c:pt>
                <c:pt idx="1">
                  <c:v>Vic</c:v>
                </c:pt>
                <c:pt idx="2">
                  <c:v>Qld</c:v>
                </c:pt>
                <c:pt idx="3">
                  <c:v>WA</c:v>
                </c:pt>
                <c:pt idx="4">
                  <c:v>SA</c:v>
                </c:pt>
                <c:pt idx="5">
                  <c:v>Tas</c:v>
                </c:pt>
                <c:pt idx="6">
                  <c:v>ACT</c:v>
                </c:pt>
                <c:pt idx="7">
                  <c:v>NT</c:v>
                </c:pt>
                <c:pt idx="8">
                  <c:v>Aust</c:v>
                </c:pt>
              </c:strCache>
            </c:strRef>
          </c:cat>
          <c:val>
            <c:numRef>
              <c:f>'Placement of Indigenous chn'!$C$4:$K$4</c:f>
              <c:numCache>
                <c:formatCode>0.0</c:formatCode>
                <c:ptCount val="9"/>
                <c:pt idx="0">
                  <c:v>23.528460543337644</c:v>
                </c:pt>
                <c:pt idx="1">
                  <c:v>6.1190276613579213</c:v>
                </c:pt>
                <c:pt idx="2">
                  <c:v>14.720956719817767</c:v>
                </c:pt>
                <c:pt idx="3">
                  <c:v>10.097087378640776</c:v>
                </c:pt>
                <c:pt idx="4">
                  <c:v>13.80952380952381</c:v>
                </c:pt>
                <c:pt idx="5">
                  <c:v>12.5</c:v>
                </c:pt>
                <c:pt idx="6">
                  <c:v>1.1049723756906076</c:v>
                </c:pt>
                <c:pt idx="7">
                  <c:v>6.2211981566820276</c:v>
                </c:pt>
                <c:pt idx="8">
                  <c:v>16.282000265287174</c:v>
                </c:pt>
              </c:numCache>
            </c:numRef>
          </c:val>
        </c:ser>
        <c:ser>
          <c:idx val="2"/>
          <c:order val="2"/>
          <c:tx>
            <c:strRef>
              <c:f>'Placement of Indigenous chn'!$A$5</c:f>
              <c:strCache>
                <c:ptCount val="1"/>
                <c:pt idx="0">
                  <c:v>Other</c:v>
                </c:pt>
              </c:strCache>
            </c:strRef>
          </c:tx>
          <c:spPr>
            <a:solidFill>
              <a:srgbClr val="78A22F"/>
            </a:solidFill>
            <a:ln>
              <a:solidFill>
                <a:srgbClr val="78A22F"/>
              </a:solidFill>
            </a:ln>
          </c:spPr>
          <c:invertIfNegative val="0"/>
          <c:cat>
            <c:strRef>
              <c:f>'Placement of Indigenous chn'!$C$2:$K$2</c:f>
              <c:strCache>
                <c:ptCount val="9"/>
                <c:pt idx="0">
                  <c:v>NSW</c:v>
                </c:pt>
                <c:pt idx="1">
                  <c:v>Vic</c:v>
                </c:pt>
                <c:pt idx="2">
                  <c:v>Qld</c:v>
                </c:pt>
                <c:pt idx="3">
                  <c:v>WA</c:v>
                </c:pt>
                <c:pt idx="4">
                  <c:v>SA</c:v>
                </c:pt>
                <c:pt idx="5">
                  <c:v>Tas</c:v>
                </c:pt>
                <c:pt idx="6">
                  <c:v>ACT</c:v>
                </c:pt>
                <c:pt idx="7">
                  <c:v>NT</c:v>
                </c:pt>
                <c:pt idx="8">
                  <c:v>Aust</c:v>
                </c:pt>
              </c:strCache>
            </c:strRef>
          </c:cat>
          <c:val>
            <c:numRef>
              <c:f>'Placement of Indigenous chn'!$C$5:$K$5</c:f>
              <c:numCache>
                <c:formatCode>0.0</c:formatCode>
                <c:ptCount val="9"/>
                <c:pt idx="0">
                  <c:v>20.779430789133247</c:v>
                </c:pt>
                <c:pt idx="1">
                  <c:v>28.248113998323554</c:v>
                </c:pt>
                <c:pt idx="2">
                  <c:v>43.479498861047837</c:v>
                </c:pt>
                <c:pt idx="3">
                  <c:v>35.582524271844662</c:v>
                </c:pt>
                <c:pt idx="4">
                  <c:v>33.452380952380949</c:v>
                </c:pt>
                <c:pt idx="5">
                  <c:v>61.250000000000007</c:v>
                </c:pt>
                <c:pt idx="6">
                  <c:v>43.646408839779006</c:v>
                </c:pt>
                <c:pt idx="7">
                  <c:v>65.207373271889395</c:v>
                </c:pt>
                <c:pt idx="8">
                  <c:v>32.862448600610165</c:v>
                </c:pt>
              </c:numCache>
            </c:numRef>
          </c:val>
        </c:ser>
        <c:dLbls>
          <c:showLegendKey val="0"/>
          <c:showVal val="0"/>
          <c:showCatName val="0"/>
          <c:showSerName val="0"/>
          <c:showPercent val="0"/>
          <c:showBubbleSize val="0"/>
        </c:dLbls>
        <c:gapWidth val="150"/>
        <c:overlap val="100"/>
        <c:axId val="212605184"/>
        <c:axId val="212606976"/>
      </c:barChart>
      <c:catAx>
        <c:axId val="212605184"/>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606976"/>
        <c:crosses val="autoZero"/>
        <c:auto val="1"/>
        <c:lblAlgn val="ctr"/>
        <c:lblOffset val="100"/>
        <c:noMultiLvlLbl val="0"/>
      </c:catAx>
      <c:valAx>
        <c:axId val="21260697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60518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plans'!$M$3:$N$3</c:f>
              <c:strCache>
                <c:ptCount val="1"/>
                <c:pt idx="0">
                  <c:v>Aboriginal and Torres Strait Islander</c:v>
                </c:pt>
              </c:strCache>
            </c:strRef>
          </c:tx>
          <c:spPr>
            <a:solidFill>
              <a:srgbClr val="78A22F"/>
            </a:solidFill>
            <a:ln>
              <a:noFill/>
            </a:ln>
          </c:spPr>
          <c:invertIfNegative val="0"/>
          <c:cat>
            <c:strRef>
              <c:f>'Case plans'!$O$2:$W$2</c:f>
              <c:strCache>
                <c:ptCount val="9"/>
                <c:pt idx="0">
                  <c:v>NSW</c:v>
                </c:pt>
                <c:pt idx="1">
                  <c:v>Vic</c:v>
                </c:pt>
                <c:pt idx="2">
                  <c:v>Qld</c:v>
                </c:pt>
                <c:pt idx="3">
                  <c:v>WA</c:v>
                </c:pt>
                <c:pt idx="4">
                  <c:v>SA</c:v>
                </c:pt>
                <c:pt idx="5">
                  <c:v>Tas</c:v>
                </c:pt>
                <c:pt idx="6">
                  <c:v>ACT</c:v>
                </c:pt>
                <c:pt idx="7">
                  <c:v>NT</c:v>
                </c:pt>
                <c:pt idx="8">
                  <c:v>Aust</c:v>
                </c:pt>
              </c:strCache>
            </c:strRef>
          </c:cat>
          <c:val>
            <c:numRef>
              <c:f>'Case plans'!$O$3:$W$3</c:f>
              <c:numCache>
                <c:formatCode>0.0</c:formatCode>
                <c:ptCount val="9"/>
                <c:pt idx="0">
                  <c:v>77.000808407437347</c:v>
                </c:pt>
                <c:pt idx="1">
                  <c:v>99.625</c:v>
                </c:pt>
                <c:pt idx="2">
                  <c:v>96.815089672232531</c:v>
                </c:pt>
                <c:pt idx="3">
                  <c:v>80.819180819180815</c:v>
                </c:pt>
                <c:pt idx="4">
                  <c:v>0</c:v>
                </c:pt>
                <c:pt idx="5">
                  <c:v>62.844036697247709</c:v>
                </c:pt>
                <c:pt idx="6">
                  <c:v>90.419161676646709</c:v>
                </c:pt>
                <c:pt idx="7">
                  <c:v>0</c:v>
                </c:pt>
                <c:pt idx="8">
                  <c:v>84.827161579734366</c:v>
                </c:pt>
              </c:numCache>
            </c:numRef>
          </c:val>
        </c:ser>
        <c:ser>
          <c:idx val="1"/>
          <c:order val="1"/>
          <c:tx>
            <c:strRef>
              <c:f>'Case plans'!$M$4:$N$4</c:f>
              <c:strCache>
                <c:ptCount val="1"/>
                <c:pt idx="0">
                  <c:v>Non-Indigenous</c:v>
                </c:pt>
              </c:strCache>
            </c:strRef>
          </c:tx>
          <c:spPr>
            <a:solidFill>
              <a:srgbClr val="265A9A"/>
            </a:solidFill>
            <a:ln>
              <a:solidFill>
                <a:srgbClr val="B2D673"/>
              </a:solidFill>
            </a:ln>
          </c:spPr>
          <c:invertIfNegative val="0"/>
          <c:cat>
            <c:strRef>
              <c:f>'Case plans'!$O$2:$W$2</c:f>
              <c:strCache>
                <c:ptCount val="9"/>
                <c:pt idx="0">
                  <c:v>NSW</c:v>
                </c:pt>
                <c:pt idx="1">
                  <c:v>Vic</c:v>
                </c:pt>
                <c:pt idx="2">
                  <c:v>Qld</c:v>
                </c:pt>
                <c:pt idx="3">
                  <c:v>WA</c:v>
                </c:pt>
                <c:pt idx="4">
                  <c:v>SA</c:v>
                </c:pt>
                <c:pt idx="5">
                  <c:v>Tas</c:v>
                </c:pt>
                <c:pt idx="6">
                  <c:v>ACT</c:v>
                </c:pt>
                <c:pt idx="7">
                  <c:v>NT</c:v>
                </c:pt>
                <c:pt idx="8">
                  <c:v>Aust</c:v>
                </c:pt>
              </c:strCache>
            </c:strRef>
          </c:cat>
          <c:val>
            <c:numRef>
              <c:f>'Case plans'!$O$4:$W$4</c:f>
              <c:numCache>
                <c:formatCode>0.0</c:formatCode>
                <c:ptCount val="9"/>
                <c:pt idx="0">
                  <c:v>81.559548491131068</c:v>
                </c:pt>
                <c:pt idx="1">
                  <c:v>99.123114696597682</c:v>
                </c:pt>
                <c:pt idx="2">
                  <c:v>97.414834501087228</c:v>
                </c:pt>
                <c:pt idx="3">
                  <c:v>83.72732270478285</c:v>
                </c:pt>
                <c:pt idx="4">
                  <c:v>0</c:v>
                </c:pt>
                <c:pt idx="5">
                  <c:v>69.692737430167597</c:v>
                </c:pt>
                <c:pt idx="6">
                  <c:v>86.725663716814154</c:v>
                </c:pt>
                <c:pt idx="7">
                  <c:v>0</c:v>
                </c:pt>
                <c:pt idx="8">
                  <c:v>87.641352698429714</c:v>
                </c:pt>
              </c:numCache>
            </c:numRef>
          </c:val>
        </c:ser>
        <c:ser>
          <c:idx val="2"/>
          <c:order val="2"/>
          <c:tx>
            <c:strRef>
              <c:f>'Case plans'!$M$5:$N$5</c:f>
              <c:strCache>
                <c:ptCount val="1"/>
                <c:pt idx="0">
                  <c:v>All children</c:v>
                </c:pt>
              </c:strCache>
            </c:strRef>
          </c:tx>
          <c:spPr>
            <a:solidFill>
              <a:srgbClr val="B2D673"/>
            </a:solidFill>
            <a:ln>
              <a:noFill/>
            </a:ln>
          </c:spPr>
          <c:invertIfNegative val="0"/>
          <c:cat>
            <c:strRef>
              <c:f>'Case plans'!$O$2:$W$2</c:f>
              <c:strCache>
                <c:ptCount val="9"/>
                <c:pt idx="0">
                  <c:v>NSW</c:v>
                </c:pt>
                <c:pt idx="1">
                  <c:v>Vic</c:v>
                </c:pt>
                <c:pt idx="2">
                  <c:v>Qld</c:v>
                </c:pt>
                <c:pt idx="3">
                  <c:v>WA</c:v>
                </c:pt>
                <c:pt idx="4">
                  <c:v>SA</c:v>
                </c:pt>
                <c:pt idx="5">
                  <c:v>Tas</c:v>
                </c:pt>
                <c:pt idx="6">
                  <c:v>ACT</c:v>
                </c:pt>
                <c:pt idx="7">
                  <c:v>NT</c:v>
                </c:pt>
                <c:pt idx="8">
                  <c:v>Aust</c:v>
                </c:pt>
              </c:strCache>
            </c:strRef>
          </c:cat>
          <c:val>
            <c:numRef>
              <c:f>'Case plans'!$O$5:$W$5</c:f>
              <c:numCache>
                <c:formatCode>0.0</c:formatCode>
                <c:ptCount val="9"/>
                <c:pt idx="0">
                  <c:v>79.9046221570066</c:v>
                </c:pt>
                <c:pt idx="1">
                  <c:v>99.233086825527252</c:v>
                </c:pt>
                <c:pt idx="2">
                  <c:v>97.128218956451391</c:v>
                </c:pt>
                <c:pt idx="3">
                  <c:v>82.20361161999476</c:v>
                </c:pt>
                <c:pt idx="4">
                  <c:v>0</c:v>
                </c:pt>
                <c:pt idx="5">
                  <c:v>68.230277185501066</c:v>
                </c:pt>
                <c:pt idx="6">
                  <c:v>87.7221324717286</c:v>
                </c:pt>
                <c:pt idx="7">
                  <c:v>0</c:v>
                </c:pt>
                <c:pt idx="8">
                  <c:v>86.587312142572145</c:v>
                </c:pt>
              </c:numCache>
            </c:numRef>
          </c:val>
        </c:ser>
        <c:dLbls>
          <c:showLegendKey val="0"/>
          <c:showVal val="0"/>
          <c:showCatName val="0"/>
          <c:showSerName val="0"/>
          <c:showPercent val="0"/>
          <c:showBubbleSize val="0"/>
        </c:dLbls>
        <c:gapWidth val="150"/>
        <c:axId val="212653952"/>
        <c:axId val="212655488"/>
      </c:barChart>
      <c:catAx>
        <c:axId val="21265395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655488"/>
        <c:crosses val="autoZero"/>
        <c:auto val="1"/>
        <c:lblAlgn val="ctr"/>
        <c:lblOffset val="100"/>
        <c:noMultiLvlLbl val="0"/>
      </c:catAx>
      <c:valAx>
        <c:axId val="212655488"/>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65395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'Proxy efficiency chart NIS'!$B$16</c:f>
              <c:strCache>
                <c:ptCount val="1"/>
                <c:pt idx="0">
                  <c:v>2010-11</c:v>
                </c:pt>
              </c:strCache>
            </c:strRef>
          </c:tx>
          <c:spPr>
            <a:solidFill>
              <a:srgbClr val="387DD2"/>
            </a:solidFill>
            <a:ln>
              <a:solidFill>
                <a:srgbClr val="387DD2"/>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NIS'!$C$16:$J$16</c:f>
              <c:numCache>
                <c:formatCode>0</c:formatCode>
                <c:ptCount val="8"/>
                <c:pt idx="0">
                  <c:v>3856.9254077804585</c:v>
                </c:pt>
                <c:pt idx="1">
                  <c:v>3221.3514689417566</c:v>
                </c:pt>
                <c:pt idx="2">
                  <c:v>14473.545529905618</c:v>
                </c:pt>
                <c:pt idx="3">
                  <c:v>6471.9472866489632</c:v>
                </c:pt>
                <c:pt idx="4">
                  <c:v>2014.1987961999316</c:v>
                </c:pt>
                <c:pt idx="5">
                  <c:v>1946.6606442442665</c:v>
                </c:pt>
                <c:pt idx="6">
                  <c:v>925.15851055190103</c:v>
                </c:pt>
                <c:pt idx="7">
                  <c:v>5034.7363675739989</c:v>
                </c:pt>
              </c:numCache>
            </c:numRef>
          </c:val>
        </c:ser>
        <c:ser>
          <c:idx val="1"/>
          <c:order val="1"/>
          <c:tx>
            <c:strRef>
              <c:f>'Proxy efficiency chart NIS'!$B$17</c:f>
              <c:strCache>
                <c:ptCount val="1"/>
                <c:pt idx="0">
                  <c:v>2011-12</c:v>
                </c:pt>
              </c:strCache>
            </c:strRef>
          </c:tx>
          <c:spPr>
            <a:solidFill>
              <a:srgbClr val="000000"/>
            </a:solidFill>
            <a:ln>
              <a:solidFill>
                <a:srgbClr val="000000"/>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NIS'!$C$17:$J$17</c:f>
              <c:numCache>
                <c:formatCode>0</c:formatCode>
                <c:ptCount val="8"/>
                <c:pt idx="0">
                  <c:v>3258.0940768507689</c:v>
                </c:pt>
                <c:pt idx="1">
                  <c:v>3015.7987247670512</c:v>
                </c:pt>
                <c:pt idx="2">
                  <c:v>12891.228097648172</c:v>
                </c:pt>
                <c:pt idx="3">
                  <c:v>8559.0162357889803</c:v>
                </c:pt>
                <c:pt idx="4">
                  <c:v>2770.035103049956</c:v>
                </c:pt>
                <c:pt idx="5">
                  <c:v>2013.1451678689211</c:v>
                </c:pt>
                <c:pt idx="6">
                  <c:v>996.46755910378658</c:v>
                </c:pt>
                <c:pt idx="7">
                  <c:v>5407.1629635165309</c:v>
                </c:pt>
              </c:numCache>
            </c:numRef>
          </c:val>
        </c:ser>
        <c:ser>
          <c:idx val="2"/>
          <c:order val="2"/>
          <c:tx>
            <c:strRef>
              <c:f>'Proxy efficiency chart NIS'!$B$18</c:f>
              <c:strCache>
                <c:ptCount val="1"/>
                <c:pt idx="0">
                  <c:v>2012-13</c:v>
                </c:pt>
              </c:strCache>
            </c:strRef>
          </c:tx>
          <c:spPr>
            <a:solidFill>
              <a:srgbClr val="B2D673"/>
            </a:solidFill>
            <a:ln>
              <a:solidFill>
                <a:srgbClr val="B2D673"/>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NIS'!$C$18:$J$18</c:f>
              <c:numCache>
                <c:formatCode>0</c:formatCode>
                <c:ptCount val="8"/>
                <c:pt idx="0">
                  <c:v>3576.9754434065694</c:v>
                </c:pt>
                <c:pt idx="1">
                  <c:v>2605.1357292641005</c:v>
                </c:pt>
                <c:pt idx="2">
                  <c:v>12818.425893969679</c:v>
                </c:pt>
                <c:pt idx="3">
                  <c:v>9724.9616071761538</c:v>
                </c:pt>
                <c:pt idx="4">
                  <c:v>2796.6074278566193</c:v>
                </c:pt>
                <c:pt idx="5">
                  <c:v>1767.1732680604973</c:v>
                </c:pt>
                <c:pt idx="6">
                  <c:v>907.66389728613888</c:v>
                </c:pt>
                <c:pt idx="7">
                  <c:v>6650.1930597776782</c:v>
                </c:pt>
              </c:numCache>
            </c:numRef>
          </c:val>
        </c:ser>
        <c:ser>
          <c:idx val="3"/>
          <c:order val="3"/>
          <c:tx>
            <c:strRef>
              <c:f>'Proxy efficiency chart NIS'!$B$19</c:f>
              <c:strCache>
                <c:ptCount val="1"/>
                <c:pt idx="0">
                  <c:v>2013-14</c:v>
                </c:pt>
              </c:strCache>
            </c:strRef>
          </c:tx>
          <c:spPr>
            <a:solidFill>
              <a:srgbClr val="265A9A"/>
            </a:solidFill>
            <a:ln>
              <a:solidFill>
                <a:srgbClr val="265A9A"/>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NIS'!$C$19:$J$19</c:f>
              <c:numCache>
                <c:formatCode>0</c:formatCode>
                <c:ptCount val="8"/>
                <c:pt idx="0">
                  <c:v>3179.1466890081529</c:v>
                </c:pt>
                <c:pt idx="1">
                  <c:v>2340.5969136428776</c:v>
                </c:pt>
                <c:pt idx="2">
                  <c:v>13057.416395195798</c:v>
                </c:pt>
                <c:pt idx="3">
                  <c:v>8952.1387424076092</c:v>
                </c:pt>
                <c:pt idx="4">
                  <c:v>3782.0390711977975</c:v>
                </c:pt>
                <c:pt idx="5">
                  <c:v>1657.6308201958564</c:v>
                </c:pt>
                <c:pt idx="6">
                  <c:v>1123.6300120923627</c:v>
                </c:pt>
                <c:pt idx="7">
                  <c:v>2769.7105621825867</c:v>
                </c:pt>
              </c:numCache>
            </c:numRef>
          </c:val>
        </c:ser>
        <c:ser>
          <c:idx val="4"/>
          <c:order val="4"/>
          <c:tx>
            <c:strRef>
              <c:f>'Proxy efficiency chart NIS'!$B$20</c:f>
              <c:strCache>
                <c:ptCount val="1"/>
                <c:pt idx="0">
                  <c:v>2014-15</c:v>
                </c:pt>
              </c:strCache>
            </c:strRef>
          </c:tx>
          <c:spPr>
            <a:solidFill>
              <a:srgbClr val="78A22F"/>
            </a:solidFill>
            <a:ln>
              <a:solidFill>
                <a:srgbClr val="78A22F"/>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NIS'!$C$20:$J$20</c:f>
              <c:numCache>
                <c:formatCode>0</c:formatCode>
                <c:ptCount val="8"/>
                <c:pt idx="0">
                  <c:v>3043.4575808983241</c:v>
                </c:pt>
                <c:pt idx="1">
                  <c:v>2179.7108728408271</c:v>
                </c:pt>
                <c:pt idx="2">
                  <c:v>14085.727069351231</c:v>
                </c:pt>
                <c:pt idx="3">
                  <c:v>9159.2583788923221</c:v>
                </c:pt>
                <c:pt idx="4">
                  <c:v>2841.0617059891106</c:v>
                </c:pt>
                <c:pt idx="5">
                  <c:v>1422.0501474926255</c:v>
                </c:pt>
                <c:pt idx="6">
                  <c:v>1303.3010439198722</c:v>
                </c:pt>
                <c:pt idx="7">
                  <c:v>2080.5826383178669</c:v>
                </c:pt>
              </c:numCache>
            </c:numRef>
          </c:val>
        </c:ser>
        <c:dLbls>
          <c:showLegendKey val="0"/>
          <c:showVal val="0"/>
          <c:showCatName val="0"/>
          <c:showSerName val="0"/>
          <c:showPercent val="0"/>
          <c:showBubbleSize val="0"/>
        </c:dLbls>
        <c:gapWidth val="150"/>
        <c:axId val="213154816"/>
        <c:axId val="213172992"/>
      </c:barChart>
      <c:catAx>
        <c:axId val="213154816"/>
        <c:scaling>
          <c:orientation val="minMax"/>
        </c:scaling>
        <c:delete val="0"/>
        <c:axPos val="b"/>
        <c:numFmt formatCode="0"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3172992"/>
        <c:crosses val="autoZero"/>
        <c:auto val="1"/>
        <c:lblAlgn val="ctr"/>
        <c:lblOffset val="100"/>
        <c:noMultiLvlLbl val="0"/>
      </c:catAx>
      <c:valAx>
        <c:axId val="213172992"/>
        <c:scaling>
          <c:orientation val="minMax"/>
          <c:max val="15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$/notification</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3154816"/>
        <c:crosses val="autoZero"/>
        <c:crossBetween val="between"/>
        <c:majorUnit val="25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'Proxy efficiency chart NIS'!$B$10</c:f>
              <c:strCache>
                <c:ptCount val="1"/>
                <c:pt idx="0">
                  <c:v>2010-11</c:v>
                </c:pt>
              </c:strCache>
            </c:strRef>
          </c:tx>
          <c:spPr>
            <a:solidFill>
              <a:srgbClr val="387DD2"/>
            </a:solidFill>
            <a:ln>
              <a:solidFill>
                <a:srgbClr val="387DD2"/>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NIS'!$C$10:$J$10</c:f>
              <c:numCache>
                <c:formatCode>0</c:formatCode>
                <c:ptCount val="8"/>
                <c:pt idx="0">
                  <c:v>5340.287606382768</c:v>
                </c:pt>
                <c:pt idx="1">
                  <c:v>12874.776640592268</c:v>
                </c:pt>
                <c:pt idx="2">
                  <c:v>14473.545529905618</c:v>
                </c:pt>
                <c:pt idx="3">
                  <c:v>10126.314100963511</c:v>
                </c:pt>
                <c:pt idx="4">
                  <c:v>7324.2018135249446</c:v>
                </c:pt>
                <c:pt idx="5">
                  <c:v>9134.2649808283422</c:v>
                </c:pt>
                <c:pt idx="6">
                  <c:v>6480.5361696075743</c:v>
                </c:pt>
                <c:pt idx="7">
                  <c:v>8235.3361766051421</c:v>
                </c:pt>
              </c:numCache>
            </c:numRef>
          </c:val>
        </c:ser>
        <c:ser>
          <c:idx val="1"/>
          <c:order val="1"/>
          <c:tx>
            <c:strRef>
              <c:f>'Proxy efficiency chart NIS'!$B$11</c:f>
              <c:strCache>
                <c:ptCount val="1"/>
                <c:pt idx="0">
                  <c:v>2011-12</c:v>
                </c:pt>
              </c:strCache>
            </c:strRef>
          </c:tx>
          <c:spPr>
            <a:solidFill>
              <a:srgbClr val="000000"/>
            </a:solidFill>
            <a:ln>
              <a:solidFill>
                <a:srgbClr val="000000"/>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NIS'!$C$11:$J$11</c:f>
              <c:numCache>
                <c:formatCode>0</c:formatCode>
                <c:ptCount val="8"/>
                <c:pt idx="0">
                  <c:v>6178.815598868714</c:v>
                </c:pt>
                <c:pt idx="1">
                  <c:v>11977.254392849731</c:v>
                </c:pt>
                <c:pt idx="2">
                  <c:v>12891.228097648172</c:v>
                </c:pt>
                <c:pt idx="3">
                  <c:v>11464.010734839167</c:v>
                </c:pt>
                <c:pt idx="4">
                  <c:v>10386.81403457693</c:v>
                </c:pt>
                <c:pt idx="5">
                  <c:v>13789.112388250318</c:v>
                </c:pt>
                <c:pt idx="6">
                  <c:v>5617.3992812119495</c:v>
                </c:pt>
                <c:pt idx="7">
                  <c:v>10757.635751179918</c:v>
                </c:pt>
              </c:numCache>
            </c:numRef>
          </c:val>
        </c:ser>
        <c:ser>
          <c:idx val="2"/>
          <c:order val="2"/>
          <c:tx>
            <c:strRef>
              <c:f>'Proxy efficiency chart NIS'!$B$12</c:f>
              <c:strCache>
                <c:ptCount val="1"/>
                <c:pt idx="0">
                  <c:v>2012-13</c:v>
                </c:pt>
              </c:strCache>
            </c:strRef>
          </c:tx>
          <c:spPr>
            <a:solidFill>
              <a:srgbClr val="B2D673"/>
            </a:solidFill>
            <a:ln>
              <a:solidFill>
                <a:srgbClr val="B2D673"/>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NIS'!$C$12:$J$12</c:f>
              <c:numCache>
                <c:formatCode>0</c:formatCode>
                <c:ptCount val="8"/>
                <c:pt idx="0">
                  <c:v>6912.8961400462131</c:v>
                </c:pt>
                <c:pt idx="1">
                  <c:v>10060.797193624581</c:v>
                </c:pt>
                <c:pt idx="2">
                  <c:v>12818.425893969679</c:v>
                </c:pt>
                <c:pt idx="3">
                  <c:v>13420.588240798095</c:v>
                </c:pt>
                <c:pt idx="4">
                  <c:v>10026.46428288366</c:v>
                </c:pt>
                <c:pt idx="5">
                  <c:v>10775.468104553136</c:v>
                </c:pt>
                <c:pt idx="6">
                  <c:v>5293.9897306628909</c:v>
                </c:pt>
                <c:pt idx="7">
                  <c:v>17433.580806629176</c:v>
                </c:pt>
              </c:numCache>
            </c:numRef>
          </c:val>
        </c:ser>
        <c:ser>
          <c:idx val="3"/>
          <c:order val="3"/>
          <c:tx>
            <c:strRef>
              <c:f>'Proxy efficiency chart NIS'!$B$13</c:f>
              <c:strCache>
                <c:ptCount val="1"/>
                <c:pt idx="0">
                  <c:v>2013-14</c:v>
                </c:pt>
              </c:strCache>
            </c:strRef>
          </c:tx>
          <c:spPr>
            <a:solidFill>
              <a:srgbClr val="265A9A"/>
            </a:solidFill>
            <a:ln>
              <a:solidFill>
                <a:srgbClr val="265A9A"/>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NIS'!$C$13:$J$13</c:f>
              <c:numCache>
                <c:formatCode>0</c:formatCode>
                <c:ptCount val="8"/>
                <c:pt idx="0">
                  <c:v>6084.0167069412819</c:v>
                </c:pt>
                <c:pt idx="1">
                  <c:v>9041.0968481796335</c:v>
                </c:pt>
                <c:pt idx="2">
                  <c:v>13057.416395195798</c:v>
                </c:pt>
                <c:pt idx="3">
                  <c:v>11581.187573049221</c:v>
                </c:pt>
                <c:pt idx="4">
                  <c:v>11321.828889282948</c:v>
                </c:pt>
                <c:pt idx="5">
                  <c:v>14513.579039727096</c:v>
                </c:pt>
                <c:pt idx="6">
                  <c:v>8861.9628929903593</c:v>
                </c:pt>
                <c:pt idx="7">
                  <c:v>7306.5291872610505</c:v>
                </c:pt>
              </c:numCache>
            </c:numRef>
          </c:val>
        </c:ser>
        <c:ser>
          <c:idx val="4"/>
          <c:order val="4"/>
          <c:tx>
            <c:strRef>
              <c:f>'Proxy efficiency chart NIS'!$B$14</c:f>
              <c:strCache>
                <c:ptCount val="1"/>
                <c:pt idx="0">
                  <c:v>2014-15</c:v>
                </c:pt>
              </c:strCache>
            </c:strRef>
          </c:tx>
          <c:spPr>
            <a:solidFill>
              <a:srgbClr val="78A22F"/>
            </a:solidFill>
            <a:ln>
              <a:solidFill>
                <a:srgbClr val="78A22F"/>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NIS'!$C$14:$J$14</c:f>
              <c:numCache>
                <c:formatCode>0</c:formatCode>
                <c:ptCount val="8"/>
                <c:pt idx="0">
                  <c:v>5091.4395597108942</c:v>
                </c:pt>
                <c:pt idx="1">
                  <c:v>7953.1094378710013</c:v>
                </c:pt>
                <c:pt idx="2">
                  <c:v>14085.727069351231</c:v>
                </c:pt>
                <c:pt idx="3">
                  <c:v>11490.383181750411</c:v>
                </c:pt>
                <c:pt idx="4">
                  <c:v>11343.659420289856</c:v>
                </c:pt>
                <c:pt idx="5">
                  <c:v>12089.655172413793</c:v>
                </c:pt>
                <c:pt idx="6">
                  <c:v>8559.6046942557132</c:v>
                </c:pt>
                <c:pt idx="7">
                  <c:v>5001.9768426998025</c:v>
                </c:pt>
              </c:numCache>
            </c:numRef>
          </c:val>
        </c:ser>
        <c:dLbls>
          <c:showLegendKey val="0"/>
          <c:showVal val="0"/>
          <c:showCatName val="0"/>
          <c:showSerName val="0"/>
          <c:showPercent val="0"/>
          <c:showBubbleSize val="0"/>
        </c:dLbls>
        <c:gapWidth val="150"/>
        <c:axId val="213286912"/>
        <c:axId val="213288448"/>
      </c:barChart>
      <c:catAx>
        <c:axId val="213286912"/>
        <c:scaling>
          <c:orientation val="minMax"/>
        </c:scaling>
        <c:delete val="0"/>
        <c:axPos val="b"/>
        <c:numFmt formatCode="0"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3288448"/>
        <c:crosses val="autoZero"/>
        <c:auto val="1"/>
        <c:lblAlgn val="ctr"/>
        <c:lblOffset val="100"/>
        <c:noMultiLvlLbl val="0"/>
      </c:catAx>
      <c:valAx>
        <c:axId val="213288448"/>
        <c:scaling>
          <c:orientation val="minMax"/>
          <c:max val="18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$/investigation</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3286912"/>
        <c:crosses val="autoZero"/>
        <c:crossBetween val="between"/>
        <c:majorUnit val="30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'Response time to commence'!$A$13</c:f>
              <c:strCache>
                <c:ptCount val="1"/>
                <c:pt idx="0">
                  <c:v>Up to 7 days</c:v>
                </c:pt>
              </c:strCache>
            </c:strRef>
          </c:tx>
          <c:spPr>
            <a:solidFill>
              <a:srgbClr val="387DD2"/>
            </a:solidFill>
            <a:ln>
              <a:solidFill>
                <a:srgbClr val="387DD2"/>
              </a:solidFill>
            </a:ln>
          </c:spPr>
          <c:invertIfNegative val="0"/>
          <c:cat>
            <c:strRef>
              <c:f>'Response time to commence'!$C$12:$K$12</c:f>
              <c:strCache>
                <c:ptCount val="9"/>
                <c:pt idx="0">
                  <c:v>NSW</c:v>
                </c:pt>
                <c:pt idx="1">
                  <c:v>Vic</c:v>
                </c:pt>
                <c:pt idx="2">
                  <c:v>Qld</c:v>
                </c:pt>
                <c:pt idx="3">
                  <c:v>WA</c:v>
                </c:pt>
                <c:pt idx="4">
                  <c:v>SA</c:v>
                </c:pt>
                <c:pt idx="5">
                  <c:v>Tas</c:v>
                </c:pt>
                <c:pt idx="6">
                  <c:v>ACT</c:v>
                </c:pt>
                <c:pt idx="7">
                  <c:v>NT</c:v>
                </c:pt>
                <c:pt idx="8">
                  <c:v>Aust</c:v>
                </c:pt>
              </c:strCache>
            </c:strRef>
          </c:cat>
          <c:val>
            <c:numRef>
              <c:f>'Response time to commence'!$C$13:$K$13</c:f>
              <c:numCache>
                <c:formatCode>0.0</c:formatCode>
                <c:ptCount val="9"/>
                <c:pt idx="0">
                  <c:v>61.977063251952437</c:v>
                </c:pt>
                <c:pt idx="1">
                  <c:v>75.935231714126189</c:v>
                </c:pt>
                <c:pt idx="2">
                  <c:v>28.949802814158431</c:v>
                </c:pt>
                <c:pt idx="3">
                  <c:v>67.920353982300881</c:v>
                </c:pt>
                <c:pt idx="4">
                  <c:v>74.207571092193447</c:v>
                </c:pt>
                <c:pt idx="5">
                  <c:v>39.554682383759001</c:v>
                </c:pt>
                <c:pt idx="6">
                  <c:v>72.285353535353536</c:v>
                </c:pt>
                <c:pt idx="7">
                  <c:v>77.099129458017416</c:v>
                </c:pt>
                <c:pt idx="8">
                  <c:v>61.357471642281766</c:v>
                </c:pt>
              </c:numCache>
            </c:numRef>
          </c:val>
        </c:ser>
        <c:ser>
          <c:idx val="1"/>
          <c:order val="1"/>
          <c:tx>
            <c:strRef>
              <c:f>'Response time to commence'!$A$14</c:f>
              <c:strCache>
                <c:ptCount val="1"/>
                <c:pt idx="0">
                  <c:v>8 to 14 days</c:v>
                </c:pt>
              </c:strCache>
            </c:strRef>
          </c:tx>
          <c:spPr>
            <a:solidFill>
              <a:srgbClr val="000000"/>
            </a:solidFill>
            <a:ln>
              <a:solidFill>
                <a:srgbClr val="000000"/>
              </a:solidFill>
            </a:ln>
          </c:spPr>
          <c:invertIfNegative val="0"/>
          <c:cat>
            <c:strRef>
              <c:f>'Response time to commence'!$C$12:$K$12</c:f>
              <c:strCache>
                <c:ptCount val="9"/>
                <c:pt idx="0">
                  <c:v>NSW</c:v>
                </c:pt>
                <c:pt idx="1">
                  <c:v>Vic</c:v>
                </c:pt>
                <c:pt idx="2">
                  <c:v>Qld</c:v>
                </c:pt>
                <c:pt idx="3">
                  <c:v>WA</c:v>
                </c:pt>
                <c:pt idx="4">
                  <c:v>SA</c:v>
                </c:pt>
                <c:pt idx="5">
                  <c:v>Tas</c:v>
                </c:pt>
                <c:pt idx="6">
                  <c:v>ACT</c:v>
                </c:pt>
                <c:pt idx="7">
                  <c:v>NT</c:v>
                </c:pt>
                <c:pt idx="8">
                  <c:v>Aust</c:v>
                </c:pt>
              </c:strCache>
            </c:strRef>
          </c:cat>
          <c:val>
            <c:numRef>
              <c:f>'Response time to commence'!$C$14:$K$14</c:f>
              <c:numCache>
                <c:formatCode>0.0</c:formatCode>
                <c:ptCount val="9"/>
                <c:pt idx="0">
                  <c:v>12.499824104692888</c:v>
                </c:pt>
                <c:pt idx="1">
                  <c:v>15.063412299593203</c:v>
                </c:pt>
                <c:pt idx="2">
                  <c:v>12.206047032474803</c:v>
                </c:pt>
                <c:pt idx="3">
                  <c:v>7.4041297935103252</c:v>
                </c:pt>
                <c:pt idx="4">
                  <c:v>12.0268067379098</c:v>
                </c:pt>
                <c:pt idx="5">
                  <c:v>14.669286182056322</c:v>
                </c:pt>
                <c:pt idx="6">
                  <c:v>18.686868686868689</c:v>
                </c:pt>
                <c:pt idx="7">
                  <c:v>7.9472058410558839</c:v>
                </c:pt>
                <c:pt idx="8">
                  <c:v>12.275330155076992</c:v>
                </c:pt>
              </c:numCache>
            </c:numRef>
          </c:val>
        </c:ser>
        <c:ser>
          <c:idx val="2"/>
          <c:order val="2"/>
          <c:tx>
            <c:strRef>
              <c:f>'Response time to commence'!$A$15</c:f>
              <c:strCache>
                <c:ptCount val="1"/>
                <c:pt idx="0">
                  <c:v>15 to 21 days</c:v>
                </c:pt>
              </c:strCache>
            </c:strRef>
          </c:tx>
          <c:spPr>
            <a:solidFill>
              <a:srgbClr val="B2D673"/>
            </a:solidFill>
            <a:ln>
              <a:solidFill>
                <a:srgbClr val="B2D673"/>
              </a:solidFill>
            </a:ln>
          </c:spPr>
          <c:invertIfNegative val="0"/>
          <c:cat>
            <c:strRef>
              <c:f>'Response time to commence'!$C$12:$K$12</c:f>
              <c:strCache>
                <c:ptCount val="9"/>
                <c:pt idx="0">
                  <c:v>NSW</c:v>
                </c:pt>
                <c:pt idx="1">
                  <c:v>Vic</c:v>
                </c:pt>
                <c:pt idx="2">
                  <c:v>Qld</c:v>
                </c:pt>
                <c:pt idx="3">
                  <c:v>WA</c:v>
                </c:pt>
                <c:pt idx="4">
                  <c:v>SA</c:v>
                </c:pt>
                <c:pt idx="5">
                  <c:v>Tas</c:v>
                </c:pt>
                <c:pt idx="6">
                  <c:v>ACT</c:v>
                </c:pt>
                <c:pt idx="7">
                  <c:v>NT</c:v>
                </c:pt>
                <c:pt idx="8">
                  <c:v>Aust</c:v>
                </c:pt>
              </c:strCache>
            </c:strRef>
          </c:cat>
          <c:val>
            <c:numRef>
              <c:f>'Response time to commence'!$C$15:$K$15</c:f>
              <c:numCache>
                <c:formatCode>0.0</c:formatCode>
                <c:ptCount val="9"/>
                <c:pt idx="0">
                  <c:v>5.8031379722788996</c:v>
                </c:pt>
                <c:pt idx="1">
                  <c:v>5.3441812235782082</c:v>
                </c:pt>
                <c:pt idx="2">
                  <c:v>10.102731389064706</c:v>
                </c:pt>
                <c:pt idx="3">
                  <c:v>4.4985250737463129</c:v>
                </c:pt>
                <c:pt idx="4">
                  <c:v>5.705488136207209</c:v>
                </c:pt>
                <c:pt idx="5">
                  <c:v>12.508185985592664</c:v>
                </c:pt>
                <c:pt idx="6">
                  <c:v>5.6818181818181817</c:v>
                </c:pt>
                <c:pt idx="7">
                  <c:v>2.9205279415894414</c:v>
                </c:pt>
                <c:pt idx="8">
                  <c:v>6.1325278097430003</c:v>
                </c:pt>
              </c:numCache>
            </c:numRef>
          </c:val>
        </c:ser>
        <c:ser>
          <c:idx val="3"/>
          <c:order val="3"/>
          <c:tx>
            <c:strRef>
              <c:f>'Response time to commence'!$A$16</c:f>
              <c:strCache>
                <c:ptCount val="1"/>
                <c:pt idx="0">
                  <c:v>22 to 28 days</c:v>
                </c:pt>
              </c:strCache>
            </c:strRef>
          </c:tx>
          <c:spPr>
            <a:solidFill>
              <a:srgbClr val="265A9A"/>
            </a:solidFill>
            <a:ln>
              <a:solidFill>
                <a:srgbClr val="265A9A"/>
              </a:solidFill>
            </a:ln>
          </c:spPr>
          <c:invertIfNegative val="0"/>
          <c:cat>
            <c:strRef>
              <c:f>'Response time to commence'!$C$12:$K$12</c:f>
              <c:strCache>
                <c:ptCount val="9"/>
                <c:pt idx="0">
                  <c:v>NSW</c:v>
                </c:pt>
                <c:pt idx="1">
                  <c:v>Vic</c:v>
                </c:pt>
                <c:pt idx="2">
                  <c:v>Qld</c:v>
                </c:pt>
                <c:pt idx="3">
                  <c:v>WA</c:v>
                </c:pt>
                <c:pt idx="4">
                  <c:v>SA</c:v>
                </c:pt>
                <c:pt idx="5">
                  <c:v>Tas</c:v>
                </c:pt>
                <c:pt idx="6">
                  <c:v>ACT</c:v>
                </c:pt>
                <c:pt idx="7">
                  <c:v>NT</c:v>
                </c:pt>
                <c:pt idx="8">
                  <c:v>Aust</c:v>
                </c:pt>
              </c:strCache>
            </c:strRef>
          </c:cat>
          <c:val>
            <c:numRef>
              <c:f>'Response time to commence'!$C$16:$K$16</c:f>
              <c:numCache>
                <c:formatCode>0.0</c:formatCode>
                <c:ptCount val="9"/>
                <c:pt idx="0">
                  <c:v>3.4011116583409557</c:v>
                </c:pt>
                <c:pt idx="1">
                  <c:v>1.9223099625109676</c:v>
                </c:pt>
                <c:pt idx="2">
                  <c:v>7.186328448317834</c:v>
                </c:pt>
                <c:pt idx="3">
                  <c:v>3.2964601769911503</c:v>
                </c:pt>
                <c:pt idx="4">
                  <c:v>2.2459699329831553</c:v>
                </c:pt>
                <c:pt idx="5">
                  <c:v>8.9718402095612308</c:v>
                </c:pt>
                <c:pt idx="6">
                  <c:v>1.8308080808080809</c:v>
                </c:pt>
                <c:pt idx="7">
                  <c:v>2.0219039595619206</c:v>
                </c:pt>
                <c:pt idx="8">
                  <c:v>3.600197271083347</c:v>
                </c:pt>
              </c:numCache>
            </c:numRef>
          </c:val>
        </c:ser>
        <c:ser>
          <c:idx val="4"/>
          <c:order val="4"/>
          <c:tx>
            <c:strRef>
              <c:f>'Response time to commence'!$A$17</c:f>
              <c:strCache>
                <c:ptCount val="1"/>
                <c:pt idx="0">
                  <c:v>29 days or more</c:v>
                </c:pt>
              </c:strCache>
            </c:strRef>
          </c:tx>
          <c:spPr>
            <a:solidFill>
              <a:srgbClr val="78A22F"/>
            </a:solidFill>
            <a:ln>
              <a:solidFill>
                <a:srgbClr val="78A22F"/>
              </a:solidFill>
            </a:ln>
          </c:spPr>
          <c:invertIfNegative val="0"/>
          <c:cat>
            <c:strRef>
              <c:f>'Response time to commence'!$C$12:$K$12</c:f>
              <c:strCache>
                <c:ptCount val="9"/>
                <c:pt idx="0">
                  <c:v>NSW</c:v>
                </c:pt>
                <c:pt idx="1">
                  <c:v>Vic</c:v>
                </c:pt>
                <c:pt idx="2">
                  <c:v>Qld</c:v>
                </c:pt>
                <c:pt idx="3">
                  <c:v>WA</c:v>
                </c:pt>
                <c:pt idx="4">
                  <c:v>SA</c:v>
                </c:pt>
                <c:pt idx="5">
                  <c:v>Tas</c:v>
                </c:pt>
                <c:pt idx="6">
                  <c:v>ACT</c:v>
                </c:pt>
                <c:pt idx="7">
                  <c:v>NT</c:v>
                </c:pt>
                <c:pt idx="8">
                  <c:v>Aust</c:v>
                </c:pt>
              </c:strCache>
            </c:strRef>
          </c:cat>
          <c:val>
            <c:numRef>
              <c:f>'Response time to commence'!$C$17:$K$17</c:f>
              <c:numCache>
                <c:formatCode>0.0</c:formatCode>
                <c:ptCount val="9"/>
                <c:pt idx="0">
                  <c:v>16.31886301273482</c:v>
                </c:pt>
                <c:pt idx="1">
                  <c:v>1.7348648001914335</c:v>
                </c:pt>
                <c:pt idx="2">
                  <c:v>41.555090315984231</c:v>
                </c:pt>
                <c:pt idx="3">
                  <c:v>16.880530973451329</c:v>
                </c:pt>
                <c:pt idx="4">
                  <c:v>5.8141641007063942</c:v>
                </c:pt>
                <c:pt idx="5">
                  <c:v>24.29600523903078</c:v>
                </c:pt>
                <c:pt idx="6">
                  <c:v>1.5151515151515151</c:v>
                </c:pt>
                <c:pt idx="7">
                  <c:v>10.011232799775344</c:v>
                </c:pt>
                <c:pt idx="8">
                  <c:v>16.634473121814892</c:v>
                </c:pt>
              </c:numCache>
            </c:numRef>
          </c:val>
        </c:ser>
        <c:dLbls>
          <c:showLegendKey val="0"/>
          <c:showVal val="0"/>
          <c:showCatName val="0"/>
          <c:showSerName val="0"/>
          <c:showPercent val="0"/>
          <c:showBubbleSize val="0"/>
        </c:dLbls>
        <c:gapWidth val="150"/>
        <c:axId val="35895552"/>
        <c:axId val="35897344"/>
      </c:barChart>
      <c:catAx>
        <c:axId val="3589555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5897344"/>
        <c:crosses val="autoZero"/>
        <c:auto val="1"/>
        <c:lblAlgn val="ctr"/>
        <c:lblOffset val="100"/>
        <c:noMultiLvlLbl val="0"/>
      </c:catAx>
      <c:valAx>
        <c:axId val="3589734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89555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 NIS'!$B$4</c:f>
              <c:strCache>
                <c:ptCount val="1"/>
                <c:pt idx="0">
                  <c:v>2010-11</c:v>
                </c:pt>
              </c:strCache>
            </c:strRef>
          </c:tx>
          <c:spPr>
            <a:solidFill>
              <a:srgbClr val="387DD2"/>
            </a:solidFill>
            <a:ln>
              <a:solidFill>
                <a:srgbClr val="387DD2"/>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NIS'!$C$4:$J$4</c:f>
              <c:numCache>
                <c:formatCode>0</c:formatCode>
                <c:ptCount val="8"/>
                <c:pt idx="0">
                  <c:v>20501.064311252925</c:v>
                </c:pt>
                <c:pt idx="1">
                  <c:v>23483.875591586653</c:v>
                </c:pt>
                <c:pt idx="2">
                  <c:v>47502.974909079443</c:v>
                </c:pt>
                <c:pt idx="3">
                  <c:v>37250.180082988474</c:v>
                </c:pt>
                <c:pt idx="4">
                  <c:v>19184.789885426828</c:v>
                </c:pt>
                <c:pt idx="5">
                  <c:v>16986.00459291997</c:v>
                </c:pt>
                <c:pt idx="6">
                  <c:v>17036.881250918024</c:v>
                </c:pt>
                <c:pt idx="7">
                  <c:v>20043.834667496001</c:v>
                </c:pt>
              </c:numCache>
            </c:numRef>
          </c:val>
        </c:ser>
        <c:ser>
          <c:idx val="1"/>
          <c:order val="1"/>
          <c:tx>
            <c:strRef>
              <c:f>'Proxy efficiency chart NIS'!$B$5</c:f>
              <c:strCache>
                <c:ptCount val="1"/>
                <c:pt idx="0">
                  <c:v>2011-12</c:v>
                </c:pt>
              </c:strCache>
            </c:strRef>
          </c:tx>
          <c:spPr>
            <a:solidFill>
              <a:srgbClr val="000000"/>
            </a:solidFill>
            <a:ln>
              <a:solidFill>
                <a:srgbClr val="000000"/>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NIS'!$C$5:$J$5</c:f>
              <c:numCache>
                <c:formatCode>0</c:formatCode>
                <c:ptCount val="8"/>
                <c:pt idx="0">
                  <c:v>13957.857787787481</c:v>
                </c:pt>
                <c:pt idx="1">
                  <c:v>21211.948496075027</c:v>
                </c:pt>
                <c:pt idx="2">
                  <c:v>41661.105984627073</c:v>
                </c:pt>
                <c:pt idx="3">
                  <c:v>42639.970337411934</c:v>
                </c:pt>
                <c:pt idx="4">
                  <c:v>24677.788183132285</c:v>
                </c:pt>
                <c:pt idx="5">
                  <c:v>23246.425567703951</c:v>
                </c:pt>
                <c:pt idx="6">
                  <c:v>14372.974002915129</c:v>
                </c:pt>
                <c:pt idx="7">
                  <c:v>25275.711917435045</c:v>
                </c:pt>
              </c:numCache>
            </c:numRef>
          </c:val>
        </c:ser>
        <c:ser>
          <c:idx val="2"/>
          <c:order val="2"/>
          <c:tx>
            <c:strRef>
              <c:f>'Proxy efficiency chart NIS'!$B$6</c:f>
              <c:strCache>
                <c:ptCount val="1"/>
                <c:pt idx="0">
                  <c:v>2012-13</c:v>
                </c:pt>
              </c:strCache>
            </c:strRef>
          </c:tx>
          <c:spPr>
            <a:solidFill>
              <a:srgbClr val="B2D673"/>
            </a:solidFill>
            <a:ln>
              <a:solidFill>
                <a:srgbClr val="B2D673"/>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NIS'!$C$6:$J$6</c:f>
              <c:numCache>
                <c:formatCode>0</c:formatCode>
                <c:ptCount val="8"/>
                <c:pt idx="0">
                  <c:v>13958.59400787589</c:v>
                </c:pt>
                <c:pt idx="1">
                  <c:v>18271.609567783973</c:v>
                </c:pt>
                <c:pt idx="2">
                  <c:v>39338.540142814622</c:v>
                </c:pt>
                <c:pt idx="3">
                  <c:v>50535.899260804312</c:v>
                </c:pt>
                <c:pt idx="4">
                  <c:v>24075.251697712094</c:v>
                </c:pt>
                <c:pt idx="5">
                  <c:v>21019.971114099306</c:v>
                </c:pt>
                <c:pt idx="6">
                  <c:v>17080.469644902634</c:v>
                </c:pt>
                <c:pt idx="7">
                  <c:v>48880.88069823313</c:v>
                </c:pt>
              </c:numCache>
            </c:numRef>
          </c:val>
        </c:ser>
        <c:ser>
          <c:idx val="3"/>
          <c:order val="3"/>
          <c:tx>
            <c:strRef>
              <c:f>'Proxy efficiency chart NIS'!$B$7</c:f>
              <c:strCache>
                <c:ptCount val="1"/>
                <c:pt idx="0">
                  <c:v>2013-14</c:v>
                </c:pt>
              </c:strCache>
            </c:strRef>
          </c:tx>
          <c:spPr>
            <a:solidFill>
              <a:srgbClr val="265A9A"/>
            </a:solidFill>
            <a:ln>
              <a:solidFill>
                <a:srgbClr val="265A9A"/>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NIS'!$C$7:$J$7</c:f>
              <c:numCache>
                <c:formatCode>0</c:formatCode>
                <c:ptCount val="8"/>
                <c:pt idx="0">
                  <c:v>15279.550178710402</c:v>
                </c:pt>
                <c:pt idx="1">
                  <c:v>16069.278810732929</c:v>
                </c:pt>
                <c:pt idx="2">
                  <c:v>41002.33266090649</c:v>
                </c:pt>
                <c:pt idx="3">
                  <c:v>46037.61341022046</c:v>
                </c:pt>
                <c:pt idx="4">
                  <c:v>27053.255731059729</c:v>
                </c:pt>
                <c:pt idx="5">
                  <c:v>27404.174305088822</c:v>
                </c:pt>
                <c:pt idx="6">
                  <c:v>26526.67734561034</c:v>
                </c:pt>
                <c:pt idx="7">
                  <c:v>21950.888482414011</c:v>
                </c:pt>
              </c:numCache>
            </c:numRef>
          </c:val>
        </c:ser>
        <c:ser>
          <c:idx val="4"/>
          <c:order val="4"/>
          <c:tx>
            <c:strRef>
              <c:f>'Proxy efficiency chart NIS'!$B$8</c:f>
              <c:strCache>
                <c:ptCount val="1"/>
                <c:pt idx="0">
                  <c:v>2014-15</c:v>
                </c:pt>
              </c:strCache>
            </c:strRef>
          </c:tx>
          <c:spPr>
            <a:solidFill>
              <a:srgbClr val="78A22F"/>
            </a:solidFill>
            <a:ln>
              <a:solidFill>
                <a:srgbClr val="78A22F"/>
              </a:solidFill>
            </a:ln>
          </c:spPr>
          <c:invertIfNegative val="0"/>
          <c:cat>
            <c:strRef>
              <c:f>'Proxy efficiency chart NIS'!$C$2:$J$2</c:f>
              <c:strCache>
                <c:ptCount val="8"/>
                <c:pt idx="0">
                  <c:v>NSW</c:v>
                </c:pt>
                <c:pt idx="1">
                  <c:v>Vic</c:v>
                </c:pt>
                <c:pt idx="2">
                  <c:v>Qld</c:v>
                </c:pt>
                <c:pt idx="3">
                  <c:v>WA</c:v>
                </c:pt>
                <c:pt idx="4">
                  <c:v>SA</c:v>
                </c:pt>
                <c:pt idx="5">
                  <c:v>Tas</c:v>
                </c:pt>
                <c:pt idx="6">
                  <c:v>ACT</c:v>
                </c:pt>
                <c:pt idx="7">
                  <c:v>NT</c:v>
                </c:pt>
              </c:strCache>
            </c:strRef>
          </c:cat>
          <c:val>
            <c:numRef>
              <c:f>'Proxy efficiency chart NIS'!$C$8:$J$8</c:f>
              <c:numCache>
                <c:formatCode>0</c:formatCode>
                <c:ptCount val="8"/>
                <c:pt idx="0">
                  <c:v>14529.215864365728</c:v>
                </c:pt>
                <c:pt idx="1">
                  <c:v>14143.181013106625</c:v>
                </c:pt>
                <c:pt idx="2">
                  <c:v>48922.455322455324</c:v>
                </c:pt>
                <c:pt idx="3">
                  <c:v>42542.644217499314</c:v>
                </c:pt>
                <c:pt idx="4">
                  <c:v>26828.191945158527</c:v>
                </c:pt>
                <c:pt idx="5">
                  <c:v>21330.75221238938</c:v>
                </c:pt>
                <c:pt idx="6">
                  <c:v>23290.756302521007</c:v>
                </c:pt>
                <c:pt idx="7">
                  <c:v>17783.132530120482</c:v>
                </c:pt>
              </c:numCache>
            </c:numRef>
          </c:val>
        </c:ser>
        <c:dLbls>
          <c:showLegendKey val="0"/>
          <c:showVal val="0"/>
          <c:showCatName val="0"/>
          <c:showSerName val="0"/>
          <c:showPercent val="0"/>
          <c:showBubbleSize val="0"/>
        </c:dLbls>
        <c:gapWidth val="150"/>
        <c:axId val="213328640"/>
        <c:axId val="213330176"/>
      </c:barChart>
      <c:catAx>
        <c:axId val="21332864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3330176"/>
        <c:crosses val="autoZero"/>
        <c:auto val="1"/>
        <c:lblAlgn val="ctr"/>
        <c:lblOffset val="100"/>
        <c:noMultiLvlLbl val="0"/>
      </c:catAx>
      <c:valAx>
        <c:axId val="213330176"/>
        <c:scaling>
          <c:orientation val="minMax"/>
          <c:max val="55000"/>
        </c:scaling>
        <c:delete val="0"/>
        <c:axPos val="l"/>
        <c:majorGridlines>
          <c:spPr>
            <a:ln>
              <a:noFill/>
            </a:ln>
          </c:spPr>
        </c:majorGridlines>
        <c:title>
          <c:tx>
            <c:rich>
              <a:bodyPr rot="-5400000" vert="horz"/>
              <a:lstStyle/>
              <a:p>
                <a:pPr>
                  <a:defRPr sz="900">
                    <a:latin typeface="arial"/>
                    <a:ea typeface="arial"/>
                    <a:cs typeface="arial"/>
                  </a:defRPr>
                </a:pPr>
                <a:r>
                  <a:rPr lang="en-US"/>
                  <a:t>$/substantiation</a:t>
                </a:r>
              </a:p>
            </c:rich>
          </c:tx>
          <c:layout/>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3328640"/>
        <c:crosses val="autoZero"/>
        <c:crossBetween val="between"/>
        <c:majorUnit val="11000"/>
      </c:valAx>
      <c:spPr>
        <a:noFill/>
        <a:ln>
          <a:noFill/>
        </a:ln>
      </c:spPr>
    </c:plotArea>
    <c:legend>
      <c:legendPos val="b"/>
      <c:layout/>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'OOHC expenditure per night'!$B$3</c:f>
              <c:strCache>
                <c:ptCount val="1"/>
                <c:pt idx="0">
                  <c:v>2010-11</c:v>
                </c:pt>
              </c:strCache>
            </c:strRef>
          </c:tx>
          <c:spPr>
            <a:solidFill>
              <a:srgbClr val="387DD2"/>
            </a:solidFill>
            <a:ln>
              <a:solidFill>
                <a:srgbClr val="387DD2"/>
              </a:solidFill>
            </a:ln>
          </c:spPr>
          <c:invertIfNegative val="0"/>
          <c:cat>
            <c:strRef>
              <c:f>'OOHC expenditure per night'!$C$2:$K$2</c:f>
              <c:strCache>
                <c:ptCount val="9"/>
                <c:pt idx="0">
                  <c:v>NSW</c:v>
                </c:pt>
                <c:pt idx="1">
                  <c:v>Vic</c:v>
                </c:pt>
                <c:pt idx="2">
                  <c:v>Qld</c:v>
                </c:pt>
                <c:pt idx="3">
                  <c:v>WA</c:v>
                </c:pt>
                <c:pt idx="4">
                  <c:v>SA</c:v>
                </c:pt>
                <c:pt idx="5">
                  <c:v>Tas</c:v>
                </c:pt>
                <c:pt idx="6">
                  <c:v>ACT</c:v>
                </c:pt>
                <c:pt idx="7">
                  <c:v>NT</c:v>
                </c:pt>
                <c:pt idx="8">
                  <c:v>Aust</c:v>
                </c:pt>
              </c:strCache>
            </c:strRef>
          </c:cat>
          <c:val>
            <c:numRef>
              <c:f>'OOHC expenditure per night'!$C$3:$K$3</c:f>
              <c:numCache>
                <c:formatCode>0.0</c:formatCode>
                <c:ptCount val="9"/>
                <c:pt idx="0">
                  <c:v>123.8874429762773</c:v>
                </c:pt>
                <c:pt idx="1">
                  <c:v>156.90844721889755</c:v>
                </c:pt>
                <c:pt idx="2">
                  <c:v>146.00026177989162</c:v>
                </c:pt>
                <c:pt idx="3">
                  <c:v>195.64497205081079</c:v>
                </c:pt>
                <c:pt idx="4">
                  <c:v>165.62536249925739</c:v>
                </c:pt>
                <c:pt idx="5">
                  <c:v>123.32726506092985</c:v>
                </c:pt>
                <c:pt idx="6">
                  <c:v>153.89064164422385</c:v>
                </c:pt>
                <c:pt idx="7">
                  <c:v>235.46892851633896</c:v>
                </c:pt>
                <c:pt idx="8">
                  <c:v>144.29887767174614</c:v>
                </c:pt>
              </c:numCache>
            </c:numRef>
          </c:val>
        </c:ser>
        <c:ser>
          <c:idx val="1"/>
          <c:order val="1"/>
          <c:tx>
            <c:strRef>
              <c:f>'OOHC expenditure per night'!$B$4</c:f>
              <c:strCache>
                <c:ptCount val="1"/>
                <c:pt idx="0">
                  <c:v>2011-12</c:v>
                </c:pt>
              </c:strCache>
            </c:strRef>
          </c:tx>
          <c:spPr>
            <a:solidFill>
              <a:srgbClr val="000000"/>
            </a:solidFill>
            <a:ln>
              <a:solidFill>
                <a:srgbClr val="000000"/>
              </a:solidFill>
            </a:ln>
          </c:spPr>
          <c:invertIfNegative val="0"/>
          <c:cat>
            <c:strRef>
              <c:f>'OOHC expenditure per night'!$C$2:$K$2</c:f>
              <c:strCache>
                <c:ptCount val="9"/>
                <c:pt idx="0">
                  <c:v>NSW</c:v>
                </c:pt>
                <c:pt idx="1">
                  <c:v>Vic</c:v>
                </c:pt>
                <c:pt idx="2">
                  <c:v>Qld</c:v>
                </c:pt>
                <c:pt idx="3">
                  <c:v>WA</c:v>
                </c:pt>
                <c:pt idx="4">
                  <c:v>SA</c:v>
                </c:pt>
                <c:pt idx="5">
                  <c:v>Tas</c:v>
                </c:pt>
                <c:pt idx="6">
                  <c:v>ACT</c:v>
                </c:pt>
                <c:pt idx="7">
                  <c:v>NT</c:v>
                </c:pt>
                <c:pt idx="8">
                  <c:v>Aust</c:v>
                </c:pt>
              </c:strCache>
            </c:strRef>
          </c:cat>
          <c:val>
            <c:numRef>
              <c:f>'OOHC expenditure per night'!$C$4:$K$4</c:f>
              <c:numCache>
                <c:formatCode>0.0</c:formatCode>
                <c:ptCount val="9"/>
                <c:pt idx="0">
                  <c:v>125.57706217519826</c:v>
                </c:pt>
                <c:pt idx="1">
                  <c:v>156.45992101976015</c:v>
                </c:pt>
                <c:pt idx="2">
                  <c:v>147.01110423750282</c:v>
                </c:pt>
                <c:pt idx="3">
                  <c:v>175.02329889360024</c:v>
                </c:pt>
                <c:pt idx="4">
                  <c:v>162.84391409281565</c:v>
                </c:pt>
                <c:pt idx="5">
                  <c:v>112.80515151427036</c:v>
                </c:pt>
                <c:pt idx="6">
                  <c:v>137.85993264487161</c:v>
                </c:pt>
                <c:pt idx="7">
                  <c:v>236.37587443957921</c:v>
                </c:pt>
                <c:pt idx="8">
                  <c:v>143.06958940243288</c:v>
                </c:pt>
              </c:numCache>
            </c:numRef>
          </c:val>
        </c:ser>
        <c:ser>
          <c:idx val="2"/>
          <c:order val="2"/>
          <c:tx>
            <c:strRef>
              <c:f>'OOHC expenditure per night'!$B$5</c:f>
              <c:strCache>
                <c:ptCount val="1"/>
                <c:pt idx="0">
                  <c:v>2012-13</c:v>
                </c:pt>
              </c:strCache>
            </c:strRef>
          </c:tx>
          <c:spPr>
            <a:solidFill>
              <a:srgbClr val="B2D673"/>
            </a:solidFill>
            <a:ln>
              <a:solidFill>
                <a:srgbClr val="B2D673"/>
              </a:solidFill>
            </a:ln>
          </c:spPr>
          <c:invertIfNegative val="0"/>
          <c:cat>
            <c:strRef>
              <c:f>'OOHC expenditure per night'!$C$2:$K$2</c:f>
              <c:strCache>
                <c:ptCount val="9"/>
                <c:pt idx="0">
                  <c:v>NSW</c:v>
                </c:pt>
                <c:pt idx="1">
                  <c:v>Vic</c:v>
                </c:pt>
                <c:pt idx="2">
                  <c:v>Qld</c:v>
                </c:pt>
                <c:pt idx="3">
                  <c:v>WA</c:v>
                </c:pt>
                <c:pt idx="4">
                  <c:v>SA</c:v>
                </c:pt>
                <c:pt idx="5">
                  <c:v>Tas</c:v>
                </c:pt>
                <c:pt idx="6">
                  <c:v>ACT</c:v>
                </c:pt>
                <c:pt idx="7">
                  <c:v>NT</c:v>
                </c:pt>
                <c:pt idx="8">
                  <c:v>Aust</c:v>
                </c:pt>
              </c:strCache>
            </c:strRef>
          </c:cat>
          <c:val>
            <c:numRef>
              <c:f>'OOHC expenditure per night'!$C$5:$K$5</c:f>
              <c:numCache>
                <c:formatCode>0.0</c:formatCode>
                <c:ptCount val="9"/>
                <c:pt idx="0">
                  <c:v>125.16978515523847</c:v>
                </c:pt>
                <c:pt idx="1">
                  <c:v>152.77139228701196</c:v>
                </c:pt>
                <c:pt idx="2">
                  <c:v>145.92603507705905</c:v>
                </c:pt>
                <c:pt idx="3">
                  <c:v>188.82729222585354</c:v>
                </c:pt>
                <c:pt idx="4">
                  <c:v>164.78245079650631</c:v>
                </c:pt>
                <c:pt idx="5">
                  <c:v>114.61368916277004</c:v>
                </c:pt>
                <c:pt idx="6">
                  <c:v>153.3873925108891</c:v>
                </c:pt>
                <c:pt idx="7">
                  <c:v>290.64589754852767</c:v>
                </c:pt>
                <c:pt idx="8">
                  <c:v>144.79872306357137</c:v>
                </c:pt>
              </c:numCache>
            </c:numRef>
          </c:val>
        </c:ser>
        <c:ser>
          <c:idx val="3"/>
          <c:order val="3"/>
          <c:tx>
            <c:strRef>
              <c:f>'OOHC expenditure per night'!$B$6</c:f>
              <c:strCache>
                <c:ptCount val="1"/>
                <c:pt idx="0">
                  <c:v>2013-14</c:v>
                </c:pt>
              </c:strCache>
            </c:strRef>
          </c:tx>
          <c:spPr>
            <a:solidFill>
              <a:srgbClr val="265A9A"/>
            </a:solidFill>
            <a:ln>
              <a:solidFill>
                <a:srgbClr val="265A9A"/>
              </a:solidFill>
            </a:ln>
          </c:spPr>
          <c:invertIfNegative val="0"/>
          <c:cat>
            <c:strRef>
              <c:f>'OOHC expenditure per night'!$C$2:$K$2</c:f>
              <c:strCache>
                <c:ptCount val="9"/>
                <c:pt idx="0">
                  <c:v>NSW</c:v>
                </c:pt>
                <c:pt idx="1">
                  <c:v>Vic</c:v>
                </c:pt>
                <c:pt idx="2">
                  <c:v>Qld</c:v>
                </c:pt>
                <c:pt idx="3">
                  <c:v>WA</c:v>
                </c:pt>
                <c:pt idx="4">
                  <c:v>SA</c:v>
                </c:pt>
                <c:pt idx="5">
                  <c:v>Tas</c:v>
                </c:pt>
                <c:pt idx="6">
                  <c:v>ACT</c:v>
                </c:pt>
                <c:pt idx="7">
                  <c:v>NT</c:v>
                </c:pt>
                <c:pt idx="8">
                  <c:v>Aust</c:v>
                </c:pt>
              </c:strCache>
            </c:strRef>
          </c:cat>
          <c:val>
            <c:numRef>
              <c:f>'OOHC expenditure per night'!$C$6:$K$6</c:f>
              <c:numCache>
                <c:formatCode>0.0</c:formatCode>
                <c:ptCount val="9"/>
                <c:pt idx="0">
                  <c:v>124.96629184914796</c:v>
                </c:pt>
                <c:pt idx="1">
                  <c:v>154.19100635405815</c:v>
                </c:pt>
                <c:pt idx="2">
                  <c:v>145.49614511718053</c:v>
                </c:pt>
                <c:pt idx="3">
                  <c:v>176.92147824412706</c:v>
                </c:pt>
                <c:pt idx="4">
                  <c:v>172.69323690814116</c:v>
                </c:pt>
                <c:pt idx="5">
                  <c:v>123.67989164216822</c:v>
                </c:pt>
                <c:pt idx="6">
                  <c:v>159.8006746818113</c:v>
                </c:pt>
                <c:pt idx="7">
                  <c:v>284.03077348954093</c:v>
                </c:pt>
                <c:pt idx="8">
                  <c:v>144.96491894605583</c:v>
                </c:pt>
              </c:numCache>
            </c:numRef>
          </c:val>
        </c:ser>
        <c:ser>
          <c:idx val="4"/>
          <c:order val="4"/>
          <c:tx>
            <c:strRef>
              <c:f>'OOHC expenditure per night'!$B$7</c:f>
              <c:strCache>
                <c:ptCount val="1"/>
                <c:pt idx="0">
                  <c:v>2014-15</c:v>
                </c:pt>
              </c:strCache>
            </c:strRef>
          </c:tx>
          <c:spPr>
            <a:solidFill>
              <a:srgbClr val="78A22F"/>
            </a:solidFill>
            <a:ln>
              <a:solidFill>
                <a:srgbClr val="78A22F"/>
              </a:solidFill>
            </a:ln>
          </c:spPr>
          <c:invertIfNegative val="0"/>
          <c:cat>
            <c:strRef>
              <c:f>'OOHC expenditure per night'!$C$2:$K$2</c:f>
              <c:strCache>
                <c:ptCount val="9"/>
                <c:pt idx="0">
                  <c:v>NSW</c:v>
                </c:pt>
                <c:pt idx="1">
                  <c:v>Vic</c:v>
                </c:pt>
                <c:pt idx="2">
                  <c:v>Qld</c:v>
                </c:pt>
                <c:pt idx="3">
                  <c:v>WA</c:v>
                </c:pt>
                <c:pt idx="4">
                  <c:v>SA</c:v>
                </c:pt>
                <c:pt idx="5">
                  <c:v>Tas</c:v>
                </c:pt>
                <c:pt idx="6">
                  <c:v>ACT</c:v>
                </c:pt>
                <c:pt idx="7">
                  <c:v>NT</c:v>
                </c:pt>
                <c:pt idx="8">
                  <c:v>Aust</c:v>
                </c:pt>
              </c:strCache>
            </c:strRef>
          </c:cat>
          <c:val>
            <c:numRef>
              <c:f>'OOHC expenditure per night'!$C$7:$K$7</c:f>
              <c:numCache>
                <c:formatCode>0.0</c:formatCode>
                <c:ptCount val="9"/>
                <c:pt idx="0">
                  <c:v>143.2264213565721</c:v>
                </c:pt>
                <c:pt idx="1">
                  <c:v>150.87018593426015</c:v>
                </c:pt>
                <c:pt idx="2">
                  <c:v>145.71229298936507</c:v>
                </c:pt>
                <c:pt idx="3">
                  <c:v>175.991163444112</c:v>
                </c:pt>
                <c:pt idx="4">
                  <c:v>231.04186642386935</c:v>
                </c:pt>
                <c:pt idx="5">
                  <c:v>122.57663824233879</c:v>
                </c:pt>
                <c:pt idx="6">
                  <c:v>151.48453253440525</c:v>
                </c:pt>
                <c:pt idx="7">
                  <c:v>287.28670482785901</c:v>
                </c:pt>
                <c:pt idx="8">
                  <c:v>156.54167875715805</c:v>
                </c:pt>
              </c:numCache>
            </c:numRef>
          </c:val>
        </c:ser>
        <c:dLbls>
          <c:showLegendKey val="0"/>
          <c:showVal val="0"/>
          <c:showCatName val="0"/>
          <c:showSerName val="0"/>
          <c:showPercent val="0"/>
          <c:showBubbleSize val="0"/>
        </c:dLbls>
        <c:gapWidth val="150"/>
        <c:axId val="213374848"/>
        <c:axId val="213376384"/>
      </c:barChart>
      <c:catAx>
        <c:axId val="213374848"/>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3376384"/>
        <c:crosses val="autoZero"/>
        <c:auto val="1"/>
        <c:lblAlgn val="ctr"/>
        <c:lblOffset val="100"/>
        <c:noMultiLvlLbl val="0"/>
      </c:catAx>
      <c:valAx>
        <c:axId val="213376384"/>
        <c:scaling>
          <c:orientation val="minMax"/>
          <c:max val="3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$/placement night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3374848"/>
        <c:crosses val="autoZero"/>
        <c:crossBetween val="between"/>
        <c:majorUnit val="60"/>
        <c:minorUnit val="2.0000000000000004E-2"/>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OOHC'!$B$4</c:f>
              <c:strCache>
                <c:ptCount val="1"/>
                <c:pt idx="0">
                  <c:v>2010-11</c:v>
                </c:pt>
              </c:strCache>
            </c:strRef>
          </c:tx>
          <c:spPr>
            <a:solidFill>
              <a:srgbClr val="387DD2"/>
            </a:solidFill>
            <a:ln>
              <a:solidFill>
                <a:srgbClr val="387DD2"/>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OOHC'!$C$4:$J$4</c:f>
              <c:numCache>
                <c:formatCode>0</c:formatCode>
                <c:ptCount val="8"/>
                <c:pt idx="0">
                  <c:v>0</c:v>
                </c:pt>
                <c:pt idx="1">
                  <c:v>335833.1621121841</c:v>
                </c:pt>
                <c:pt idx="2">
                  <c:v>0</c:v>
                </c:pt>
                <c:pt idx="3">
                  <c:v>566527.29475206125</c:v>
                </c:pt>
                <c:pt idx="4">
                  <c:v>234853.50318471337</c:v>
                </c:pt>
                <c:pt idx="5">
                  <c:v>239588.43704066632</c:v>
                </c:pt>
                <c:pt idx="6">
                  <c:v>271549.89384288748</c:v>
                </c:pt>
                <c:pt idx="7">
                  <c:v>0</c:v>
                </c:pt>
              </c:numCache>
            </c:numRef>
          </c:val>
        </c:ser>
        <c:ser>
          <c:idx val="1"/>
          <c:order val="1"/>
          <c:tx>
            <c:strRef>
              <c:f>'Proxy efficiency charts OOHC'!$B$5</c:f>
              <c:strCache>
                <c:ptCount val="1"/>
                <c:pt idx="0">
                  <c:v>2011-12</c:v>
                </c:pt>
              </c:strCache>
            </c:strRef>
          </c:tx>
          <c:spPr>
            <a:solidFill>
              <a:srgbClr val="000000"/>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OOHC'!$C$5:$J$5</c:f>
              <c:numCache>
                <c:formatCode>0</c:formatCode>
                <c:ptCount val="8"/>
                <c:pt idx="0">
                  <c:v>0</c:v>
                </c:pt>
                <c:pt idx="1">
                  <c:v>374487.91769957548</c:v>
                </c:pt>
                <c:pt idx="2">
                  <c:v>0</c:v>
                </c:pt>
                <c:pt idx="3">
                  <c:v>647223.96377568797</c:v>
                </c:pt>
                <c:pt idx="4">
                  <c:v>268798.15820101771</c:v>
                </c:pt>
                <c:pt idx="5">
                  <c:v>315242.94670846395</c:v>
                </c:pt>
                <c:pt idx="6">
                  <c:v>340774.51632310561</c:v>
                </c:pt>
                <c:pt idx="7">
                  <c:v>0</c:v>
                </c:pt>
              </c:numCache>
            </c:numRef>
          </c:val>
        </c:ser>
        <c:ser>
          <c:idx val="2"/>
          <c:order val="2"/>
          <c:tx>
            <c:strRef>
              <c:f>'Proxy efficiency charts OOHC'!$B$6</c:f>
              <c:strCache>
                <c:ptCount val="1"/>
                <c:pt idx="0">
                  <c:v>2012-13</c:v>
                </c:pt>
              </c:strCache>
            </c:strRef>
          </c:tx>
          <c:spPr>
            <a:solidFill>
              <a:srgbClr val="B2D673"/>
            </a:solidFill>
            <a:ln>
              <a:solidFill>
                <a:srgbClr val="B2D673"/>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OOHC'!$C$6:$J$6</c:f>
              <c:numCache>
                <c:formatCode>0</c:formatCode>
                <c:ptCount val="8"/>
                <c:pt idx="0">
                  <c:v>0</c:v>
                </c:pt>
                <c:pt idx="1">
                  <c:v>393767.08348578436</c:v>
                </c:pt>
                <c:pt idx="2">
                  <c:v>0</c:v>
                </c:pt>
                <c:pt idx="3">
                  <c:v>735484.53608247417</c:v>
                </c:pt>
                <c:pt idx="4">
                  <c:v>233883.16151202749</c:v>
                </c:pt>
                <c:pt idx="5">
                  <c:v>255722.97118688872</c:v>
                </c:pt>
                <c:pt idx="6">
                  <c:v>275393.38035811175</c:v>
                </c:pt>
                <c:pt idx="7">
                  <c:v>0</c:v>
                </c:pt>
              </c:numCache>
            </c:numRef>
          </c:val>
        </c:ser>
        <c:ser>
          <c:idx val="3"/>
          <c:order val="3"/>
          <c:tx>
            <c:strRef>
              <c:f>'Proxy efficiency charts OOHC'!$B$7</c:f>
              <c:strCache>
                <c:ptCount val="1"/>
                <c:pt idx="0">
                  <c:v>2013-14</c:v>
                </c:pt>
              </c:strCache>
            </c:strRef>
          </c:tx>
          <c:spPr>
            <a:solidFill>
              <a:srgbClr val="265A9A"/>
            </a:solidFill>
            <a:ln>
              <a:solidFill>
                <a:srgbClr val="265A9A"/>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OOHC'!$C$7:$J$7</c:f>
              <c:numCache>
                <c:formatCode>0</c:formatCode>
                <c:ptCount val="8"/>
                <c:pt idx="0">
                  <c:v>0</c:v>
                </c:pt>
                <c:pt idx="1">
                  <c:v>399421.22885164298</c:v>
                </c:pt>
                <c:pt idx="2">
                  <c:v>0</c:v>
                </c:pt>
                <c:pt idx="3">
                  <c:v>651316.42687593866</c:v>
                </c:pt>
                <c:pt idx="4">
                  <c:v>239441.76753309253</c:v>
                </c:pt>
                <c:pt idx="5">
                  <c:v>273524.92370295018</c:v>
                </c:pt>
                <c:pt idx="6">
                  <c:v>269154.57514590136</c:v>
                </c:pt>
                <c:pt idx="7">
                  <c:v>0</c:v>
                </c:pt>
              </c:numCache>
            </c:numRef>
          </c:val>
        </c:ser>
        <c:ser>
          <c:idx val="4"/>
          <c:order val="4"/>
          <c:tx>
            <c:strRef>
              <c:f>'Proxy efficiency charts OOHC'!$B$8</c:f>
              <c:strCache>
                <c:ptCount val="1"/>
                <c:pt idx="0">
                  <c:v>2014-15</c:v>
                </c:pt>
              </c:strCache>
            </c:strRef>
          </c:tx>
          <c:spPr>
            <a:solidFill>
              <a:srgbClr val="78A22F"/>
            </a:solidFill>
            <a:ln>
              <a:solidFill>
                <a:srgbClr val="78A22F"/>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OOHC'!$C$8:$J$8</c:f>
              <c:numCache>
                <c:formatCode>0</c:formatCode>
                <c:ptCount val="8"/>
                <c:pt idx="0">
                  <c:v>0</c:v>
                </c:pt>
                <c:pt idx="1">
                  <c:v>505577.62557077623</c:v>
                </c:pt>
                <c:pt idx="2">
                  <c:v>0</c:v>
                </c:pt>
                <c:pt idx="3">
                  <c:v>617169.59064327483</c:v>
                </c:pt>
                <c:pt idx="4">
                  <c:v>275903.46534653468</c:v>
                </c:pt>
                <c:pt idx="5">
                  <c:v>381142.85714285716</c:v>
                </c:pt>
                <c:pt idx="6">
                  <c:v>321171.42857142858</c:v>
                </c:pt>
                <c:pt idx="7">
                  <c:v>0</c:v>
                </c:pt>
              </c:numCache>
            </c:numRef>
          </c:val>
        </c:ser>
        <c:dLbls>
          <c:showLegendKey val="0"/>
          <c:showVal val="0"/>
          <c:showCatName val="0"/>
          <c:showSerName val="0"/>
          <c:showPercent val="0"/>
          <c:showBubbleSize val="0"/>
        </c:dLbls>
        <c:gapWidth val="150"/>
        <c:axId val="212916864"/>
        <c:axId val="212926848"/>
      </c:barChart>
      <c:catAx>
        <c:axId val="212916864"/>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926848"/>
        <c:crosses val="autoZero"/>
        <c:auto val="1"/>
        <c:lblAlgn val="ctr"/>
        <c:lblOffset val="100"/>
        <c:noMultiLvlLbl val="0"/>
      </c:catAx>
      <c:valAx>
        <c:axId val="212926848"/>
        <c:scaling>
          <c:orientation val="minMax"/>
          <c:max val="750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$/child</a:t>
                </a:r>
              </a:p>
            </c:rich>
          </c:tx>
          <c:layout>
            <c:manualLayout>
              <c:xMode val="edge"/>
              <c:yMode val="edge"/>
              <c:x val="1.8814814814814815E-2"/>
              <c:y val="0.3478222222222222"/>
            </c:manualLayout>
          </c:layout>
          <c:overlay val="0"/>
        </c:title>
        <c:numFmt formatCode="#\ ###\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916864"/>
        <c:crosses val="autoZero"/>
        <c:crossBetween val="between"/>
        <c:majorUnit val="1500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OOHC'!$B$10</c:f>
              <c:strCache>
                <c:ptCount val="1"/>
                <c:pt idx="0">
                  <c:v>2010-11</c:v>
                </c:pt>
              </c:strCache>
            </c:strRef>
          </c:tx>
          <c:spPr>
            <a:solidFill>
              <a:srgbClr val="387DD2"/>
            </a:solidFill>
            <a:ln>
              <a:solidFill>
                <a:srgbClr val="387DD2"/>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OOHC'!$C$10:$J$10</c:f>
              <c:numCache>
                <c:formatCode>0</c:formatCode>
                <c:ptCount val="8"/>
                <c:pt idx="0">
                  <c:v>0</c:v>
                </c:pt>
                <c:pt idx="1">
                  <c:v>35704.862614144658</c:v>
                </c:pt>
                <c:pt idx="2">
                  <c:v>0</c:v>
                </c:pt>
                <c:pt idx="3">
                  <c:v>42826.347218755989</c:v>
                </c:pt>
                <c:pt idx="4">
                  <c:v>40677.451514931854</c:v>
                </c:pt>
                <c:pt idx="5">
                  <c:v>38516.393575468792</c:v>
                </c:pt>
                <c:pt idx="6">
                  <c:v>35182.272191993943</c:v>
                </c:pt>
                <c:pt idx="7">
                  <c:v>0</c:v>
                </c:pt>
              </c:numCache>
            </c:numRef>
          </c:val>
        </c:ser>
        <c:ser>
          <c:idx val="1"/>
          <c:order val="1"/>
          <c:tx>
            <c:strRef>
              <c:f>'Proxy efficiency charts OOHC'!$B$11</c:f>
              <c:strCache>
                <c:ptCount val="1"/>
                <c:pt idx="0">
                  <c:v>2011-12</c:v>
                </c:pt>
              </c:strCache>
            </c:strRef>
          </c:tx>
          <c:spPr>
            <a:solidFill>
              <a:srgbClr val="000000"/>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OOHC'!$C$11:$J$11</c:f>
              <c:numCache>
                <c:formatCode>0</c:formatCode>
                <c:ptCount val="8"/>
                <c:pt idx="0">
                  <c:v>0</c:v>
                </c:pt>
                <c:pt idx="1">
                  <c:v>33128.645688663149</c:v>
                </c:pt>
                <c:pt idx="2">
                  <c:v>0</c:v>
                </c:pt>
                <c:pt idx="3">
                  <c:v>35113.315118794009</c:v>
                </c:pt>
                <c:pt idx="4">
                  <c:v>37262.582485872481</c:v>
                </c:pt>
                <c:pt idx="5">
                  <c:v>22114.802033666128</c:v>
                </c:pt>
                <c:pt idx="6">
                  <c:v>31599.374612078784</c:v>
                </c:pt>
                <c:pt idx="7">
                  <c:v>0</c:v>
                </c:pt>
              </c:numCache>
            </c:numRef>
          </c:val>
        </c:ser>
        <c:ser>
          <c:idx val="2"/>
          <c:order val="2"/>
          <c:tx>
            <c:strRef>
              <c:f>'Proxy efficiency charts OOHC'!$B$12</c:f>
              <c:strCache>
                <c:ptCount val="1"/>
                <c:pt idx="0">
                  <c:v>2012-13</c:v>
                </c:pt>
              </c:strCache>
            </c:strRef>
          </c:tx>
          <c:spPr>
            <a:solidFill>
              <a:srgbClr val="B2D673"/>
            </a:solidFill>
            <a:ln>
              <a:solidFill>
                <a:srgbClr val="B2D673"/>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OOHC'!$C$12:$J$12</c:f>
              <c:numCache>
                <c:formatCode>0</c:formatCode>
                <c:ptCount val="8"/>
                <c:pt idx="0">
                  <c:v>0</c:v>
                </c:pt>
                <c:pt idx="1">
                  <c:v>33130.120755838863</c:v>
                </c:pt>
                <c:pt idx="2">
                  <c:v>0</c:v>
                </c:pt>
                <c:pt idx="3">
                  <c:v>33331.864326749033</c:v>
                </c:pt>
                <c:pt idx="4">
                  <c:v>36560.702717737528</c:v>
                </c:pt>
                <c:pt idx="5">
                  <c:v>25148.484382212646</c:v>
                </c:pt>
                <c:pt idx="6">
                  <c:v>40263.569266082282</c:v>
                </c:pt>
                <c:pt idx="7">
                  <c:v>0</c:v>
                </c:pt>
              </c:numCache>
            </c:numRef>
          </c:val>
        </c:ser>
        <c:ser>
          <c:idx val="3"/>
          <c:order val="3"/>
          <c:tx>
            <c:strRef>
              <c:f>'Proxy efficiency charts OOHC'!$B$13</c:f>
              <c:strCache>
                <c:ptCount val="1"/>
                <c:pt idx="0">
                  <c:v>2013-14</c:v>
                </c:pt>
              </c:strCache>
            </c:strRef>
          </c:tx>
          <c:spPr>
            <a:solidFill>
              <a:srgbClr val="265A9A"/>
            </a:solidFill>
            <a:ln>
              <a:solidFill>
                <a:srgbClr val="265A9A"/>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OOHC'!$C$13:$J$13</c:f>
              <c:numCache>
                <c:formatCode>0</c:formatCode>
                <c:ptCount val="8"/>
                <c:pt idx="0">
                  <c:v>0</c:v>
                </c:pt>
                <c:pt idx="1">
                  <c:v>28464.583717458518</c:v>
                </c:pt>
                <c:pt idx="2">
                  <c:v>0</c:v>
                </c:pt>
                <c:pt idx="3">
                  <c:v>33883.473336452465</c:v>
                </c:pt>
                <c:pt idx="4">
                  <c:v>37175.480532854664</c:v>
                </c:pt>
                <c:pt idx="5">
                  <c:v>26959.836985594004</c:v>
                </c:pt>
                <c:pt idx="6">
                  <c:v>41813.115736479587</c:v>
                </c:pt>
                <c:pt idx="7">
                  <c:v>0</c:v>
                </c:pt>
              </c:numCache>
            </c:numRef>
          </c:val>
        </c:ser>
        <c:ser>
          <c:idx val="4"/>
          <c:order val="4"/>
          <c:tx>
            <c:strRef>
              <c:f>'Proxy efficiency charts OOHC'!$B$14</c:f>
              <c:strCache>
                <c:ptCount val="1"/>
                <c:pt idx="0">
                  <c:v>2014-15</c:v>
                </c:pt>
              </c:strCache>
            </c:strRef>
          </c:tx>
          <c:spPr>
            <a:solidFill>
              <a:srgbClr val="78A22F"/>
            </a:solidFill>
            <a:ln>
              <a:solidFill>
                <a:srgbClr val="78A22F"/>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OOHC'!$C$14:$J$14</c:f>
              <c:numCache>
                <c:formatCode>0</c:formatCode>
                <c:ptCount val="8"/>
                <c:pt idx="0">
                  <c:v>0</c:v>
                </c:pt>
                <c:pt idx="1">
                  <c:v>27521.593862145775</c:v>
                </c:pt>
                <c:pt idx="2">
                  <c:v>0</c:v>
                </c:pt>
                <c:pt idx="3">
                  <c:v>37173.936029606135</c:v>
                </c:pt>
                <c:pt idx="4">
                  <c:v>48736.254650682102</c:v>
                </c:pt>
                <c:pt idx="5">
                  <c:v>24475.524475524475</c:v>
                </c:pt>
                <c:pt idx="6">
                  <c:v>36478.672985781988</c:v>
                </c:pt>
                <c:pt idx="7">
                  <c:v>0</c:v>
                </c:pt>
              </c:numCache>
            </c:numRef>
          </c:val>
        </c:ser>
        <c:dLbls>
          <c:showLegendKey val="0"/>
          <c:showVal val="0"/>
          <c:showCatName val="0"/>
          <c:showSerName val="0"/>
          <c:showPercent val="0"/>
          <c:showBubbleSize val="0"/>
        </c:dLbls>
        <c:gapWidth val="150"/>
        <c:axId val="212974976"/>
        <c:axId val="212976768"/>
      </c:barChart>
      <c:catAx>
        <c:axId val="21297497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2976768"/>
        <c:crosses val="autoZero"/>
        <c:auto val="1"/>
        <c:lblAlgn val="ctr"/>
        <c:lblOffset val="100"/>
        <c:noMultiLvlLbl val="0"/>
      </c:catAx>
      <c:valAx>
        <c:axId val="212976768"/>
        <c:scaling>
          <c:orientation val="minMax"/>
          <c:max val="500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$/child</a:t>
                </a:r>
              </a:p>
            </c:rich>
          </c:tx>
          <c:layout>
            <c:manualLayout>
              <c:xMode val="edge"/>
              <c:yMode val="edge"/>
              <c:x val="1.8814814814814815E-2"/>
              <c:y val="0.3478222222222222"/>
            </c:manualLayout>
          </c:layout>
          <c:overlay val="0"/>
        </c:title>
        <c:numFmt formatCode="#\ ###\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2974976"/>
        <c:crosses val="autoZero"/>
        <c:crossBetween val="between"/>
        <c:majorUnit val="100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OOHC'!$B$16</c:f>
              <c:strCache>
                <c:ptCount val="1"/>
                <c:pt idx="0">
                  <c:v>2010-11</c:v>
                </c:pt>
              </c:strCache>
            </c:strRef>
          </c:tx>
          <c:spPr>
            <a:solidFill>
              <a:srgbClr val="387DD2"/>
            </a:solidFill>
            <a:ln>
              <a:solidFill>
                <a:srgbClr val="387DD2"/>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OOHC'!$C$16:$J$16</c:f>
              <c:numCache>
                <c:formatCode>0</c:formatCode>
                <c:ptCount val="8"/>
                <c:pt idx="0">
                  <c:v>44426.244270433024</c:v>
                </c:pt>
                <c:pt idx="1">
                  <c:v>61721.255877155389</c:v>
                </c:pt>
                <c:pt idx="2">
                  <c:v>51592.32875916551</c:v>
                </c:pt>
                <c:pt idx="3">
                  <c:v>69884.384016549622</c:v>
                </c:pt>
                <c:pt idx="4">
                  <c:v>59511.193119871466</c:v>
                </c:pt>
                <c:pt idx="5">
                  <c:v>43011.213531844936</c:v>
                </c:pt>
                <c:pt idx="6">
                  <c:v>54814.42164032397</c:v>
                </c:pt>
                <c:pt idx="7">
                  <c:v>80037.522971923609</c:v>
                </c:pt>
              </c:numCache>
            </c:numRef>
          </c:val>
        </c:ser>
        <c:ser>
          <c:idx val="1"/>
          <c:order val="1"/>
          <c:tx>
            <c:strRef>
              <c:f>'Proxy efficiency charts OOHC'!$B$17</c:f>
              <c:strCache>
                <c:ptCount val="1"/>
                <c:pt idx="0">
                  <c:v>2011-12</c:v>
                </c:pt>
              </c:strCache>
            </c:strRef>
          </c:tx>
          <c:spPr>
            <a:solidFill>
              <a:srgbClr val="000000"/>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OOHC'!$C$17:$J$17</c:f>
              <c:numCache>
                <c:formatCode>0</c:formatCode>
                <c:ptCount val="8"/>
                <c:pt idx="0">
                  <c:v>45342.406105631984</c:v>
                </c:pt>
                <c:pt idx="1">
                  <c:v>59197.834918239576</c:v>
                </c:pt>
                <c:pt idx="2">
                  <c:v>51739.748555298778</c:v>
                </c:pt>
                <c:pt idx="3">
                  <c:v>59753.211629479381</c:v>
                </c:pt>
                <c:pt idx="4">
                  <c:v>58066.31791853466</c:v>
                </c:pt>
                <c:pt idx="5">
                  <c:v>41100.316586458554</c:v>
                </c:pt>
                <c:pt idx="6">
                  <c:v>49569.657830898235</c:v>
                </c:pt>
                <c:pt idx="7">
                  <c:v>83861.770413494552</c:v>
                </c:pt>
              </c:numCache>
            </c:numRef>
          </c:val>
        </c:ser>
        <c:ser>
          <c:idx val="2"/>
          <c:order val="2"/>
          <c:tx>
            <c:strRef>
              <c:f>'Proxy efficiency charts OOHC'!$B$18</c:f>
              <c:strCache>
                <c:ptCount val="1"/>
                <c:pt idx="0">
                  <c:v>2012-13</c:v>
                </c:pt>
              </c:strCache>
            </c:strRef>
          </c:tx>
          <c:spPr>
            <a:solidFill>
              <a:srgbClr val="B2D673"/>
            </a:solidFill>
            <a:ln>
              <a:solidFill>
                <a:srgbClr val="B2D673"/>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OOHC'!$C$18:$J$18</c:f>
              <c:numCache>
                <c:formatCode>0</c:formatCode>
                <c:ptCount val="8"/>
                <c:pt idx="0">
                  <c:v>45377.452610575325</c:v>
                </c:pt>
                <c:pt idx="1">
                  <c:v>59996.326745641636</c:v>
                </c:pt>
                <c:pt idx="2">
                  <c:v>52208.841447961968</c:v>
                </c:pt>
                <c:pt idx="3">
                  <c:v>60364.28385106552</c:v>
                </c:pt>
                <c:pt idx="4">
                  <c:v>60669.152481870493</c:v>
                </c:pt>
                <c:pt idx="5">
                  <c:v>40548.217857177362</c:v>
                </c:pt>
                <c:pt idx="6">
                  <c:v>56247.348910978733</c:v>
                </c:pt>
                <c:pt idx="7">
                  <c:v>105412.37113402062</c:v>
                </c:pt>
              </c:numCache>
            </c:numRef>
          </c:val>
        </c:ser>
        <c:ser>
          <c:idx val="3"/>
          <c:order val="3"/>
          <c:tx>
            <c:strRef>
              <c:f>'Proxy efficiency charts OOHC'!$B$19</c:f>
              <c:strCache>
                <c:ptCount val="1"/>
                <c:pt idx="0">
                  <c:v>2013-14</c:v>
                </c:pt>
              </c:strCache>
            </c:strRef>
          </c:tx>
          <c:spPr>
            <a:solidFill>
              <a:srgbClr val="265A9A"/>
            </a:solidFill>
            <a:ln>
              <a:solidFill>
                <a:srgbClr val="265A9A"/>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OOHC'!$C$19:$J$19</c:f>
              <c:numCache>
                <c:formatCode>0</c:formatCode>
                <c:ptCount val="8"/>
                <c:pt idx="0">
                  <c:v>44667.941191996571</c:v>
                </c:pt>
                <c:pt idx="1">
                  <c:v>53058.545203610542</c:v>
                </c:pt>
                <c:pt idx="2">
                  <c:v>52132.681983456074</c:v>
                </c:pt>
                <c:pt idx="3">
                  <c:v>61745.073173850709</c:v>
                </c:pt>
                <c:pt idx="4">
                  <c:v>62556.041067590319</c:v>
                </c:pt>
                <c:pt idx="5">
                  <c:v>45615.115405923476</c:v>
                </c:pt>
                <c:pt idx="6">
                  <c:v>55999.85227413891</c:v>
                </c:pt>
                <c:pt idx="7">
                  <c:v>92633.133310328441</c:v>
                </c:pt>
              </c:numCache>
            </c:numRef>
          </c:val>
        </c:ser>
        <c:ser>
          <c:idx val="4"/>
          <c:order val="4"/>
          <c:tx>
            <c:strRef>
              <c:f>'Proxy efficiency charts OOHC'!$B$20</c:f>
              <c:strCache>
                <c:ptCount val="1"/>
                <c:pt idx="0">
                  <c:v>2014-15</c:v>
                </c:pt>
              </c:strCache>
            </c:strRef>
          </c:tx>
          <c:spPr>
            <a:solidFill>
              <a:srgbClr val="78A22F"/>
            </a:solidFill>
            <a:ln>
              <a:solidFill>
                <a:srgbClr val="78A22F"/>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OOHC'!$C$20:$J$20</c:f>
              <c:numCache>
                <c:formatCode>0</c:formatCode>
                <c:ptCount val="8"/>
                <c:pt idx="0">
                  <c:v>52907.676779671077</c:v>
                </c:pt>
                <c:pt idx="1">
                  <c:v>51808.684486984945</c:v>
                </c:pt>
                <c:pt idx="2">
                  <c:v>52798.887310606064</c:v>
                </c:pt>
                <c:pt idx="3">
                  <c:v>62257.20789074355</c:v>
                </c:pt>
                <c:pt idx="4">
                  <c:v>80829.809725158557</c:v>
                </c:pt>
                <c:pt idx="5">
                  <c:v>44085.768143261077</c:v>
                </c:pt>
                <c:pt idx="6">
                  <c:v>51165.42473919523</c:v>
                </c:pt>
                <c:pt idx="7">
                  <c:v>98550.639134709927</c:v>
                </c:pt>
              </c:numCache>
            </c:numRef>
          </c:val>
        </c:ser>
        <c:dLbls>
          <c:showLegendKey val="0"/>
          <c:showVal val="0"/>
          <c:showCatName val="0"/>
          <c:showSerName val="0"/>
          <c:showPercent val="0"/>
          <c:showBubbleSize val="0"/>
        </c:dLbls>
        <c:gapWidth val="150"/>
        <c:axId val="213021056"/>
        <c:axId val="213022592"/>
      </c:barChart>
      <c:catAx>
        <c:axId val="213021056"/>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3022592"/>
        <c:crosses val="autoZero"/>
        <c:auto val="1"/>
        <c:lblAlgn val="ctr"/>
        <c:lblOffset val="100"/>
        <c:noMultiLvlLbl val="0"/>
      </c:catAx>
      <c:valAx>
        <c:axId val="213022592"/>
        <c:scaling>
          <c:orientation val="minMax"/>
          <c:max val="120000"/>
        </c:scaling>
        <c:delete val="0"/>
        <c:axPos val="l"/>
        <c:majorGridlines>
          <c:spPr>
            <a:ln>
              <a:noFill/>
            </a:ln>
          </c:spPr>
        </c:majorGridlines>
        <c:title>
          <c:tx>
            <c:rich>
              <a:bodyPr rot="-5400000" vert="horz"/>
              <a:lstStyle/>
              <a:p>
                <a:pPr>
                  <a:defRPr sz="900">
                    <a:latin typeface="arial"/>
                    <a:ea typeface="arial"/>
                    <a:cs typeface="arial"/>
                  </a:defRPr>
                </a:pPr>
                <a:r>
                  <a:rPr lang="en-US"/>
                  <a:t>$/child</a:t>
                </a:r>
              </a:p>
            </c:rich>
          </c:tx>
          <c:overlay val="0"/>
        </c:title>
        <c:numFmt formatCode="#\ ##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3021056"/>
        <c:crosses val="autoZero"/>
        <c:crossBetween val="between"/>
        <c:majorUnit val="20000"/>
      </c:valAx>
      <c:spPr>
        <a:noFill/>
        <a:ln>
          <a:noFill/>
        </a:ln>
      </c:spPr>
    </c:plotArea>
    <c:legend>
      <c:legendPos val="b"/>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NSW</a:t>
            </a:r>
          </a:p>
        </c:rich>
      </c:tx>
      <c:overlay val="0"/>
    </c:title>
    <c:autoTitleDeleted val="0"/>
    <c:plotArea>
      <c:layout/>
      <c:barChart>
        <c:barDir val="col"/>
        <c:grouping val="clustered"/>
        <c:varyColors val="0"/>
        <c:ser>
          <c:idx val="0"/>
          <c:order val="0"/>
          <c:tx>
            <c:strRef>
              <c:f>'Subs after not 5 yrs'!$C$3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yrs'!$C$4:$C$8</c:f>
              <c:numCache>
                <c:formatCode>0.0</c:formatCode>
                <c:ptCount val="5"/>
                <c:pt idx="0">
                  <c:v>3.809589896606759</c:v>
                </c:pt>
                <c:pt idx="1">
                  <c:v>4.126885156463115</c:v>
                </c:pt>
                <c:pt idx="2">
                  <c:v>6.327184021954567</c:v>
                </c:pt>
                <c:pt idx="3">
                  <c:v>6.4917200148140317</c:v>
                </c:pt>
                <c:pt idx="4">
                  <c:v>5.2920124876265895</c:v>
                </c:pt>
              </c:numCache>
            </c:numRef>
          </c:val>
        </c:ser>
        <c:ser>
          <c:idx val="1"/>
          <c:order val="1"/>
          <c:tx>
            <c:strRef>
              <c:f>'Subs after not 5 yrs'!$D$3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yrs'!$D$4:$D$8</c:f>
              <c:numCache>
                <c:formatCode>0.0</c:formatCode>
                <c:ptCount val="5"/>
                <c:pt idx="0">
                  <c:v>10.656211690144103</c:v>
                </c:pt>
                <c:pt idx="1">
                  <c:v>12.715794396165386</c:v>
                </c:pt>
                <c:pt idx="2">
                  <c:v>16.379529399806881</c:v>
                </c:pt>
                <c:pt idx="3">
                  <c:v>16.480609491561292</c:v>
                </c:pt>
                <c:pt idx="4">
                  <c:v>14.147567197136985</c:v>
                </c:pt>
              </c:numCache>
            </c:numRef>
          </c:val>
        </c:ser>
        <c:dLbls>
          <c:showLegendKey val="0"/>
          <c:showVal val="0"/>
          <c:showCatName val="0"/>
          <c:showSerName val="0"/>
          <c:showPercent val="0"/>
          <c:showBubbleSize val="0"/>
        </c:dLbls>
        <c:gapWidth val="150"/>
        <c:axId val="213036032"/>
        <c:axId val="213656320"/>
      </c:barChart>
      <c:catAx>
        <c:axId val="213036032"/>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3656320"/>
        <c:crosses val="autoZero"/>
        <c:auto val="1"/>
        <c:lblAlgn val="ctr"/>
        <c:lblOffset val="100"/>
        <c:noMultiLvlLbl val="0"/>
      </c:catAx>
      <c:valAx>
        <c:axId val="213656320"/>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3036032"/>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Vic</a:t>
            </a:r>
          </a:p>
        </c:rich>
      </c:tx>
      <c:overlay val="0"/>
    </c:title>
    <c:autoTitleDeleted val="0"/>
    <c:plotArea>
      <c:layout/>
      <c:barChart>
        <c:barDir val="col"/>
        <c:grouping val="clustered"/>
        <c:varyColors val="0"/>
        <c:ser>
          <c:idx val="0"/>
          <c:order val="0"/>
          <c:tx>
            <c:strRef>
              <c:f>'Subs after not 5 yrs'!$E$3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yrs'!$E$4:$E$8</c:f>
              <c:numCache>
                <c:formatCode>0.0</c:formatCode>
                <c:ptCount val="5"/>
                <c:pt idx="0">
                  <c:v>2.0509193776520509</c:v>
                </c:pt>
                <c:pt idx="1">
                  <c:v>2.0254255548373195</c:v>
                </c:pt>
                <c:pt idx="2">
                  <c:v>2.286282306163022</c:v>
                </c:pt>
                <c:pt idx="3">
                  <c:v>4.4245348035837351</c:v>
                </c:pt>
                <c:pt idx="4">
                  <c:v>6.3882674620929656</c:v>
                </c:pt>
              </c:numCache>
            </c:numRef>
          </c:val>
        </c:ser>
        <c:ser>
          <c:idx val="1"/>
          <c:order val="1"/>
          <c:tx>
            <c:strRef>
              <c:f>'Subs after not 5 yrs'!$F$3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yrs'!$F$4:$F$8</c:f>
              <c:numCache>
                <c:formatCode>0.0</c:formatCode>
                <c:ptCount val="5"/>
                <c:pt idx="0">
                  <c:v>10.413719943422914</c:v>
                </c:pt>
                <c:pt idx="1">
                  <c:v>12.79896574014221</c:v>
                </c:pt>
                <c:pt idx="2">
                  <c:v>12.485089463220676</c:v>
                </c:pt>
                <c:pt idx="3">
                  <c:v>15.148173673328738</c:v>
                </c:pt>
                <c:pt idx="4">
                  <c:v>17.201093711160826</c:v>
                </c:pt>
              </c:numCache>
            </c:numRef>
          </c:val>
        </c:ser>
        <c:dLbls>
          <c:showLegendKey val="0"/>
          <c:showVal val="0"/>
          <c:showCatName val="0"/>
          <c:showSerName val="0"/>
          <c:showPercent val="0"/>
          <c:showBubbleSize val="0"/>
        </c:dLbls>
        <c:gapWidth val="150"/>
        <c:axId val="213686144"/>
        <c:axId val="213687680"/>
      </c:barChart>
      <c:catAx>
        <c:axId val="21368614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3687680"/>
        <c:crosses val="autoZero"/>
        <c:auto val="1"/>
        <c:lblAlgn val="ctr"/>
        <c:lblOffset val="100"/>
        <c:noMultiLvlLbl val="0"/>
      </c:catAx>
      <c:valAx>
        <c:axId val="213687680"/>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3686144"/>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Qld</a:t>
            </a:r>
          </a:p>
        </c:rich>
      </c:tx>
      <c:overlay val="0"/>
    </c:title>
    <c:autoTitleDeleted val="0"/>
    <c:plotArea>
      <c:layout/>
      <c:barChart>
        <c:barDir val="col"/>
        <c:grouping val="clustered"/>
        <c:varyColors val="0"/>
        <c:ser>
          <c:idx val="0"/>
          <c:order val="0"/>
          <c:tx>
            <c:strRef>
              <c:f>'Subs after not 5 yrs'!$G$3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yrs'!$G$4:$G$8</c:f>
              <c:numCache>
                <c:formatCode>0.0</c:formatCode>
                <c:ptCount val="5"/>
                <c:pt idx="0">
                  <c:v>3.182234432234432</c:v>
                </c:pt>
                <c:pt idx="1">
                  <c:v>3.2219028891241868</c:v>
                </c:pt>
                <c:pt idx="2">
                  <c:v>3.4084102072600939</c:v>
                </c:pt>
                <c:pt idx="3">
                  <c:v>4.1770057899090158</c:v>
                </c:pt>
                <c:pt idx="4">
                  <c:v>3.6695917035318009</c:v>
                </c:pt>
              </c:numCache>
            </c:numRef>
          </c:val>
        </c:ser>
        <c:ser>
          <c:idx val="1"/>
          <c:order val="1"/>
          <c:tx>
            <c:strRef>
              <c:f>'Subs after not 5 yrs'!$H$3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yrs'!$H$4:$H$8</c:f>
              <c:numCache>
                <c:formatCode>0.0</c:formatCode>
                <c:ptCount val="5"/>
                <c:pt idx="0">
                  <c:v>8.6691086691086685</c:v>
                </c:pt>
                <c:pt idx="1">
                  <c:v>9.5598245348661326</c:v>
                </c:pt>
                <c:pt idx="2">
                  <c:v>9.8119084701090209</c:v>
                </c:pt>
                <c:pt idx="3">
                  <c:v>11.586710780259168</c:v>
                </c:pt>
                <c:pt idx="4">
                  <c:v>10.595402132134311</c:v>
                </c:pt>
              </c:numCache>
            </c:numRef>
          </c:val>
        </c:ser>
        <c:dLbls>
          <c:showLegendKey val="0"/>
          <c:showVal val="0"/>
          <c:showCatName val="0"/>
          <c:showSerName val="0"/>
          <c:showPercent val="0"/>
          <c:showBubbleSize val="0"/>
        </c:dLbls>
        <c:gapWidth val="150"/>
        <c:axId val="36086528"/>
        <c:axId val="36088064"/>
      </c:barChart>
      <c:catAx>
        <c:axId val="36086528"/>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36088064"/>
        <c:crosses val="autoZero"/>
        <c:auto val="1"/>
        <c:lblAlgn val="ctr"/>
        <c:lblOffset val="100"/>
        <c:noMultiLvlLbl val="0"/>
      </c:catAx>
      <c:valAx>
        <c:axId val="36088064"/>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36086528"/>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WA</a:t>
            </a:r>
          </a:p>
        </c:rich>
      </c:tx>
      <c:overlay val="0"/>
    </c:title>
    <c:autoTitleDeleted val="0"/>
    <c:plotArea>
      <c:layout/>
      <c:barChart>
        <c:barDir val="col"/>
        <c:grouping val="clustered"/>
        <c:varyColors val="0"/>
        <c:ser>
          <c:idx val="0"/>
          <c:order val="0"/>
          <c:tx>
            <c:strRef>
              <c:f>'Subs after not 5 yrs'!$I$3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yrs'!$I$4:$I$8</c:f>
              <c:numCache>
                <c:formatCode>0.0</c:formatCode>
                <c:ptCount val="5"/>
                <c:pt idx="0">
                  <c:v>0.50335570469798652</c:v>
                </c:pt>
                <c:pt idx="1">
                  <c:v>1.1677788369876072</c:v>
                </c:pt>
                <c:pt idx="2">
                  <c:v>1.6895809176743417</c:v>
                </c:pt>
                <c:pt idx="3">
                  <c:v>3.1254932912391475</c:v>
                </c:pt>
                <c:pt idx="4">
                  <c:v>2.3876012287070649</c:v>
                </c:pt>
              </c:numCache>
            </c:numRef>
          </c:val>
        </c:ser>
        <c:ser>
          <c:idx val="1"/>
          <c:order val="1"/>
          <c:tx>
            <c:strRef>
              <c:f>'Subs after not 5 yrs'!$J$3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yrs'!$J$4:$J$8</c:f>
              <c:numCache>
                <c:formatCode>0.0</c:formatCode>
                <c:ptCount val="5"/>
                <c:pt idx="0">
                  <c:v>1.7976989453499521</c:v>
                </c:pt>
                <c:pt idx="1">
                  <c:v>7.0305052430886557</c:v>
                </c:pt>
                <c:pt idx="2">
                  <c:v>7.6693722047374528</c:v>
                </c:pt>
                <c:pt idx="3">
                  <c:v>8.9502762430939224</c:v>
                </c:pt>
                <c:pt idx="4">
                  <c:v>8.8243507400167545</c:v>
                </c:pt>
              </c:numCache>
            </c:numRef>
          </c:val>
        </c:ser>
        <c:dLbls>
          <c:showLegendKey val="0"/>
          <c:showVal val="0"/>
          <c:showCatName val="0"/>
          <c:showSerName val="0"/>
          <c:showPercent val="0"/>
          <c:showBubbleSize val="0"/>
        </c:dLbls>
        <c:gapWidth val="150"/>
        <c:axId val="36097408"/>
        <c:axId val="212800640"/>
      </c:barChart>
      <c:catAx>
        <c:axId val="36097408"/>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2800640"/>
        <c:crosses val="autoZero"/>
        <c:auto val="1"/>
        <c:lblAlgn val="ctr"/>
        <c:lblOffset val="100"/>
        <c:noMultiLvlLbl val="0"/>
      </c:catAx>
      <c:valAx>
        <c:axId val="212800640"/>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36097408"/>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SA</a:t>
            </a:r>
          </a:p>
        </c:rich>
      </c:tx>
      <c:overlay val="0"/>
    </c:title>
    <c:autoTitleDeleted val="0"/>
    <c:plotArea>
      <c:layout/>
      <c:barChart>
        <c:barDir val="col"/>
        <c:grouping val="clustered"/>
        <c:varyColors val="0"/>
        <c:ser>
          <c:idx val="0"/>
          <c:order val="0"/>
          <c:tx>
            <c:strRef>
              <c:f>'Subs after not 5 yrs'!$K$3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yrs'!$K$4:$K$8</c:f>
              <c:numCache>
                <c:formatCode>0.0</c:formatCode>
                <c:ptCount val="5"/>
                <c:pt idx="0">
                  <c:v>3.4496753246753249</c:v>
                </c:pt>
                <c:pt idx="1">
                  <c:v>5.7524396507447353</c:v>
                </c:pt>
                <c:pt idx="2">
                  <c:v>5.2417302798982188</c:v>
                </c:pt>
                <c:pt idx="3">
                  <c:v>7.6505429417571573</c:v>
                </c:pt>
                <c:pt idx="4">
                  <c:v>7.3803730738037308</c:v>
                </c:pt>
              </c:numCache>
            </c:numRef>
          </c:val>
        </c:ser>
        <c:ser>
          <c:idx val="1"/>
          <c:order val="1"/>
          <c:tx>
            <c:strRef>
              <c:f>'Subs after not 5 yrs'!$L$3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yrs'!$L$4:$L$8</c:f>
              <c:numCache>
                <c:formatCode>0.0</c:formatCode>
                <c:ptCount val="5"/>
                <c:pt idx="0">
                  <c:v>11.972402597402597</c:v>
                </c:pt>
                <c:pt idx="1">
                  <c:v>13.097072419106318</c:v>
                </c:pt>
                <c:pt idx="2">
                  <c:v>14.096692111959289</c:v>
                </c:pt>
                <c:pt idx="3">
                  <c:v>15.893385982230997</c:v>
                </c:pt>
                <c:pt idx="4">
                  <c:v>15.531224655312247</c:v>
                </c:pt>
              </c:numCache>
            </c:numRef>
          </c:val>
        </c:ser>
        <c:dLbls>
          <c:showLegendKey val="0"/>
          <c:showVal val="0"/>
          <c:showCatName val="0"/>
          <c:showSerName val="0"/>
          <c:showPercent val="0"/>
          <c:showBubbleSize val="0"/>
        </c:dLbls>
        <c:gapWidth val="150"/>
        <c:axId val="212846848"/>
        <c:axId val="212856832"/>
      </c:barChart>
      <c:catAx>
        <c:axId val="212846848"/>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2856832"/>
        <c:crosses val="autoZero"/>
        <c:auto val="1"/>
        <c:lblAlgn val="ctr"/>
        <c:lblOffset val="100"/>
        <c:noMultiLvlLbl val="0"/>
      </c:catAx>
      <c:valAx>
        <c:axId val="212856832"/>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2846848"/>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'Response time to complete'!$A$12</c:f>
              <c:strCache>
                <c:ptCount val="1"/>
                <c:pt idx="0">
                  <c:v>28 days or less</c:v>
                </c:pt>
              </c:strCache>
            </c:strRef>
          </c:tx>
          <c:spPr>
            <a:solidFill>
              <a:srgbClr val="000000"/>
            </a:solidFill>
            <a:ln>
              <a:solidFill>
                <a:srgbClr val="000000"/>
              </a:solidFill>
            </a:ln>
          </c:spPr>
          <c:invertIfNegative val="0"/>
          <c:cat>
            <c:strRef>
              <c:f>'Response time to complete'!$C$11:$K$11</c:f>
              <c:strCache>
                <c:ptCount val="9"/>
                <c:pt idx="0">
                  <c:v>NSW</c:v>
                </c:pt>
                <c:pt idx="1">
                  <c:v>Vic</c:v>
                </c:pt>
                <c:pt idx="2">
                  <c:v>Qld</c:v>
                </c:pt>
                <c:pt idx="3">
                  <c:v>WA</c:v>
                </c:pt>
                <c:pt idx="4">
                  <c:v>SA</c:v>
                </c:pt>
                <c:pt idx="5">
                  <c:v>Tas</c:v>
                </c:pt>
                <c:pt idx="6">
                  <c:v>ACT</c:v>
                </c:pt>
                <c:pt idx="7">
                  <c:v>NT</c:v>
                </c:pt>
                <c:pt idx="8">
                  <c:v>Aust</c:v>
                </c:pt>
              </c:strCache>
            </c:strRef>
          </c:cat>
          <c:val>
            <c:numRef>
              <c:f>'Response time to complete'!$C$12:$K$12</c:f>
              <c:numCache>
                <c:formatCode>0.0</c:formatCode>
                <c:ptCount val="9"/>
                <c:pt idx="0">
                  <c:v>48.603410673463486</c:v>
                </c:pt>
                <c:pt idx="1">
                  <c:v>33.377234993614302</c:v>
                </c:pt>
                <c:pt idx="2">
                  <c:v>21.310429447852762</c:v>
                </c:pt>
                <c:pt idx="3">
                  <c:v>20.691578360290016</c:v>
                </c:pt>
                <c:pt idx="4">
                  <c:v>24.218283210515835</c:v>
                </c:pt>
                <c:pt idx="5">
                  <c:v>33.70044052863436</c:v>
                </c:pt>
                <c:pt idx="6">
                  <c:v>22.190408017179671</c:v>
                </c:pt>
                <c:pt idx="7">
                  <c:v>37.481259370314838</c:v>
                </c:pt>
                <c:pt idx="8">
                  <c:v>38.231258321332504</c:v>
                </c:pt>
              </c:numCache>
            </c:numRef>
          </c:val>
        </c:ser>
        <c:ser>
          <c:idx val="1"/>
          <c:order val="1"/>
          <c:tx>
            <c:strRef>
              <c:f>'Response time to complete'!$A$13</c:f>
              <c:strCache>
                <c:ptCount val="1"/>
                <c:pt idx="0">
                  <c:v>29 to 62 days</c:v>
                </c:pt>
              </c:strCache>
            </c:strRef>
          </c:tx>
          <c:spPr>
            <a:solidFill>
              <a:srgbClr val="B2D673"/>
            </a:solidFill>
            <a:ln>
              <a:solidFill>
                <a:srgbClr val="B2D673"/>
              </a:solidFill>
            </a:ln>
          </c:spPr>
          <c:invertIfNegative val="0"/>
          <c:cat>
            <c:strRef>
              <c:f>'Response time to complete'!$C$11:$K$11</c:f>
              <c:strCache>
                <c:ptCount val="9"/>
                <c:pt idx="0">
                  <c:v>NSW</c:v>
                </c:pt>
                <c:pt idx="1">
                  <c:v>Vic</c:v>
                </c:pt>
                <c:pt idx="2">
                  <c:v>Qld</c:v>
                </c:pt>
                <c:pt idx="3">
                  <c:v>WA</c:v>
                </c:pt>
                <c:pt idx="4">
                  <c:v>SA</c:v>
                </c:pt>
                <c:pt idx="5">
                  <c:v>Tas</c:v>
                </c:pt>
                <c:pt idx="6">
                  <c:v>ACT</c:v>
                </c:pt>
                <c:pt idx="7">
                  <c:v>NT</c:v>
                </c:pt>
                <c:pt idx="8">
                  <c:v>Aust</c:v>
                </c:pt>
              </c:strCache>
            </c:strRef>
          </c:cat>
          <c:val>
            <c:numRef>
              <c:f>'Response time to complete'!$C$13:$K$13</c:f>
              <c:numCache>
                <c:formatCode>0.0</c:formatCode>
                <c:ptCount val="9"/>
                <c:pt idx="0">
                  <c:v>20.826654754710038</c:v>
                </c:pt>
                <c:pt idx="1">
                  <c:v>29.398148148148145</c:v>
                </c:pt>
                <c:pt idx="2">
                  <c:v>36.289570552147239</c:v>
                </c:pt>
                <c:pt idx="3">
                  <c:v>25.543781372002233</c:v>
                </c:pt>
                <c:pt idx="4">
                  <c:v>30.969926309500099</c:v>
                </c:pt>
                <c:pt idx="5">
                  <c:v>34.65491923641703</c:v>
                </c:pt>
                <c:pt idx="6">
                  <c:v>57.551896921975668</c:v>
                </c:pt>
                <c:pt idx="7">
                  <c:v>24.100449775112441</c:v>
                </c:pt>
                <c:pt idx="8">
                  <c:v>25.768959052251173</c:v>
                </c:pt>
              </c:numCache>
            </c:numRef>
          </c:val>
        </c:ser>
        <c:ser>
          <c:idx val="2"/>
          <c:order val="2"/>
          <c:tx>
            <c:strRef>
              <c:f>'Response time to complete'!$A$14</c:f>
              <c:strCache>
                <c:ptCount val="1"/>
                <c:pt idx="0">
                  <c:v>63 to 90 days</c:v>
                </c:pt>
              </c:strCache>
            </c:strRef>
          </c:tx>
          <c:spPr>
            <a:solidFill>
              <a:srgbClr val="265A9A"/>
            </a:solidFill>
            <a:ln>
              <a:solidFill>
                <a:srgbClr val="265A9A"/>
              </a:solidFill>
            </a:ln>
          </c:spPr>
          <c:invertIfNegative val="0"/>
          <c:cat>
            <c:strRef>
              <c:f>'Response time to complete'!$C$11:$K$11</c:f>
              <c:strCache>
                <c:ptCount val="9"/>
                <c:pt idx="0">
                  <c:v>NSW</c:v>
                </c:pt>
                <c:pt idx="1">
                  <c:v>Vic</c:v>
                </c:pt>
                <c:pt idx="2">
                  <c:v>Qld</c:v>
                </c:pt>
                <c:pt idx="3">
                  <c:v>WA</c:v>
                </c:pt>
                <c:pt idx="4">
                  <c:v>SA</c:v>
                </c:pt>
                <c:pt idx="5">
                  <c:v>Tas</c:v>
                </c:pt>
                <c:pt idx="6">
                  <c:v>ACT</c:v>
                </c:pt>
                <c:pt idx="7">
                  <c:v>NT</c:v>
                </c:pt>
                <c:pt idx="8">
                  <c:v>Aust</c:v>
                </c:pt>
              </c:strCache>
            </c:strRef>
          </c:cat>
          <c:val>
            <c:numRef>
              <c:f>'Response time to complete'!$C$14:$K$14</c:f>
              <c:numCache>
                <c:formatCode>0.0</c:formatCode>
                <c:ptCount val="9"/>
                <c:pt idx="0">
                  <c:v>11.183225162256614</c:v>
                </c:pt>
                <c:pt idx="1">
                  <c:v>15.102171136653894</c:v>
                </c:pt>
                <c:pt idx="2">
                  <c:v>18.031901840490796</c:v>
                </c:pt>
                <c:pt idx="3">
                  <c:v>16.293522428491752</c:v>
                </c:pt>
                <c:pt idx="4">
                  <c:v>15.614419438358892</c:v>
                </c:pt>
                <c:pt idx="5">
                  <c:v>15.932452276064609</c:v>
                </c:pt>
                <c:pt idx="6">
                  <c:v>15.246957766642804</c:v>
                </c:pt>
                <c:pt idx="7">
                  <c:v>10.738380809595203</c:v>
                </c:pt>
                <c:pt idx="8">
                  <c:v>13.451349074803684</c:v>
                </c:pt>
              </c:numCache>
            </c:numRef>
          </c:val>
        </c:ser>
        <c:ser>
          <c:idx val="3"/>
          <c:order val="3"/>
          <c:tx>
            <c:strRef>
              <c:f>'Response time to complete'!$A$15</c:f>
              <c:strCache>
                <c:ptCount val="1"/>
                <c:pt idx="0">
                  <c:v>More than 90 days</c:v>
                </c:pt>
              </c:strCache>
            </c:strRef>
          </c:tx>
          <c:spPr>
            <a:solidFill>
              <a:srgbClr val="78A22F"/>
            </a:solidFill>
            <a:ln>
              <a:solidFill>
                <a:srgbClr val="78A22F"/>
              </a:solidFill>
            </a:ln>
          </c:spPr>
          <c:invertIfNegative val="0"/>
          <c:cat>
            <c:strRef>
              <c:f>'Response time to complete'!$C$11:$K$11</c:f>
              <c:strCache>
                <c:ptCount val="9"/>
                <c:pt idx="0">
                  <c:v>NSW</c:v>
                </c:pt>
                <c:pt idx="1">
                  <c:v>Vic</c:v>
                </c:pt>
                <c:pt idx="2">
                  <c:v>Qld</c:v>
                </c:pt>
                <c:pt idx="3">
                  <c:v>WA</c:v>
                </c:pt>
                <c:pt idx="4">
                  <c:v>SA</c:v>
                </c:pt>
                <c:pt idx="5">
                  <c:v>Tas</c:v>
                </c:pt>
                <c:pt idx="6">
                  <c:v>ACT</c:v>
                </c:pt>
                <c:pt idx="7">
                  <c:v>NT</c:v>
                </c:pt>
                <c:pt idx="8">
                  <c:v>Aust</c:v>
                </c:pt>
              </c:strCache>
            </c:strRef>
          </c:cat>
          <c:val>
            <c:numRef>
              <c:f>'Response time to complete'!$C$15:$K$15</c:f>
              <c:numCache>
                <c:formatCode>0.0</c:formatCode>
                <c:ptCount val="9"/>
                <c:pt idx="0">
                  <c:v>19.386709409569853</c:v>
                </c:pt>
                <c:pt idx="1">
                  <c:v>22.122445721583652</c:v>
                </c:pt>
                <c:pt idx="2">
                  <c:v>24.368098159509202</c:v>
                </c:pt>
                <c:pt idx="3">
                  <c:v>37.471117839215999</c:v>
                </c:pt>
                <c:pt idx="4">
                  <c:v>29.197371041625175</c:v>
                </c:pt>
                <c:pt idx="5">
                  <c:v>15.712187958883995</c:v>
                </c:pt>
                <c:pt idx="6">
                  <c:v>5.0107372942018618</c:v>
                </c:pt>
                <c:pt idx="7">
                  <c:v>27.679910044977511</c:v>
                </c:pt>
                <c:pt idx="8">
                  <c:v>22.548433551612639</c:v>
                </c:pt>
              </c:numCache>
            </c:numRef>
          </c:val>
        </c:ser>
        <c:dLbls>
          <c:showLegendKey val="0"/>
          <c:showVal val="0"/>
          <c:showCatName val="0"/>
          <c:showSerName val="0"/>
          <c:showPercent val="0"/>
          <c:showBubbleSize val="0"/>
        </c:dLbls>
        <c:gapWidth val="150"/>
        <c:axId val="35936896"/>
        <c:axId val="35942784"/>
      </c:barChart>
      <c:catAx>
        <c:axId val="3593689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5942784"/>
        <c:crosses val="autoZero"/>
        <c:auto val="1"/>
        <c:lblAlgn val="ctr"/>
        <c:lblOffset val="100"/>
        <c:noMultiLvlLbl val="0"/>
      </c:catAx>
      <c:valAx>
        <c:axId val="35942784"/>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936896"/>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Tas</a:t>
            </a:r>
          </a:p>
        </c:rich>
      </c:tx>
      <c:overlay val="0"/>
    </c:title>
    <c:autoTitleDeleted val="0"/>
    <c:plotArea>
      <c:layout/>
      <c:barChart>
        <c:barDir val="col"/>
        <c:grouping val="clustered"/>
        <c:varyColors val="0"/>
        <c:ser>
          <c:idx val="0"/>
          <c:order val="0"/>
          <c:tx>
            <c:strRef>
              <c:f>'Subs after not 5 yrs'!$M$3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yrs'!$M$4:$M$8</c:f>
              <c:numCache>
                <c:formatCode>0.0</c:formatCode>
                <c:ptCount val="5"/>
                <c:pt idx="0">
                  <c:v>6.5217391304347823</c:v>
                </c:pt>
                <c:pt idx="1">
                  <c:v>7.375886524822695</c:v>
                </c:pt>
                <c:pt idx="2">
                  <c:v>4.1121495327102808</c:v>
                </c:pt>
                <c:pt idx="3">
                  <c:v>4.2313117066290546</c:v>
                </c:pt>
                <c:pt idx="4">
                  <c:v>4.1420118343195274</c:v>
                </c:pt>
              </c:numCache>
            </c:numRef>
          </c:val>
        </c:ser>
        <c:ser>
          <c:idx val="1"/>
          <c:order val="1"/>
          <c:tx>
            <c:strRef>
              <c:f>'Subs after not 5 yrs'!$N$3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yrs'!$N$4:$N$8</c:f>
              <c:numCache>
                <c:formatCode>0.0</c:formatCode>
                <c:ptCount val="5"/>
                <c:pt idx="0">
                  <c:v>18.260869565217391</c:v>
                </c:pt>
                <c:pt idx="1">
                  <c:v>17.446808510638299</c:v>
                </c:pt>
                <c:pt idx="2">
                  <c:v>10.841121495327103</c:v>
                </c:pt>
                <c:pt idx="3">
                  <c:v>13.681241184767279</c:v>
                </c:pt>
                <c:pt idx="4">
                  <c:v>16.568047337278109</c:v>
                </c:pt>
              </c:numCache>
            </c:numRef>
          </c:val>
        </c:ser>
        <c:dLbls>
          <c:showLegendKey val="0"/>
          <c:showVal val="0"/>
          <c:showCatName val="0"/>
          <c:showSerName val="0"/>
          <c:showPercent val="0"/>
          <c:showBubbleSize val="0"/>
        </c:dLbls>
        <c:gapWidth val="150"/>
        <c:axId val="213996672"/>
        <c:axId val="213998208"/>
      </c:barChart>
      <c:catAx>
        <c:axId val="213996672"/>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3998208"/>
        <c:crosses val="autoZero"/>
        <c:auto val="1"/>
        <c:lblAlgn val="ctr"/>
        <c:lblOffset val="100"/>
        <c:noMultiLvlLbl val="0"/>
      </c:catAx>
      <c:valAx>
        <c:axId val="213998208"/>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3996672"/>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ACT</a:t>
            </a:r>
          </a:p>
        </c:rich>
      </c:tx>
      <c:overlay val="0"/>
    </c:title>
    <c:autoTitleDeleted val="0"/>
    <c:plotArea>
      <c:layout/>
      <c:barChart>
        <c:barDir val="col"/>
        <c:grouping val="clustered"/>
        <c:varyColors val="0"/>
        <c:ser>
          <c:idx val="0"/>
          <c:order val="0"/>
          <c:tx>
            <c:strRef>
              <c:f>'Subs after not 5 yrs'!$O$3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yrs'!$O$4:$O$8</c:f>
              <c:numCache>
                <c:formatCode>0.0</c:formatCode>
                <c:ptCount val="5"/>
                <c:pt idx="0">
                  <c:v>10.454545454545453</c:v>
                </c:pt>
                <c:pt idx="1">
                  <c:v>7.1014492753623193</c:v>
                </c:pt>
                <c:pt idx="2">
                  <c:v>6.4757160647571599</c:v>
                </c:pt>
                <c:pt idx="3">
                  <c:v>4.8991354466858787</c:v>
                </c:pt>
                <c:pt idx="4">
                  <c:v>3.9823008849557522</c:v>
                </c:pt>
              </c:numCache>
            </c:numRef>
          </c:val>
        </c:ser>
        <c:ser>
          <c:idx val="1"/>
          <c:order val="1"/>
          <c:tx>
            <c:strRef>
              <c:f>'Subs after not 5 yrs'!$P$3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yrs'!$P$4:$P$8</c:f>
              <c:numCache>
                <c:formatCode>0.0</c:formatCode>
                <c:ptCount val="5"/>
                <c:pt idx="0">
                  <c:v>24.242424242424242</c:v>
                </c:pt>
                <c:pt idx="1">
                  <c:v>16.666666666666664</c:v>
                </c:pt>
                <c:pt idx="2">
                  <c:v>17.559153175591533</c:v>
                </c:pt>
                <c:pt idx="3">
                  <c:v>11.239193083573488</c:v>
                </c:pt>
                <c:pt idx="4">
                  <c:v>14.454277286135694</c:v>
                </c:pt>
              </c:numCache>
            </c:numRef>
          </c:val>
        </c:ser>
        <c:dLbls>
          <c:showLegendKey val="0"/>
          <c:showVal val="0"/>
          <c:showCatName val="0"/>
          <c:showSerName val="0"/>
          <c:showPercent val="0"/>
          <c:showBubbleSize val="0"/>
        </c:dLbls>
        <c:gapWidth val="150"/>
        <c:axId val="214179840"/>
        <c:axId val="214181376"/>
      </c:barChart>
      <c:catAx>
        <c:axId val="214179840"/>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181376"/>
        <c:crosses val="autoZero"/>
        <c:auto val="1"/>
        <c:lblAlgn val="ctr"/>
        <c:lblOffset val="100"/>
        <c:noMultiLvlLbl val="0"/>
      </c:catAx>
      <c:valAx>
        <c:axId val="214181376"/>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179840"/>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NT</a:t>
            </a:r>
          </a:p>
        </c:rich>
      </c:tx>
      <c:overlay val="0"/>
    </c:title>
    <c:autoTitleDeleted val="0"/>
    <c:plotArea>
      <c:layout/>
      <c:barChart>
        <c:barDir val="col"/>
        <c:grouping val="clustered"/>
        <c:varyColors val="0"/>
        <c:ser>
          <c:idx val="0"/>
          <c:order val="0"/>
          <c:tx>
            <c:strRef>
              <c:f>'Subs after not 5 yrs'!$Q$3</c:f>
              <c:strCache>
                <c:ptCount val="1"/>
                <c:pt idx="0">
                  <c:v>3 months</c:v>
                </c:pt>
              </c:strCache>
            </c:strRef>
          </c:tx>
          <c:spPr>
            <a:solidFill>
              <a:srgbClr val="265A9A"/>
            </a:solidFill>
            <a:ln>
              <a:solidFill>
                <a:srgbClr val="265A9A"/>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yrs'!$Q$4:$Q$8</c:f>
              <c:numCache>
                <c:formatCode>0.0</c:formatCode>
                <c:ptCount val="5"/>
                <c:pt idx="0">
                  <c:v>5.2287581699346406</c:v>
                </c:pt>
                <c:pt idx="1">
                  <c:v>4.2580101180438454</c:v>
                </c:pt>
                <c:pt idx="2">
                  <c:v>4.3294117647058821</c:v>
                </c:pt>
                <c:pt idx="3">
                  <c:v>3.6749116607773851</c:v>
                </c:pt>
                <c:pt idx="4">
                  <c:v>6.3702720637027213</c:v>
                </c:pt>
              </c:numCache>
            </c:numRef>
          </c:val>
        </c:ser>
        <c:ser>
          <c:idx val="1"/>
          <c:order val="1"/>
          <c:tx>
            <c:strRef>
              <c:f>'Subs after not 5 yrs'!$R$3</c:f>
              <c:strCache>
                <c:ptCount val="1"/>
                <c:pt idx="0">
                  <c:v>12 months</c:v>
                </c:pt>
              </c:strCache>
            </c:strRef>
          </c:tx>
          <c:spPr>
            <a:solidFill>
              <a:srgbClr val="78A22F"/>
            </a:solidFill>
            <a:ln>
              <a:solidFill>
                <a:srgbClr val="78A22F"/>
              </a:solidFill>
            </a:ln>
          </c:spPr>
          <c:invertIfNegative val="0"/>
          <c:cat>
            <c:strRef>
              <c:f>'Subs after not 5 yrs'!$B$4:$B$8</c:f>
              <c:strCache>
                <c:ptCount val="5"/>
                <c:pt idx="0">
                  <c:v>2009-10</c:v>
                </c:pt>
                <c:pt idx="1">
                  <c:v>2010-11</c:v>
                </c:pt>
                <c:pt idx="2">
                  <c:v>2011-12</c:v>
                </c:pt>
                <c:pt idx="3">
                  <c:v>2012-13</c:v>
                </c:pt>
                <c:pt idx="4">
                  <c:v>2013-14</c:v>
                </c:pt>
              </c:strCache>
            </c:strRef>
          </c:cat>
          <c:val>
            <c:numRef>
              <c:f>'Subs after not 5 yrs'!$R$4:$R$8</c:f>
              <c:numCache>
                <c:formatCode>0.0</c:formatCode>
                <c:ptCount val="5"/>
                <c:pt idx="0">
                  <c:v>14.967320261437909</c:v>
                </c:pt>
                <c:pt idx="1">
                  <c:v>15.472175379426645</c:v>
                </c:pt>
                <c:pt idx="2">
                  <c:v>12.8</c:v>
                </c:pt>
                <c:pt idx="3">
                  <c:v>14.840989399293287</c:v>
                </c:pt>
                <c:pt idx="4">
                  <c:v>18.248175182481752</c:v>
                </c:pt>
              </c:numCache>
            </c:numRef>
          </c:val>
        </c:ser>
        <c:dLbls>
          <c:showLegendKey val="0"/>
          <c:showVal val="0"/>
          <c:showCatName val="0"/>
          <c:showSerName val="0"/>
          <c:showPercent val="0"/>
          <c:showBubbleSize val="0"/>
        </c:dLbls>
        <c:gapWidth val="150"/>
        <c:axId val="214231680"/>
        <c:axId val="214106496"/>
      </c:barChart>
      <c:catAx>
        <c:axId val="214231680"/>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106496"/>
        <c:crosses val="autoZero"/>
        <c:auto val="1"/>
        <c:lblAlgn val="ctr"/>
        <c:lblOffset val="100"/>
        <c:noMultiLvlLbl val="0"/>
      </c:catAx>
      <c:valAx>
        <c:axId val="214106496"/>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231680"/>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451851851851905E-3"/>
          <c:y val="0.15020937500000001"/>
          <c:w val="0.96588444444444443"/>
          <c:h val="0.79450729166666667"/>
        </c:manualLayout>
      </c:layout>
      <c:barChart>
        <c:barDir val="col"/>
        <c:grouping val="clustered"/>
        <c:varyColors val="0"/>
        <c:ser>
          <c:idx val="0"/>
          <c:order val="0"/>
          <c:tx>
            <c:v>3 months</c:v>
          </c:tx>
          <c:spPr>
            <a:solidFill>
              <a:srgbClr val="265A9A"/>
            </a:solidFill>
            <a:ln>
              <a:solidFill>
                <a:srgbClr val="000000"/>
              </a:solidFill>
            </a:ln>
          </c:spPr>
          <c:invertIfNegative val="0"/>
          <c:val>
            <c:numLit>
              <c:formatCode>General</c:formatCode>
              <c:ptCount val="5"/>
            </c:numLit>
          </c:val>
        </c:ser>
        <c:ser>
          <c:idx val="1"/>
          <c:order val="1"/>
          <c:tx>
            <c:v>12 months</c:v>
          </c:tx>
          <c:spPr>
            <a:solidFill>
              <a:srgbClr val="78A22F"/>
            </a:solidFill>
            <a:ln>
              <a:solidFill>
                <a:sysClr val="windowText" lastClr="000000"/>
              </a:solidFill>
            </a:ln>
          </c:spPr>
          <c:invertIfNegative val="0"/>
          <c:val>
            <c:numLit>
              <c:formatCode>General</c:formatCode>
              <c:ptCount val="5"/>
            </c:numLit>
          </c:val>
        </c:ser>
        <c:dLbls>
          <c:showLegendKey val="0"/>
          <c:showVal val="0"/>
          <c:showCatName val="0"/>
          <c:showSerName val="0"/>
          <c:showPercent val="0"/>
          <c:showBubbleSize val="0"/>
        </c:dLbls>
        <c:gapWidth val="150"/>
        <c:axId val="214169856"/>
        <c:axId val="213848064"/>
      </c:barChart>
      <c:catAx>
        <c:axId val="214169856"/>
        <c:scaling>
          <c:orientation val="minMax"/>
        </c:scaling>
        <c:delete val="1"/>
        <c:axPos val="b"/>
        <c:numFmt formatCode="General" sourceLinked="1"/>
        <c:majorTickMark val="out"/>
        <c:minorTickMark val="none"/>
        <c:tickLblPos val="nextTo"/>
        <c:crossAx val="213848064"/>
        <c:crosses val="autoZero"/>
        <c:auto val="1"/>
        <c:lblAlgn val="ctr"/>
        <c:lblOffset val="100"/>
        <c:noMultiLvlLbl val="0"/>
      </c:catAx>
      <c:valAx>
        <c:axId val="213848064"/>
        <c:scaling>
          <c:orientation val="minMax"/>
        </c:scaling>
        <c:delete val="1"/>
        <c:axPos val="l"/>
        <c:numFmt formatCode="General" sourceLinked="1"/>
        <c:majorTickMark val="out"/>
        <c:minorTickMark val="none"/>
        <c:tickLblPos val="nextTo"/>
        <c:crossAx val="214169856"/>
        <c:crosses val="autoZero"/>
        <c:crossBetween val="between"/>
      </c:valAx>
      <c:spPr>
        <a:noFill/>
        <a:ln w="25400">
          <a:noFill/>
        </a:ln>
      </c:spPr>
    </c:plotArea>
    <c:legend>
      <c:legendPos val="t"/>
      <c:layout>
        <c:manualLayout>
          <c:xMode val="edge"/>
          <c:yMode val="edge"/>
          <c:x val="0.31167555555555554"/>
          <c:y val="0.19239248940036341"/>
          <c:w val="0.38135259259259258"/>
          <c:h val="0.6019527777777777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NSW</a:t>
            </a:r>
          </a:p>
        </c:rich>
      </c:tx>
      <c:overlay val="0"/>
    </c:title>
    <c:autoTitleDeleted val="0"/>
    <c:plotArea>
      <c:layout/>
      <c:barChart>
        <c:barDir val="col"/>
        <c:grouping val="clustered"/>
        <c:varyColors val="0"/>
        <c:ser>
          <c:idx val="0"/>
          <c:order val="0"/>
          <c:tx>
            <c:strRef>
              <c:f>'Resubs 5 yrs'!$C$2</c:f>
              <c:strCache>
                <c:ptCount val="1"/>
                <c:pt idx="0">
                  <c:v>NSW</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yrs'!$C$4:$C$8</c:f>
              <c:numCache>
                <c:formatCode>0.0</c:formatCode>
                <c:ptCount val="5"/>
                <c:pt idx="0">
                  <c:v>8.8434327899107963</c:v>
                </c:pt>
                <c:pt idx="1">
                  <c:v>8.156271418779987</c:v>
                </c:pt>
                <c:pt idx="2">
                  <c:v>7.295579312337475</c:v>
                </c:pt>
                <c:pt idx="3">
                  <c:v>8.8462481608631691</c:v>
                </c:pt>
                <c:pt idx="4">
                  <c:v>10.203942895989123</c:v>
                </c:pt>
              </c:numCache>
            </c:numRef>
          </c:val>
        </c:ser>
        <c:ser>
          <c:idx val="1"/>
          <c:order val="1"/>
          <c:tx>
            <c:strRef>
              <c:f>'Resubs 5 yrs'!$D$2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yrs'!$D$4:$D$8</c:f>
              <c:numCache>
                <c:formatCode>0.0</c:formatCode>
                <c:ptCount val="5"/>
                <c:pt idx="0">
                  <c:v>19.486311904029531</c:v>
                </c:pt>
                <c:pt idx="1">
                  <c:v>19.67957505140507</c:v>
                </c:pt>
                <c:pt idx="2">
                  <c:v>20.911586246749494</c:v>
                </c:pt>
                <c:pt idx="3">
                  <c:v>22.179990191270228</c:v>
                </c:pt>
                <c:pt idx="4">
                  <c:v>22.284160435078178</c:v>
                </c:pt>
              </c:numCache>
            </c:numRef>
          </c:val>
        </c:ser>
        <c:dLbls>
          <c:showLegendKey val="0"/>
          <c:showVal val="0"/>
          <c:showCatName val="0"/>
          <c:showSerName val="0"/>
          <c:showPercent val="0"/>
          <c:showBubbleSize val="0"/>
        </c:dLbls>
        <c:gapWidth val="150"/>
        <c:axId val="213894272"/>
        <c:axId val="213895808"/>
      </c:barChart>
      <c:catAx>
        <c:axId val="213894272"/>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3895808"/>
        <c:crosses val="autoZero"/>
        <c:auto val="1"/>
        <c:lblAlgn val="ctr"/>
        <c:lblOffset val="100"/>
        <c:noMultiLvlLbl val="0"/>
      </c:catAx>
      <c:valAx>
        <c:axId val="213895808"/>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3894272"/>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Vic</a:t>
            </a:r>
          </a:p>
        </c:rich>
      </c:tx>
      <c:overlay val="0"/>
    </c:title>
    <c:autoTitleDeleted val="0"/>
    <c:plotArea>
      <c:layout/>
      <c:barChart>
        <c:barDir val="col"/>
        <c:grouping val="clustered"/>
        <c:varyColors val="0"/>
        <c:ser>
          <c:idx val="0"/>
          <c:order val="0"/>
          <c:tx>
            <c:strRef>
              <c:f>'Resubs 5 yrs'!$E$2</c:f>
              <c:strCache>
                <c:ptCount val="1"/>
                <c:pt idx="0">
                  <c:v>VIC</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yrs'!$E$4:$E$8</c:f>
              <c:numCache>
                <c:formatCode>0.0</c:formatCode>
                <c:ptCount val="5"/>
                <c:pt idx="0">
                  <c:v>0.71407752841737104</c:v>
                </c:pt>
                <c:pt idx="1">
                  <c:v>1.2436320047947258</c:v>
                </c:pt>
                <c:pt idx="2">
                  <c:v>1.154438173422268</c:v>
                </c:pt>
                <c:pt idx="3">
                  <c:v>2.5825242718446604</c:v>
                </c:pt>
                <c:pt idx="4">
                  <c:v>2.6522001205545509</c:v>
                </c:pt>
              </c:numCache>
            </c:numRef>
          </c:val>
        </c:ser>
        <c:ser>
          <c:idx val="1"/>
          <c:order val="1"/>
          <c:tx>
            <c:strRef>
              <c:f>'Resubs 5 yrs'!$F$2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yrs'!$F$4:$F$8</c:f>
              <c:numCache>
                <c:formatCode>0.0</c:formatCode>
                <c:ptCount val="5"/>
                <c:pt idx="0">
                  <c:v>7.4030894782862138</c:v>
                </c:pt>
                <c:pt idx="1">
                  <c:v>10.113874737788432</c:v>
                </c:pt>
                <c:pt idx="2">
                  <c:v>10.556695741405848</c:v>
                </c:pt>
                <c:pt idx="3">
                  <c:v>13.184466019417476</c:v>
                </c:pt>
                <c:pt idx="4">
                  <c:v>15.241539653836217</c:v>
                </c:pt>
              </c:numCache>
            </c:numRef>
          </c:val>
        </c:ser>
        <c:dLbls>
          <c:showLegendKey val="0"/>
          <c:showVal val="0"/>
          <c:showCatName val="0"/>
          <c:showSerName val="0"/>
          <c:showPercent val="0"/>
          <c:showBubbleSize val="0"/>
        </c:dLbls>
        <c:gapWidth val="150"/>
        <c:axId val="213946368"/>
        <c:axId val="213947904"/>
      </c:barChart>
      <c:catAx>
        <c:axId val="213946368"/>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3947904"/>
        <c:crosses val="autoZero"/>
        <c:auto val="1"/>
        <c:lblAlgn val="ctr"/>
        <c:lblOffset val="100"/>
        <c:noMultiLvlLbl val="0"/>
      </c:catAx>
      <c:valAx>
        <c:axId val="213947904"/>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3946368"/>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Qld</a:t>
            </a:r>
          </a:p>
        </c:rich>
      </c:tx>
      <c:overlay val="0"/>
    </c:title>
    <c:autoTitleDeleted val="0"/>
    <c:plotArea>
      <c:layout/>
      <c:barChart>
        <c:barDir val="col"/>
        <c:grouping val="clustered"/>
        <c:varyColors val="0"/>
        <c:ser>
          <c:idx val="0"/>
          <c:order val="0"/>
          <c:tx>
            <c:strRef>
              <c:f>'Resubs 5 yrs'!$G$2</c:f>
              <c:strCache>
                <c:ptCount val="1"/>
                <c:pt idx="0">
                  <c:v>QLD</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yrs'!$G$4:$G$8</c:f>
              <c:numCache>
                <c:formatCode>0.0</c:formatCode>
                <c:ptCount val="5"/>
                <c:pt idx="0">
                  <c:v>7.9736365986042905</c:v>
                </c:pt>
                <c:pt idx="1">
                  <c:v>8.8117489986648874</c:v>
                </c:pt>
                <c:pt idx="2">
                  <c:v>8.3668249908659114</c:v>
                </c:pt>
                <c:pt idx="3">
                  <c:v>8.5873983739837403</c:v>
                </c:pt>
                <c:pt idx="4">
                  <c:v>7.3555166374781082</c:v>
                </c:pt>
              </c:numCache>
            </c:numRef>
          </c:val>
        </c:ser>
        <c:ser>
          <c:idx val="1"/>
          <c:order val="1"/>
          <c:tx>
            <c:strRef>
              <c:f>'Resubs 5 yrs'!$H$2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yrs'!$H$4:$H$8</c:f>
              <c:numCache>
                <c:formatCode>0.0</c:formatCode>
                <c:ptCount val="5"/>
                <c:pt idx="0">
                  <c:v>17.717756526234169</c:v>
                </c:pt>
                <c:pt idx="1">
                  <c:v>18.958611481975968</c:v>
                </c:pt>
                <c:pt idx="2">
                  <c:v>20.436000487151382</c:v>
                </c:pt>
                <c:pt idx="3">
                  <c:v>19.842479674796749</c:v>
                </c:pt>
                <c:pt idx="4">
                  <c:v>18.22713188737707</c:v>
                </c:pt>
              </c:numCache>
            </c:numRef>
          </c:val>
        </c:ser>
        <c:dLbls>
          <c:showLegendKey val="0"/>
          <c:showVal val="0"/>
          <c:showCatName val="0"/>
          <c:showSerName val="0"/>
          <c:showPercent val="0"/>
          <c:showBubbleSize val="0"/>
        </c:dLbls>
        <c:gapWidth val="150"/>
        <c:axId val="214588032"/>
        <c:axId val="214602112"/>
      </c:barChart>
      <c:catAx>
        <c:axId val="214588032"/>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602112"/>
        <c:crosses val="autoZero"/>
        <c:auto val="1"/>
        <c:lblAlgn val="ctr"/>
        <c:lblOffset val="100"/>
        <c:noMultiLvlLbl val="0"/>
      </c:catAx>
      <c:valAx>
        <c:axId val="214602112"/>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588032"/>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WA</a:t>
            </a:r>
          </a:p>
        </c:rich>
      </c:tx>
      <c:overlay val="0"/>
    </c:title>
    <c:autoTitleDeleted val="0"/>
    <c:plotArea>
      <c:layout/>
      <c:barChart>
        <c:barDir val="col"/>
        <c:grouping val="clustered"/>
        <c:varyColors val="0"/>
        <c:ser>
          <c:idx val="0"/>
          <c:order val="0"/>
          <c:tx>
            <c:strRef>
              <c:f>'Resubs 5 yrs'!$I$2</c:f>
              <c:strCache>
                <c:ptCount val="1"/>
                <c:pt idx="0">
                  <c:v>WA</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yrs'!$I$4:$I$8</c:f>
              <c:numCache>
                <c:formatCode>0.0</c:formatCode>
                <c:ptCount val="5"/>
                <c:pt idx="0">
                  <c:v>1.1393514460999123</c:v>
                </c:pt>
                <c:pt idx="1">
                  <c:v>1.4814814814814816</c:v>
                </c:pt>
                <c:pt idx="2">
                  <c:v>3.1084656084656084</c:v>
                </c:pt>
                <c:pt idx="3">
                  <c:v>5.8716926422616886</c:v>
                </c:pt>
                <c:pt idx="4">
                  <c:v>5.09020618556701</c:v>
                </c:pt>
              </c:numCache>
            </c:numRef>
          </c:val>
        </c:ser>
        <c:ser>
          <c:idx val="1"/>
          <c:order val="1"/>
          <c:tx>
            <c:strRef>
              <c:f>'Resubs 5 yrs'!$J$2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yrs'!$J$4:$J$8</c:f>
              <c:numCache>
                <c:formatCode>0.0</c:formatCode>
                <c:ptCount val="5"/>
                <c:pt idx="0">
                  <c:v>3.1113058720420685</c:v>
                </c:pt>
                <c:pt idx="1">
                  <c:v>8.1045751633986924</c:v>
                </c:pt>
                <c:pt idx="2">
                  <c:v>12.433862433862434</c:v>
                </c:pt>
                <c:pt idx="3">
                  <c:v>13.410656034795215</c:v>
                </c:pt>
                <c:pt idx="4">
                  <c:v>13.756443298969073</c:v>
                </c:pt>
              </c:numCache>
            </c:numRef>
          </c:val>
        </c:ser>
        <c:dLbls>
          <c:showLegendKey val="0"/>
          <c:showVal val="0"/>
          <c:showCatName val="0"/>
          <c:showSerName val="0"/>
          <c:showPercent val="0"/>
          <c:showBubbleSize val="0"/>
        </c:dLbls>
        <c:gapWidth val="150"/>
        <c:axId val="214500864"/>
        <c:axId val="214502400"/>
      </c:barChart>
      <c:catAx>
        <c:axId val="21450086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502400"/>
        <c:crosses val="autoZero"/>
        <c:auto val="1"/>
        <c:lblAlgn val="ctr"/>
        <c:lblOffset val="100"/>
        <c:noMultiLvlLbl val="0"/>
      </c:catAx>
      <c:valAx>
        <c:axId val="214502400"/>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500864"/>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SA</a:t>
            </a:r>
          </a:p>
        </c:rich>
      </c:tx>
      <c:overlay val="0"/>
    </c:title>
    <c:autoTitleDeleted val="0"/>
    <c:plotArea>
      <c:layout/>
      <c:barChart>
        <c:barDir val="col"/>
        <c:grouping val="clustered"/>
        <c:varyColors val="0"/>
        <c:ser>
          <c:idx val="0"/>
          <c:order val="0"/>
          <c:tx>
            <c:strRef>
              <c:f>'Resubs 5 yrs'!$K$2</c:f>
              <c:strCache>
                <c:ptCount val="1"/>
                <c:pt idx="0">
                  <c:v>SA</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yrs'!$K$4:$K$8</c:f>
              <c:numCache>
                <c:formatCode>0.0</c:formatCode>
                <c:ptCount val="5"/>
                <c:pt idx="0">
                  <c:v>6.4748201438848918</c:v>
                </c:pt>
                <c:pt idx="1">
                  <c:v>11.963882618510159</c:v>
                </c:pt>
                <c:pt idx="2">
                  <c:v>8.2665330661322649</c:v>
                </c:pt>
                <c:pt idx="3">
                  <c:v>8.4865629420084865</c:v>
                </c:pt>
                <c:pt idx="4">
                  <c:v>11.610486891385769</c:v>
                </c:pt>
              </c:numCache>
            </c:numRef>
          </c:val>
        </c:ser>
        <c:ser>
          <c:idx val="1"/>
          <c:order val="1"/>
          <c:tx>
            <c:strRef>
              <c:f>'Resubs 5 yrs'!$L$2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yrs'!$L$4:$L$8</c:f>
              <c:numCache>
                <c:formatCode>0.0</c:formatCode>
                <c:ptCount val="5"/>
                <c:pt idx="0">
                  <c:v>15.767386091127097</c:v>
                </c:pt>
                <c:pt idx="1">
                  <c:v>22.855530474040634</c:v>
                </c:pt>
                <c:pt idx="2">
                  <c:v>18.386773547094187</c:v>
                </c:pt>
                <c:pt idx="3">
                  <c:v>20.226308345120223</c:v>
                </c:pt>
                <c:pt idx="4">
                  <c:v>21.863295880149813</c:v>
                </c:pt>
              </c:numCache>
            </c:numRef>
          </c:val>
        </c:ser>
        <c:dLbls>
          <c:showLegendKey val="0"/>
          <c:showVal val="0"/>
          <c:showCatName val="0"/>
          <c:showSerName val="0"/>
          <c:showPercent val="0"/>
          <c:showBubbleSize val="0"/>
        </c:dLbls>
        <c:gapWidth val="150"/>
        <c:axId val="214536576"/>
        <c:axId val="214538112"/>
      </c:barChart>
      <c:catAx>
        <c:axId val="214536576"/>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538112"/>
        <c:crosses val="autoZero"/>
        <c:auto val="1"/>
        <c:lblAlgn val="ctr"/>
        <c:lblOffset val="100"/>
        <c:noMultiLvlLbl val="0"/>
      </c:catAx>
      <c:valAx>
        <c:axId val="214538112"/>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536576"/>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Tas</a:t>
            </a:r>
          </a:p>
        </c:rich>
      </c:tx>
      <c:overlay val="0"/>
    </c:title>
    <c:autoTitleDeleted val="0"/>
    <c:plotArea>
      <c:layout/>
      <c:barChart>
        <c:barDir val="col"/>
        <c:grouping val="clustered"/>
        <c:varyColors val="0"/>
        <c:ser>
          <c:idx val="0"/>
          <c:order val="0"/>
          <c:tx>
            <c:strRef>
              <c:f>'Resubs 5 yrs'!$M$2</c:f>
              <c:strCache>
                <c:ptCount val="1"/>
                <c:pt idx="0">
                  <c:v>Tas</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yrs'!$M$4:$M$8</c:f>
              <c:numCache>
                <c:formatCode>0.0</c:formatCode>
                <c:ptCount val="5"/>
                <c:pt idx="0">
                  <c:v>8.1053698074974676</c:v>
                </c:pt>
                <c:pt idx="1">
                  <c:v>7.7470355731225293</c:v>
                </c:pt>
                <c:pt idx="2">
                  <c:v>5.4562558795860774</c:v>
                </c:pt>
                <c:pt idx="3">
                  <c:v>7.2302558398220249</c:v>
                </c:pt>
                <c:pt idx="4">
                  <c:v>5.1347881899871632</c:v>
                </c:pt>
              </c:numCache>
            </c:numRef>
          </c:val>
        </c:ser>
        <c:ser>
          <c:idx val="1"/>
          <c:order val="1"/>
          <c:tx>
            <c:strRef>
              <c:f>'Resubs 5 yrs'!$N$2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yrs'!$N$4:$N$8</c:f>
              <c:numCache>
                <c:formatCode>0.0</c:formatCode>
                <c:ptCount val="5"/>
                <c:pt idx="0">
                  <c:v>20.060790273556233</c:v>
                </c:pt>
                <c:pt idx="1">
                  <c:v>18.57707509881423</c:v>
                </c:pt>
                <c:pt idx="2">
                  <c:v>17.68579492003763</c:v>
                </c:pt>
                <c:pt idx="3">
                  <c:v>21.579532814238043</c:v>
                </c:pt>
                <c:pt idx="4">
                  <c:v>18.485237483953789</c:v>
                </c:pt>
              </c:numCache>
            </c:numRef>
          </c:val>
        </c:ser>
        <c:dLbls>
          <c:showLegendKey val="0"/>
          <c:showVal val="0"/>
          <c:showCatName val="0"/>
          <c:showSerName val="0"/>
          <c:showPercent val="0"/>
          <c:showBubbleSize val="0"/>
        </c:dLbls>
        <c:gapWidth val="150"/>
        <c:axId val="214727680"/>
        <c:axId val="214729472"/>
      </c:barChart>
      <c:catAx>
        <c:axId val="214727680"/>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729472"/>
        <c:crosses val="autoZero"/>
        <c:auto val="1"/>
        <c:lblAlgn val="ctr"/>
        <c:lblOffset val="100"/>
        <c:noMultiLvlLbl val="0"/>
      </c:catAx>
      <c:valAx>
        <c:axId val="214729472"/>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727680"/>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NSW</a:t>
            </a:r>
          </a:p>
        </c:rich>
      </c:tx>
      <c:overlay val="0"/>
    </c:title>
    <c:autoTitleDeleted val="0"/>
    <c:plotArea>
      <c:layout>
        <c:manualLayout>
          <c:layoutTarget val="inner"/>
          <c:xMode val="edge"/>
          <c:yMode val="edge"/>
          <c:x val="0.15823185185185185"/>
          <c:y val="0.21781485394399241"/>
          <c:w val="0.79333259259259259"/>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rate'!$C$3:$C$7</c:f>
              <c:numCache>
                <c:formatCode>0.0</c:formatCode>
                <c:ptCount val="5"/>
                <c:pt idx="0">
                  <c:v>35.316013369796408</c:v>
                </c:pt>
                <c:pt idx="1">
                  <c:v>46.757727382777823</c:v>
                </c:pt>
                <c:pt idx="2">
                  <c:v>51.153135652935688</c:v>
                </c:pt>
                <c:pt idx="3">
                  <c:v>40.717270086824165</c:v>
                </c:pt>
                <c:pt idx="4">
                  <c:v>35.80390775317742</c:v>
                </c:pt>
              </c:numCache>
            </c:numRef>
          </c:val>
        </c:ser>
        <c:dLbls>
          <c:showLegendKey val="0"/>
          <c:showVal val="0"/>
          <c:showCatName val="0"/>
          <c:showSerName val="0"/>
          <c:showPercent val="0"/>
          <c:showBubbleSize val="0"/>
        </c:dLbls>
        <c:gapWidth val="150"/>
        <c:axId val="203892224"/>
        <c:axId val="203893760"/>
      </c:barChart>
      <c:catAx>
        <c:axId val="20389222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3893760"/>
        <c:crosses val="autoZero"/>
        <c:auto val="1"/>
        <c:lblAlgn val="ctr"/>
        <c:lblOffset val="100"/>
        <c:noMultiLvlLbl val="0"/>
      </c:catAx>
      <c:valAx>
        <c:axId val="203893760"/>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389222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ACT</a:t>
            </a:r>
          </a:p>
        </c:rich>
      </c:tx>
      <c:overlay val="0"/>
    </c:title>
    <c:autoTitleDeleted val="0"/>
    <c:plotArea>
      <c:layout/>
      <c:barChart>
        <c:barDir val="col"/>
        <c:grouping val="clustered"/>
        <c:varyColors val="0"/>
        <c:ser>
          <c:idx val="0"/>
          <c:order val="0"/>
          <c:tx>
            <c:strRef>
              <c:f>'Resubs 5 yrs'!$O$2</c:f>
              <c:strCache>
                <c:ptCount val="1"/>
                <c:pt idx="0">
                  <c:v>ACT</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yrs'!$O$4:$O$8</c:f>
              <c:numCache>
                <c:formatCode>0.0</c:formatCode>
                <c:ptCount val="5"/>
                <c:pt idx="0">
                  <c:v>11.858407079646017</c:v>
                </c:pt>
                <c:pt idx="1">
                  <c:v>11.839323467230443</c:v>
                </c:pt>
                <c:pt idx="2">
                  <c:v>16.515426497277677</c:v>
                </c:pt>
                <c:pt idx="3">
                  <c:v>16.835699797160245</c:v>
                </c:pt>
                <c:pt idx="4">
                  <c:v>8.1521739130434785</c:v>
                </c:pt>
              </c:numCache>
            </c:numRef>
          </c:val>
        </c:ser>
        <c:ser>
          <c:idx val="1"/>
          <c:order val="1"/>
          <c:tx>
            <c:strRef>
              <c:f>'Resubs 5 yrs'!$P$2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yrs'!$P$4:$P$8</c:f>
              <c:numCache>
                <c:formatCode>0.0</c:formatCode>
                <c:ptCount val="5"/>
                <c:pt idx="0">
                  <c:v>25.13274336283186</c:v>
                </c:pt>
                <c:pt idx="1">
                  <c:v>31.923890063424949</c:v>
                </c:pt>
                <c:pt idx="2">
                  <c:v>33.756805807622506</c:v>
                </c:pt>
                <c:pt idx="3">
                  <c:v>28.397565922920894</c:v>
                </c:pt>
                <c:pt idx="4">
                  <c:v>17.391304347826086</c:v>
                </c:pt>
              </c:numCache>
            </c:numRef>
          </c:val>
        </c:ser>
        <c:dLbls>
          <c:showLegendKey val="0"/>
          <c:showVal val="0"/>
          <c:showCatName val="0"/>
          <c:showSerName val="0"/>
          <c:showPercent val="0"/>
          <c:showBubbleSize val="0"/>
        </c:dLbls>
        <c:gapWidth val="150"/>
        <c:axId val="214751104"/>
        <c:axId val="214752640"/>
      </c:barChart>
      <c:catAx>
        <c:axId val="21475110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752640"/>
        <c:crosses val="autoZero"/>
        <c:auto val="1"/>
        <c:lblAlgn val="ctr"/>
        <c:lblOffset val="100"/>
        <c:noMultiLvlLbl val="0"/>
      </c:catAx>
      <c:valAx>
        <c:axId val="214752640"/>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751104"/>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NT</a:t>
            </a:r>
          </a:p>
        </c:rich>
      </c:tx>
      <c:overlay val="0"/>
    </c:title>
    <c:autoTitleDeleted val="0"/>
    <c:plotArea>
      <c:layout/>
      <c:barChart>
        <c:barDir val="col"/>
        <c:grouping val="clustered"/>
        <c:varyColors val="0"/>
        <c:ser>
          <c:idx val="0"/>
          <c:order val="0"/>
          <c:tx>
            <c:strRef>
              <c:f>'Resubs 5 yrs'!$Q$2</c:f>
              <c:strCache>
                <c:ptCount val="1"/>
                <c:pt idx="0">
                  <c:v>NT</c:v>
                </c:pt>
              </c:strCache>
            </c:strRef>
          </c:tx>
          <c:spPr>
            <a:solidFill>
              <a:srgbClr val="265A9A"/>
            </a:solidFill>
            <a:ln>
              <a:solidFill>
                <a:srgbClr val="265A9A"/>
              </a:solidFill>
            </a:ln>
          </c:spPr>
          <c:invertIfNegative val="0"/>
          <c:cat>
            <c:strRef>
              <c:f>'Resubs 5 yrs'!$B$4:$B$8</c:f>
              <c:strCache>
                <c:ptCount val="5"/>
                <c:pt idx="0">
                  <c:v>2009-10</c:v>
                </c:pt>
                <c:pt idx="1">
                  <c:v>2010-11</c:v>
                </c:pt>
                <c:pt idx="2">
                  <c:v>2011-12</c:v>
                </c:pt>
                <c:pt idx="3">
                  <c:v>2012-13</c:v>
                </c:pt>
                <c:pt idx="4">
                  <c:v>2013-14</c:v>
                </c:pt>
              </c:strCache>
            </c:strRef>
          </c:cat>
          <c:val>
            <c:numRef>
              <c:f>'Resubs 5 yrs'!$Q$4:$Q$8</c:f>
              <c:numCache>
                <c:formatCode>0.0</c:formatCode>
                <c:ptCount val="5"/>
                <c:pt idx="0">
                  <c:v>8.8652482269503547</c:v>
                </c:pt>
                <c:pt idx="1">
                  <c:v>7.5651621106166562</c:v>
                </c:pt>
                <c:pt idx="2">
                  <c:v>6.4353312302839107</c:v>
                </c:pt>
                <c:pt idx="3">
                  <c:v>6.2001771479185122</c:v>
                </c:pt>
                <c:pt idx="4">
                  <c:v>8.1632653061224492</c:v>
                </c:pt>
              </c:numCache>
            </c:numRef>
          </c:val>
        </c:ser>
        <c:ser>
          <c:idx val="1"/>
          <c:order val="1"/>
          <c:tx>
            <c:strRef>
              <c:f>'Resubs 5 yrs'!$R$2</c:f>
              <c:strCache>
                <c:ptCount val="1"/>
              </c:strCache>
            </c:strRef>
          </c:tx>
          <c:spPr>
            <a:solidFill>
              <a:srgbClr val="78A22F"/>
            </a:solidFill>
            <a:ln>
              <a:solidFill>
                <a:srgbClr val="78A22F"/>
              </a:solidFill>
            </a:ln>
          </c:spPr>
          <c:invertIfNegative val="0"/>
          <c:cat>
            <c:strRef>
              <c:f>'Resubs 5 yrs'!$B$4:$B$8</c:f>
              <c:strCache>
                <c:ptCount val="5"/>
                <c:pt idx="0">
                  <c:v>2009-10</c:v>
                </c:pt>
                <c:pt idx="1">
                  <c:v>2010-11</c:v>
                </c:pt>
                <c:pt idx="2">
                  <c:v>2011-12</c:v>
                </c:pt>
                <c:pt idx="3">
                  <c:v>2012-13</c:v>
                </c:pt>
                <c:pt idx="4">
                  <c:v>2013-14</c:v>
                </c:pt>
              </c:strCache>
            </c:strRef>
          </c:cat>
          <c:val>
            <c:numRef>
              <c:f>'Resubs 5 yrs'!$R$4:$R$8</c:f>
              <c:numCache>
                <c:formatCode>0.0</c:formatCode>
                <c:ptCount val="5"/>
                <c:pt idx="0">
                  <c:v>21.187943262411345</c:v>
                </c:pt>
                <c:pt idx="1">
                  <c:v>20.470438652256835</c:v>
                </c:pt>
                <c:pt idx="2">
                  <c:v>18.359621451104104</c:v>
                </c:pt>
                <c:pt idx="3">
                  <c:v>20.460584588131088</c:v>
                </c:pt>
                <c:pt idx="4">
                  <c:v>22.448979591836736</c:v>
                </c:pt>
              </c:numCache>
            </c:numRef>
          </c:val>
        </c:ser>
        <c:dLbls>
          <c:showLegendKey val="0"/>
          <c:showVal val="0"/>
          <c:showCatName val="0"/>
          <c:showSerName val="0"/>
          <c:showPercent val="0"/>
          <c:showBubbleSize val="0"/>
        </c:dLbls>
        <c:gapWidth val="150"/>
        <c:axId val="214668032"/>
        <c:axId val="214669568"/>
      </c:barChart>
      <c:catAx>
        <c:axId val="214668032"/>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14669568"/>
        <c:crosses val="autoZero"/>
        <c:auto val="1"/>
        <c:lblAlgn val="ctr"/>
        <c:lblOffset val="100"/>
        <c:noMultiLvlLbl val="0"/>
      </c:catAx>
      <c:valAx>
        <c:axId val="214669568"/>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800">
                    <a:latin typeface="arial"/>
                    <a:ea typeface="arial"/>
                    <a:cs typeface="arial"/>
                  </a:defRPr>
                </a:pPr>
                <a:r>
                  <a:rPr lang="en-AU" sz="800"/>
                  <a:t>Per cent</a:t>
                </a:r>
              </a:p>
            </c:rich>
          </c:tx>
          <c:overlay val="0"/>
        </c:title>
        <c:numFmt formatCode="0" sourceLinked="0"/>
        <c:majorTickMark val="out"/>
        <c:minorTickMark val="none"/>
        <c:tickLblPos val="nextTo"/>
        <c:spPr>
          <a:ln>
            <a:solidFill>
              <a:srgbClr val="BFBFBF"/>
            </a:solidFill>
          </a:ln>
        </c:spPr>
        <c:txPr>
          <a:bodyPr/>
          <a:lstStyle/>
          <a:p>
            <a:pPr>
              <a:defRPr sz="800" b="0" i="0">
                <a:latin typeface="Arial"/>
                <a:ea typeface="Arial"/>
                <a:cs typeface="Arial"/>
              </a:defRPr>
            </a:pPr>
            <a:endParaRPr lang="en-US"/>
          </a:p>
        </c:txPr>
        <c:crossAx val="214668032"/>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451851851851905E-3"/>
          <c:y val="0.15020937500000001"/>
          <c:w val="0.96588444444444443"/>
          <c:h val="0.79450729166666667"/>
        </c:manualLayout>
      </c:layout>
      <c:barChart>
        <c:barDir val="col"/>
        <c:grouping val="clustered"/>
        <c:varyColors val="0"/>
        <c:ser>
          <c:idx val="0"/>
          <c:order val="0"/>
          <c:tx>
            <c:v>3 months</c:v>
          </c:tx>
          <c:spPr>
            <a:solidFill>
              <a:srgbClr val="265A9A"/>
            </a:solidFill>
            <a:ln>
              <a:solidFill>
                <a:srgbClr val="000000"/>
              </a:solidFill>
            </a:ln>
          </c:spPr>
          <c:invertIfNegative val="0"/>
          <c:val>
            <c:numLit>
              <c:formatCode>General</c:formatCode>
              <c:ptCount val="5"/>
            </c:numLit>
          </c:val>
        </c:ser>
        <c:ser>
          <c:idx val="1"/>
          <c:order val="1"/>
          <c:tx>
            <c:v>12 months</c:v>
          </c:tx>
          <c:spPr>
            <a:solidFill>
              <a:srgbClr val="78A22F"/>
            </a:solidFill>
            <a:ln>
              <a:solidFill>
                <a:sysClr val="windowText" lastClr="000000"/>
              </a:solidFill>
            </a:ln>
          </c:spPr>
          <c:invertIfNegative val="0"/>
          <c:val>
            <c:numLit>
              <c:formatCode>General</c:formatCode>
              <c:ptCount val="5"/>
            </c:numLit>
          </c:val>
        </c:ser>
        <c:dLbls>
          <c:showLegendKey val="0"/>
          <c:showVal val="0"/>
          <c:showCatName val="0"/>
          <c:showSerName val="0"/>
          <c:showPercent val="0"/>
          <c:showBubbleSize val="0"/>
        </c:dLbls>
        <c:gapWidth val="150"/>
        <c:axId val="214819584"/>
        <c:axId val="214821120"/>
      </c:barChart>
      <c:catAx>
        <c:axId val="214819584"/>
        <c:scaling>
          <c:orientation val="minMax"/>
        </c:scaling>
        <c:delete val="1"/>
        <c:axPos val="b"/>
        <c:numFmt formatCode="General" sourceLinked="1"/>
        <c:majorTickMark val="out"/>
        <c:minorTickMark val="none"/>
        <c:tickLblPos val="nextTo"/>
        <c:crossAx val="214821120"/>
        <c:crosses val="autoZero"/>
        <c:auto val="1"/>
        <c:lblAlgn val="ctr"/>
        <c:lblOffset val="100"/>
        <c:noMultiLvlLbl val="0"/>
      </c:catAx>
      <c:valAx>
        <c:axId val="214821120"/>
        <c:scaling>
          <c:orientation val="minMax"/>
        </c:scaling>
        <c:delete val="1"/>
        <c:axPos val="l"/>
        <c:numFmt formatCode="General" sourceLinked="1"/>
        <c:majorTickMark val="out"/>
        <c:minorTickMark val="none"/>
        <c:tickLblPos val="nextTo"/>
        <c:crossAx val="214819584"/>
        <c:crosses val="autoZero"/>
        <c:crossBetween val="between"/>
      </c:valAx>
      <c:spPr>
        <a:noFill/>
        <a:ln w="25400">
          <a:noFill/>
        </a:ln>
      </c:spPr>
    </c:plotArea>
    <c:legend>
      <c:legendPos val="t"/>
      <c:layout>
        <c:manualLayout>
          <c:xMode val="edge"/>
          <c:yMode val="edge"/>
          <c:x val="0.31167555555555554"/>
          <c:y val="0.19239248940036341"/>
          <c:w val="0.38135259259259258"/>
          <c:h val="0.6019527777777777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Vic</a:t>
            </a:r>
          </a:p>
        </c:rich>
      </c:tx>
      <c:overlay val="0"/>
    </c:title>
    <c:autoTitleDeleted val="0"/>
    <c:plotArea>
      <c:layout>
        <c:manualLayout>
          <c:layoutTarget val="inner"/>
          <c:xMode val="edge"/>
          <c:yMode val="edge"/>
          <c:x val="0.14882444444444445"/>
          <c:y val="0.21781485394399241"/>
          <c:w val="0.80274000000000001"/>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rate'!$D$3:$D$7</c:f>
              <c:numCache>
                <c:formatCode>0.0</c:formatCode>
                <c:ptCount val="5"/>
                <c:pt idx="0">
                  <c:v>58.887433546498194</c:v>
                </c:pt>
                <c:pt idx="1">
                  <c:v>60.21897810218978</c:v>
                </c:pt>
                <c:pt idx="2">
                  <c:v>58.294738016851745</c:v>
                </c:pt>
                <c:pt idx="3">
                  <c:v>59.75701214939253</c:v>
                </c:pt>
                <c:pt idx="4">
                  <c:v>58.883651078386379</c:v>
                </c:pt>
              </c:numCache>
            </c:numRef>
          </c:val>
        </c:ser>
        <c:dLbls>
          <c:showLegendKey val="0"/>
          <c:showVal val="0"/>
          <c:showCatName val="0"/>
          <c:showSerName val="0"/>
          <c:showPercent val="0"/>
          <c:showBubbleSize val="0"/>
        </c:dLbls>
        <c:gapWidth val="150"/>
        <c:axId val="203914624"/>
        <c:axId val="203936896"/>
      </c:barChart>
      <c:catAx>
        <c:axId val="20391462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3936896"/>
        <c:crosses val="autoZero"/>
        <c:auto val="1"/>
        <c:lblAlgn val="ctr"/>
        <c:lblOffset val="100"/>
        <c:noMultiLvlLbl val="0"/>
      </c:catAx>
      <c:valAx>
        <c:axId val="20393689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391462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Qld</a:t>
            </a:r>
          </a:p>
        </c:rich>
      </c:tx>
      <c:overlay val="0"/>
    </c:title>
    <c:autoTitleDeleted val="0"/>
    <c:plotArea>
      <c:layout>
        <c:manualLayout>
          <c:layoutTarget val="inner"/>
          <c:xMode val="edge"/>
          <c:yMode val="edge"/>
          <c:x val="0.16293555555555556"/>
          <c:y val="0.21781485394399241"/>
          <c:w val="0.78862888888888893"/>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rate'!$E$3:$E$7</c:f>
              <c:numCache>
                <c:formatCode>0.0</c:formatCode>
                <c:ptCount val="5"/>
                <c:pt idx="0">
                  <c:v>38.750220238444818</c:v>
                </c:pt>
                <c:pt idx="1">
                  <c:v>34.877173863687958</c:v>
                </c:pt>
                <c:pt idx="2">
                  <c:v>36.600743899120019</c:v>
                </c:pt>
                <c:pt idx="3">
                  <c:v>36.098654708520179</c:v>
                </c:pt>
                <c:pt idx="4">
                  <c:v>33.456379328272853</c:v>
                </c:pt>
              </c:numCache>
            </c:numRef>
          </c:val>
        </c:ser>
        <c:dLbls>
          <c:showLegendKey val="0"/>
          <c:showVal val="0"/>
          <c:showCatName val="0"/>
          <c:showSerName val="0"/>
          <c:showPercent val="0"/>
          <c:showBubbleSize val="0"/>
        </c:dLbls>
        <c:gapWidth val="150"/>
        <c:axId val="203958144"/>
        <c:axId val="203959680"/>
      </c:barChart>
      <c:catAx>
        <c:axId val="20395814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3959680"/>
        <c:crosses val="autoZero"/>
        <c:auto val="1"/>
        <c:lblAlgn val="ctr"/>
        <c:lblOffset val="100"/>
        <c:noMultiLvlLbl val="0"/>
      </c:catAx>
      <c:valAx>
        <c:axId val="203959680"/>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395814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WA</a:t>
            </a:r>
          </a:p>
        </c:rich>
      </c:tx>
      <c:overlay val="0"/>
    </c:title>
    <c:autoTitleDeleted val="0"/>
    <c:plotArea>
      <c:layout>
        <c:manualLayout>
          <c:layoutTarget val="inner"/>
          <c:xMode val="edge"/>
          <c:yMode val="edge"/>
          <c:x val="0.15823185185185185"/>
          <c:y val="0.21781485394399241"/>
          <c:w val="0.79333259259259259"/>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rate'!$F$3:$F$7</c:f>
              <c:numCache>
                <c:formatCode>0.0</c:formatCode>
                <c:ptCount val="5"/>
                <c:pt idx="0">
                  <c:v>32.537109708240912</c:v>
                </c:pt>
                <c:pt idx="1">
                  <c:v>31.42369020501139</c:v>
                </c:pt>
                <c:pt idx="2">
                  <c:v>31.097885003719846</c:v>
                </c:pt>
                <c:pt idx="3">
                  <c:v>30.077333824341739</c:v>
                </c:pt>
                <c:pt idx="4">
                  <c:v>32.716272349647824</c:v>
                </c:pt>
              </c:numCache>
            </c:numRef>
          </c:val>
        </c:ser>
        <c:dLbls>
          <c:showLegendKey val="0"/>
          <c:showVal val="0"/>
          <c:showCatName val="0"/>
          <c:showSerName val="0"/>
          <c:showPercent val="0"/>
          <c:showBubbleSize val="0"/>
        </c:dLbls>
        <c:gapWidth val="150"/>
        <c:axId val="204005376"/>
        <c:axId val="204006912"/>
      </c:barChart>
      <c:catAx>
        <c:axId val="204005376"/>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4006912"/>
        <c:crosses val="autoZero"/>
        <c:auto val="1"/>
        <c:lblAlgn val="ctr"/>
        <c:lblOffset val="100"/>
        <c:noMultiLvlLbl val="0"/>
      </c:catAx>
      <c:valAx>
        <c:axId val="20400691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4005376"/>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SA</a:t>
            </a:r>
          </a:p>
        </c:rich>
      </c:tx>
      <c:overlay val="0"/>
    </c:title>
    <c:autoTitleDeleted val="0"/>
    <c:plotArea>
      <c:layout>
        <c:manualLayout>
          <c:layoutTarget val="inner"/>
          <c:xMode val="edge"/>
          <c:yMode val="edge"/>
          <c:x val="0.16763925925925927"/>
          <c:y val="0.21781485394399241"/>
          <c:w val="0.78392518518518517"/>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rate'!$G$3:$G$7</c:f>
              <c:numCache>
                <c:formatCode>0.0</c:formatCode>
                <c:ptCount val="5"/>
                <c:pt idx="0">
                  <c:v>48.323900740095773</c:v>
                </c:pt>
                <c:pt idx="1">
                  <c:v>50.448113207547173</c:v>
                </c:pt>
                <c:pt idx="2">
                  <c:v>47.742906276870158</c:v>
                </c:pt>
                <c:pt idx="3">
                  <c:v>46.73040805873314</c:v>
                </c:pt>
                <c:pt idx="4">
                  <c:v>49.271690943635207</c:v>
                </c:pt>
              </c:numCache>
            </c:numRef>
          </c:val>
        </c:ser>
        <c:dLbls>
          <c:showLegendKey val="0"/>
          <c:showVal val="0"/>
          <c:showCatName val="0"/>
          <c:showSerName val="0"/>
          <c:showPercent val="0"/>
          <c:showBubbleSize val="0"/>
        </c:dLbls>
        <c:gapWidth val="150"/>
        <c:axId val="204089216"/>
        <c:axId val="204090752"/>
      </c:barChart>
      <c:catAx>
        <c:axId val="204089216"/>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4090752"/>
        <c:crosses val="autoZero"/>
        <c:auto val="1"/>
        <c:lblAlgn val="ctr"/>
        <c:lblOffset val="100"/>
        <c:noMultiLvlLbl val="0"/>
      </c:catAx>
      <c:valAx>
        <c:axId val="20409075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4089216"/>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Tas</a:t>
            </a:r>
          </a:p>
        </c:rich>
      </c:tx>
      <c:overlay val="0"/>
    </c:title>
    <c:autoTitleDeleted val="0"/>
    <c:plotArea>
      <c:layout>
        <c:manualLayout>
          <c:layoutTarget val="inner"/>
          <c:xMode val="edge"/>
          <c:yMode val="edge"/>
          <c:x val="0.16293555555555556"/>
          <c:y val="0.21781485394399241"/>
          <c:w val="0.78862888888888893"/>
          <c:h val="0.62170190579421825"/>
        </c:manualLayout>
      </c:layout>
      <c:barChart>
        <c:barDir val="col"/>
        <c:grouping val="clustered"/>
        <c:varyColors val="0"/>
        <c:ser>
          <c:idx val="0"/>
          <c:order val="0"/>
          <c:tx>
            <c:strRef>
              <c:f>'Substantiation rate'!#REF!</c:f>
              <c:strCache>
                <c:ptCount val="1"/>
                <c:pt idx="0">
                  <c:v>#REF!</c:v>
                </c:pt>
              </c:strCache>
            </c:strRef>
          </c:tx>
          <c:spPr>
            <a:solidFill>
              <a:srgbClr val="78A22F"/>
            </a:solidFill>
            <a:ln>
              <a:solidFill>
                <a:srgbClr val="78A22F"/>
              </a:solidFill>
            </a:ln>
          </c:spPr>
          <c:invertIfNegative val="0"/>
          <c:cat>
            <c:strRef>
              <c:f>'Substantiation rate'!$B$3:$B$7</c:f>
              <c:strCache>
                <c:ptCount val="5"/>
                <c:pt idx="0">
                  <c:v>2010-11</c:v>
                </c:pt>
                <c:pt idx="1">
                  <c:v>2011-12</c:v>
                </c:pt>
                <c:pt idx="2">
                  <c:v>2012-13</c:v>
                </c:pt>
                <c:pt idx="3">
                  <c:v>2013-14</c:v>
                </c:pt>
                <c:pt idx="4">
                  <c:v>2014-15</c:v>
                </c:pt>
              </c:strCache>
            </c:strRef>
          </c:cat>
          <c:val>
            <c:numRef>
              <c:f>'Substantiation rate'!$H$3:$H$7</c:f>
              <c:numCache>
                <c:formatCode>0.0</c:formatCode>
                <c:ptCount val="5"/>
                <c:pt idx="0">
                  <c:v>64.270724029380901</c:v>
                </c:pt>
                <c:pt idx="1">
                  <c:v>68.333333333333329</c:v>
                </c:pt>
                <c:pt idx="2">
                  <c:v>58.211473565804269</c:v>
                </c:pt>
                <c:pt idx="3">
                  <c:v>60.876369327073554</c:v>
                </c:pt>
                <c:pt idx="4">
                  <c:v>69.378357636224095</c:v>
                </c:pt>
              </c:numCache>
            </c:numRef>
          </c:val>
        </c:ser>
        <c:dLbls>
          <c:showLegendKey val="0"/>
          <c:showVal val="0"/>
          <c:showCatName val="0"/>
          <c:showSerName val="0"/>
          <c:showPercent val="0"/>
          <c:showBubbleSize val="0"/>
        </c:dLbls>
        <c:gapWidth val="150"/>
        <c:axId val="204139904"/>
        <c:axId val="204166272"/>
      </c:barChart>
      <c:catAx>
        <c:axId val="204139904"/>
        <c:scaling>
          <c:orientation val="minMax"/>
        </c:scaling>
        <c:delete val="0"/>
        <c:axPos val="b"/>
        <c:numFmt formatCode="General" sourceLinked="1"/>
        <c:majorTickMark val="none"/>
        <c:minorTickMark val="none"/>
        <c:tickLblPos val="nextTo"/>
        <c:spPr>
          <a:ln>
            <a:solidFill>
              <a:srgbClr val="BFBFBF"/>
            </a:solidFill>
          </a:ln>
        </c:spPr>
        <c:txPr>
          <a:bodyPr/>
          <a:lstStyle/>
          <a:p>
            <a:pPr>
              <a:defRPr sz="800" b="0" i="0">
                <a:latin typeface="Arial"/>
                <a:ea typeface="Arial"/>
                <a:cs typeface="Arial"/>
              </a:defRPr>
            </a:pPr>
            <a:endParaRPr lang="en-US"/>
          </a:p>
        </c:txPr>
        <c:crossAx val="204166272"/>
        <c:crosses val="autoZero"/>
        <c:auto val="1"/>
        <c:lblAlgn val="ctr"/>
        <c:lblOffset val="100"/>
        <c:noMultiLvlLbl val="0"/>
      </c:catAx>
      <c:valAx>
        <c:axId val="20416627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a:p>
                <a:pPr>
                  <a:defRPr sz="900">
                    <a:latin typeface="arial"/>
                    <a:ea typeface="arial"/>
                    <a:cs typeface="arial"/>
                  </a:defRPr>
                </a:pPr>
                <a:endParaRPr lang="en-AU"/>
              </a:p>
            </c:rich>
          </c:tx>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0413990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2546B-FE3A-49F2-9A5F-B15F2F581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650</TotalTime>
  <Pages>52</Pages>
  <Words>15550</Words>
  <Characters>88992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Chapter 15 Child protection - Report on Government Services 2016</vt:lpstr>
    </vt:vector>
  </TitlesOfParts>
  <Company>Productivity Commission</Company>
  <LinksUpToDate>false</LinksUpToDate>
  <CharactersWithSpaces>104334</CharactersWithSpaces>
  <SharedDoc>false</SharedDoc>
  <HLinks>
    <vt:vector size="228" baseType="variant">
      <vt:variant>
        <vt:i4>852029</vt:i4>
      </vt:variant>
      <vt:variant>
        <vt:i4>762</vt:i4>
      </vt:variant>
      <vt:variant>
        <vt:i4>0</vt:i4>
      </vt:variant>
      <vt:variant>
        <vt:i4>5</vt:i4>
      </vt:variant>
      <vt:variant>
        <vt:lpwstr>http://www.coag.gov.au/coag_meeting outcomes/2008-07-03/docs/communique20080703.pdf</vt:lpwstr>
      </vt:variant>
      <vt:variant>
        <vt:lpwstr/>
      </vt:variant>
      <vt:variant>
        <vt:i4>7405688</vt:i4>
      </vt:variant>
      <vt:variant>
        <vt:i4>759</vt:i4>
      </vt:variant>
      <vt:variant>
        <vt:i4>0</vt:i4>
      </vt:variant>
      <vt:variant>
        <vt:i4>5</vt:i4>
      </vt:variant>
      <vt:variant>
        <vt:lpwstr>Final Report 2012 Attach15A - 10 JJ.xls</vt:lpwstr>
      </vt:variant>
      <vt:variant>
        <vt:lpwstr>'Table 15A.189'!A1#'Table 15A.189'!A1</vt:lpwstr>
      </vt:variant>
      <vt:variant>
        <vt:i4>7340153</vt:i4>
      </vt:variant>
      <vt:variant>
        <vt:i4>756</vt:i4>
      </vt:variant>
      <vt:variant>
        <vt:i4>0</vt:i4>
      </vt:variant>
      <vt:variant>
        <vt:i4>5</vt:i4>
      </vt:variant>
      <vt:variant>
        <vt:lpwstr>Final Report 2012 Attach15A - 10 JJ.xls</vt:lpwstr>
      </vt:variant>
      <vt:variant>
        <vt:lpwstr>'Table 15A.188'!A1#'Table 15A.188'!A1</vt:lpwstr>
      </vt:variant>
      <vt:variant>
        <vt:i4>8323190</vt:i4>
      </vt:variant>
      <vt:variant>
        <vt:i4>753</vt:i4>
      </vt:variant>
      <vt:variant>
        <vt:i4>0</vt:i4>
      </vt:variant>
      <vt:variant>
        <vt:i4>5</vt:i4>
      </vt:variant>
      <vt:variant>
        <vt:lpwstr>Final Report 2012 Attach15A - 10 JJ.xls</vt:lpwstr>
      </vt:variant>
      <vt:variant>
        <vt:lpwstr>'Table 15A.187'!A1#'Table 15A.187'!A1</vt:lpwstr>
      </vt:variant>
      <vt:variant>
        <vt:i4>8257655</vt:i4>
      </vt:variant>
      <vt:variant>
        <vt:i4>750</vt:i4>
      </vt:variant>
      <vt:variant>
        <vt:i4>0</vt:i4>
      </vt:variant>
      <vt:variant>
        <vt:i4>5</vt:i4>
      </vt:variant>
      <vt:variant>
        <vt:lpwstr>Final Report 2012 Attach15A - 10 JJ.xls</vt:lpwstr>
      </vt:variant>
      <vt:variant>
        <vt:lpwstr>'Table 15A.186'!A1#'Table 15A.186'!A1</vt:lpwstr>
      </vt:variant>
      <vt:variant>
        <vt:i4>8192116</vt:i4>
      </vt:variant>
      <vt:variant>
        <vt:i4>747</vt:i4>
      </vt:variant>
      <vt:variant>
        <vt:i4>0</vt:i4>
      </vt:variant>
      <vt:variant>
        <vt:i4>5</vt:i4>
      </vt:variant>
      <vt:variant>
        <vt:lpwstr>Final Report 2012 Attach15A - 10 JJ.xls</vt:lpwstr>
      </vt:variant>
      <vt:variant>
        <vt:lpwstr>'Table 15A.185'!A1#'Table 15A.185'!A1</vt:lpwstr>
      </vt:variant>
      <vt:variant>
        <vt:i4>8126581</vt:i4>
      </vt:variant>
      <vt:variant>
        <vt:i4>744</vt:i4>
      </vt:variant>
      <vt:variant>
        <vt:i4>0</vt:i4>
      </vt:variant>
      <vt:variant>
        <vt:i4>5</vt:i4>
      </vt:variant>
      <vt:variant>
        <vt:lpwstr>Final Report 2012 Attach15A - 10 JJ.xls</vt:lpwstr>
      </vt:variant>
      <vt:variant>
        <vt:lpwstr>'Table 15A.184'!A1#'Table 15A.184'!A1</vt:lpwstr>
      </vt:variant>
      <vt:variant>
        <vt:i4>8061042</vt:i4>
      </vt:variant>
      <vt:variant>
        <vt:i4>741</vt:i4>
      </vt:variant>
      <vt:variant>
        <vt:i4>0</vt:i4>
      </vt:variant>
      <vt:variant>
        <vt:i4>5</vt:i4>
      </vt:variant>
      <vt:variant>
        <vt:lpwstr>Final Report 2012 Attach15A - 10 JJ.xls</vt:lpwstr>
      </vt:variant>
      <vt:variant>
        <vt:lpwstr>'Table 15A.183'!A1#'Table 15A.183'!A1</vt:lpwstr>
      </vt:variant>
      <vt:variant>
        <vt:i4>7995507</vt:i4>
      </vt:variant>
      <vt:variant>
        <vt:i4>738</vt:i4>
      </vt:variant>
      <vt:variant>
        <vt:i4>0</vt:i4>
      </vt:variant>
      <vt:variant>
        <vt:i4>5</vt:i4>
      </vt:variant>
      <vt:variant>
        <vt:lpwstr>Final Report 2012 Attach15A - 10 JJ.xls</vt:lpwstr>
      </vt:variant>
      <vt:variant>
        <vt:lpwstr>'Table 15A.182'!A1#'Table 15A.182'!A1</vt:lpwstr>
      </vt:variant>
      <vt:variant>
        <vt:i4>7929968</vt:i4>
      </vt:variant>
      <vt:variant>
        <vt:i4>735</vt:i4>
      </vt:variant>
      <vt:variant>
        <vt:i4>0</vt:i4>
      </vt:variant>
      <vt:variant>
        <vt:i4>5</vt:i4>
      </vt:variant>
      <vt:variant>
        <vt:lpwstr>Final Report 2012 Attach15A - 10 JJ.xls</vt:lpwstr>
      </vt:variant>
      <vt:variant>
        <vt:lpwstr>'Table 15A.181'!A1#'Table 15A.181'!A1</vt:lpwstr>
      </vt:variant>
      <vt:variant>
        <vt:i4>7864433</vt:i4>
      </vt:variant>
      <vt:variant>
        <vt:i4>732</vt:i4>
      </vt:variant>
      <vt:variant>
        <vt:i4>0</vt:i4>
      </vt:variant>
      <vt:variant>
        <vt:i4>5</vt:i4>
      </vt:variant>
      <vt:variant>
        <vt:lpwstr>Final Report 2012 Attach15A - 10 JJ.xls</vt:lpwstr>
      </vt:variant>
      <vt:variant>
        <vt:lpwstr>'Table 15A.180'!A1#'Table 15A.180'!A1</vt:lpwstr>
      </vt:variant>
      <vt:variant>
        <vt:i4>8257655</vt:i4>
      </vt:variant>
      <vt:variant>
        <vt:i4>729</vt:i4>
      </vt:variant>
      <vt:variant>
        <vt:i4>0</vt:i4>
      </vt:variant>
      <vt:variant>
        <vt:i4>5</vt:i4>
      </vt:variant>
      <vt:variant>
        <vt:lpwstr>Final Report 2012 Attach15A - 10 JJ.xls</vt:lpwstr>
      </vt:variant>
      <vt:variant>
        <vt:lpwstr>'Table 15A.179'!A1#'Table 15A.179'!A1</vt:lpwstr>
      </vt:variant>
      <vt:variant>
        <vt:i4>8323190</vt:i4>
      </vt:variant>
      <vt:variant>
        <vt:i4>726</vt:i4>
      </vt:variant>
      <vt:variant>
        <vt:i4>0</vt:i4>
      </vt:variant>
      <vt:variant>
        <vt:i4>5</vt:i4>
      </vt:variant>
      <vt:variant>
        <vt:lpwstr>Final Report 2012 Attach15A - 10 JJ.xls</vt:lpwstr>
      </vt:variant>
      <vt:variant>
        <vt:lpwstr>'Table 15A.178'!A1#'Table 15A.178'!A1</vt:lpwstr>
      </vt:variant>
      <vt:variant>
        <vt:i4>7340153</vt:i4>
      </vt:variant>
      <vt:variant>
        <vt:i4>723</vt:i4>
      </vt:variant>
      <vt:variant>
        <vt:i4>0</vt:i4>
      </vt:variant>
      <vt:variant>
        <vt:i4>5</vt:i4>
      </vt:variant>
      <vt:variant>
        <vt:lpwstr>Final Report 2012 Attach15A - 10 JJ.xls</vt:lpwstr>
      </vt:variant>
      <vt:variant>
        <vt:lpwstr>'Table 15A.177'!A1#'Table 15A.177'!A1</vt:lpwstr>
      </vt:variant>
      <vt:variant>
        <vt:i4>7405688</vt:i4>
      </vt:variant>
      <vt:variant>
        <vt:i4>720</vt:i4>
      </vt:variant>
      <vt:variant>
        <vt:i4>0</vt:i4>
      </vt:variant>
      <vt:variant>
        <vt:i4>5</vt:i4>
      </vt:variant>
      <vt:variant>
        <vt:lpwstr>Final Report 2012 Attach15A - 10 JJ.xls</vt:lpwstr>
      </vt:variant>
      <vt:variant>
        <vt:lpwstr>'Table 15A.176'!A1#'Table 15A.176'!A1</vt:lpwstr>
      </vt:variant>
      <vt:variant>
        <vt:i4>7471227</vt:i4>
      </vt:variant>
      <vt:variant>
        <vt:i4>717</vt:i4>
      </vt:variant>
      <vt:variant>
        <vt:i4>0</vt:i4>
      </vt:variant>
      <vt:variant>
        <vt:i4>5</vt:i4>
      </vt:variant>
      <vt:variant>
        <vt:lpwstr>Final Report 2012 Attach15A - 10 JJ.xls</vt:lpwstr>
      </vt:variant>
      <vt:variant>
        <vt:lpwstr>'Table 15A.175'!A1#'Table 15A.175'!A1</vt:lpwstr>
      </vt:variant>
      <vt:variant>
        <vt:i4>7536762</vt:i4>
      </vt:variant>
      <vt:variant>
        <vt:i4>714</vt:i4>
      </vt:variant>
      <vt:variant>
        <vt:i4>0</vt:i4>
      </vt:variant>
      <vt:variant>
        <vt:i4>5</vt:i4>
      </vt:variant>
      <vt:variant>
        <vt:lpwstr>Final Report 2012 Attach15A - 10 JJ.xls</vt:lpwstr>
      </vt:variant>
      <vt:variant>
        <vt:lpwstr>'Table 15A.174'!A1#'Table 15A.174'!A1</vt:lpwstr>
      </vt:variant>
      <vt:variant>
        <vt:i4>7602301</vt:i4>
      </vt:variant>
      <vt:variant>
        <vt:i4>711</vt:i4>
      </vt:variant>
      <vt:variant>
        <vt:i4>0</vt:i4>
      </vt:variant>
      <vt:variant>
        <vt:i4>5</vt:i4>
      </vt:variant>
      <vt:variant>
        <vt:lpwstr>Final Report 2012 Attach15A - 10 JJ.xls</vt:lpwstr>
      </vt:variant>
      <vt:variant>
        <vt:lpwstr>'Table 15A.173'!A1#'Table 15A.173'!A1</vt:lpwstr>
      </vt:variant>
      <vt:variant>
        <vt:i4>7667836</vt:i4>
      </vt:variant>
      <vt:variant>
        <vt:i4>708</vt:i4>
      </vt:variant>
      <vt:variant>
        <vt:i4>0</vt:i4>
      </vt:variant>
      <vt:variant>
        <vt:i4>5</vt:i4>
      </vt:variant>
      <vt:variant>
        <vt:lpwstr>Final Report 2012 Attach15A - 10 JJ.xls</vt:lpwstr>
      </vt:variant>
      <vt:variant>
        <vt:lpwstr>'Table 15A.172'!A1#'Table 15A.172'!A1</vt:lpwstr>
      </vt:variant>
      <vt:variant>
        <vt:i4>7733375</vt:i4>
      </vt:variant>
      <vt:variant>
        <vt:i4>705</vt:i4>
      </vt:variant>
      <vt:variant>
        <vt:i4>0</vt:i4>
      </vt:variant>
      <vt:variant>
        <vt:i4>5</vt:i4>
      </vt:variant>
      <vt:variant>
        <vt:lpwstr>Final Report 2012 Attach15A - 10 JJ.xls</vt:lpwstr>
      </vt:variant>
      <vt:variant>
        <vt:lpwstr>'Table 15A.171'!A1#'Table 15A.171'!A1</vt:lpwstr>
      </vt:variant>
      <vt:variant>
        <vt:i4>7798910</vt:i4>
      </vt:variant>
      <vt:variant>
        <vt:i4>702</vt:i4>
      </vt:variant>
      <vt:variant>
        <vt:i4>0</vt:i4>
      </vt:variant>
      <vt:variant>
        <vt:i4>5</vt:i4>
      </vt:variant>
      <vt:variant>
        <vt:lpwstr>Final Report 2012 Attach15A - 10 JJ.xls</vt:lpwstr>
      </vt:variant>
      <vt:variant>
        <vt:lpwstr>'Table 15A.170'!A1#'Table 15A.170'!A1</vt:lpwstr>
      </vt:variant>
      <vt:variant>
        <vt:i4>8323190</vt:i4>
      </vt:variant>
      <vt:variant>
        <vt:i4>699</vt:i4>
      </vt:variant>
      <vt:variant>
        <vt:i4>0</vt:i4>
      </vt:variant>
      <vt:variant>
        <vt:i4>5</vt:i4>
      </vt:variant>
      <vt:variant>
        <vt:lpwstr>Final Report 2012 Attach15A - 10 JJ.xls</vt:lpwstr>
      </vt:variant>
      <vt:variant>
        <vt:lpwstr>'Table 15A.169'!A1#'Table 15A.169'!A1</vt:lpwstr>
      </vt:variant>
      <vt:variant>
        <vt:i4>6226011</vt:i4>
      </vt:variant>
      <vt:variant>
        <vt:i4>696</vt:i4>
      </vt:variant>
      <vt:variant>
        <vt:i4>0</vt:i4>
      </vt:variant>
      <vt:variant>
        <vt:i4>5</vt:i4>
      </vt:variant>
      <vt:variant>
        <vt:lpwstr>C:\Users\pholzer\AppData\Local\Microsoft\Windows\AppData\Local\Microsoft\Windows\Temporary Internet Files\OLK6FF6\www.pc.gov.au\gsp</vt:lpwstr>
      </vt:variant>
      <vt:variant>
        <vt:lpwstr/>
      </vt:variant>
      <vt:variant>
        <vt:i4>7209086</vt:i4>
      </vt:variant>
      <vt:variant>
        <vt:i4>687</vt:i4>
      </vt:variant>
      <vt:variant>
        <vt:i4>0</vt:i4>
      </vt:variant>
      <vt:variant>
        <vt:i4>5</vt:i4>
      </vt:variant>
      <vt:variant>
        <vt:lpwstr>http://www.pc.gov.au/gsp/reports/rogs/2011</vt:lpwstr>
      </vt:variant>
      <vt:variant>
        <vt:lpwstr/>
      </vt:variant>
      <vt:variant>
        <vt:i4>7209086</vt:i4>
      </vt:variant>
      <vt:variant>
        <vt:i4>630</vt:i4>
      </vt:variant>
      <vt:variant>
        <vt:i4>0</vt:i4>
      </vt:variant>
      <vt:variant>
        <vt:i4>5</vt:i4>
      </vt:variant>
      <vt:variant>
        <vt:lpwstr>http://www.pc.gov.au/gsp/reports/rogs/2011</vt:lpwstr>
      </vt:variant>
      <vt:variant>
        <vt:lpwstr/>
      </vt:variant>
      <vt:variant>
        <vt:i4>7143550</vt:i4>
      </vt:variant>
      <vt:variant>
        <vt:i4>588</vt:i4>
      </vt:variant>
      <vt:variant>
        <vt:i4>0</vt:i4>
      </vt:variant>
      <vt:variant>
        <vt:i4>5</vt:i4>
      </vt:variant>
      <vt:variant>
        <vt:lpwstr>http://www.pc.gov.au/gsp/reports/rogs/2012</vt:lpwstr>
      </vt:variant>
      <vt:variant>
        <vt:lpwstr/>
      </vt:variant>
      <vt:variant>
        <vt:i4>7209086</vt:i4>
      </vt:variant>
      <vt:variant>
        <vt:i4>537</vt:i4>
      </vt:variant>
      <vt:variant>
        <vt:i4>0</vt:i4>
      </vt:variant>
      <vt:variant>
        <vt:i4>5</vt:i4>
      </vt:variant>
      <vt:variant>
        <vt:lpwstr>http://www.pc.gov.au/gsp/reports/rogs/2011</vt:lpwstr>
      </vt:variant>
      <vt:variant>
        <vt:lpwstr/>
      </vt:variant>
      <vt:variant>
        <vt:i4>1114165</vt:i4>
      </vt:variant>
      <vt:variant>
        <vt:i4>62</vt:i4>
      </vt:variant>
      <vt:variant>
        <vt:i4>0</vt:i4>
      </vt:variant>
      <vt:variant>
        <vt:i4>5</vt:i4>
      </vt:variant>
      <vt:variant>
        <vt:lpwstr/>
      </vt:variant>
      <vt:variant>
        <vt:lpwstr>_Toc313462312</vt:lpwstr>
      </vt:variant>
      <vt:variant>
        <vt:i4>1114165</vt:i4>
      </vt:variant>
      <vt:variant>
        <vt:i4>56</vt:i4>
      </vt:variant>
      <vt:variant>
        <vt:i4>0</vt:i4>
      </vt:variant>
      <vt:variant>
        <vt:i4>5</vt:i4>
      </vt:variant>
      <vt:variant>
        <vt:lpwstr/>
      </vt:variant>
      <vt:variant>
        <vt:lpwstr>_Toc313462311</vt:lpwstr>
      </vt:variant>
      <vt:variant>
        <vt:i4>1114165</vt:i4>
      </vt:variant>
      <vt:variant>
        <vt:i4>50</vt:i4>
      </vt:variant>
      <vt:variant>
        <vt:i4>0</vt:i4>
      </vt:variant>
      <vt:variant>
        <vt:i4>5</vt:i4>
      </vt:variant>
      <vt:variant>
        <vt:lpwstr/>
      </vt:variant>
      <vt:variant>
        <vt:lpwstr>_Toc313462310</vt:lpwstr>
      </vt:variant>
      <vt:variant>
        <vt:i4>1048629</vt:i4>
      </vt:variant>
      <vt:variant>
        <vt:i4>44</vt:i4>
      </vt:variant>
      <vt:variant>
        <vt:i4>0</vt:i4>
      </vt:variant>
      <vt:variant>
        <vt:i4>5</vt:i4>
      </vt:variant>
      <vt:variant>
        <vt:lpwstr/>
      </vt:variant>
      <vt:variant>
        <vt:lpwstr>_Toc313462309</vt:lpwstr>
      </vt:variant>
      <vt:variant>
        <vt:i4>1048629</vt:i4>
      </vt:variant>
      <vt:variant>
        <vt:i4>38</vt:i4>
      </vt:variant>
      <vt:variant>
        <vt:i4>0</vt:i4>
      </vt:variant>
      <vt:variant>
        <vt:i4>5</vt:i4>
      </vt:variant>
      <vt:variant>
        <vt:lpwstr/>
      </vt:variant>
      <vt:variant>
        <vt:lpwstr>_Toc313462308</vt:lpwstr>
      </vt:variant>
      <vt:variant>
        <vt:i4>1048629</vt:i4>
      </vt:variant>
      <vt:variant>
        <vt:i4>32</vt:i4>
      </vt:variant>
      <vt:variant>
        <vt:i4>0</vt:i4>
      </vt:variant>
      <vt:variant>
        <vt:i4>5</vt:i4>
      </vt:variant>
      <vt:variant>
        <vt:lpwstr/>
      </vt:variant>
      <vt:variant>
        <vt:lpwstr>_Toc313462307</vt:lpwstr>
      </vt:variant>
      <vt:variant>
        <vt:i4>1048629</vt:i4>
      </vt:variant>
      <vt:variant>
        <vt:i4>26</vt:i4>
      </vt:variant>
      <vt:variant>
        <vt:i4>0</vt:i4>
      </vt:variant>
      <vt:variant>
        <vt:i4>5</vt:i4>
      </vt:variant>
      <vt:variant>
        <vt:lpwstr/>
      </vt:variant>
      <vt:variant>
        <vt:lpwstr>_Toc313462306</vt:lpwstr>
      </vt:variant>
      <vt:variant>
        <vt:i4>1048629</vt:i4>
      </vt:variant>
      <vt:variant>
        <vt:i4>20</vt:i4>
      </vt:variant>
      <vt:variant>
        <vt:i4>0</vt:i4>
      </vt:variant>
      <vt:variant>
        <vt:i4>5</vt:i4>
      </vt:variant>
      <vt:variant>
        <vt:lpwstr/>
      </vt:variant>
      <vt:variant>
        <vt:lpwstr>_Toc313462305</vt:lpwstr>
      </vt:variant>
      <vt:variant>
        <vt:i4>1048629</vt:i4>
      </vt:variant>
      <vt:variant>
        <vt:i4>14</vt:i4>
      </vt:variant>
      <vt:variant>
        <vt:i4>0</vt:i4>
      </vt:variant>
      <vt:variant>
        <vt:i4>5</vt:i4>
      </vt:variant>
      <vt:variant>
        <vt:lpwstr/>
      </vt:variant>
      <vt:variant>
        <vt:lpwstr>_Toc313462304</vt:lpwstr>
      </vt:variant>
      <vt:variant>
        <vt:i4>1048629</vt:i4>
      </vt:variant>
      <vt:variant>
        <vt:i4>8</vt:i4>
      </vt:variant>
      <vt:variant>
        <vt:i4>0</vt:i4>
      </vt:variant>
      <vt:variant>
        <vt:i4>5</vt:i4>
      </vt:variant>
      <vt:variant>
        <vt:lpwstr/>
      </vt:variant>
      <vt:variant>
        <vt:lpwstr>_Toc313462303</vt:lpwstr>
      </vt:variant>
      <vt:variant>
        <vt:i4>1048629</vt:i4>
      </vt:variant>
      <vt:variant>
        <vt:i4>2</vt:i4>
      </vt:variant>
      <vt:variant>
        <vt:i4>0</vt:i4>
      </vt:variant>
      <vt:variant>
        <vt:i4>5</vt:i4>
      </vt:variant>
      <vt:variant>
        <vt:lpwstr/>
      </vt:variant>
      <vt:variant>
        <vt:lpwstr>_Toc313462302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Child protection - Report on Government Services 2016</dc:title>
  <dc:creator>Steering Committee for the Review of Government Service Provision</dc:creator>
  <cp:lastModifiedBy>Frech, Tanya</cp:lastModifiedBy>
  <cp:revision>30</cp:revision>
  <cp:lastPrinted>2016-01-12T04:01:00Z</cp:lastPrinted>
  <dcterms:created xsi:type="dcterms:W3CDTF">2015-11-23T09:58:00Z</dcterms:created>
  <dcterms:modified xsi:type="dcterms:W3CDTF">2016-01-19T00:44:00Z</dcterms:modified>
</cp:coreProperties>
</file>