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8500D" w:rsidP="0018500D">
      <w:pPr>
        <w:pStyle w:val="Heading1"/>
        <w:spacing w:before="0"/>
      </w:pPr>
      <w:bookmarkStart w:id="0" w:name="_Toc397527172"/>
      <w:bookmarkStart w:id="1" w:name="_Toc431805756"/>
      <w:bookmarkStart w:id="2" w:name="_Toc432512535"/>
      <w:r w:rsidRPr="00810FF9">
        <w:t>14</w:t>
      </w:r>
      <w:r w:rsidRPr="00810FF9">
        <w:tab/>
        <w:t>Services for people with disability</w:t>
      </w:r>
      <w:bookmarkEnd w:id="0"/>
      <w:bookmarkEnd w:id="1"/>
      <w:bookmarkEnd w:id="2"/>
    </w:p>
    <w:sdt>
      <w:sdtPr>
        <w:rPr>
          <w:rFonts w:ascii="Times New Roman" w:hAnsi="Times New Roman"/>
          <w:b w:val="0"/>
          <w:kern w:val="28"/>
          <w:sz w:val="52"/>
          <w:szCs w:val="20"/>
          <w:lang w:eastAsia="en-AU"/>
        </w:rPr>
        <w:id w:val="339513660"/>
        <w:docPartObj>
          <w:docPartGallery w:val="Table of Contents"/>
          <w:docPartUnique/>
        </w:docPartObj>
      </w:sdtPr>
      <w:sdtEndPr>
        <w:rPr>
          <w:rFonts w:ascii="Arial" w:hAnsi="Arial"/>
          <w:kern w:val="0"/>
          <w:sz w:val="14"/>
        </w:rPr>
      </w:sdtEndPr>
      <w:sdtContent>
        <w:p w:rsidR="00BA34D3" w:rsidRDefault="0079394C">
          <w:pPr>
            <w:pStyle w:val="TOC1"/>
            <w:rPr>
              <w:rFonts w:asciiTheme="minorHAnsi" w:eastAsiaTheme="minorEastAsia" w:hAnsiTheme="minorHAnsi" w:cstheme="minorBidi"/>
              <w:b w:val="0"/>
              <w:noProof/>
              <w:sz w:val="22"/>
              <w:szCs w:val="22"/>
              <w:lang w:eastAsia="en-AU"/>
            </w:rPr>
          </w:pPr>
          <w:r w:rsidRPr="0079394C">
            <w:rPr>
              <w:b w:val="0"/>
              <w:noProof/>
              <w:sz w:val="24"/>
              <w:szCs w:val="24"/>
            </w:rPr>
            <w:t>CONTENTS</w:t>
          </w:r>
          <w:r w:rsidR="00BA34D3">
            <w:rPr>
              <w:noProof/>
            </w:rPr>
            <w:tab/>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Profile of disability services</w:t>
          </w:r>
          <w:r>
            <w:rPr>
              <w:noProof/>
            </w:rPr>
            <w:tab/>
          </w:r>
          <w:r w:rsidR="005430A4">
            <w:rPr>
              <w:noProof/>
            </w:rPr>
            <w:t>14.</w:t>
          </w:r>
          <w:r w:rsidR="004B691F">
            <w:rPr>
              <w:noProof/>
            </w:rPr>
            <w:t>2</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5430A4">
            <w:rPr>
              <w:noProof/>
            </w:rPr>
            <w:t>14.</w:t>
          </w:r>
          <w:r w:rsidR="004B691F">
            <w:rPr>
              <w:noProof/>
            </w:rPr>
            <w:t>15</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5430A4">
            <w:rPr>
              <w:noProof/>
            </w:rPr>
            <w:t>14.</w:t>
          </w:r>
          <w:r w:rsidR="004B691F">
            <w:rPr>
              <w:noProof/>
            </w:rPr>
            <w:t>17</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5430A4">
            <w:rPr>
              <w:noProof/>
            </w:rPr>
            <w:t>14.</w:t>
          </w:r>
          <w:r w:rsidR="004B691F">
            <w:rPr>
              <w:noProof/>
            </w:rPr>
            <w:t>67</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Service user data quality and other issues</w:t>
          </w:r>
          <w:r>
            <w:rPr>
              <w:noProof/>
            </w:rPr>
            <w:tab/>
          </w:r>
          <w:r w:rsidR="005430A4">
            <w:rPr>
              <w:noProof/>
            </w:rPr>
            <w:t>14.</w:t>
          </w:r>
          <w:r w:rsidR="004B691F">
            <w:rPr>
              <w:noProof/>
            </w:rPr>
            <w:t>67</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Definitions of key terms</w:t>
          </w:r>
          <w:r>
            <w:rPr>
              <w:noProof/>
            </w:rPr>
            <w:tab/>
          </w:r>
          <w:r w:rsidR="005430A4">
            <w:rPr>
              <w:noProof/>
            </w:rPr>
            <w:t>14.</w:t>
          </w:r>
          <w:r w:rsidR="004B691F">
            <w:rPr>
              <w:noProof/>
            </w:rPr>
            <w:t>72</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14.7</w:t>
          </w:r>
          <w:r>
            <w:rPr>
              <w:rFonts w:asciiTheme="minorHAnsi" w:eastAsiaTheme="minorEastAsia" w:hAnsiTheme="minorHAnsi" w:cstheme="minorBidi"/>
              <w:noProof/>
              <w:sz w:val="22"/>
              <w:szCs w:val="22"/>
              <w:lang w:eastAsia="en-AU"/>
            </w:rPr>
            <w:tab/>
          </w:r>
          <w:r>
            <w:rPr>
              <w:noProof/>
            </w:rPr>
            <w:t>List of attachment tables</w:t>
          </w:r>
          <w:r>
            <w:rPr>
              <w:noProof/>
            </w:rPr>
            <w:tab/>
          </w:r>
          <w:r w:rsidR="005430A4">
            <w:rPr>
              <w:noProof/>
            </w:rPr>
            <w:t>14.</w:t>
          </w:r>
          <w:r w:rsidR="004B691F">
            <w:rPr>
              <w:noProof/>
            </w:rPr>
            <w:t>78</w:t>
          </w:r>
        </w:p>
        <w:p w:rsidR="00BA34D3" w:rsidRDefault="00BA34D3">
          <w:pPr>
            <w:pStyle w:val="TOC2"/>
            <w:tabs>
              <w:tab w:val="left" w:pos="1320"/>
            </w:tabs>
            <w:rPr>
              <w:rFonts w:asciiTheme="minorHAnsi" w:eastAsiaTheme="minorEastAsia" w:hAnsiTheme="minorHAnsi" w:cstheme="minorBidi"/>
              <w:noProof/>
              <w:sz w:val="22"/>
              <w:szCs w:val="22"/>
              <w:lang w:eastAsia="en-AU"/>
            </w:rPr>
          </w:pPr>
          <w:r>
            <w:rPr>
              <w:noProof/>
            </w:rPr>
            <w:t>14.8</w:t>
          </w:r>
          <w:r>
            <w:rPr>
              <w:rFonts w:asciiTheme="minorHAnsi" w:eastAsiaTheme="minorEastAsia" w:hAnsiTheme="minorHAnsi" w:cstheme="minorBidi"/>
              <w:noProof/>
              <w:sz w:val="22"/>
              <w:szCs w:val="22"/>
              <w:lang w:eastAsia="en-AU"/>
            </w:rPr>
            <w:tab/>
          </w:r>
          <w:r>
            <w:rPr>
              <w:noProof/>
            </w:rPr>
            <w:t>References</w:t>
          </w:r>
          <w:r>
            <w:rPr>
              <w:noProof/>
            </w:rPr>
            <w:tab/>
          </w:r>
          <w:r w:rsidR="005430A4">
            <w:rPr>
              <w:noProof/>
            </w:rPr>
            <w:t>14.</w:t>
          </w:r>
          <w:r w:rsidR="004B691F">
            <w:rPr>
              <w:noProof/>
            </w:rPr>
            <w:t>83</w:t>
          </w:r>
        </w:p>
        <w:p w:rsidR="00A519AA" w:rsidRPr="00A519AA" w:rsidRDefault="006727DC" w:rsidP="00A519AA">
          <w:pPr>
            <w:pStyle w:val="BoxSpaceBelow"/>
          </w:pPr>
        </w:p>
      </w:sdtContent>
    </w:sdt>
    <w:p w:rsidR="00103DF5" w:rsidRPr="00232B46" w:rsidRDefault="00103DF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07A1" w:rsidTr="00C30C0C">
        <w:tc>
          <w:tcPr>
            <w:tcW w:w="8771" w:type="dxa"/>
            <w:tcBorders>
              <w:top w:val="single" w:sz="6" w:space="0" w:color="78A22F"/>
              <w:left w:val="nil"/>
              <w:bottom w:val="nil"/>
              <w:right w:val="nil"/>
            </w:tcBorders>
            <w:shd w:val="clear" w:color="auto" w:fill="F2F2F2"/>
          </w:tcPr>
          <w:p w:rsidR="001207A1" w:rsidRDefault="001207A1" w:rsidP="001207A1">
            <w:pPr>
              <w:pStyle w:val="BoxTitle"/>
            </w:pPr>
            <w:r w:rsidRPr="00810FF9">
              <w:t>Attachment tables</w:t>
            </w:r>
          </w:p>
        </w:tc>
      </w:tr>
      <w:tr w:rsidR="001207A1" w:rsidRPr="00E72F1E" w:rsidTr="00C30C0C">
        <w:trPr>
          <w:cantSplit/>
        </w:trPr>
        <w:tc>
          <w:tcPr>
            <w:tcW w:w="8771" w:type="dxa"/>
            <w:tcBorders>
              <w:top w:val="nil"/>
              <w:left w:val="nil"/>
              <w:bottom w:val="nil"/>
              <w:right w:val="nil"/>
            </w:tcBorders>
            <w:shd w:val="clear" w:color="auto" w:fill="F2F2F2"/>
          </w:tcPr>
          <w:p w:rsidR="001207A1" w:rsidRPr="00E72F1E" w:rsidRDefault="001207A1" w:rsidP="00E72F1E">
            <w:pPr>
              <w:pStyle w:val="Box"/>
            </w:pPr>
            <w:r w:rsidRPr="00E72F1E">
              <w:t>Attachment tables are identified in references throughout this chapter by a ‘14A’ prefix (for example, table</w:t>
            </w:r>
            <w:r w:rsidR="00AE3578" w:rsidRPr="00E72F1E">
              <w:t> </w:t>
            </w:r>
            <w:r w:rsidRPr="00E72F1E">
              <w:t xml:space="preserve">14A.1). A full list of attachment tables is provided at the end of this chapter, and the attachment tables are available from the website at </w:t>
            </w:r>
            <w:r w:rsidR="00C869F8" w:rsidRPr="00E72F1E">
              <w:t>www.pc.gov.au/rogs/2016</w:t>
            </w:r>
            <w:r w:rsidRPr="00E72F1E">
              <w:t>.</w:t>
            </w:r>
            <w:r w:rsidR="001328DA" w:rsidRPr="00E72F1E">
              <w:rPr>
                <w:rStyle w:val="DraftingNote"/>
                <w:b w:val="0"/>
                <w:color w:val="auto"/>
                <w:sz w:val="20"/>
                <w:u w:val="none"/>
              </w:rPr>
              <w:t xml:space="preserve"> </w:t>
            </w:r>
          </w:p>
        </w:tc>
      </w:tr>
      <w:tr w:rsidR="001207A1" w:rsidTr="00C30C0C">
        <w:trPr>
          <w:cantSplit/>
        </w:trPr>
        <w:tc>
          <w:tcPr>
            <w:tcW w:w="8771" w:type="dxa"/>
            <w:tcBorders>
              <w:top w:val="nil"/>
              <w:left w:val="nil"/>
              <w:bottom w:val="single" w:sz="6" w:space="0" w:color="78A22F"/>
              <w:right w:val="nil"/>
            </w:tcBorders>
            <w:shd w:val="clear" w:color="auto" w:fill="F2F2F2"/>
          </w:tcPr>
          <w:p w:rsidR="001207A1" w:rsidRDefault="001207A1">
            <w:pPr>
              <w:pStyle w:val="Box"/>
              <w:spacing w:before="0" w:line="120" w:lineRule="exact"/>
            </w:pPr>
          </w:p>
        </w:tc>
      </w:tr>
      <w:tr w:rsidR="001207A1" w:rsidRPr="000863A5" w:rsidTr="00C30C0C">
        <w:tc>
          <w:tcPr>
            <w:tcW w:w="8771" w:type="dxa"/>
            <w:tcBorders>
              <w:top w:val="single" w:sz="6" w:space="0" w:color="78A22F"/>
              <w:left w:val="nil"/>
              <w:bottom w:val="nil"/>
              <w:right w:val="nil"/>
            </w:tcBorders>
          </w:tcPr>
          <w:p w:rsidR="001207A1" w:rsidRPr="00626D32" w:rsidRDefault="001207A1" w:rsidP="00C30C0C">
            <w:pPr>
              <w:pStyle w:val="BoxSpaceBelow"/>
            </w:pPr>
          </w:p>
        </w:tc>
      </w:tr>
    </w:tbl>
    <w:p w:rsidR="004A559C" w:rsidRDefault="0043577B" w:rsidP="009E411B">
      <w:pPr>
        <w:pStyle w:val="BodyText"/>
      </w:pPr>
      <w:r w:rsidRPr="009E411B">
        <w:t>The disability policy and service delivery environment has changed significantly in recent years</w:t>
      </w:r>
      <w:r w:rsidR="00B249DB" w:rsidRPr="009E411B">
        <w:t>, most markedly with</w:t>
      </w:r>
      <w:r w:rsidRPr="00BC24A6">
        <w:t xml:space="preserve"> the introduction and staged im</w:t>
      </w:r>
      <w:r>
        <w:t xml:space="preserve">plementation of the National Disability Insurance Scheme (NDIS) from </w:t>
      </w:r>
      <w:r w:rsidRPr="00BC24A6">
        <w:t>2013</w:t>
      </w:r>
      <w:r w:rsidRPr="009E411B">
        <w:t xml:space="preserve">. </w:t>
      </w:r>
      <w:r w:rsidR="004A559C" w:rsidRPr="009E411B">
        <w:t>Currently,</w:t>
      </w:r>
      <w:r w:rsidR="004A559C">
        <w:t xml:space="preserve"> </w:t>
      </w:r>
      <w:r w:rsidR="004A559C" w:rsidRPr="004A7743">
        <w:t xml:space="preserve">assistance </w:t>
      </w:r>
      <w:r w:rsidR="004A559C">
        <w:t xml:space="preserve">is </w:t>
      </w:r>
      <w:r w:rsidR="004A559C" w:rsidRPr="004A7743">
        <w:t xml:space="preserve">provided by governments to people with disability and their carers, </w:t>
      </w:r>
      <w:r w:rsidR="004A559C">
        <w:t>through</w:t>
      </w:r>
      <w:r w:rsidR="004A559C" w:rsidRPr="004A7743">
        <w:t xml:space="preserve"> specialist disability services provided under the </w:t>
      </w:r>
      <w:r w:rsidR="004A559C">
        <w:t>N</w:t>
      </w:r>
      <w:r w:rsidR="00B249DB">
        <w:t xml:space="preserve">ational </w:t>
      </w:r>
      <w:r w:rsidR="004A559C" w:rsidRPr="004A7743">
        <w:t>D</w:t>
      </w:r>
      <w:r w:rsidR="00B249DB">
        <w:t xml:space="preserve">isability </w:t>
      </w:r>
      <w:r w:rsidR="004A559C" w:rsidRPr="004A7743">
        <w:t>A</w:t>
      </w:r>
      <w:r w:rsidR="00B249DB">
        <w:t>greement (NDA)</w:t>
      </w:r>
      <w:r w:rsidR="004A559C">
        <w:t xml:space="preserve"> and through</w:t>
      </w:r>
      <w:r w:rsidR="00A21513">
        <w:t xml:space="preserve"> the NDIS.</w:t>
      </w:r>
    </w:p>
    <w:p w:rsidR="00FC3D4A" w:rsidRDefault="004A559C" w:rsidP="009E411B">
      <w:pPr>
        <w:pStyle w:val="BodyText"/>
      </w:pPr>
      <w:r>
        <w:t>T</w:t>
      </w:r>
      <w:r w:rsidRPr="004A7743">
        <w:t xml:space="preserve">his chapter provides information on </w:t>
      </w:r>
      <w:r>
        <w:t xml:space="preserve">services provided under the NDA, and </w:t>
      </w:r>
      <w:r w:rsidR="00FC3D4A" w:rsidRPr="003D31DC">
        <w:t>reports NDA data from 2009</w:t>
      </w:r>
      <w:r w:rsidR="00FC3D4A">
        <w:noBreakHyphen/>
      </w:r>
      <w:r w:rsidR="00FC3D4A" w:rsidRPr="003D31DC">
        <w:t>10 to 201</w:t>
      </w:r>
      <w:r w:rsidR="00FC3D4A">
        <w:t>3</w:t>
      </w:r>
      <w:r w:rsidR="00FC3D4A">
        <w:noBreakHyphen/>
      </w:r>
      <w:r w:rsidR="00FC3D4A" w:rsidRPr="003D31DC">
        <w:t>1</w:t>
      </w:r>
      <w:r w:rsidR="00FC3D4A">
        <w:t>4</w:t>
      </w:r>
      <w:r w:rsidR="00FC3D4A" w:rsidRPr="003D31DC">
        <w:t xml:space="preserve">, a combination of NDA and </w:t>
      </w:r>
      <w:r w:rsidR="00D007B2" w:rsidRPr="00D007B2">
        <w:t xml:space="preserve">Commonwealth–State/Territory Disability Agreement </w:t>
      </w:r>
      <w:r w:rsidR="00D007B2">
        <w:t>(C</w:t>
      </w:r>
      <w:r w:rsidR="00FC3D4A" w:rsidRPr="003D31DC">
        <w:t>STDA</w:t>
      </w:r>
      <w:r w:rsidR="00D007B2">
        <w:t>)</w:t>
      </w:r>
      <w:r w:rsidR="00FC3D4A" w:rsidRPr="003D31DC">
        <w:t xml:space="preserve"> data for 2008</w:t>
      </w:r>
      <w:r w:rsidR="00FC3D4A">
        <w:noBreakHyphen/>
      </w:r>
      <w:r w:rsidR="00FC3D4A" w:rsidRPr="003D31DC">
        <w:t xml:space="preserve">09, and CSTDA data for earlier years. </w:t>
      </w:r>
      <w:r w:rsidR="00FC3D4A" w:rsidRPr="009E411B">
        <w:t>Data on the specialist disability services provided under the NDA are collected in the Disability Services National Minimum Data Set (DS NMDS).</w:t>
      </w:r>
      <w:r w:rsidR="005876C7" w:rsidRPr="00D007B2">
        <w:t xml:space="preserve"> </w:t>
      </w:r>
      <w:r>
        <w:t xml:space="preserve">Data on NDIS participation </w:t>
      </w:r>
      <w:r w:rsidR="006E0D52">
        <w:t>for both 2013</w:t>
      </w:r>
      <w:r w:rsidR="006E0D52">
        <w:noBreakHyphen/>
        <w:t>14 and 2014</w:t>
      </w:r>
      <w:r w:rsidR="006E0D52">
        <w:noBreakHyphen/>
        <w:t xml:space="preserve">15 </w:t>
      </w:r>
      <w:r>
        <w:t xml:space="preserve">are currently included in this Report as contextual information only. </w:t>
      </w:r>
      <w:r w:rsidR="00A21513">
        <w:t xml:space="preserve">Data are collected by the National Disability Insurance Agency (NDIA). </w:t>
      </w:r>
      <w:r w:rsidRPr="00A12A03">
        <w:t xml:space="preserve">Access to NDIS data will be </w:t>
      </w:r>
      <w:r w:rsidRPr="00FE16B7">
        <w:t xml:space="preserve">sought </w:t>
      </w:r>
      <w:r w:rsidRPr="00A12A03">
        <w:t>for reporting against the framework in future</w:t>
      </w:r>
      <w:r>
        <w:t xml:space="preserve">. </w:t>
      </w:r>
    </w:p>
    <w:p w:rsidR="004A7743" w:rsidRDefault="004A7743" w:rsidP="004A7743">
      <w:pPr>
        <w:pStyle w:val="BodyText"/>
      </w:pPr>
      <w:r>
        <w:t>I</w:t>
      </w:r>
      <w:r w:rsidRPr="00C6586E">
        <w:t>mprovements in the reporting of services for people with disability in this edition include:</w:t>
      </w:r>
    </w:p>
    <w:p w:rsidR="00EA47EA" w:rsidRDefault="00EA47EA" w:rsidP="00EA47EA">
      <w:pPr>
        <w:pStyle w:val="ListBullet"/>
      </w:pPr>
      <w:r>
        <w:lastRenderedPageBreak/>
        <w:t>additional contextual information on the number of NDA service users who have transitioned to the NDIS and the number of ‘existing’ NDIS State/Territory service users, plus an NDIS rollout timetable</w:t>
      </w:r>
    </w:p>
    <w:p w:rsidR="00EA47EA" w:rsidRDefault="00EA47EA" w:rsidP="00EA47EA">
      <w:pPr>
        <w:pStyle w:val="ListBullet"/>
      </w:pPr>
      <w:r>
        <w:t>NDA open employment services (Disability Management Services) data which previously lagged by one year are now reported for both 2013-14 and 2014-15</w:t>
      </w:r>
    </w:p>
    <w:p w:rsidR="00EA47EA" w:rsidRDefault="00EA47EA" w:rsidP="00EA47EA">
      <w:pPr>
        <w:pStyle w:val="ListBullet"/>
      </w:pPr>
      <w:r>
        <w:t>existing contextual Basic Community Care (BCC) data reported with a general population denominator to assist with cross-jurisdictional comparisons of service use.</w:t>
      </w:r>
    </w:p>
    <w:p w:rsidR="00EA47EA" w:rsidRPr="00C6586E" w:rsidRDefault="00EA47EA" w:rsidP="00EA47EA">
      <w:pPr>
        <w:pStyle w:val="BodyText"/>
      </w:pPr>
      <w:r>
        <w:t xml:space="preserve">All abbreviations used in this Report are available in a complete list in volume A: Approach to performance reporting. </w:t>
      </w:r>
    </w:p>
    <w:p w:rsidR="001F39F2" w:rsidRPr="00B02DB0" w:rsidRDefault="00321568" w:rsidP="00A50256">
      <w:pPr>
        <w:pStyle w:val="Heading2"/>
      </w:pPr>
      <w:bookmarkStart w:id="3" w:name="_Toc248563902"/>
      <w:bookmarkStart w:id="4" w:name="_Toc397527173"/>
      <w:bookmarkStart w:id="5" w:name="_Toc432512536"/>
      <w:r w:rsidRPr="00B02DB0">
        <w:t>14.</w:t>
      </w:r>
      <w:r w:rsidR="004B691F">
        <w:rPr>
          <w:noProof/>
        </w:rPr>
        <w:t>1</w:t>
      </w:r>
      <w:r w:rsidR="001F39F2" w:rsidRPr="00B02DB0">
        <w:tab/>
        <w:t>Profile of disability services</w:t>
      </w:r>
      <w:bookmarkEnd w:id="3"/>
      <w:bookmarkEnd w:id="4"/>
      <w:bookmarkEnd w:id="5"/>
    </w:p>
    <w:p w:rsidR="00FC3D4A" w:rsidRDefault="00FC3D4A" w:rsidP="00185DCC">
      <w:pPr>
        <w:pStyle w:val="Heading3"/>
        <w:rPr>
          <w:shd w:val="clear" w:color="auto" w:fill="FFFFFF" w:themeFill="background1"/>
        </w:rPr>
      </w:pPr>
      <w:r>
        <w:rPr>
          <w:shd w:val="clear" w:color="auto" w:fill="FFFFFF" w:themeFill="background1"/>
        </w:rPr>
        <w:t>Roles and responsibilities</w:t>
      </w:r>
    </w:p>
    <w:p w:rsidR="00103DF5" w:rsidRPr="00185DCC" w:rsidRDefault="00103DF5" w:rsidP="00185DCC">
      <w:pPr>
        <w:pStyle w:val="Heading4"/>
      </w:pPr>
      <w:r>
        <w:t>Policy context</w:t>
      </w:r>
    </w:p>
    <w:p w:rsidR="004032C5" w:rsidRDefault="004032C5" w:rsidP="004032C5">
      <w:pPr>
        <w:pStyle w:val="BodyText"/>
      </w:pPr>
      <w:r w:rsidRPr="004A52E3">
        <w:rPr>
          <w:shd w:val="clear" w:color="auto" w:fill="FFFFFF" w:themeFill="background1"/>
        </w:rPr>
        <w:t>The NDA, effective from 1 January 2009 and revised in 2012, provides the national framework and key areas of reform for the provision of government support and services for people with disability. Box </w:t>
      </w:r>
      <w:r w:rsidR="00BC24A6" w:rsidRPr="004A52E3">
        <w:rPr>
          <w:shd w:val="clear" w:color="auto" w:fill="FFFFFF" w:themeFill="background1"/>
        </w:rPr>
        <w:t>14.1</w:t>
      </w:r>
      <w:r w:rsidRPr="004A52E3">
        <w:rPr>
          <w:shd w:val="clear" w:color="auto" w:fill="FFFFFF" w:themeFill="background1"/>
        </w:rPr>
        <w:t xml:space="preserve"> provides an overview of the NDA.</w:t>
      </w:r>
      <w:r w:rsidRPr="004F25C1">
        <w:t xml:space="preserve"> </w:t>
      </w:r>
    </w:p>
    <w:p w:rsidR="004032C5" w:rsidRPr="00BC3FDC" w:rsidRDefault="004032C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32C5" w:rsidRPr="007E6C73" w:rsidTr="00FC30A5">
        <w:tc>
          <w:tcPr>
            <w:tcW w:w="8771" w:type="dxa"/>
            <w:tcBorders>
              <w:top w:val="single" w:sz="6" w:space="0" w:color="78A22F"/>
              <w:left w:val="nil"/>
              <w:bottom w:val="nil"/>
              <w:right w:val="nil"/>
            </w:tcBorders>
            <w:shd w:val="clear" w:color="auto" w:fill="F2F2F2"/>
          </w:tcPr>
          <w:p w:rsidR="004032C5" w:rsidRPr="007E6C73" w:rsidRDefault="004032C5" w:rsidP="009E3042">
            <w:pPr>
              <w:pStyle w:val="BoxTitle"/>
            </w:pPr>
            <w:r w:rsidRPr="007E6C73">
              <w:rPr>
                <w:b w:val="0"/>
              </w:rPr>
              <w:t xml:space="preserve">Box </w:t>
            </w:r>
            <w:bookmarkStart w:id="6" w:name="OLE_LINK3"/>
            <w:r w:rsidRPr="007E6C73">
              <w:rPr>
                <w:b w:val="0"/>
              </w:rPr>
              <w:t>14.</w:t>
            </w:r>
            <w:r w:rsidR="004B691F">
              <w:rPr>
                <w:b w:val="0"/>
                <w:noProof/>
              </w:rPr>
              <w:t>1</w:t>
            </w:r>
            <w:bookmarkEnd w:id="6"/>
            <w:r w:rsidRPr="007E6C73">
              <w:tab/>
              <w:t xml:space="preserve">National Disability Agreement </w:t>
            </w:r>
          </w:p>
        </w:tc>
      </w:tr>
      <w:tr w:rsidR="004032C5" w:rsidRPr="007E6C73" w:rsidTr="00FC30A5">
        <w:trPr>
          <w:cantSplit/>
        </w:trPr>
        <w:tc>
          <w:tcPr>
            <w:tcW w:w="8771" w:type="dxa"/>
            <w:tcBorders>
              <w:top w:val="nil"/>
              <w:left w:val="nil"/>
              <w:bottom w:val="nil"/>
              <w:right w:val="nil"/>
            </w:tcBorders>
            <w:shd w:val="clear" w:color="auto" w:fill="F2F2F2"/>
          </w:tcPr>
          <w:p w:rsidR="004032C5" w:rsidRPr="007E6C73" w:rsidRDefault="004032C5" w:rsidP="00FC30A5">
            <w:pPr>
              <w:pStyle w:val="Box"/>
            </w:pPr>
            <w:r w:rsidRPr="007E6C73">
              <w:t>The focus of the NDA is on the provision of specialist disability services. However, the NDA acknowledges that specialist disability services are complemented by mainstream services and income support measures.</w:t>
            </w:r>
            <w:r w:rsidR="00060DC4">
              <w:t xml:space="preserve"> </w:t>
            </w:r>
            <w:r>
              <w:t>In the a</w:t>
            </w:r>
            <w:r w:rsidRPr="00133131">
              <w:t>greement, governments strive towards creating a</w:t>
            </w:r>
            <w:r>
              <w:t xml:space="preserve"> </w:t>
            </w:r>
            <w:r w:rsidRPr="007E6C73">
              <w:t>disability services system that is effective, efficient and equitable, and has a focus on: early intervention; timely, person</w:t>
            </w:r>
            <w:r w:rsidRPr="007E6C73">
              <w:noBreakHyphen/>
              <w:t>centred approaches; and lifelong planning. Five priority areas underpin the policy directions</w:t>
            </w:r>
            <w:r>
              <w:t>:</w:t>
            </w:r>
          </w:p>
          <w:p w:rsidR="004032C5" w:rsidRPr="007E6C73" w:rsidRDefault="004032C5" w:rsidP="00FC30A5">
            <w:pPr>
              <w:pStyle w:val="BoxListBullet"/>
            </w:pPr>
            <w:r w:rsidRPr="007E6C73">
              <w:t>build the evidence base for disability policies and strategies</w:t>
            </w:r>
          </w:p>
          <w:p w:rsidR="004032C5" w:rsidRPr="007E6C73" w:rsidRDefault="004032C5" w:rsidP="00FC30A5">
            <w:pPr>
              <w:pStyle w:val="BoxListBullet"/>
            </w:pPr>
            <w:r w:rsidRPr="007E6C73">
              <w:t>enhance family and carer capacity</w:t>
            </w:r>
          </w:p>
          <w:p w:rsidR="004032C5" w:rsidRPr="007E6C73" w:rsidRDefault="004032C5" w:rsidP="00FC30A5">
            <w:pPr>
              <w:pStyle w:val="BoxListBullet"/>
            </w:pPr>
            <w:r w:rsidRPr="007E6C73">
              <w:t>develop strategies for increased choice, control and self</w:t>
            </w:r>
            <w:r w:rsidR="005547FD">
              <w:noBreakHyphen/>
            </w:r>
            <w:r w:rsidRPr="007E6C73">
              <w:t>directed decision making</w:t>
            </w:r>
          </w:p>
          <w:p w:rsidR="004032C5" w:rsidRPr="007E6C73" w:rsidRDefault="004032C5" w:rsidP="00FC30A5">
            <w:pPr>
              <w:pStyle w:val="BoxListBullet"/>
            </w:pPr>
            <w:r w:rsidRPr="007E6C73">
              <w:t xml:space="preserve">maintain innovative and flexible support models for people with high and complex needs </w:t>
            </w:r>
          </w:p>
          <w:p w:rsidR="004032C5" w:rsidRPr="007E6C73" w:rsidRDefault="004032C5" w:rsidP="00173D10">
            <w:pPr>
              <w:pStyle w:val="BoxListBullet"/>
            </w:pPr>
            <w:r w:rsidRPr="007E6C73">
              <w:t>develop employment opportunities for people with disability.</w:t>
            </w:r>
          </w:p>
        </w:tc>
      </w:tr>
      <w:tr w:rsidR="004032C5" w:rsidRPr="007E6C73" w:rsidTr="00FC30A5">
        <w:trPr>
          <w:cantSplit/>
        </w:trPr>
        <w:tc>
          <w:tcPr>
            <w:tcW w:w="8771" w:type="dxa"/>
            <w:tcBorders>
              <w:top w:val="nil"/>
              <w:left w:val="nil"/>
              <w:bottom w:val="nil"/>
              <w:right w:val="nil"/>
            </w:tcBorders>
            <w:shd w:val="clear" w:color="auto" w:fill="F2F2F2"/>
          </w:tcPr>
          <w:p w:rsidR="004032C5" w:rsidRPr="007E6C73" w:rsidRDefault="004032C5" w:rsidP="008B63B7">
            <w:pPr>
              <w:pStyle w:val="BoxSource"/>
            </w:pPr>
            <w:r w:rsidRPr="007E6C73">
              <w:rPr>
                <w:i/>
              </w:rPr>
              <w:t>Source</w:t>
            </w:r>
            <w:r w:rsidRPr="007E6C73">
              <w:t>: C</w:t>
            </w:r>
            <w:r>
              <w:t xml:space="preserve">ouncil of Australian Governments </w:t>
            </w:r>
            <w:r w:rsidR="00325E2A">
              <w:t>(</w:t>
            </w:r>
            <w:r>
              <w:t>(C</w:t>
            </w:r>
            <w:r w:rsidRPr="007E6C73">
              <w:t>OAG</w:t>
            </w:r>
            <w:r>
              <w:t>)</w:t>
            </w:r>
            <w:r w:rsidR="00325E2A">
              <w:t xml:space="preserve"> </w:t>
            </w:r>
            <w:r w:rsidRPr="007E6C73">
              <w:t>2012a</w:t>
            </w:r>
            <w:r w:rsidR="00325E2A">
              <w:t>)</w:t>
            </w:r>
            <w:r w:rsidRPr="007E6C73">
              <w:t>.</w:t>
            </w:r>
          </w:p>
        </w:tc>
      </w:tr>
      <w:tr w:rsidR="004032C5" w:rsidRPr="007E6C73" w:rsidTr="00FC30A5">
        <w:trPr>
          <w:cantSplit/>
        </w:trPr>
        <w:tc>
          <w:tcPr>
            <w:tcW w:w="8771" w:type="dxa"/>
            <w:tcBorders>
              <w:top w:val="nil"/>
              <w:left w:val="nil"/>
              <w:bottom w:val="single" w:sz="6" w:space="0" w:color="78A22F"/>
              <w:right w:val="nil"/>
            </w:tcBorders>
            <w:shd w:val="clear" w:color="auto" w:fill="F2F2F2"/>
          </w:tcPr>
          <w:p w:rsidR="004032C5" w:rsidRPr="007E6C73" w:rsidRDefault="004032C5" w:rsidP="00FC30A5">
            <w:pPr>
              <w:pStyle w:val="Box"/>
              <w:spacing w:before="0" w:line="120" w:lineRule="exact"/>
            </w:pPr>
          </w:p>
        </w:tc>
      </w:tr>
      <w:tr w:rsidR="004032C5" w:rsidRPr="007E6C73" w:rsidTr="00FC30A5">
        <w:tc>
          <w:tcPr>
            <w:tcW w:w="8771" w:type="dxa"/>
            <w:tcBorders>
              <w:top w:val="single" w:sz="6" w:space="0" w:color="78A22F"/>
              <w:left w:val="nil"/>
              <w:bottom w:val="nil"/>
              <w:right w:val="nil"/>
            </w:tcBorders>
          </w:tcPr>
          <w:p w:rsidR="004032C5" w:rsidRPr="007E6C73" w:rsidRDefault="004032C5" w:rsidP="00FC30A5">
            <w:pPr>
              <w:pStyle w:val="BoxSpaceBelow"/>
            </w:pPr>
          </w:p>
        </w:tc>
      </w:tr>
    </w:tbl>
    <w:p w:rsidR="004032C5" w:rsidRDefault="004032C5" w:rsidP="004032C5">
      <w:pPr>
        <w:pStyle w:val="BodyText"/>
        <w:shd w:val="clear" w:color="auto" w:fill="FFFFFF" w:themeFill="background1"/>
      </w:pPr>
      <w:r w:rsidRPr="00B30B50">
        <w:t xml:space="preserve">The NDIS was established under the </w:t>
      </w:r>
      <w:r w:rsidRPr="00B30B50">
        <w:rPr>
          <w:i/>
        </w:rPr>
        <w:t xml:space="preserve">National Disability Insurance Scheme Act 2013 </w:t>
      </w:r>
      <w:r w:rsidRPr="00B30B50">
        <w:t xml:space="preserve">(the NDIS Act). Trials of the NDIS have commenced in most jurisdictions. </w:t>
      </w:r>
      <w:r w:rsidR="009E3042">
        <w:t>In September 2015, NSW and Victoria became the first jurisdictions to sign bilateral agreements with the Australian Government for the full roll out of the NDIS commencing</w:t>
      </w:r>
      <w:r w:rsidRPr="00A12A03">
        <w:t xml:space="preserve"> from July 2016 (see </w:t>
      </w:r>
      <w:r w:rsidRPr="00A12A03">
        <w:lastRenderedPageBreak/>
        <w:t>table</w:t>
      </w:r>
      <w:r w:rsidR="005547FD">
        <w:t> </w:t>
      </w:r>
      <w:r w:rsidR="00920D9B" w:rsidRPr="00920D9B">
        <w:t>14A.</w:t>
      </w:r>
      <w:r w:rsidR="000D69D9">
        <w:t>150</w:t>
      </w:r>
      <w:r w:rsidR="00214001">
        <w:t xml:space="preserve"> </w:t>
      </w:r>
      <w:r w:rsidRPr="00A12A03">
        <w:t>for details</w:t>
      </w:r>
      <w:r w:rsidRPr="00FE16B7">
        <w:t>).</w:t>
      </w:r>
      <w:r w:rsidRPr="00B30B50">
        <w:t xml:space="preserve"> The objectives of the NDIS align with the objectives and outcomes of the NDA (COAG 2012</w:t>
      </w:r>
      <w:r w:rsidR="00325E2A">
        <w:t>b</w:t>
      </w:r>
      <w:r w:rsidR="00BC24A6">
        <w:t xml:space="preserve">). </w:t>
      </w:r>
      <w:r w:rsidR="00060DC4" w:rsidRPr="009E411B">
        <w:t>The NDIS will largely replace the current provision of services provided under the NDA. Nationally, most users of disability services are still receiving support under the NDA. As the NDIS continues to be implemented, more NDA service users will transition to the NDIS (see table</w:t>
      </w:r>
      <w:r w:rsidR="005547FD">
        <w:t> </w:t>
      </w:r>
      <w:r w:rsidR="00060DC4" w:rsidRPr="009E411B">
        <w:t>14A.</w:t>
      </w:r>
      <w:r w:rsidR="000D69D9" w:rsidRPr="009E411B">
        <w:t>150</w:t>
      </w:r>
      <w:r w:rsidR="00060DC4" w:rsidRPr="009E411B">
        <w:t>).</w:t>
      </w:r>
      <w:r w:rsidR="000D69D9" w:rsidRPr="000D69D9">
        <w:t xml:space="preserve"> </w:t>
      </w:r>
      <w:r w:rsidR="000D69D9">
        <w:t>Box 14.2</w:t>
      </w:r>
      <w:r w:rsidR="000D69D9" w:rsidRPr="00B30B50">
        <w:t xml:space="preserve"> provides an overview of the NDIS.</w:t>
      </w:r>
    </w:p>
    <w:p w:rsidR="004032C5" w:rsidRPr="009828CC" w:rsidRDefault="004032C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32C5" w:rsidTr="00FC30A5">
        <w:tc>
          <w:tcPr>
            <w:tcW w:w="8771" w:type="dxa"/>
            <w:tcBorders>
              <w:top w:val="single" w:sz="6" w:space="0" w:color="78A22F"/>
              <w:left w:val="nil"/>
              <w:bottom w:val="nil"/>
              <w:right w:val="nil"/>
            </w:tcBorders>
            <w:shd w:val="clear" w:color="auto" w:fill="F2F2F2"/>
          </w:tcPr>
          <w:p w:rsidR="004032C5" w:rsidRDefault="004032C5" w:rsidP="00FC30A5">
            <w:pPr>
              <w:pStyle w:val="BoxTitle"/>
            </w:pPr>
            <w:r>
              <w:rPr>
                <w:b w:val="0"/>
              </w:rPr>
              <w:t xml:space="preserve">Box </w:t>
            </w:r>
            <w:bookmarkStart w:id="7" w:name="OLE_LINK4"/>
            <w:r>
              <w:rPr>
                <w:b w:val="0"/>
              </w:rPr>
              <w:t>14.</w:t>
            </w:r>
            <w:r w:rsidR="004B691F">
              <w:rPr>
                <w:b w:val="0"/>
                <w:noProof/>
              </w:rPr>
              <w:t>2</w:t>
            </w:r>
            <w:bookmarkEnd w:id="7"/>
            <w:r>
              <w:tab/>
            </w:r>
            <w:r w:rsidRPr="00EF28AC">
              <w:t xml:space="preserve">National Disability </w:t>
            </w:r>
            <w:r>
              <w:t>Insurance Scheme</w:t>
            </w:r>
          </w:p>
        </w:tc>
      </w:tr>
      <w:tr w:rsidR="004032C5" w:rsidTr="00FC30A5">
        <w:trPr>
          <w:cantSplit/>
        </w:trPr>
        <w:tc>
          <w:tcPr>
            <w:tcW w:w="8771" w:type="dxa"/>
            <w:tcBorders>
              <w:top w:val="nil"/>
              <w:left w:val="nil"/>
              <w:bottom w:val="nil"/>
              <w:right w:val="nil"/>
            </w:tcBorders>
            <w:shd w:val="clear" w:color="auto" w:fill="F2F2F2"/>
          </w:tcPr>
          <w:p w:rsidR="00060DC4" w:rsidRDefault="00060DC4" w:rsidP="009E411B">
            <w:pPr>
              <w:pStyle w:val="Box"/>
            </w:pPr>
            <w:r w:rsidRPr="005D67DF">
              <w:t>The NDIS is an insurance scheme that assists people with disability to access mainstream and community supports, helps support informal care and funds reasonable and necessary supports, including early intervention supports, for its participants</w:t>
            </w:r>
            <w:r>
              <w:t xml:space="preserve">. </w:t>
            </w:r>
          </w:p>
          <w:p w:rsidR="00060DC4" w:rsidRDefault="00060DC4" w:rsidP="009E411B">
            <w:pPr>
              <w:pStyle w:val="Box"/>
            </w:pPr>
            <w:r w:rsidRPr="00060DC4">
              <w:t xml:space="preserve">The NDIS was established under the </w:t>
            </w:r>
            <w:r w:rsidRPr="00060DC4">
              <w:rPr>
                <w:i/>
              </w:rPr>
              <w:t>National Disability Insurance Scheme Act 2013</w:t>
            </w:r>
            <w:r>
              <w:t xml:space="preserve"> (the NDIS Act). </w:t>
            </w:r>
            <w:r w:rsidRPr="00060DC4">
              <w:t xml:space="preserve">The NDIS Act also established the </w:t>
            </w:r>
            <w:r>
              <w:t>NDIA</w:t>
            </w:r>
            <w:r w:rsidRPr="00060DC4">
              <w:t xml:space="preserve"> as the admini</w:t>
            </w:r>
            <w:r>
              <w:t xml:space="preserve">stering agency for the scheme. </w:t>
            </w:r>
          </w:p>
          <w:p w:rsidR="004032C5" w:rsidRDefault="00060DC4" w:rsidP="009E411B">
            <w:pPr>
              <w:pStyle w:val="Box"/>
            </w:pPr>
            <w:r w:rsidRPr="00060DC4">
              <w:t>The objectives of the NDIS as outlined under the Act include</w:t>
            </w:r>
            <w:r w:rsidR="004032C5">
              <w:t>:</w:t>
            </w:r>
          </w:p>
          <w:p w:rsidR="004032C5" w:rsidRDefault="004032C5" w:rsidP="00FC30A5">
            <w:pPr>
              <w:pStyle w:val="BoxListBullet"/>
            </w:pPr>
            <w:r>
              <w:t>supporting people with disability to pursue their goals and maximise their independence and social and economic participation</w:t>
            </w:r>
          </w:p>
          <w:p w:rsidR="004032C5" w:rsidRDefault="004032C5" w:rsidP="00FC30A5">
            <w:pPr>
              <w:pStyle w:val="BoxListBullet"/>
            </w:pPr>
            <w:r>
              <w:t>developing the capacity of people with disability to participate in the community and in employment</w:t>
            </w:r>
          </w:p>
          <w:p w:rsidR="004032C5" w:rsidRDefault="004032C5" w:rsidP="00FC30A5">
            <w:pPr>
              <w:pStyle w:val="BoxListBullet"/>
            </w:pPr>
            <w:r>
              <w:t>providing reasonable and necessary supports, including early intervention supports, for Scheme participants</w:t>
            </w:r>
          </w:p>
          <w:p w:rsidR="004032C5" w:rsidRDefault="004032C5" w:rsidP="00FC30A5">
            <w:pPr>
              <w:pStyle w:val="BoxListBullet"/>
            </w:pPr>
            <w:r>
              <w:t>supporting people with disability to exercise choice and control in the pursuit of their goals and the planning and delivery of their supports</w:t>
            </w:r>
          </w:p>
          <w:p w:rsidR="004032C5" w:rsidRDefault="004032C5" w:rsidP="00185DCC">
            <w:pPr>
              <w:pStyle w:val="BoxListBullet"/>
            </w:pPr>
            <w:r>
              <w:t>building a sustainable Scheme which is based on insurance principles.</w:t>
            </w:r>
          </w:p>
        </w:tc>
      </w:tr>
      <w:tr w:rsidR="004032C5" w:rsidTr="00FC30A5">
        <w:trPr>
          <w:cantSplit/>
        </w:trPr>
        <w:tc>
          <w:tcPr>
            <w:tcW w:w="8771" w:type="dxa"/>
            <w:tcBorders>
              <w:top w:val="nil"/>
              <w:left w:val="nil"/>
              <w:bottom w:val="nil"/>
              <w:right w:val="nil"/>
            </w:tcBorders>
            <w:shd w:val="clear" w:color="auto" w:fill="F2F2F2"/>
          </w:tcPr>
          <w:p w:rsidR="004032C5" w:rsidRDefault="004032C5" w:rsidP="00FC30A5">
            <w:pPr>
              <w:pStyle w:val="BoxSource"/>
            </w:pPr>
            <w:r>
              <w:rPr>
                <w:i/>
              </w:rPr>
              <w:t>Source</w:t>
            </w:r>
            <w:r w:rsidRPr="00167F06">
              <w:t xml:space="preserve">: </w:t>
            </w:r>
            <w:r>
              <w:t>National Disability Insurance Agency (NDIA)</w:t>
            </w:r>
            <w:r w:rsidRPr="00EF28AC">
              <w:t xml:space="preserve"> (201</w:t>
            </w:r>
            <w:r>
              <w:t>4</w:t>
            </w:r>
            <w:r w:rsidRPr="00EF28AC">
              <w:t>).</w:t>
            </w:r>
          </w:p>
        </w:tc>
      </w:tr>
      <w:tr w:rsidR="004032C5" w:rsidTr="00FC30A5">
        <w:trPr>
          <w:cantSplit/>
        </w:trPr>
        <w:tc>
          <w:tcPr>
            <w:tcW w:w="8771" w:type="dxa"/>
            <w:tcBorders>
              <w:top w:val="nil"/>
              <w:left w:val="nil"/>
              <w:bottom w:val="single" w:sz="6" w:space="0" w:color="78A22F"/>
              <w:right w:val="nil"/>
            </w:tcBorders>
            <w:shd w:val="clear" w:color="auto" w:fill="F2F2F2"/>
          </w:tcPr>
          <w:p w:rsidR="004032C5" w:rsidRDefault="004032C5" w:rsidP="00FC30A5">
            <w:pPr>
              <w:pStyle w:val="Box"/>
              <w:spacing w:before="0" w:line="120" w:lineRule="exact"/>
            </w:pPr>
          </w:p>
        </w:tc>
      </w:tr>
      <w:tr w:rsidR="004032C5" w:rsidRPr="000863A5" w:rsidTr="00FC30A5">
        <w:tc>
          <w:tcPr>
            <w:tcW w:w="8771" w:type="dxa"/>
            <w:tcBorders>
              <w:top w:val="single" w:sz="6" w:space="0" w:color="78A22F"/>
              <w:left w:val="nil"/>
              <w:bottom w:val="nil"/>
              <w:right w:val="nil"/>
            </w:tcBorders>
          </w:tcPr>
          <w:p w:rsidR="004032C5" w:rsidRPr="00626D32" w:rsidRDefault="004032C5" w:rsidP="00FC30A5">
            <w:pPr>
              <w:pStyle w:val="BoxSpaceBelow"/>
            </w:pPr>
          </w:p>
        </w:tc>
      </w:tr>
    </w:tbl>
    <w:p w:rsidR="005D6C8F" w:rsidRDefault="005D6C8F" w:rsidP="00960B72">
      <w:pPr>
        <w:pStyle w:val="BodyText"/>
      </w:pPr>
      <w:r w:rsidRPr="009E411B">
        <w:t>The National Disability Strategy 2010–2020 was endorsed by COAG in 2011. The Strategy is designed to guide public policy across governments and aims to bring about changes to all mainstream services and programs, as well as community infrastructure, to ensure they are accessible and responsive to the needs of people with disability.</w:t>
      </w:r>
    </w:p>
    <w:p w:rsidR="00103DF5" w:rsidRPr="00DC701D" w:rsidRDefault="00103DF5" w:rsidP="00103DF5">
      <w:pPr>
        <w:pStyle w:val="Heading4"/>
      </w:pPr>
      <w:r w:rsidRPr="00DC701D">
        <w:t>Australian, State and Territory governments</w:t>
      </w:r>
    </w:p>
    <w:p w:rsidR="009E3042" w:rsidRDefault="009E3042" w:rsidP="00103DF5">
      <w:pPr>
        <w:pStyle w:val="BodyText"/>
        <w:rPr>
          <w:shd w:val="clear" w:color="auto" w:fill="FFFFFF" w:themeFill="background1"/>
        </w:rPr>
      </w:pPr>
      <w:r w:rsidRPr="000C4C65">
        <w:t xml:space="preserve">The Australian, State and Territory governments aim to ensure that people with disability and their carers have an enhanced quality of life and participate as valued members of the </w:t>
      </w:r>
      <w:r w:rsidRPr="000C4C65">
        <w:rPr>
          <w:shd w:val="clear" w:color="auto" w:fill="FFFFFF" w:themeFill="background1"/>
        </w:rPr>
        <w:t>community.</w:t>
      </w:r>
      <w:r>
        <w:rPr>
          <w:shd w:val="clear" w:color="auto" w:fill="FFFFFF" w:themeFill="background1"/>
        </w:rPr>
        <w:t xml:space="preserve"> </w:t>
      </w:r>
      <w:r w:rsidR="00A21513" w:rsidRPr="009E411B">
        <w:t>During transition to the NDIS</w:t>
      </w:r>
      <w:r w:rsidR="009402E8" w:rsidRPr="009E411B">
        <w:t>,</w:t>
      </w:r>
      <w:r w:rsidR="00A21513" w:rsidRPr="009E411B">
        <w:t xml:space="preserve"> all governments will continue to exercise their roles and responsibilities as detailed below.</w:t>
      </w:r>
    </w:p>
    <w:p w:rsidR="00103DF5" w:rsidRPr="00DC701D" w:rsidRDefault="007461AC" w:rsidP="00103DF5">
      <w:pPr>
        <w:pStyle w:val="BodyText"/>
      </w:pPr>
      <w:r>
        <w:t>Currently u</w:t>
      </w:r>
      <w:r w:rsidR="009E3042">
        <w:t>nder the NDA, t</w:t>
      </w:r>
      <w:r w:rsidR="00103DF5" w:rsidRPr="00DC701D">
        <w:t>he Australian Government is responsible for:</w:t>
      </w:r>
    </w:p>
    <w:p w:rsidR="00103DF5" w:rsidRPr="00DC701D" w:rsidRDefault="00103DF5" w:rsidP="00103DF5">
      <w:pPr>
        <w:pStyle w:val="ListBullet"/>
      </w:pPr>
      <w:r w:rsidRPr="00DC701D">
        <w:t xml:space="preserve">provision of employment services for people with disability (which includes regulation, service quality and assurance, assessment, policy development, service planning, and workforce and sector development) </w:t>
      </w:r>
    </w:p>
    <w:p w:rsidR="00103DF5" w:rsidRPr="00DC701D" w:rsidRDefault="00103DF5" w:rsidP="00103DF5">
      <w:pPr>
        <w:pStyle w:val="ListBullet"/>
      </w:pPr>
      <w:r w:rsidRPr="00DC701D">
        <w:lastRenderedPageBreak/>
        <w:t>provision of income support targeted to the needs of people with disability, their families and carers</w:t>
      </w:r>
    </w:p>
    <w:p w:rsidR="00103DF5" w:rsidRPr="00DC701D" w:rsidRDefault="00103DF5" w:rsidP="00103DF5">
      <w:pPr>
        <w:pStyle w:val="ListBullet"/>
      </w:pPr>
      <w:r w:rsidRPr="00DC701D">
        <w:t>provision of funds to states and territories to contribute to the achievement of the NDA objectives and outcomes</w:t>
      </w:r>
    </w:p>
    <w:p w:rsidR="00103DF5" w:rsidRPr="009E3042" w:rsidRDefault="00103DF5" w:rsidP="00103DF5">
      <w:pPr>
        <w:pStyle w:val="ListBullet"/>
      </w:pPr>
      <w:r w:rsidRPr="00DC701D">
        <w:t xml:space="preserve">ensuring that Commonwealth legislation and regulations are aligned with the national policy reform directions and the </w:t>
      </w:r>
      <w:r w:rsidRPr="00185DCC">
        <w:t>United Nations Convention on the Rights of Persons with Disabilities</w:t>
      </w:r>
      <w:r w:rsidRPr="009E3042">
        <w:t xml:space="preserve">. </w:t>
      </w:r>
    </w:p>
    <w:p w:rsidR="00103DF5" w:rsidRPr="00DC701D" w:rsidRDefault="00103DF5" w:rsidP="00185DCC">
      <w:pPr>
        <w:pStyle w:val="BodyText"/>
        <w:keepNext/>
      </w:pPr>
      <w:r w:rsidRPr="00DC701D">
        <w:t>State and Territory governments are responsible for:</w:t>
      </w:r>
    </w:p>
    <w:p w:rsidR="00103DF5" w:rsidRPr="00DC701D" w:rsidRDefault="00103DF5" w:rsidP="00103DF5">
      <w:pPr>
        <w:pStyle w:val="ListBullet"/>
      </w:pPr>
      <w:r w:rsidRPr="00DC701D">
        <w:t xml:space="preserve">the provision of specialist disability services, except disability employment services </w:t>
      </w:r>
    </w:p>
    <w:p w:rsidR="00103DF5" w:rsidRPr="00DC701D" w:rsidRDefault="00103DF5" w:rsidP="00103DF5">
      <w:pPr>
        <w:pStyle w:val="ListBullet"/>
      </w:pPr>
      <w:r w:rsidRPr="00DC701D">
        <w:t>ensuring that State and Territory legislation and regulations are aligned with the national policy and reform directions</w:t>
      </w:r>
      <w:r w:rsidR="00BC24A6">
        <w:t>.</w:t>
      </w:r>
    </w:p>
    <w:p w:rsidR="00103DF5" w:rsidRPr="00DC701D" w:rsidRDefault="00103DF5" w:rsidP="00103DF5">
      <w:pPr>
        <w:pStyle w:val="BodyText"/>
      </w:pPr>
      <w:r w:rsidRPr="00DC701D">
        <w:t>Australian, State and Territory governments are jointly responsible for:</w:t>
      </w:r>
    </w:p>
    <w:p w:rsidR="00103DF5" w:rsidRPr="00DC701D" w:rsidRDefault="00103DF5" w:rsidP="00103DF5">
      <w:pPr>
        <w:pStyle w:val="ListBullet"/>
      </w:pPr>
      <w:r w:rsidRPr="00DC701D">
        <w:t>development of national policy and reform directions to meet the agreed objectives and outcomes of the NDA</w:t>
      </w:r>
    </w:p>
    <w:p w:rsidR="00103DF5" w:rsidRPr="00DC701D" w:rsidRDefault="00103DF5" w:rsidP="00103DF5">
      <w:pPr>
        <w:pStyle w:val="ListBullet"/>
      </w:pPr>
      <w:r w:rsidRPr="00DC701D">
        <w:t>funding and pursuing research that provides an evidence base for national policy and reform directions</w:t>
      </w:r>
    </w:p>
    <w:p w:rsidR="00103DF5" w:rsidRDefault="00103DF5" w:rsidP="00103DF5">
      <w:pPr>
        <w:pStyle w:val="ListBullet"/>
      </w:pPr>
      <w:r w:rsidRPr="00DC701D">
        <w:t>developing and implementing reforms to improve outcomes for Aboriginal and Torres Strait Islander people with disability</w:t>
      </w:r>
    </w:p>
    <w:p w:rsidR="00BC24A6" w:rsidRPr="00DC701D" w:rsidRDefault="00BC24A6" w:rsidP="00103DF5">
      <w:pPr>
        <w:pStyle w:val="ListBullet"/>
      </w:pPr>
      <w:r w:rsidRPr="00DC701D">
        <w:t xml:space="preserve">where appropriate, investing in initiatives to support nationally agreed policy priorities </w:t>
      </w:r>
    </w:p>
    <w:p w:rsidR="00103DF5" w:rsidRPr="00DC701D" w:rsidRDefault="00103DF5" w:rsidP="00103DF5">
      <w:pPr>
        <w:pStyle w:val="ListBullet"/>
      </w:pPr>
      <w:r w:rsidRPr="00DC701D">
        <w:t>the provision of data, including a commitment to providing data for the DS NMDS and a commitment to the improvement of data quality.</w:t>
      </w:r>
    </w:p>
    <w:p w:rsidR="00103DF5" w:rsidRPr="00532D7E" w:rsidRDefault="00A21513" w:rsidP="00103DF5">
      <w:pPr>
        <w:pStyle w:val="BodyText"/>
      </w:pPr>
      <w:r w:rsidRPr="009E411B">
        <w:t>Under the NDIS, responsibility for the scheme</w:t>
      </w:r>
      <w:r w:rsidR="00F12307" w:rsidRPr="009E411B">
        <w:t>’</w:t>
      </w:r>
      <w:r w:rsidRPr="009E411B">
        <w:t xml:space="preserve">s policy, </w:t>
      </w:r>
      <w:r w:rsidR="00103DF5" w:rsidRPr="009E411B">
        <w:t xml:space="preserve">funding and governance </w:t>
      </w:r>
      <w:r w:rsidRPr="009E411B">
        <w:t xml:space="preserve">is </w:t>
      </w:r>
      <w:r w:rsidR="00103DF5" w:rsidRPr="009E411B">
        <w:t xml:space="preserve">shared </w:t>
      </w:r>
      <w:r w:rsidR="004A52E3" w:rsidRPr="009E411B">
        <w:t xml:space="preserve">by </w:t>
      </w:r>
      <w:r w:rsidR="00103DF5" w:rsidRPr="009E411B">
        <w:t>all governments. The</w:t>
      </w:r>
      <w:r w:rsidR="00103DF5" w:rsidRPr="00532D7E">
        <w:t xml:space="preserve"> key governance arrangements are:</w:t>
      </w:r>
    </w:p>
    <w:p w:rsidR="00103DF5" w:rsidRPr="00532D7E" w:rsidRDefault="00103DF5" w:rsidP="00103DF5">
      <w:pPr>
        <w:pStyle w:val="ListBullet"/>
      </w:pPr>
      <w:r w:rsidRPr="00532D7E">
        <w:t>the scheme is administered by the NDIA and is governed by a Board</w:t>
      </w:r>
    </w:p>
    <w:p w:rsidR="00103DF5" w:rsidRPr="00532D7E" w:rsidRDefault="00103DF5" w:rsidP="00103DF5">
      <w:pPr>
        <w:pStyle w:val="ListBullet"/>
      </w:pPr>
      <w:r w:rsidRPr="00532D7E">
        <w:t xml:space="preserve">the </w:t>
      </w:r>
      <w:r w:rsidR="00E21429" w:rsidRPr="009E411B">
        <w:t xml:space="preserve">COAG </w:t>
      </w:r>
      <w:r w:rsidR="00B9149D" w:rsidRPr="009E411B">
        <w:t>D</w:t>
      </w:r>
      <w:r w:rsidR="00E21429" w:rsidRPr="009E411B">
        <w:t xml:space="preserve">isability </w:t>
      </w:r>
      <w:r w:rsidR="00B9149D" w:rsidRPr="009E411B">
        <w:t>R</w:t>
      </w:r>
      <w:r w:rsidR="00E21429" w:rsidRPr="009E411B">
        <w:t xml:space="preserve">eform </w:t>
      </w:r>
      <w:r w:rsidR="00B9149D" w:rsidRPr="009E411B">
        <w:t>C</w:t>
      </w:r>
      <w:r w:rsidR="00E21429" w:rsidRPr="009E411B">
        <w:t>ouncil</w:t>
      </w:r>
      <w:r w:rsidRPr="00532D7E">
        <w:t xml:space="preserve"> makes the policy decisions relating to the NDIS</w:t>
      </w:r>
    </w:p>
    <w:p w:rsidR="00F12307" w:rsidRPr="00F12307" w:rsidRDefault="00F12307" w:rsidP="009E411B">
      <w:pPr>
        <w:pStyle w:val="ListBullet"/>
      </w:pPr>
      <w:r w:rsidRPr="00F12307">
        <w:t>the NDIA manages scheme funds, administers access to the scheme, approves the payment of individualised support packages and will hold all funds contributed by the Commonwealth, states and territories in a single pool</w:t>
      </w:r>
    </w:p>
    <w:p w:rsidR="00103DF5" w:rsidRDefault="00103DF5" w:rsidP="00F12307">
      <w:pPr>
        <w:pStyle w:val="ListBullet"/>
      </w:pPr>
      <w:r w:rsidRPr="00F12307">
        <w:t xml:space="preserve">the Commonwealth Minister is responsible for administering </w:t>
      </w:r>
      <w:r w:rsidRPr="00532D7E">
        <w:t xml:space="preserve">the </w:t>
      </w:r>
      <w:r w:rsidRPr="00185DCC">
        <w:t>NDIS Act</w:t>
      </w:r>
      <w:r w:rsidRPr="00BC24A6">
        <w:t>,</w:t>
      </w:r>
      <w:r w:rsidRPr="00532D7E">
        <w:t xml:space="preserve"> and exercises statutory powers with the agreement of states and territories, including power to make the NDIS Rules and direct the NDIA.</w:t>
      </w:r>
    </w:p>
    <w:p w:rsidR="00D43C92" w:rsidRDefault="00D43C92">
      <w:pPr>
        <w:rPr>
          <w:rFonts w:ascii="Arial" w:hAnsi="Arial"/>
          <w:b/>
          <w:sz w:val="26"/>
          <w:szCs w:val="20"/>
        </w:rPr>
      </w:pPr>
      <w:r>
        <w:br w:type="page"/>
      </w:r>
    </w:p>
    <w:p w:rsidR="001F39F2" w:rsidRPr="00B02DB0" w:rsidRDefault="001F39F2" w:rsidP="00321568">
      <w:pPr>
        <w:pStyle w:val="Heading3"/>
        <w:keepNext w:val="0"/>
      </w:pPr>
      <w:r w:rsidRPr="00B02DB0">
        <w:lastRenderedPageBreak/>
        <w:t>Service overview</w:t>
      </w:r>
    </w:p>
    <w:p w:rsidR="00103DF5" w:rsidRDefault="00103DF5" w:rsidP="00185DCC">
      <w:pPr>
        <w:pStyle w:val="BodyText"/>
      </w:pPr>
      <w:r w:rsidRPr="007E6C73">
        <w:t xml:space="preserve">Government assistance for people with disability and their carers comprises provision of specialist disability services, </w:t>
      </w:r>
      <w:r w:rsidR="00170497">
        <w:t xml:space="preserve">the NDIS, </w:t>
      </w:r>
      <w:r w:rsidRPr="007E6C73">
        <w:t>access to mainstream services</w:t>
      </w:r>
      <w:r w:rsidR="00C20C63">
        <w:t xml:space="preserve"> and the</w:t>
      </w:r>
      <w:r w:rsidRPr="007E6C73">
        <w:t xml:space="preserve"> provision of income support.</w:t>
      </w:r>
    </w:p>
    <w:p w:rsidR="001F39F2" w:rsidRPr="007E6C73" w:rsidRDefault="001F39F2" w:rsidP="00585E2C">
      <w:pPr>
        <w:pStyle w:val="Heading4"/>
      </w:pPr>
      <w:r w:rsidRPr="007E6C73">
        <w:t>Specialist disability services</w:t>
      </w:r>
    </w:p>
    <w:p w:rsidR="001F39F2" w:rsidRPr="007E6C73" w:rsidRDefault="001F39F2" w:rsidP="00585E2C">
      <w:pPr>
        <w:pStyle w:val="BodyText"/>
      </w:pPr>
      <w:r w:rsidRPr="007E6C73">
        <w:t xml:space="preserve">Specialist disability services are designed to meet the needs of people with disability. These services tend to be targeted at those who have profound or severe </w:t>
      </w:r>
      <w:r w:rsidR="000A77A8" w:rsidRPr="007E6C73">
        <w:t>core activity limitations</w:t>
      </w:r>
      <w:r w:rsidR="008C441A">
        <w:t xml:space="preserve"> (see section</w:t>
      </w:r>
      <w:r w:rsidR="005547FD">
        <w:t> </w:t>
      </w:r>
      <w:r w:rsidR="008C441A">
        <w:t>14.6 for definitions)</w:t>
      </w:r>
      <w:r w:rsidR="000A77A8" w:rsidRPr="007E6C73">
        <w:t>. The</w:t>
      </w:r>
      <w:r w:rsidRPr="007E6C73">
        <w:t xml:space="preserve"> seven broad categories of specialist disability services </w:t>
      </w:r>
      <w:r w:rsidR="000A77A8" w:rsidRPr="007E6C73">
        <w:t xml:space="preserve">are </w:t>
      </w:r>
      <w:r w:rsidRPr="007E6C73">
        <w:t xml:space="preserve">outlined below: </w:t>
      </w:r>
    </w:p>
    <w:p w:rsidR="001F39F2" w:rsidRPr="00B02DB0" w:rsidRDefault="001F39F2" w:rsidP="00585E2C">
      <w:pPr>
        <w:pStyle w:val="ListBullet"/>
      </w:pPr>
      <w:r w:rsidRPr="00B02DB0">
        <w:rPr>
          <w:i/>
        </w:rPr>
        <w:t>accommodation support services</w:t>
      </w:r>
      <w:r w:rsidR="00B2421E" w:rsidRPr="00B02DB0">
        <w:t xml:space="preserve">, which </w:t>
      </w:r>
      <w:r w:rsidRPr="00B02DB0">
        <w:t>provide support to people with disability in accommodation settings (hostels, institutions and group homes) and in their own home</w:t>
      </w:r>
      <w:r w:rsidR="009A4249" w:rsidRPr="00B02DB0">
        <w:t>s</w:t>
      </w:r>
      <w:r w:rsidRPr="00B02DB0">
        <w:t xml:space="preserve"> (including attendant/personal care, in home support and alternative family placements)</w:t>
      </w:r>
    </w:p>
    <w:p w:rsidR="001F39F2" w:rsidRPr="00B02DB0" w:rsidRDefault="001F39F2" w:rsidP="00585E2C">
      <w:pPr>
        <w:pStyle w:val="ListBullet"/>
      </w:pPr>
      <w:r w:rsidRPr="00B02DB0">
        <w:rPr>
          <w:i/>
        </w:rPr>
        <w:t>community support services</w:t>
      </w:r>
      <w:r w:rsidR="00B2421E" w:rsidRPr="00B02DB0">
        <w:t>, which</w:t>
      </w:r>
      <w:r w:rsidRPr="00B02DB0">
        <w:t xml:space="preserve"> provide the support needed for a person with disability to live in a non</w:t>
      </w:r>
      <w:r w:rsidR="00B84AF2">
        <w:noBreakHyphen/>
      </w:r>
      <w:r w:rsidRPr="00B02DB0">
        <w:t xml:space="preserve">institutional setting — including therapy support, counselling and early childhood intervention </w:t>
      </w:r>
    </w:p>
    <w:p w:rsidR="001F39F2" w:rsidRPr="00B02DB0" w:rsidRDefault="001F39F2" w:rsidP="00585E2C">
      <w:pPr>
        <w:pStyle w:val="ListBullet"/>
      </w:pPr>
      <w:r w:rsidRPr="00B02DB0">
        <w:rPr>
          <w:i/>
        </w:rPr>
        <w:t>community access services</w:t>
      </w:r>
      <w:r w:rsidR="00B2421E" w:rsidRPr="00B02DB0">
        <w:t>, which</w:t>
      </w:r>
      <w:r w:rsidRPr="00B02DB0">
        <w:t xml:space="preserve"> provide opportunities for people with disability to gain and use their abilities to enjoy their full potential for social independence — including learning and life skills development and recreation/holiday programs</w:t>
      </w:r>
    </w:p>
    <w:p w:rsidR="001F39F2" w:rsidRPr="00B02DB0" w:rsidRDefault="001F39F2" w:rsidP="00585E2C">
      <w:pPr>
        <w:pStyle w:val="ListBullet"/>
      </w:pPr>
      <w:r w:rsidRPr="00B02DB0">
        <w:rPr>
          <w:i/>
        </w:rPr>
        <w:t>respite care services</w:t>
      </w:r>
      <w:r w:rsidR="00B2421E" w:rsidRPr="00B02DB0">
        <w:t>, which</w:t>
      </w:r>
      <w:r w:rsidRPr="00B02DB0">
        <w:t xml:space="preserve"> provide a short</w:t>
      </w:r>
      <w:r w:rsidR="00B84AF2">
        <w:noBreakHyphen/>
      </w:r>
      <w:r w:rsidRPr="00B02DB0">
        <w:t>term and time</w:t>
      </w:r>
      <w:r w:rsidR="00B84AF2">
        <w:noBreakHyphen/>
      </w:r>
      <w:r w:rsidRPr="00B02DB0">
        <w:t>limited break for families and other voluntary caregivers of people with disability, to assist in supporting and maintaining the primary care</w:t>
      </w:r>
      <w:r w:rsidR="00B84AF2">
        <w:noBreakHyphen/>
      </w:r>
      <w:r w:rsidRPr="00B02DB0">
        <w:t xml:space="preserve">giving relationship, while providing a positive experience for the person with disability </w:t>
      </w:r>
    </w:p>
    <w:p w:rsidR="001F39F2" w:rsidRPr="00B02DB0" w:rsidRDefault="001F39F2" w:rsidP="00585E2C">
      <w:pPr>
        <w:pStyle w:val="ListBullet"/>
      </w:pPr>
      <w:r w:rsidRPr="00B02DB0">
        <w:rPr>
          <w:i/>
        </w:rPr>
        <w:t>employment services</w:t>
      </w:r>
      <w:r w:rsidR="00B2421E" w:rsidRPr="00B02DB0">
        <w:t xml:space="preserve"> for people with disability, which </w:t>
      </w:r>
      <w:r w:rsidRPr="00B02DB0">
        <w:t>provide:</w:t>
      </w:r>
      <w:r w:rsidR="001A2F72" w:rsidRPr="00B02DB0">
        <w:t xml:space="preserve"> </w:t>
      </w:r>
    </w:p>
    <w:p w:rsidR="001F39F2" w:rsidRPr="00B02DB0" w:rsidRDefault="001F39F2" w:rsidP="00585E2C">
      <w:pPr>
        <w:pStyle w:val="ListBullet2"/>
      </w:pPr>
      <w:r w:rsidRPr="00B02DB0">
        <w:t xml:space="preserve">open employment services — assistance in obtaining and/or retaining paid employment in the open labour market </w:t>
      </w:r>
    </w:p>
    <w:p w:rsidR="001F39F2" w:rsidRPr="00B02DB0" w:rsidRDefault="001F39F2" w:rsidP="00585E2C">
      <w:pPr>
        <w:pStyle w:val="ListBullet2"/>
      </w:pPr>
      <w:r w:rsidRPr="00B02DB0">
        <w:t xml:space="preserve">supported employment services — support and employment within the same organisation </w:t>
      </w:r>
    </w:p>
    <w:p w:rsidR="001F39F2" w:rsidRPr="00B02DB0" w:rsidRDefault="001F39F2" w:rsidP="00585E2C">
      <w:pPr>
        <w:pStyle w:val="ListBullet"/>
        <w:rPr>
          <w:i/>
        </w:rPr>
      </w:pPr>
      <w:r w:rsidRPr="00B02DB0">
        <w:rPr>
          <w:i/>
        </w:rPr>
        <w:t>advocacy, information and alternative forms of communication</w:t>
      </w:r>
      <w:r w:rsidR="00B2421E" w:rsidRPr="00B02DB0">
        <w:t>, which provide</w:t>
      </w:r>
      <w:r w:rsidR="0071748B" w:rsidRPr="00B02DB0">
        <w:t>:</w:t>
      </w:r>
    </w:p>
    <w:p w:rsidR="001F39F2" w:rsidRPr="00B02DB0" w:rsidRDefault="001F39F2" w:rsidP="00585E2C">
      <w:pPr>
        <w:pStyle w:val="ListBullet2"/>
      </w:pPr>
      <w:r w:rsidRPr="00B02DB0">
        <w:t>advocacy services</w:t>
      </w:r>
      <w:r w:rsidR="00B2421E" w:rsidRPr="00B02DB0">
        <w:t xml:space="preserve"> to</w:t>
      </w:r>
      <w:r w:rsidRPr="00B02DB0">
        <w:t xml:space="preserve"> enable people with disability to increase their control over their lives by representing their interests and views in the community</w:t>
      </w:r>
    </w:p>
    <w:p w:rsidR="001F39F2" w:rsidRPr="00B02DB0" w:rsidRDefault="001F39F2" w:rsidP="00585E2C">
      <w:pPr>
        <w:pStyle w:val="ListBullet2"/>
      </w:pPr>
      <w:r w:rsidRPr="00B02DB0">
        <w:t>information services</w:t>
      </w:r>
      <w:r w:rsidR="00B2421E" w:rsidRPr="00B02DB0">
        <w:t xml:space="preserve"> </w:t>
      </w:r>
      <w:r w:rsidR="00B36BA4" w:rsidRPr="00B02DB0">
        <w:t xml:space="preserve">to assist </w:t>
      </w:r>
      <w:r w:rsidRPr="00B02DB0">
        <w:t xml:space="preserve">people with disability, their carers, families and related professionals </w:t>
      </w:r>
      <w:r w:rsidR="00B36BA4" w:rsidRPr="00B02DB0">
        <w:t xml:space="preserve">accessing information </w:t>
      </w:r>
      <w:r w:rsidRPr="00B02DB0">
        <w:t>about disabilities, specific and mainstream services and equipment; and promote the development of community awareness</w:t>
      </w:r>
    </w:p>
    <w:p w:rsidR="001F39F2" w:rsidRPr="00B02DB0" w:rsidRDefault="001F39F2" w:rsidP="00585E2C">
      <w:pPr>
        <w:pStyle w:val="ListBullet2"/>
      </w:pPr>
      <w:r w:rsidRPr="00B02DB0">
        <w:t>alternative forms of communication for people who are</w:t>
      </w:r>
      <w:r w:rsidR="007265EE" w:rsidRPr="00B02DB0">
        <w:t>,</w:t>
      </w:r>
      <w:r w:rsidRPr="00B02DB0">
        <w:t xml:space="preserve"> by reason of their disability, unable to access information provided in </w:t>
      </w:r>
      <w:r w:rsidR="009A4249" w:rsidRPr="00B02DB0">
        <w:t>standard format</w:t>
      </w:r>
      <w:r w:rsidR="007265EE" w:rsidRPr="00B02DB0">
        <w:t>s</w:t>
      </w:r>
    </w:p>
    <w:p w:rsidR="001F39F2" w:rsidRPr="00B02DB0" w:rsidRDefault="001F39F2" w:rsidP="00585E2C">
      <w:pPr>
        <w:pStyle w:val="ListBullet"/>
      </w:pPr>
      <w:r w:rsidRPr="00B02DB0">
        <w:rPr>
          <w:i/>
        </w:rPr>
        <w:lastRenderedPageBreak/>
        <w:t>other support services</w:t>
      </w:r>
      <w:r w:rsidR="00B2421E" w:rsidRPr="00B02DB0">
        <w:t>, which</w:t>
      </w:r>
      <w:r w:rsidRPr="00B02DB0">
        <w:t xml:space="preserve"> include research and evaluation, and training and development projects.</w:t>
      </w:r>
    </w:p>
    <w:p w:rsidR="007E6C73" w:rsidRPr="00834CC4" w:rsidRDefault="007E6C73" w:rsidP="007E6C73">
      <w:pPr>
        <w:pStyle w:val="Heading4"/>
      </w:pPr>
      <w:r w:rsidRPr="00834CC4">
        <w:t>National Disability Insurance Scheme</w:t>
      </w:r>
    </w:p>
    <w:p w:rsidR="007E6C73" w:rsidRPr="00A12A03" w:rsidRDefault="005D67DF" w:rsidP="007E6C73">
      <w:pPr>
        <w:pStyle w:val="BodyText"/>
        <w:rPr>
          <w:shd w:val="clear" w:color="auto" w:fill="FFFFFF" w:themeFill="background1"/>
        </w:rPr>
      </w:pPr>
      <w:r w:rsidRPr="009E411B">
        <w:t>From 1</w:t>
      </w:r>
      <w:r w:rsidR="005547FD">
        <w:t> </w:t>
      </w:r>
      <w:r w:rsidRPr="009E411B">
        <w:t>July 2013, people with</w:t>
      </w:r>
      <w:r w:rsidR="007E6C73" w:rsidRPr="009E411B">
        <w:t xml:space="preserve"> disability can access the scheme if they are in a </w:t>
      </w:r>
      <w:r w:rsidR="00B9149D" w:rsidRPr="009E411B">
        <w:t>NDIS</w:t>
      </w:r>
      <w:r w:rsidR="007E6C73" w:rsidRPr="009E411B">
        <w:t xml:space="preserve"> location, are the eligible age for that location and meet either the disability or early intervention requirements.</w:t>
      </w:r>
      <w:r w:rsidR="007E6C73" w:rsidRPr="00B86C20">
        <w:rPr>
          <w:shd w:val="clear" w:color="auto" w:fill="FFFFFF" w:themeFill="background1"/>
        </w:rPr>
        <w:t xml:space="preserve"> Disability requirements include people who have a significant and permanent disability and who need assistance with everyday activities. This includes people whose disability is attributed to intellectual, cognitive, neurological, sensory, or physical impairment, or a psychiatric </w:t>
      </w:r>
      <w:r w:rsidR="007E6C73" w:rsidRPr="00A12A03">
        <w:rPr>
          <w:shd w:val="clear" w:color="auto" w:fill="FFFFFF" w:themeFill="background1"/>
        </w:rPr>
        <w:t>condition. Early intervention requirements include people who have a permanent impairment or are aged under six years with a developmental delay.</w:t>
      </w:r>
      <w:r w:rsidR="00A0153C" w:rsidRPr="00A12A03">
        <w:rPr>
          <w:shd w:val="clear" w:color="auto" w:fill="FFFFFF" w:themeFill="background1"/>
        </w:rPr>
        <w:t xml:space="preserve"> </w:t>
      </w:r>
    </w:p>
    <w:p w:rsidR="0043577B" w:rsidRDefault="0043577B" w:rsidP="0043577B">
      <w:pPr>
        <w:pStyle w:val="BodyText"/>
      </w:pPr>
      <w:r w:rsidRPr="0096082C">
        <w:t>With the</w:t>
      </w:r>
      <w:r w:rsidRPr="00A12A03">
        <w:t xml:space="preserve"> gradual roll</w:t>
      </w:r>
      <w:r w:rsidRPr="00A12A03">
        <w:noBreakHyphen/>
        <w:t xml:space="preserve">out of the NDIS across Australia, it is expected that most existing NDA service users will transition to the NDIS and exit </w:t>
      </w:r>
      <w:r w:rsidR="00B9149D">
        <w:t xml:space="preserve">therefore </w:t>
      </w:r>
      <w:r w:rsidRPr="00A12A03">
        <w:t>from the DS NMDS collection over time</w:t>
      </w:r>
      <w:r w:rsidRPr="00FE16B7">
        <w:t xml:space="preserve">. </w:t>
      </w:r>
      <w:r>
        <w:t>By 2019</w:t>
      </w:r>
      <w:r w:rsidR="005547FD">
        <w:noBreakHyphen/>
      </w:r>
      <w:r>
        <w:t>20, i</w:t>
      </w:r>
      <w:r w:rsidRPr="00FE16B7">
        <w:t>t is anticipated that all eligible Australians under the age of 65 will be covered by the</w:t>
      </w:r>
      <w:r>
        <w:t xml:space="preserve"> NDIS (except for WA residents).</w:t>
      </w:r>
      <w:r>
        <w:rPr>
          <w:rStyle w:val="FootnoteReference"/>
        </w:rPr>
        <w:footnoteReference w:id="2"/>
      </w:r>
      <w:r w:rsidRPr="00FE16B7">
        <w:t xml:space="preserve"> </w:t>
      </w:r>
    </w:p>
    <w:p w:rsidR="0048710E" w:rsidRDefault="00D91B51" w:rsidP="00831D4F">
      <w:pPr>
        <w:pStyle w:val="BodyText"/>
        <w:rPr>
          <w:shd w:val="clear" w:color="auto" w:fill="BFBFBF" w:themeFill="background1" w:themeFillShade="BF"/>
        </w:rPr>
      </w:pPr>
      <w:r w:rsidRPr="004A52E3">
        <w:rPr>
          <w:shd w:val="clear" w:color="auto" w:fill="FFFFFF" w:themeFill="background1"/>
        </w:rPr>
        <w:t>In 2013</w:t>
      </w:r>
      <w:r w:rsidR="005547FD">
        <w:rPr>
          <w:shd w:val="clear" w:color="auto" w:fill="FFFFFF" w:themeFill="background1"/>
        </w:rPr>
        <w:noBreakHyphen/>
      </w:r>
      <w:r w:rsidRPr="004A52E3">
        <w:rPr>
          <w:shd w:val="clear" w:color="auto" w:fill="FFFFFF" w:themeFill="background1"/>
        </w:rPr>
        <w:t xml:space="preserve">14, </w:t>
      </w:r>
      <w:r w:rsidRPr="009E411B">
        <w:t>4</w:t>
      </w:r>
      <w:r w:rsidR="00970D35" w:rsidRPr="009E411B">
        <w:t>051</w:t>
      </w:r>
      <w:r w:rsidRPr="004A52E3">
        <w:rPr>
          <w:shd w:val="clear" w:color="auto" w:fill="FFFFFF" w:themeFill="background1"/>
        </w:rPr>
        <w:t xml:space="preserve"> people who used disability support services under the NDA, transitioned </w:t>
      </w:r>
      <w:r w:rsidR="007678AB" w:rsidRPr="0048710E">
        <w:rPr>
          <w:shd w:val="clear" w:color="auto" w:fill="FFFFFF" w:themeFill="background1"/>
        </w:rPr>
        <w:t xml:space="preserve">to the </w:t>
      </w:r>
      <w:r w:rsidRPr="0048710E">
        <w:rPr>
          <w:shd w:val="clear" w:color="auto" w:fill="FFFFFF" w:themeFill="background1"/>
        </w:rPr>
        <w:t>NDIS. As at 30</w:t>
      </w:r>
      <w:r w:rsidR="005547FD">
        <w:rPr>
          <w:shd w:val="clear" w:color="auto" w:fill="FFFFFF" w:themeFill="background1"/>
        </w:rPr>
        <w:t> </w:t>
      </w:r>
      <w:r w:rsidRPr="0048710E">
        <w:rPr>
          <w:shd w:val="clear" w:color="auto" w:fill="FFFFFF" w:themeFill="background1"/>
        </w:rPr>
        <w:t>June 2014, there were 4883 NDIS participants who were existing State</w:t>
      </w:r>
      <w:r w:rsidR="00A12A03" w:rsidRPr="00831D4F">
        <w:rPr>
          <w:shd w:val="clear" w:color="auto" w:fill="FFFFFF" w:themeFill="background1"/>
        </w:rPr>
        <w:t>/</w:t>
      </w:r>
      <w:r w:rsidRPr="00831D4F">
        <w:rPr>
          <w:shd w:val="clear" w:color="auto" w:fill="FFFFFF" w:themeFill="background1"/>
        </w:rPr>
        <w:t>Territory service users</w:t>
      </w:r>
      <w:r w:rsidR="00BD4EBB" w:rsidRPr="00831D4F">
        <w:rPr>
          <w:shd w:val="clear" w:color="auto" w:fill="FFFFFF" w:themeFill="background1"/>
        </w:rPr>
        <w:t xml:space="preserve"> (that is, had transferred at some time from NDA services)</w:t>
      </w:r>
      <w:r w:rsidRPr="00831D4F">
        <w:rPr>
          <w:shd w:val="clear" w:color="auto" w:fill="FFFFFF" w:themeFill="background1"/>
        </w:rPr>
        <w:t xml:space="preserve"> (</w:t>
      </w:r>
      <w:r w:rsidR="004B1196" w:rsidRPr="00831D4F">
        <w:rPr>
          <w:shd w:val="clear" w:color="auto" w:fill="FFFFFF" w:themeFill="background1"/>
        </w:rPr>
        <w:t>table </w:t>
      </w:r>
      <w:r w:rsidR="00BC24A6" w:rsidRPr="00831D4F">
        <w:rPr>
          <w:shd w:val="clear" w:color="auto" w:fill="FFFFFF" w:themeFill="background1"/>
        </w:rPr>
        <w:t>14.1</w:t>
      </w:r>
      <w:r w:rsidR="00A12A03" w:rsidRPr="00831D4F">
        <w:rPr>
          <w:shd w:val="clear" w:color="auto" w:fill="FFFFFF" w:themeFill="background1"/>
        </w:rPr>
        <w:t>).</w:t>
      </w:r>
      <w:r w:rsidR="00C52435" w:rsidRPr="0096082C">
        <w:t xml:space="preserve"> </w:t>
      </w:r>
      <w:r w:rsidR="00130A65" w:rsidRPr="009E411B">
        <w:t>A number of factors affect the comparability of</w:t>
      </w:r>
      <w:r w:rsidR="00B9149D" w:rsidRPr="009E411B">
        <w:t xml:space="preserve"> these data. </w:t>
      </w:r>
      <w:r w:rsidR="00130A65" w:rsidRPr="009E411B">
        <w:t>For example</w:t>
      </w:r>
      <w:r w:rsidR="008B63B7" w:rsidRPr="00481A86">
        <w:t>:</w:t>
      </w:r>
    </w:p>
    <w:p w:rsidR="0048710E" w:rsidRPr="00831D4F" w:rsidRDefault="00B9149D" w:rsidP="009E411B">
      <w:pPr>
        <w:pStyle w:val="ListBullet"/>
      </w:pPr>
      <w:r w:rsidRPr="00831D4F">
        <w:t>NDIS data are</w:t>
      </w:r>
      <w:r w:rsidR="000873D0" w:rsidRPr="00831D4F">
        <w:t xml:space="preserve"> captured at a</w:t>
      </w:r>
      <w:r w:rsidRPr="00831D4F">
        <w:t xml:space="preserve"> point in time and DS NMDS data</w:t>
      </w:r>
      <w:r w:rsidR="005D6C8F">
        <w:t xml:space="preserve"> (used for reporting against the NDA)</w:t>
      </w:r>
      <w:r w:rsidRPr="00831D4F">
        <w:t xml:space="preserve"> are</w:t>
      </w:r>
      <w:r w:rsidR="000873D0" w:rsidRPr="00831D4F">
        <w:t xml:space="preserve"> for a full</w:t>
      </w:r>
      <w:r w:rsidRPr="00831D4F">
        <w:t xml:space="preserve"> financial year</w:t>
      </w:r>
    </w:p>
    <w:p w:rsidR="0048710E" w:rsidRPr="00831D4F" w:rsidRDefault="0048710E" w:rsidP="009E411B">
      <w:pPr>
        <w:pStyle w:val="ListBullet"/>
      </w:pPr>
      <w:r w:rsidRPr="00831D4F">
        <w:t>NDIS data are self</w:t>
      </w:r>
      <w:r w:rsidR="005547FD">
        <w:noBreakHyphen/>
      </w:r>
      <w:r w:rsidRPr="00831D4F">
        <w:t>reported and some participants may have been incorrectly identified as existing NDA users when they may be new service users</w:t>
      </w:r>
    </w:p>
    <w:p w:rsidR="00130A65" w:rsidRPr="00831D4F" w:rsidRDefault="0048710E" w:rsidP="009E411B">
      <w:pPr>
        <w:pStyle w:val="ListBullet"/>
      </w:pPr>
      <w:r w:rsidRPr="00831D4F">
        <w:t xml:space="preserve">some NDA service users may no longer be </w:t>
      </w:r>
      <w:r w:rsidR="00EC5EBC" w:rsidRPr="00831D4F">
        <w:t>receiving</w:t>
      </w:r>
      <w:r w:rsidRPr="00831D4F">
        <w:t xml:space="preserve"> services under the NDA, but this has not</w:t>
      </w:r>
      <w:r w:rsidR="00EC5EBC" w:rsidRPr="00831D4F">
        <w:t xml:space="preserve"> yet</w:t>
      </w:r>
      <w:r w:rsidRPr="00831D4F">
        <w:t xml:space="preserve"> been recorded in the DS NMDS</w:t>
      </w:r>
      <w:r w:rsidR="000873D0" w:rsidRPr="00831D4F">
        <w:t xml:space="preserve"> </w:t>
      </w:r>
      <w:r w:rsidR="00B9149D" w:rsidRPr="00831D4F">
        <w:t>(see table</w:t>
      </w:r>
      <w:r w:rsidR="005547FD">
        <w:t> </w:t>
      </w:r>
      <w:r w:rsidR="00B9149D" w:rsidRPr="00831D4F">
        <w:t xml:space="preserve">14.1 for further </w:t>
      </w:r>
      <w:r w:rsidRPr="00831D4F">
        <w:t>caveats</w:t>
      </w:r>
      <w:r w:rsidR="00B9149D" w:rsidRPr="00831D4F">
        <w:t>).</w:t>
      </w:r>
    </w:p>
    <w:p w:rsidR="00BD4EBB" w:rsidRDefault="00BD4EBB" w:rsidP="00BD4EBB">
      <w:pPr>
        <w:pStyle w:val="BodyText"/>
      </w:pPr>
      <w:r w:rsidRPr="00140B06">
        <w:rPr>
          <w:shd w:val="clear" w:color="auto" w:fill="FFFFFF" w:themeFill="background1"/>
        </w:rPr>
        <w:t>As at 30</w:t>
      </w:r>
      <w:r w:rsidR="005547FD">
        <w:rPr>
          <w:shd w:val="clear" w:color="auto" w:fill="FFFFFF" w:themeFill="background1"/>
        </w:rPr>
        <w:t> </w:t>
      </w:r>
      <w:r w:rsidRPr="00140B06">
        <w:rPr>
          <w:shd w:val="clear" w:color="auto" w:fill="FFFFFF" w:themeFill="background1"/>
        </w:rPr>
        <w:t>June 2015, 17</w:t>
      </w:r>
      <w:r w:rsidR="005547FD">
        <w:rPr>
          <w:shd w:val="clear" w:color="auto" w:fill="FFFFFF" w:themeFill="background1"/>
        </w:rPr>
        <w:t> </w:t>
      </w:r>
      <w:r w:rsidRPr="00140B06">
        <w:rPr>
          <w:shd w:val="clear" w:color="auto" w:fill="FFFFFF" w:themeFill="background1"/>
        </w:rPr>
        <w:t xml:space="preserve">303 </w:t>
      </w:r>
      <w:r>
        <w:rPr>
          <w:shd w:val="clear" w:color="auto" w:fill="FFFFFF" w:themeFill="background1"/>
        </w:rPr>
        <w:t xml:space="preserve">NDIS </w:t>
      </w:r>
      <w:r w:rsidRPr="00140B06">
        <w:rPr>
          <w:shd w:val="clear" w:color="auto" w:fill="FFFFFF" w:themeFill="background1"/>
        </w:rPr>
        <w:t xml:space="preserve">participants </w:t>
      </w:r>
      <w:r w:rsidR="004B76D5">
        <w:rPr>
          <w:shd w:val="clear" w:color="auto" w:fill="FFFFFF" w:themeFill="background1"/>
        </w:rPr>
        <w:t xml:space="preserve">had </w:t>
      </w:r>
      <w:r w:rsidR="0096082C">
        <w:rPr>
          <w:shd w:val="clear" w:color="auto" w:fill="FFFFFF" w:themeFill="background1"/>
        </w:rPr>
        <w:t xml:space="preserve">an </w:t>
      </w:r>
      <w:r w:rsidRPr="00140B06">
        <w:rPr>
          <w:shd w:val="clear" w:color="auto" w:fill="FFFFFF" w:themeFill="background1"/>
        </w:rPr>
        <w:t>approved plan. Participant numbers varied by State and</w:t>
      </w:r>
      <w:r>
        <w:rPr>
          <w:shd w:val="clear" w:color="auto" w:fill="FFFFFF" w:themeFill="background1"/>
        </w:rPr>
        <w:t xml:space="preserve"> Territory, with 4605 in NSW, 4392 in Victoria, 1199 in WA, 4660 in SA, 959 in Tasmania, 1</w:t>
      </w:r>
      <w:r w:rsidRPr="00140B06">
        <w:rPr>
          <w:shd w:val="clear" w:color="auto" w:fill="FFFFFF" w:themeFill="background1"/>
        </w:rPr>
        <w:t>427 in the ACT</w:t>
      </w:r>
      <w:r>
        <w:rPr>
          <w:shd w:val="clear" w:color="auto" w:fill="FFFFFF" w:themeFill="background1"/>
        </w:rPr>
        <w:t xml:space="preserve"> and</w:t>
      </w:r>
      <w:r w:rsidRPr="00140B06">
        <w:rPr>
          <w:shd w:val="clear" w:color="auto" w:fill="FFFFFF" w:themeFill="background1"/>
        </w:rPr>
        <w:t xml:space="preserve"> 61 in the NT.</w:t>
      </w:r>
      <w:r>
        <w:rPr>
          <w:shd w:val="clear" w:color="auto" w:fill="FFFFFF" w:themeFill="background1"/>
        </w:rPr>
        <w:t xml:space="preserve"> People identifying as Aboriginal or Torres Strait Islander or</w:t>
      </w:r>
      <w:r w:rsidRPr="00140B06">
        <w:rPr>
          <w:shd w:val="clear" w:color="auto" w:fill="FFFFFF" w:themeFill="background1"/>
        </w:rPr>
        <w:t xml:space="preserve"> classified as Culturally and Linguistically Diverse (CaLD)</w:t>
      </w:r>
      <w:r>
        <w:rPr>
          <w:shd w:val="clear" w:color="auto" w:fill="FFFFFF" w:themeFill="background1"/>
        </w:rPr>
        <w:t xml:space="preserve"> each made up 4 per cent of participants</w:t>
      </w:r>
      <w:r w:rsidRPr="00140B06">
        <w:rPr>
          <w:shd w:val="clear" w:color="auto" w:fill="FFFFFF" w:themeFill="background1"/>
        </w:rPr>
        <w:t xml:space="preserve">. </w:t>
      </w:r>
      <w:r w:rsidR="00F879A4">
        <w:rPr>
          <w:shd w:val="clear" w:color="auto" w:fill="FFFFFF" w:themeFill="background1"/>
        </w:rPr>
        <w:t xml:space="preserve">Additional information on </w:t>
      </w:r>
      <w:r w:rsidR="00F879A4" w:rsidRPr="00F879A4">
        <w:rPr>
          <w:shd w:val="clear" w:color="auto" w:fill="FFFFFF" w:themeFill="background1"/>
        </w:rPr>
        <w:t>NDIS participants</w:t>
      </w:r>
      <w:r w:rsidR="005D6C8F">
        <w:rPr>
          <w:shd w:val="clear" w:color="auto" w:fill="FFFFFF" w:themeFill="background1"/>
        </w:rPr>
        <w:t>’</w:t>
      </w:r>
      <w:r w:rsidR="00F879A4" w:rsidRPr="00F879A4">
        <w:rPr>
          <w:shd w:val="clear" w:color="auto" w:fill="FFFFFF" w:themeFill="background1"/>
        </w:rPr>
        <w:t xml:space="preserve"> access to mainstream services</w:t>
      </w:r>
      <w:r w:rsidR="00F879A4">
        <w:rPr>
          <w:shd w:val="clear" w:color="auto" w:fill="FFFFFF" w:themeFill="background1"/>
        </w:rPr>
        <w:t xml:space="preserve"> and </w:t>
      </w:r>
      <w:r w:rsidR="00E570C6">
        <w:rPr>
          <w:shd w:val="clear" w:color="auto" w:fill="FFFFFF" w:themeFill="background1"/>
        </w:rPr>
        <w:t>c</w:t>
      </w:r>
      <w:r w:rsidR="00F879A4" w:rsidRPr="00F879A4">
        <w:rPr>
          <w:shd w:val="clear" w:color="auto" w:fill="FFFFFF" w:themeFill="background1"/>
        </w:rPr>
        <w:t>lient/carer satisfaction</w:t>
      </w:r>
      <w:r w:rsidR="00F879A4">
        <w:rPr>
          <w:shd w:val="clear" w:color="auto" w:fill="FFFFFF" w:themeFill="background1"/>
        </w:rPr>
        <w:t xml:space="preserve"> can be </w:t>
      </w:r>
      <w:r w:rsidR="00F879A4" w:rsidRPr="00920D9B">
        <w:t>found in tables</w:t>
      </w:r>
      <w:r w:rsidR="005547FD">
        <w:t> </w:t>
      </w:r>
      <w:r w:rsidR="00F879A4" w:rsidRPr="00920D9B">
        <w:t>14A.</w:t>
      </w:r>
      <w:r w:rsidR="00920D9B" w:rsidRPr="00920D9B">
        <w:t>15</w:t>
      </w:r>
      <w:r w:rsidR="000D69D9">
        <w:t>1</w:t>
      </w:r>
      <w:r w:rsidR="005547FD">
        <w:noBreakHyphen/>
      </w:r>
      <w:r w:rsidR="00920D9B" w:rsidRPr="00920D9B">
        <w:t>15</w:t>
      </w:r>
      <w:r w:rsidR="000D69D9">
        <w:t>2</w:t>
      </w:r>
      <w:r w:rsidR="00F879A4" w:rsidRPr="00920D9B">
        <w:t>.</w:t>
      </w:r>
    </w:p>
    <w:p w:rsidR="00ED72B7" w:rsidRPr="002A3276" w:rsidRDefault="00ED72B7" w:rsidP="00960B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31"/>
      </w:tblGrid>
      <w:tr w:rsidR="00ED72B7" w:rsidTr="00ED72B7">
        <w:tc>
          <w:tcPr>
            <w:tcW w:w="8771" w:type="dxa"/>
            <w:tcBorders>
              <w:top w:val="single" w:sz="6" w:space="0" w:color="78A22F"/>
              <w:left w:val="nil"/>
              <w:bottom w:val="nil"/>
              <w:right w:val="nil"/>
            </w:tcBorders>
            <w:shd w:val="clear" w:color="auto" w:fill="auto"/>
          </w:tcPr>
          <w:p w:rsidR="00ED72B7" w:rsidRPr="00784A05" w:rsidRDefault="00ED72B7" w:rsidP="001F4A13">
            <w:pPr>
              <w:pStyle w:val="TableTitle"/>
            </w:pPr>
            <w:r>
              <w:rPr>
                <w:b w:val="0"/>
              </w:rPr>
              <w:t xml:space="preserve">Table </w:t>
            </w:r>
            <w:bookmarkStart w:id="8" w:name="OLE_LINK5"/>
            <w:r>
              <w:rPr>
                <w:b w:val="0"/>
              </w:rPr>
              <w:t>14.</w:t>
            </w:r>
            <w:r w:rsidR="004B691F">
              <w:rPr>
                <w:b w:val="0"/>
                <w:noProof/>
              </w:rPr>
              <w:t>1</w:t>
            </w:r>
            <w:bookmarkEnd w:id="8"/>
            <w:r>
              <w:tab/>
            </w:r>
            <w:r w:rsidR="005C70FC" w:rsidRPr="005C70FC">
              <w:t xml:space="preserve">Users of NDA specialist disability services who </w:t>
            </w:r>
            <w:r w:rsidR="005547FD">
              <w:t>‘</w:t>
            </w:r>
            <w:r w:rsidR="005C70FC" w:rsidRPr="005C70FC">
              <w:t>exit</w:t>
            </w:r>
            <w:r w:rsidR="00C07E5E">
              <w:t>ed</w:t>
            </w:r>
            <w:r w:rsidR="005C70FC" w:rsidRPr="005C70FC">
              <w:t xml:space="preserve"> to NDIS</w:t>
            </w:r>
            <w:r w:rsidR="005547FD">
              <w:t>’</w:t>
            </w:r>
            <w:r w:rsidR="005C70FC" w:rsidRPr="005C70FC">
              <w:t xml:space="preserve"> </w:t>
            </w:r>
            <w:r w:rsidR="00C07E5E">
              <w:t xml:space="preserve">in </w:t>
            </w:r>
            <w:r w:rsidR="00C07E5E" w:rsidRPr="005C70FC">
              <w:t>2013</w:t>
            </w:r>
            <w:r w:rsidR="005547FD">
              <w:noBreakHyphen/>
            </w:r>
            <w:r w:rsidR="00C07E5E" w:rsidRPr="005C70FC">
              <w:t>14</w:t>
            </w:r>
            <w:r w:rsidR="00C07E5E">
              <w:t xml:space="preserve"> </w:t>
            </w:r>
            <w:r w:rsidR="005C70FC" w:rsidRPr="005C70FC">
              <w:t>and NDIS participants w</w:t>
            </w:r>
            <w:r w:rsidR="00C07E5E">
              <w:t xml:space="preserve">ho were </w:t>
            </w:r>
            <w:r w:rsidR="005547FD">
              <w:t>‘</w:t>
            </w:r>
            <w:r w:rsidR="00C07E5E">
              <w:t xml:space="preserve">existing </w:t>
            </w:r>
            <w:r w:rsidR="00035A44" w:rsidRPr="00035A44">
              <w:t>service user</w:t>
            </w:r>
            <w:r w:rsidR="00035A44">
              <w:t>s</w:t>
            </w:r>
            <w:r w:rsidR="005547FD">
              <w:t>’</w:t>
            </w:r>
            <w:r w:rsidR="00C07E5E">
              <w:t xml:space="preserve"> as at 30</w:t>
            </w:r>
            <w:r w:rsidR="005547FD">
              <w:t> </w:t>
            </w:r>
            <w:r w:rsidR="00C07E5E">
              <w:t>June</w:t>
            </w:r>
            <w:r w:rsidR="005C70FC" w:rsidRPr="005C70FC">
              <w:t xml:space="preserve"> </w:t>
            </w:r>
            <w:r w:rsidR="00C07E5E">
              <w:t>2014</w:t>
            </w:r>
          </w:p>
        </w:tc>
      </w:tr>
      <w:tr w:rsidR="00ED72B7" w:rsidTr="00ED72B7">
        <w:trPr>
          <w:cantSplit/>
        </w:trPr>
        <w:tc>
          <w:tcPr>
            <w:tcW w:w="8771" w:type="dxa"/>
            <w:tcBorders>
              <w:top w:val="nil"/>
              <w:left w:val="nil"/>
              <w:bottom w:val="nil"/>
              <w:right w:val="nil"/>
            </w:tcBorders>
            <w:shd w:val="clear" w:color="auto" w:fill="auto"/>
          </w:tcPr>
          <w:tbl>
            <w:tblPr>
              <w:tblW w:w="8547" w:type="dxa"/>
              <w:tblCellMar>
                <w:top w:w="28" w:type="dxa"/>
                <w:left w:w="0" w:type="dxa"/>
                <w:right w:w="0" w:type="dxa"/>
              </w:tblCellMar>
              <w:tblLook w:val="0000" w:firstRow="0" w:lastRow="0" w:firstColumn="0" w:lastColumn="0" w:noHBand="0" w:noVBand="0"/>
            </w:tblPr>
            <w:tblGrid>
              <w:gridCol w:w="2110"/>
              <w:gridCol w:w="473"/>
              <w:gridCol w:w="703"/>
              <w:gridCol w:w="704"/>
              <w:gridCol w:w="704"/>
              <w:gridCol w:w="675"/>
              <w:gridCol w:w="675"/>
              <w:gridCol w:w="574"/>
              <w:gridCol w:w="574"/>
              <w:gridCol w:w="574"/>
              <w:gridCol w:w="781"/>
            </w:tblGrid>
            <w:tr w:rsidR="00582643" w:rsidTr="00582643">
              <w:tc>
                <w:tcPr>
                  <w:tcW w:w="1234" w:type="pct"/>
                  <w:tcBorders>
                    <w:top w:val="single" w:sz="4" w:space="0" w:color="BFBFBF"/>
                    <w:bottom w:val="single" w:sz="4" w:space="0" w:color="BFBFBF"/>
                  </w:tcBorders>
                  <w:shd w:val="clear" w:color="auto" w:fill="auto"/>
                  <w:tcMar>
                    <w:top w:w="28" w:type="dxa"/>
                  </w:tcMar>
                </w:tcPr>
                <w:p w:rsidR="00CF7795" w:rsidRDefault="00CF7795" w:rsidP="00ED72B7">
                  <w:pPr>
                    <w:pStyle w:val="TableColumnHeading"/>
                    <w:jc w:val="left"/>
                  </w:pPr>
                </w:p>
              </w:tc>
              <w:tc>
                <w:tcPr>
                  <w:tcW w:w="276" w:type="pct"/>
                  <w:tcBorders>
                    <w:top w:val="single" w:sz="4" w:space="0" w:color="BFBFBF"/>
                    <w:bottom w:val="single" w:sz="4" w:space="0" w:color="BFBFBF"/>
                  </w:tcBorders>
                </w:tcPr>
                <w:p w:rsidR="00CF7795" w:rsidRPr="0079503D" w:rsidRDefault="00CF7795" w:rsidP="00C07E5E">
                  <w:pPr>
                    <w:pStyle w:val="TableColumnHeading"/>
                    <w:jc w:val="center"/>
                  </w:pPr>
                </w:p>
              </w:tc>
              <w:tc>
                <w:tcPr>
                  <w:tcW w:w="411" w:type="pct"/>
                  <w:tcBorders>
                    <w:top w:val="single" w:sz="4" w:space="0" w:color="BFBFBF"/>
                    <w:bottom w:val="single" w:sz="4" w:space="0" w:color="BFBFBF"/>
                  </w:tcBorders>
                  <w:shd w:val="clear" w:color="auto" w:fill="auto"/>
                  <w:tcMar>
                    <w:top w:w="28" w:type="dxa"/>
                  </w:tcMar>
                </w:tcPr>
                <w:p w:rsidR="00CF7795" w:rsidRDefault="00CF7795" w:rsidP="00ED72B7">
                  <w:pPr>
                    <w:pStyle w:val="TableColumnHeading"/>
                  </w:pPr>
                  <w:r w:rsidRPr="0079503D">
                    <w:t>NSW</w:t>
                  </w:r>
                </w:p>
              </w:tc>
              <w:tc>
                <w:tcPr>
                  <w:tcW w:w="412" w:type="pct"/>
                  <w:tcBorders>
                    <w:top w:val="single" w:sz="4" w:space="0" w:color="BFBFBF"/>
                    <w:bottom w:val="single" w:sz="4" w:space="0" w:color="BFBFBF"/>
                  </w:tcBorders>
                </w:tcPr>
                <w:p w:rsidR="00CF7795" w:rsidRDefault="00CF7795" w:rsidP="00ED72B7">
                  <w:pPr>
                    <w:pStyle w:val="TableColumnHeading"/>
                    <w:ind w:right="28"/>
                  </w:pPr>
                  <w:r w:rsidRPr="0079503D">
                    <w:t>Vic</w:t>
                  </w:r>
                </w:p>
              </w:tc>
              <w:tc>
                <w:tcPr>
                  <w:tcW w:w="412" w:type="pct"/>
                  <w:tcBorders>
                    <w:top w:val="single" w:sz="4" w:space="0" w:color="BFBFBF"/>
                    <w:bottom w:val="single" w:sz="4" w:space="0" w:color="BFBFBF"/>
                  </w:tcBorders>
                </w:tcPr>
                <w:p w:rsidR="00CF7795" w:rsidRDefault="00CF7795" w:rsidP="00ED72B7">
                  <w:pPr>
                    <w:pStyle w:val="TableColumnHeading"/>
                    <w:ind w:right="28"/>
                  </w:pPr>
                  <w:r>
                    <w:t>Qld</w:t>
                  </w:r>
                </w:p>
              </w:tc>
              <w:tc>
                <w:tcPr>
                  <w:tcW w:w="395" w:type="pct"/>
                  <w:tcBorders>
                    <w:top w:val="single" w:sz="4" w:space="0" w:color="BFBFBF"/>
                    <w:bottom w:val="single" w:sz="4" w:space="0" w:color="BFBFBF"/>
                  </w:tcBorders>
                </w:tcPr>
                <w:p w:rsidR="00CF7795" w:rsidRDefault="00CF7795" w:rsidP="00ED72B7">
                  <w:pPr>
                    <w:pStyle w:val="TableColumnHeading"/>
                    <w:ind w:right="28"/>
                  </w:pPr>
                  <w:r>
                    <w:t>WA</w:t>
                  </w:r>
                </w:p>
              </w:tc>
              <w:tc>
                <w:tcPr>
                  <w:tcW w:w="395" w:type="pct"/>
                  <w:tcBorders>
                    <w:top w:val="single" w:sz="4" w:space="0" w:color="BFBFBF"/>
                    <w:bottom w:val="single" w:sz="4" w:space="0" w:color="BFBFBF"/>
                  </w:tcBorders>
                </w:tcPr>
                <w:p w:rsidR="00CF7795" w:rsidRDefault="00CF7795" w:rsidP="00ED72B7">
                  <w:pPr>
                    <w:pStyle w:val="TableColumnHeading"/>
                    <w:ind w:right="28"/>
                  </w:pPr>
                  <w:r w:rsidRPr="0079503D">
                    <w:t>SA</w:t>
                  </w:r>
                </w:p>
              </w:tc>
              <w:tc>
                <w:tcPr>
                  <w:tcW w:w="336" w:type="pct"/>
                  <w:tcBorders>
                    <w:top w:val="single" w:sz="4" w:space="0" w:color="BFBFBF"/>
                    <w:bottom w:val="single" w:sz="4" w:space="0" w:color="BFBFBF"/>
                  </w:tcBorders>
                </w:tcPr>
                <w:p w:rsidR="00CF7795" w:rsidRDefault="00CF7795" w:rsidP="00ED72B7">
                  <w:pPr>
                    <w:pStyle w:val="TableColumnHeading"/>
                    <w:ind w:right="28"/>
                  </w:pPr>
                  <w:r w:rsidRPr="0079503D">
                    <w:t>Tas</w:t>
                  </w:r>
                </w:p>
              </w:tc>
              <w:tc>
                <w:tcPr>
                  <w:tcW w:w="336" w:type="pct"/>
                  <w:tcBorders>
                    <w:top w:val="single" w:sz="4" w:space="0" w:color="BFBFBF"/>
                    <w:bottom w:val="single" w:sz="4" w:space="0" w:color="BFBFBF"/>
                  </w:tcBorders>
                </w:tcPr>
                <w:p w:rsidR="00CF7795" w:rsidRDefault="00CF7795" w:rsidP="00ED72B7">
                  <w:pPr>
                    <w:pStyle w:val="TableColumnHeading"/>
                    <w:ind w:right="28"/>
                  </w:pPr>
                  <w:r>
                    <w:t>ACT</w:t>
                  </w:r>
                </w:p>
              </w:tc>
              <w:tc>
                <w:tcPr>
                  <w:tcW w:w="336" w:type="pct"/>
                  <w:tcBorders>
                    <w:top w:val="single" w:sz="4" w:space="0" w:color="BFBFBF"/>
                    <w:bottom w:val="single" w:sz="4" w:space="0" w:color="BFBFBF"/>
                  </w:tcBorders>
                </w:tcPr>
                <w:p w:rsidR="00CF7795" w:rsidRDefault="00CF7795" w:rsidP="00ED72B7">
                  <w:pPr>
                    <w:pStyle w:val="TableColumnHeading"/>
                    <w:ind w:right="28"/>
                  </w:pPr>
                  <w:r>
                    <w:t>NT</w:t>
                  </w:r>
                </w:p>
              </w:tc>
              <w:tc>
                <w:tcPr>
                  <w:tcW w:w="458" w:type="pct"/>
                  <w:tcBorders>
                    <w:top w:val="single" w:sz="4" w:space="0" w:color="BFBFBF"/>
                    <w:bottom w:val="single" w:sz="4" w:space="0" w:color="BFBFBF"/>
                  </w:tcBorders>
                  <w:shd w:val="clear" w:color="auto" w:fill="auto"/>
                  <w:tcMar>
                    <w:top w:w="28" w:type="dxa"/>
                  </w:tcMar>
                </w:tcPr>
                <w:p w:rsidR="00CF7795" w:rsidRDefault="00CF7795" w:rsidP="00ED72B7">
                  <w:pPr>
                    <w:pStyle w:val="TableColumnHeading"/>
                    <w:ind w:right="28"/>
                  </w:pPr>
                  <w:r w:rsidRPr="0079503D">
                    <w:t>Total</w:t>
                  </w:r>
                </w:p>
              </w:tc>
            </w:tr>
            <w:tr w:rsidR="00170497" w:rsidTr="00582643">
              <w:tc>
                <w:tcPr>
                  <w:tcW w:w="2333" w:type="pct"/>
                  <w:gridSpan w:val="4"/>
                  <w:tcBorders>
                    <w:top w:val="single" w:sz="4" w:space="0" w:color="BFBFBF"/>
                  </w:tcBorders>
                </w:tcPr>
                <w:p w:rsidR="00170497" w:rsidRPr="008365D0" w:rsidRDefault="00170497" w:rsidP="00BD41DE">
                  <w:pPr>
                    <w:pStyle w:val="TableColumnHeading"/>
                    <w:jc w:val="left"/>
                    <w:rPr>
                      <w:szCs w:val="24"/>
                    </w:rPr>
                  </w:pPr>
                  <w:r>
                    <w:t>NDA service users who exited to NDIA</w:t>
                  </w:r>
                </w:p>
              </w:tc>
              <w:tc>
                <w:tcPr>
                  <w:tcW w:w="412" w:type="pct"/>
                  <w:tcBorders>
                    <w:top w:val="single" w:sz="4" w:space="0" w:color="BFBFBF"/>
                  </w:tcBorders>
                </w:tcPr>
                <w:p w:rsidR="00170497" w:rsidRPr="008365D0" w:rsidRDefault="00170497" w:rsidP="00BD41DE">
                  <w:pPr>
                    <w:pStyle w:val="TableColumnHeading"/>
                    <w:jc w:val="left"/>
                  </w:pPr>
                </w:p>
              </w:tc>
              <w:tc>
                <w:tcPr>
                  <w:tcW w:w="395" w:type="pct"/>
                  <w:tcBorders>
                    <w:top w:val="single" w:sz="4" w:space="0" w:color="BFBFBF"/>
                  </w:tcBorders>
                </w:tcPr>
                <w:p w:rsidR="00170497" w:rsidRPr="008365D0" w:rsidRDefault="00170497" w:rsidP="00BD41DE">
                  <w:pPr>
                    <w:pStyle w:val="TableColumnHeading"/>
                    <w:jc w:val="left"/>
                  </w:pPr>
                </w:p>
              </w:tc>
              <w:tc>
                <w:tcPr>
                  <w:tcW w:w="395" w:type="pct"/>
                  <w:tcBorders>
                    <w:top w:val="single" w:sz="4" w:space="0" w:color="BFBFBF"/>
                  </w:tcBorders>
                </w:tcPr>
                <w:p w:rsidR="00170497" w:rsidRPr="008365D0" w:rsidRDefault="00170497" w:rsidP="00BD41DE">
                  <w:pPr>
                    <w:pStyle w:val="TableColumnHeading"/>
                    <w:jc w:val="left"/>
                  </w:pPr>
                </w:p>
              </w:tc>
              <w:tc>
                <w:tcPr>
                  <w:tcW w:w="336" w:type="pct"/>
                  <w:tcBorders>
                    <w:top w:val="single" w:sz="4" w:space="0" w:color="BFBFBF"/>
                  </w:tcBorders>
                </w:tcPr>
                <w:p w:rsidR="00170497" w:rsidRPr="008365D0" w:rsidRDefault="00170497" w:rsidP="00BD41DE">
                  <w:pPr>
                    <w:pStyle w:val="TableColumnHeading"/>
                    <w:jc w:val="left"/>
                  </w:pPr>
                </w:p>
              </w:tc>
              <w:tc>
                <w:tcPr>
                  <w:tcW w:w="336" w:type="pct"/>
                  <w:tcBorders>
                    <w:top w:val="single" w:sz="4" w:space="0" w:color="BFBFBF"/>
                  </w:tcBorders>
                </w:tcPr>
                <w:p w:rsidR="00170497" w:rsidRPr="008365D0" w:rsidRDefault="00170497" w:rsidP="00BD41DE">
                  <w:pPr>
                    <w:pStyle w:val="TableColumnHeading"/>
                    <w:jc w:val="left"/>
                  </w:pPr>
                </w:p>
              </w:tc>
              <w:tc>
                <w:tcPr>
                  <w:tcW w:w="336" w:type="pct"/>
                  <w:tcBorders>
                    <w:top w:val="single" w:sz="4" w:space="0" w:color="BFBFBF"/>
                  </w:tcBorders>
                </w:tcPr>
                <w:p w:rsidR="00170497" w:rsidRPr="008365D0" w:rsidRDefault="00170497" w:rsidP="00BD41DE">
                  <w:pPr>
                    <w:pStyle w:val="TableColumnHeading"/>
                    <w:jc w:val="left"/>
                  </w:pPr>
                </w:p>
              </w:tc>
              <w:tc>
                <w:tcPr>
                  <w:tcW w:w="458" w:type="pct"/>
                  <w:tcBorders>
                    <w:top w:val="single" w:sz="4" w:space="0" w:color="BFBFBF"/>
                  </w:tcBorders>
                </w:tcPr>
                <w:p w:rsidR="00170497" w:rsidRPr="008365D0" w:rsidRDefault="00170497" w:rsidP="00BD41DE">
                  <w:pPr>
                    <w:pStyle w:val="TableColumnHeading"/>
                    <w:jc w:val="left"/>
                  </w:pPr>
                </w:p>
              </w:tc>
            </w:tr>
            <w:tr w:rsidR="00582643" w:rsidTr="009E411B">
              <w:tc>
                <w:tcPr>
                  <w:tcW w:w="1234" w:type="pct"/>
                </w:tcPr>
                <w:p w:rsidR="00582643" w:rsidRDefault="00582643" w:rsidP="00F31918">
                  <w:pPr>
                    <w:pStyle w:val="TableUnitsRow"/>
                    <w:ind w:left="120"/>
                    <w:jc w:val="left"/>
                    <w:rPr>
                      <w:szCs w:val="24"/>
                    </w:rPr>
                  </w:pPr>
                  <w:r>
                    <w:t>NDIS m</w:t>
                  </w:r>
                  <w:r w:rsidRPr="00A44129">
                    <w:t>ain reason for ce</w:t>
                  </w:r>
                  <w:r>
                    <w:t>asing services</w:t>
                  </w:r>
                  <w:r w:rsidRPr="008B63B7">
                    <w:rPr>
                      <w:rStyle w:val="NoteLabel"/>
                    </w:rPr>
                    <w:t>a, b</w:t>
                  </w:r>
                </w:p>
              </w:tc>
              <w:tc>
                <w:tcPr>
                  <w:tcW w:w="276" w:type="pct"/>
                </w:tcPr>
                <w:p w:rsidR="00582643" w:rsidRDefault="00582643" w:rsidP="00C07E5E">
                  <w:pPr>
                    <w:pStyle w:val="TableUnitsRow"/>
                    <w:jc w:val="center"/>
                  </w:pPr>
                  <w:r>
                    <w:t>no</w:t>
                  </w:r>
                </w:p>
              </w:tc>
              <w:tc>
                <w:tcPr>
                  <w:tcW w:w="411" w:type="pct"/>
                  <w:shd w:val="clear" w:color="auto" w:fill="auto"/>
                </w:tcPr>
                <w:p w:rsidR="00582643" w:rsidRPr="002807BA" w:rsidRDefault="00582643" w:rsidP="00187FBC">
                  <w:pPr>
                    <w:pStyle w:val="TableBodyText"/>
                    <w:ind w:right="57"/>
                  </w:pPr>
                  <w:r w:rsidRPr="002807BA">
                    <w:t>1</w:t>
                  </w:r>
                  <w:r>
                    <w:t xml:space="preserve"> </w:t>
                  </w:r>
                  <w:r w:rsidRPr="002807BA">
                    <w:t>329</w:t>
                  </w:r>
                </w:p>
              </w:tc>
              <w:tc>
                <w:tcPr>
                  <w:tcW w:w="412" w:type="pct"/>
                  <w:shd w:val="clear" w:color="auto" w:fill="auto"/>
                </w:tcPr>
                <w:p w:rsidR="00582643" w:rsidRPr="002807BA" w:rsidRDefault="00582643" w:rsidP="00187FBC">
                  <w:pPr>
                    <w:pStyle w:val="TableBodyText"/>
                    <w:ind w:right="57"/>
                  </w:pPr>
                  <w:r w:rsidRPr="002807BA">
                    <w:t>1</w:t>
                  </w:r>
                  <w:r>
                    <w:t xml:space="preserve"> </w:t>
                  </w:r>
                  <w:r w:rsidRPr="002807BA">
                    <w:t>752</w:t>
                  </w:r>
                </w:p>
              </w:tc>
              <w:tc>
                <w:tcPr>
                  <w:tcW w:w="412" w:type="pct"/>
                  <w:shd w:val="clear" w:color="auto" w:fill="auto"/>
                </w:tcPr>
                <w:p w:rsidR="00582643" w:rsidRPr="002807BA" w:rsidRDefault="00582643" w:rsidP="00187FBC">
                  <w:pPr>
                    <w:pStyle w:val="TableBodyText"/>
                    <w:ind w:right="57"/>
                  </w:pPr>
                  <w:r w:rsidRPr="002807BA">
                    <w:t>2</w:t>
                  </w:r>
                </w:p>
              </w:tc>
              <w:tc>
                <w:tcPr>
                  <w:tcW w:w="395" w:type="pct"/>
                  <w:shd w:val="clear" w:color="auto" w:fill="auto"/>
                </w:tcPr>
                <w:p w:rsidR="00582643" w:rsidRPr="002807BA" w:rsidRDefault="00582643" w:rsidP="00187FBC">
                  <w:pPr>
                    <w:pStyle w:val="TableBodyText"/>
                    <w:ind w:right="57"/>
                  </w:pPr>
                  <w:r w:rsidRPr="002807BA">
                    <w:t>3</w:t>
                  </w:r>
                </w:p>
              </w:tc>
              <w:tc>
                <w:tcPr>
                  <w:tcW w:w="395" w:type="pct"/>
                  <w:shd w:val="clear" w:color="auto" w:fill="auto"/>
                </w:tcPr>
                <w:p w:rsidR="00582643" w:rsidRPr="002807BA" w:rsidRDefault="00582643" w:rsidP="00187FBC">
                  <w:pPr>
                    <w:pStyle w:val="TableBodyText"/>
                    <w:ind w:right="57"/>
                  </w:pPr>
                  <w:r w:rsidRPr="002807BA">
                    <w:t>403</w:t>
                  </w:r>
                </w:p>
              </w:tc>
              <w:tc>
                <w:tcPr>
                  <w:tcW w:w="336" w:type="pct"/>
                  <w:shd w:val="clear" w:color="auto" w:fill="auto"/>
                </w:tcPr>
                <w:p w:rsidR="00582643" w:rsidRPr="002807BA" w:rsidRDefault="00582643" w:rsidP="00187FBC">
                  <w:pPr>
                    <w:pStyle w:val="TableBodyText"/>
                    <w:ind w:right="57"/>
                  </w:pPr>
                  <w:r w:rsidRPr="002807BA">
                    <w:t>576</w:t>
                  </w:r>
                </w:p>
              </w:tc>
              <w:tc>
                <w:tcPr>
                  <w:tcW w:w="336" w:type="pct"/>
                  <w:shd w:val="clear" w:color="auto" w:fill="auto"/>
                </w:tcPr>
                <w:p w:rsidR="00582643" w:rsidRPr="002807BA" w:rsidRDefault="00582643" w:rsidP="00582643">
                  <w:pPr>
                    <w:pStyle w:val="TableBodyText"/>
                  </w:pPr>
                  <w:r w:rsidRPr="00343E37">
                    <w:rPr>
                      <w:b/>
                    </w:rPr>
                    <w:t>–</w:t>
                  </w:r>
                </w:p>
              </w:tc>
              <w:tc>
                <w:tcPr>
                  <w:tcW w:w="336" w:type="pct"/>
                  <w:shd w:val="clear" w:color="auto" w:fill="auto"/>
                </w:tcPr>
                <w:p w:rsidR="00582643" w:rsidRPr="002807BA" w:rsidRDefault="00582643" w:rsidP="00582643">
                  <w:pPr>
                    <w:pStyle w:val="TableBodyText"/>
                  </w:pPr>
                  <w:r w:rsidRPr="00343E37">
                    <w:rPr>
                      <w:b/>
                    </w:rPr>
                    <w:t>–</w:t>
                  </w:r>
                </w:p>
              </w:tc>
              <w:tc>
                <w:tcPr>
                  <w:tcW w:w="458" w:type="pct"/>
                  <w:shd w:val="clear" w:color="auto" w:fill="auto"/>
                </w:tcPr>
                <w:p w:rsidR="00582643" w:rsidRDefault="00582643" w:rsidP="00187FBC">
                  <w:pPr>
                    <w:pStyle w:val="TableBodyText"/>
                    <w:ind w:right="0"/>
                  </w:pPr>
                  <w:r w:rsidRPr="002807BA">
                    <w:t>4</w:t>
                  </w:r>
                  <w:r w:rsidR="005547FD">
                    <w:t> </w:t>
                  </w:r>
                  <w:r w:rsidRPr="002807BA">
                    <w:t>051</w:t>
                  </w:r>
                </w:p>
              </w:tc>
            </w:tr>
            <w:tr w:rsidR="00582643" w:rsidTr="009E411B">
              <w:tc>
                <w:tcPr>
                  <w:tcW w:w="1234" w:type="pct"/>
                </w:tcPr>
                <w:p w:rsidR="00582643" w:rsidRDefault="00582643" w:rsidP="00F31918">
                  <w:pPr>
                    <w:pStyle w:val="TableBodyText"/>
                    <w:ind w:left="120"/>
                    <w:jc w:val="left"/>
                    <w:rPr>
                      <w:szCs w:val="24"/>
                    </w:rPr>
                  </w:pPr>
                  <w:r w:rsidRPr="00A44129">
                    <w:t>Total number of</w:t>
                  </w:r>
                  <w:r>
                    <w:t xml:space="preserve"> NDA</w:t>
                  </w:r>
                  <w:r w:rsidRPr="00A44129">
                    <w:t xml:space="preserve"> service users</w:t>
                  </w:r>
                </w:p>
              </w:tc>
              <w:tc>
                <w:tcPr>
                  <w:tcW w:w="276" w:type="pct"/>
                </w:tcPr>
                <w:p w:rsidR="00582643" w:rsidRDefault="00582643" w:rsidP="00C07E5E">
                  <w:pPr>
                    <w:pStyle w:val="TableBodyText"/>
                    <w:jc w:val="center"/>
                  </w:pPr>
                  <w:r>
                    <w:t>no</w:t>
                  </w:r>
                </w:p>
              </w:tc>
              <w:tc>
                <w:tcPr>
                  <w:tcW w:w="411" w:type="pct"/>
                  <w:shd w:val="clear" w:color="auto" w:fill="auto"/>
                </w:tcPr>
                <w:p w:rsidR="00582643" w:rsidRPr="00582643" w:rsidRDefault="00582643" w:rsidP="00187FBC">
                  <w:pPr>
                    <w:pStyle w:val="TableBodyText"/>
                    <w:ind w:right="57"/>
                  </w:pPr>
                  <w:r w:rsidRPr="00582643">
                    <w:t>93 451</w:t>
                  </w:r>
                </w:p>
              </w:tc>
              <w:tc>
                <w:tcPr>
                  <w:tcW w:w="412" w:type="pct"/>
                  <w:shd w:val="clear" w:color="auto" w:fill="auto"/>
                </w:tcPr>
                <w:p w:rsidR="00582643" w:rsidRPr="00582643" w:rsidRDefault="00582643" w:rsidP="00187FBC">
                  <w:pPr>
                    <w:pStyle w:val="TableBodyText"/>
                    <w:ind w:right="57"/>
                  </w:pPr>
                  <w:r w:rsidRPr="00582643">
                    <w:t>89 628</w:t>
                  </w:r>
                </w:p>
              </w:tc>
              <w:tc>
                <w:tcPr>
                  <w:tcW w:w="412" w:type="pct"/>
                  <w:shd w:val="clear" w:color="auto" w:fill="auto"/>
                </w:tcPr>
                <w:p w:rsidR="00582643" w:rsidRPr="00582643" w:rsidRDefault="00582643" w:rsidP="00187FBC">
                  <w:pPr>
                    <w:pStyle w:val="TableBodyText"/>
                    <w:ind w:right="57"/>
                  </w:pPr>
                  <w:r w:rsidRPr="00582643">
                    <w:t>52 274</w:t>
                  </w:r>
                </w:p>
              </w:tc>
              <w:tc>
                <w:tcPr>
                  <w:tcW w:w="395" w:type="pct"/>
                  <w:shd w:val="clear" w:color="auto" w:fill="auto"/>
                </w:tcPr>
                <w:p w:rsidR="00582643" w:rsidRPr="00582643" w:rsidRDefault="00582643" w:rsidP="00187FBC">
                  <w:pPr>
                    <w:pStyle w:val="TableBodyText"/>
                    <w:ind w:right="57"/>
                  </w:pPr>
                  <w:r w:rsidRPr="00582643">
                    <w:t>25 484</w:t>
                  </w:r>
                </w:p>
              </w:tc>
              <w:tc>
                <w:tcPr>
                  <w:tcW w:w="395" w:type="pct"/>
                  <w:shd w:val="clear" w:color="auto" w:fill="auto"/>
                </w:tcPr>
                <w:p w:rsidR="00582643" w:rsidRPr="00582643" w:rsidRDefault="00582643" w:rsidP="00187FBC">
                  <w:pPr>
                    <w:pStyle w:val="TableBodyText"/>
                    <w:ind w:right="57"/>
                  </w:pPr>
                  <w:r w:rsidRPr="00582643">
                    <w:t>30 131</w:t>
                  </w:r>
                </w:p>
              </w:tc>
              <w:tc>
                <w:tcPr>
                  <w:tcW w:w="336" w:type="pct"/>
                  <w:shd w:val="clear" w:color="auto" w:fill="auto"/>
                </w:tcPr>
                <w:p w:rsidR="00582643" w:rsidRPr="00582643" w:rsidRDefault="00582643" w:rsidP="00187FBC">
                  <w:pPr>
                    <w:pStyle w:val="TableBodyText"/>
                    <w:ind w:right="57"/>
                  </w:pPr>
                  <w:r w:rsidRPr="00582643">
                    <w:t>9 258</w:t>
                  </w:r>
                </w:p>
              </w:tc>
              <w:tc>
                <w:tcPr>
                  <w:tcW w:w="336" w:type="pct"/>
                  <w:shd w:val="clear" w:color="auto" w:fill="auto"/>
                </w:tcPr>
                <w:p w:rsidR="00582643" w:rsidRPr="00582643" w:rsidRDefault="00582643" w:rsidP="00187FBC">
                  <w:pPr>
                    <w:pStyle w:val="TableBodyText"/>
                    <w:ind w:right="57"/>
                  </w:pPr>
                  <w:r w:rsidRPr="00582643">
                    <w:t>7 030</w:t>
                  </w:r>
                </w:p>
              </w:tc>
              <w:tc>
                <w:tcPr>
                  <w:tcW w:w="336" w:type="pct"/>
                  <w:shd w:val="clear" w:color="auto" w:fill="auto"/>
                </w:tcPr>
                <w:p w:rsidR="00582643" w:rsidRPr="00582643" w:rsidRDefault="00582643" w:rsidP="00187FBC">
                  <w:pPr>
                    <w:pStyle w:val="TableBodyText"/>
                    <w:ind w:right="57"/>
                  </w:pPr>
                  <w:r w:rsidRPr="00582643">
                    <w:t>2 999</w:t>
                  </w:r>
                </w:p>
              </w:tc>
              <w:tc>
                <w:tcPr>
                  <w:tcW w:w="458" w:type="pct"/>
                  <w:shd w:val="clear" w:color="auto" w:fill="auto"/>
                </w:tcPr>
                <w:p w:rsidR="00582643" w:rsidRPr="00582643" w:rsidRDefault="00582643" w:rsidP="00187FBC">
                  <w:pPr>
                    <w:pStyle w:val="TableBodyText"/>
                    <w:ind w:right="0"/>
                  </w:pPr>
                  <w:r w:rsidRPr="00582643">
                    <w:t>308 120</w:t>
                  </w:r>
                </w:p>
              </w:tc>
            </w:tr>
            <w:tr w:rsidR="00582643" w:rsidRPr="00343E37" w:rsidTr="009E411B">
              <w:tc>
                <w:tcPr>
                  <w:tcW w:w="1234" w:type="pct"/>
                  <w:shd w:val="clear" w:color="auto" w:fill="auto"/>
                </w:tcPr>
                <w:p w:rsidR="00582643" w:rsidRPr="00343E37" w:rsidRDefault="00582643" w:rsidP="00F31918">
                  <w:pPr>
                    <w:pStyle w:val="TableBodyText"/>
                    <w:ind w:left="120"/>
                    <w:jc w:val="left"/>
                    <w:rPr>
                      <w:b/>
                      <w:szCs w:val="24"/>
                    </w:rPr>
                  </w:pPr>
                  <w:r w:rsidRPr="00343E37">
                    <w:rPr>
                      <w:b/>
                    </w:rPr>
                    <w:t>Proportion of service users exited to the NDIS</w:t>
                  </w:r>
                </w:p>
              </w:tc>
              <w:tc>
                <w:tcPr>
                  <w:tcW w:w="276" w:type="pct"/>
                </w:tcPr>
                <w:p w:rsidR="00582643" w:rsidRPr="00343E37" w:rsidRDefault="00582643" w:rsidP="00C07E5E">
                  <w:pPr>
                    <w:pStyle w:val="TableBodyText"/>
                    <w:jc w:val="center"/>
                    <w:rPr>
                      <w:b/>
                    </w:rPr>
                  </w:pPr>
                  <w:r w:rsidRPr="00343E37">
                    <w:rPr>
                      <w:b/>
                    </w:rPr>
                    <w:t>%</w:t>
                  </w:r>
                </w:p>
              </w:tc>
              <w:tc>
                <w:tcPr>
                  <w:tcW w:w="411" w:type="pct"/>
                  <w:shd w:val="clear" w:color="auto" w:fill="auto"/>
                </w:tcPr>
                <w:p w:rsidR="00582643" w:rsidRPr="00594298" w:rsidRDefault="00582643" w:rsidP="00187FBC">
                  <w:pPr>
                    <w:pStyle w:val="TableBodyText"/>
                    <w:ind w:right="57"/>
                  </w:pPr>
                  <w:r w:rsidRPr="00594298">
                    <w:t>1.4</w:t>
                  </w:r>
                </w:p>
              </w:tc>
              <w:tc>
                <w:tcPr>
                  <w:tcW w:w="412" w:type="pct"/>
                  <w:shd w:val="clear" w:color="auto" w:fill="auto"/>
                </w:tcPr>
                <w:p w:rsidR="00582643" w:rsidRPr="00594298" w:rsidRDefault="00582643" w:rsidP="00187FBC">
                  <w:pPr>
                    <w:pStyle w:val="TableBodyText"/>
                    <w:ind w:right="57"/>
                  </w:pPr>
                  <w:r w:rsidRPr="00594298">
                    <w:t>2.0</w:t>
                  </w:r>
                </w:p>
              </w:tc>
              <w:tc>
                <w:tcPr>
                  <w:tcW w:w="412" w:type="pct"/>
                  <w:shd w:val="clear" w:color="auto" w:fill="auto"/>
                </w:tcPr>
                <w:p w:rsidR="00582643" w:rsidRPr="00594298" w:rsidRDefault="00582643" w:rsidP="00582643">
                  <w:pPr>
                    <w:pStyle w:val="TableBodyText"/>
                  </w:pPr>
                  <w:r w:rsidRPr="00343E37">
                    <w:rPr>
                      <w:b/>
                    </w:rPr>
                    <w:t>–</w:t>
                  </w:r>
                </w:p>
              </w:tc>
              <w:tc>
                <w:tcPr>
                  <w:tcW w:w="395" w:type="pct"/>
                  <w:shd w:val="clear" w:color="auto" w:fill="auto"/>
                </w:tcPr>
                <w:p w:rsidR="00582643" w:rsidRPr="00594298" w:rsidRDefault="00582643" w:rsidP="00582643">
                  <w:pPr>
                    <w:pStyle w:val="TableBodyText"/>
                  </w:pPr>
                  <w:r w:rsidRPr="00343E37">
                    <w:rPr>
                      <w:b/>
                    </w:rPr>
                    <w:t>–</w:t>
                  </w:r>
                </w:p>
              </w:tc>
              <w:tc>
                <w:tcPr>
                  <w:tcW w:w="395" w:type="pct"/>
                  <w:shd w:val="clear" w:color="auto" w:fill="auto"/>
                </w:tcPr>
                <w:p w:rsidR="00582643" w:rsidRPr="00594298" w:rsidRDefault="00582643" w:rsidP="00187FBC">
                  <w:pPr>
                    <w:pStyle w:val="TableBodyText"/>
                    <w:ind w:right="57"/>
                  </w:pPr>
                  <w:r w:rsidRPr="00594298">
                    <w:t>1.3</w:t>
                  </w:r>
                </w:p>
              </w:tc>
              <w:tc>
                <w:tcPr>
                  <w:tcW w:w="336" w:type="pct"/>
                  <w:shd w:val="clear" w:color="auto" w:fill="auto"/>
                </w:tcPr>
                <w:p w:rsidR="00582643" w:rsidRPr="00594298" w:rsidRDefault="00582643" w:rsidP="00187FBC">
                  <w:pPr>
                    <w:pStyle w:val="TableBodyText"/>
                    <w:ind w:right="57"/>
                  </w:pPr>
                  <w:r w:rsidRPr="00594298">
                    <w:t>6.2</w:t>
                  </w:r>
                </w:p>
              </w:tc>
              <w:tc>
                <w:tcPr>
                  <w:tcW w:w="336" w:type="pct"/>
                  <w:shd w:val="clear" w:color="auto" w:fill="auto"/>
                </w:tcPr>
                <w:p w:rsidR="00582643" w:rsidRPr="00594298" w:rsidRDefault="00582643" w:rsidP="00582643">
                  <w:pPr>
                    <w:pStyle w:val="TableBodyText"/>
                  </w:pPr>
                  <w:r w:rsidRPr="00343E37">
                    <w:rPr>
                      <w:b/>
                    </w:rPr>
                    <w:t>–</w:t>
                  </w:r>
                </w:p>
              </w:tc>
              <w:tc>
                <w:tcPr>
                  <w:tcW w:w="336" w:type="pct"/>
                  <w:shd w:val="clear" w:color="auto" w:fill="auto"/>
                </w:tcPr>
                <w:p w:rsidR="00582643" w:rsidRPr="00594298" w:rsidRDefault="00582643" w:rsidP="00582643">
                  <w:pPr>
                    <w:pStyle w:val="TableBodyText"/>
                  </w:pPr>
                  <w:r w:rsidRPr="00343E37">
                    <w:rPr>
                      <w:b/>
                    </w:rPr>
                    <w:t>–</w:t>
                  </w:r>
                </w:p>
              </w:tc>
              <w:tc>
                <w:tcPr>
                  <w:tcW w:w="458" w:type="pct"/>
                  <w:shd w:val="clear" w:color="auto" w:fill="auto"/>
                </w:tcPr>
                <w:p w:rsidR="00582643" w:rsidRDefault="00582643" w:rsidP="00187FBC">
                  <w:pPr>
                    <w:pStyle w:val="TableBodyText"/>
                    <w:ind w:right="0"/>
                  </w:pPr>
                  <w:r w:rsidRPr="00594298">
                    <w:t>1.3</w:t>
                  </w:r>
                </w:p>
              </w:tc>
            </w:tr>
            <w:tr w:rsidR="004B76D5" w:rsidTr="00582643">
              <w:tc>
                <w:tcPr>
                  <w:tcW w:w="5000" w:type="pct"/>
                  <w:gridSpan w:val="11"/>
                  <w:shd w:val="clear" w:color="auto" w:fill="auto"/>
                </w:tcPr>
                <w:p w:rsidR="004B76D5" w:rsidRDefault="004B76D5" w:rsidP="00BD41DE">
                  <w:pPr>
                    <w:pStyle w:val="TableColumnHeading"/>
                    <w:jc w:val="left"/>
                  </w:pPr>
                  <w:r>
                    <w:t xml:space="preserve">NDIS participants </w:t>
                  </w:r>
                  <w:r>
                    <w:rPr>
                      <w:rFonts w:cs="Arial"/>
                    </w:rPr>
                    <w:t>―</w:t>
                  </w:r>
                  <w:r>
                    <w:t xml:space="preserve"> existing State/ Territory service user</w:t>
                  </w:r>
                </w:p>
              </w:tc>
            </w:tr>
            <w:tr w:rsidR="00582643" w:rsidTr="00582643">
              <w:tc>
                <w:tcPr>
                  <w:tcW w:w="1234" w:type="pct"/>
                  <w:shd w:val="clear" w:color="auto" w:fill="auto"/>
                </w:tcPr>
                <w:p w:rsidR="004B76D5" w:rsidRPr="00A44129" w:rsidRDefault="004B76D5" w:rsidP="00F31918">
                  <w:pPr>
                    <w:pStyle w:val="TableBodyText"/>
                    <w:jc w:val="left"/>
                    <w:rPr>
                      <w:szCs w:val="24"/>
                    </w:rPr>
                  </w:pPr>
                  <w:r>
                    <w:t>E</w:t>
                  </w:r>
                  <w:r w:rsidRPr="00C07E5E">
                    <w:t>xisti</w:t>
                  </w:r>
                  <w:r>
                    <w:t>ng service users</w:t>
                  </w:r>
                  <w:r w:rsidRPr="008B63B7">
                    <w:rPr>
                      <w:rStyle w:val="NoteLabel"/>
                    </w:rPr>
                    <w:t>c</w:t>
                  </w:r>
                </w:p>
              </w:tc>
              <w:tc>
                <w:tcPr>
                  <w:tcW w:w="276" w:type="pct"/>
                </w:tcPr>
                <w:p w:rsidR="004B76D5" w:rsidRDefault="004B76D5" w:rsidP="00C07E5E">
                  <w:pPr>
                    <w:pStyle w:val="TableBodyText"/>
                    <w:jc w:val="center"/>
                  </w:pPr>
                  <w:r>
                    <w:t>no.</w:t>
                  </w:r>
                </w:p>
              </w:tc>
              <w:tc>
                <w:tcPr>
                  <w:tcW w:w="411" w:type="pct"/>
                  <w:shd w:val="clear" w:color="auto" w:fill="auto"/>
                </w:tcPr>
                <w:p w:rsidR="004B76D5" w:rsidRDefault="004B76D5" w:rsidP="00187FBC">
                  <w:pPr>
                    <w:pStyle w:val="TableBodyText"/>
                    <w:ind w:right="57"/>
                  </w:pPr>
                  <w:r w:rsidRPr="00154462">
                    <w:t>1</w:t>
                  </w:r>
                  <w:r>
                    <w:t xml:space="preserve"> </w:t>
                  </w:r>
                  <w:r w:rsidRPr="00154462">
                    <w:t>468</w:t>
                  </w:r>
                </w:p>
              </w:tc>
              <w:tc>
                <w:tcPr>
                  <w:tcW w:w="412" w:type="pct"/>
                </w:tcPr>
                <w:p w:rsidR="004B76D5" w:rsidRDefault="004B76D5" w:rsidP="00187FBC">
                  <w:pPr>
                    <w:pStyle w:val="TableBodyText"/>
                    <w:ind w:right="57"/>
                  </w:pPr>
                  <w:r w:rsidRPr="00154462">
                    <w:t>2</w:t>
                  </w:r>
                  <w:r>
                    <w:t xml:space="preserve"> </w:t>
                  </w:r>
                  <w:r w:rsidRPr="00154462">
                    <w:t>140</w:t>
                  </w:r>
                </w:p>
              </w:tc>
              <w:tc>
                <w:tcPr>
                  <w:tcW w:w="412"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t>752</w:t>
                  </w:r>
                </w:p>
              </w:tc>
              <w:tc>
                <w:tcPr>
                  <w:tcW w:w="336" w:type="pct"/>
                </w:tcPr>
                <w:p w:rsidR="004B76D5" w:rsidRDefault="004B76D5" w:rsidP="00187FBC">
                  <w:pPr>
                    <w:pStyle w:val="TableBodyText"/>
                    <w:ind w:right="57"/>
                  </w:pPr>
                  <w:r w:rsidRPr="00154462">
                    <w:t>523</w:t>
                  </w:r>
                </w:p>
              </w:tc>
              <w:tc>
                <w:tcPr>
                  <w:tcW w:w="336" w:type="pct"/>
                </w:tcPr>
                <w:p w:rsidR="004B76D5" w:rsidRDefault="004B76D5" w:rsidP="00187FBC">
                  <w:pPr>
                    <w:pStyle w:val="TableBodyText"/>
                    <w:ind w:right="57"/>
                  </w:pPr>
                  <w:r>
                    <w:t>..</w:t>
                  </w:r>
                </w:p>
              </w:tc>
              <w:tc>
                <w:tcPr>
                  <w:tcW w:w="336" w:type="pct"/>
                </w:tcPr>
                <w:p w:rsidR="004B76D5" w:rsidRDefault="004B76D5" w:rsidP="00187FBC">
                  <w:pPr>
                    <w:pStyle w:val="TableBodyText"/>
                    <w:ind w:right="57"/>
                  </w:pPr>
                  <w:r>
                    <w:t>..</w:t>
                  </w:r>
                </w:p>
              </w:tc>
              <w:tc>
                <w:tcPr>
                  <w:tcW w:w="458" w:type="pct"/>
                  <w:shd w:val="clear" w:color="auto" w:fill="auto"/>
                </w:tcPr>
                <w:p w:rsidR="004B76D5" w:rsidRDefault="004B76D5" w:rsidP="00187FBC">
                  <w:pPr>
                    <w:pStyle w:val="TableBodyText"/>
                    <w:ind w:right="57"/>
                  </w:pPr>
                  <w:r w:rsidRPr="00154462">
                    <w:t>4</w:t>
                  </w:r>
                  <w:r>
                    <w:t xml:space="preserve"> </w:t>
                  </w:r>
                  <w:r w:rsidRPr="00154462">
                    <w:t>883</w:t>
                  </w:r>
                </w:p>
              </w:tc>
            </w:tr>
            <w:tr w:rsidR="00582643" w:rsidTr="00582643">
              <w:tc>
                <w:tcPr>
                  <w:tcW w:w="1234" w:type="pct"/>
                  <w:shd w:val="clear" w:color="auto" w:fill="auto"/>
                </w:tcPr>
                <w:p w:rsidR="004B76D5" w:rsidRPr="00A44129" w:rsidRDefault="004B76D5" w:rsidP="00F31918">
                  <w:pPr>
                    <w:pStyle w:val="TableBodyText"/>
                    <w:ind w:left="120"/>
                    <w:jc w:val="left"/>
                    <w:rPr>
                      <w:szCs w:val="24"/>
                    </w:rPr>
                  </w:pPr>
                  <w:r>
                    <w:t>N</w:t>
                  </w:r>
                  <w:r w:rsidRPr="00A44129">
                    <w:t xml:space="preserve">ew </w:t>
                  </w:r>
                  <w:r>
                    <w:t>service users</w:t>
                  </w:r>
                  <w:r w:rsidRPr="008B63B7">
                    <w:rPr>
                      <w:rStyle w:val="NoteLabel"/>
                    </w:rPr>
                    <w:t>d</w:t>
                  </w:r>
                </w:p>
              </w:tc>
              <w:tc>
                <w:tcPr>
                  <w:tcW w:w="276" w:type="pct"/>
                </w:tcPr>
                <w:p w:rsidR="004B76D5" w:rsidRDefault="004B76D5" w:rsidP="00C07E5E">
                  <w:pPr>
                    <w:pStyle w:val="TableBodyText"/>
                    <w:jc w:val="center"/>
                  </w:pPr>
                  <w:r>
                    <w:t>no.</w:t>
                  </w:r>
                </w:p>
              </w:tc>
              <w:tc>
                <w:tcPr>
                  <w:tcW w:w="411" w:type="pct"/>
                  <w:shd w:val="clear" w:color="auto" w:fill="auto"/>
                </w:tcPr>
                <w:p w:rsidR="004B76D5" w:rsidRDefault="004B76D5" w:rsidP="00187FBC">
                  <w:pPr>
                    <w:pStyle w:val="TableBodyText"/>
                    <w:ind w:right="57"/>
                  </w:pPr>
                  <w:r>
                    <w:t>800</w:t>
                  </w:r>
                </w:p>
              </w:tc>
              <w:tc>
                <w:tcPr>
                  <w:tcW w:w="412" w:type="pct"/>
                </w:tcPr>
                <w:p w:rsidR="004B76D5" w:rsidRDefault="004B76D5" w:rsidP="00187FBC">
                  <w:pPr>
                    <w:pStyle w:val="TableBodyText"/>
                    <w:ind w:right="57"/>
                  </w:pPr>
                  <w:r w:rsidRPr="00154462">
                    <w:t>767</w:t>
                  </w:r>
                </w:p>
              </w:tc>
              <w:tc>
                <w:tcPr>
                  <w:tcW w:w="412"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rsidRPr="00154462">
                    <w:t>603</w:t>
                  </w:r>
                </w:p>
              </w:tc>
              <w:tc>
                <w:tcPr>
                  <w:tcW w:w="336" w:type="pct"/>
                </w:tcPr>
                <w:p w:rsidR="004B76D5" w:rsidRDefault="004B76D5" w:rsidP="00187FBC">
                  <w:pPr>
                    <w:pStyle w:val="TableBodyText"/>
                    <w:ind w:right="57"/>
                  </w:pPr>
                  <w:r w:rsidRPr="00154462">
                    <w:t>263</w:t>
                  </w:r>
                </w:p>
              </w:tc>
              <w:tc>
                <w:tcPr>
                  <w:tcW w:w="336" w:type="pct"/>
                </w:tcPr>
                <w:p w:rsidR="004B76D5" w:rsidRDefault="004B76D5" w:rsidP="00187FBC">
                  <w:pPr>
                    <w:pStyle w:val="TableBodyText"/>
                    <w:ind w:right="57"/>
                  </w:pPr>
                  <w:r>
                    <w:t>..</w:t>
                  </w:r>
                </w:p>
              </w:tc>
              <w:tc>
                <w:tcPr>
                  <w:tcW w:w="336" w:type="pct"/>
                </w:tcPr>
                <w:p w:rsidR="004B76D5" w:rsidRDefault="004B76D5" w:rsidP="00187FBC">
                  <w:pPr>
                    <w:pStyle w:val="TableBodyText"/>
                    <w:ind w:right="57"/>
                  </w:pPr>
                  <w:r>
                    <w:t>..</w:t>
                  </w:r>
                </w:p>
              </w:tc>
              <w:tc>
                <w:tcPr>
                  <w:tcW w:w="458" w:type="pct"/>
                  <w:shd w:val="clear" w:color="auto" w:fill="auto"/>
                </w:tcPr>
                <w:p w:rsidR="004B76D5" w:rsidRDefault="004B76D5" w:rsidP="00187FBC">
                  <w:pPr>
                    <w:pStyle w:val="TableBodyText"/>
                    <w:ind w:right="57"/>
                  </w:pPr>
                  <w:r w:rsidRPr="00154462">
                    <w:t>2</w:t>
                  </w:r>
                  <w:r>
                    <w:t xml:space="preserve"> </w:t>
                  </w:r>
                  <w:r w:rsidRPr="00154462">
                    <w:t>433</w:t>
                  </w:r>
                </w:p>
              </w:tc>
            </w:tr>
            <w:tr w:rsidR="00582643" w:rsidTr="00582643">
              <w:tc>
                <w:tcPr>
                  <w:tcW w:w="1234" w:type="pct"/>
                  <w:shd w:val="clear" w:color="auto" w:fill="auto"/>
                </w:tcPr>
                <w:p w:rsidR="004B76D5" w:rsidRPr="00A44129" w:rsidRDefault="004B76D5" w:rsidP="00F31918">
                  <w:pPr>
                    <w:pStyle w:val="TableBodyText"/>
                    <w:ind w:left="120"/>
                    <w:jc w:val="left"/>
                    <w:rPr>
                      <w:szCs w:val="24"/>
                    </w:rPr>
                  </w:pPr>
                  <w:r>
                    <w:t>All</w:t>
                  </w:r>
                  <w:r w:rsidRPr="00A44129">
                    <w:t xml:space="preserve"> NDIS participants with </w:t>
                  </w:r>
                  <w:r>
                    <w:t>approved</w:t>
                  </w:r>
                  <w:r w:rsidRPr="00A44129">
                    <w:t xml:space="preserve"> plans</w:t>
                  </w:r>
                </w:p>
              </w:tc>
              <w:tc>
                <w:tcPr>
                  <w:tcW w:w="276" w:type="pct"/>
                </w:tcPr>
                <w:p w:rsidR="004B76D5" w:rsidRDefault="004B76D5" w:rsidP="00C07E5E">
                  <w:pPr>
                    <w:pStyle w:val="TableBodyText"/>
                    <w:jc w:val="center"/>
                  </w:pPr>
                  <w:r>
                    <w:t>no.</w:t>
                  </w:r>
                </w:p>
              </w:tc>
              <w:tc>
                <w:tcPr>
                  <w:tcW w:w="411" w:type="pct"/>
                  <w:shd w:val="clear" w:color="auto" w:fill="auto"/>
                </w:tcPr>
                <w:p w:rsidR="004B76D5" w:rsidRDefault="004B76D5" w:rsidP="00187FBC">
                  <w:pPr>
                    <w:pStyle w:val="TableBodyText"/>
                    <w:ind w:right="57"/>
                  </w:pPr>
                  <w:r>
                    <w:t>2 268</w:t>
                  </w:r>
                </w:p>
              </w:tc>
              <w:tc>
                <w:tcPr>
                  <w:tcW w:w="412" w:type="pct"/>
                </w:tcPr>
                <w:p w:rsidR="004B76D5" w:rsidRDefault="004B76D5" w:rsidP="00187FBC">
                  <w:pPr>
                    <w:pStyle w:val="TableBodyText"/>
                    <w:ind w:right="57"/>
                  </w:pPr>
                  <w:r w:rsidRPr="00154462">
                    <w:t>2</w:t>
                  </w:r>
                  <w:r>
                    <w:t xml:space="preserve"> </w:t>
                  </w:r>
                  <w:r w:rsidRPr="00154462">
                    <w:t>907</w:t>
                  </w:r>
                </w:p>
              </w:tc>
              <w:tc>
                <w:tcPr>
                  <w:tcW w:w="412"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t>..</w:t>
                  </w:r>
                </w:p>
              </w:tc>
              <w:tc>
                <w:tcPr>
                  <w:tcW w:w="395" w:type="pct"/>
                </w:tcPr>
                <w:p w:rsidR="004B76D5" w:rsidRDefault="004B76D5" w:rsidP="00187FBC">
                  <w:pPr>
                    <w:pStyle w:val="TableBodyText"/>
                    <w:ind w:right="57"/>
                  </w:pPr>
                  <w:r w:rsidRPr="00154462">
                    <w:t>1</w:t>
                  </w:r>
                  <w:r>
                    <w:t xml:space="preserve"> </w:t>
                  </w:r>
                  <w:r w:rsidRPr="00154462">
                    <w:t>355</w:t>
                  </w:r>
                </w:p>
              </w:tc>
              <w:tc>
                <w:tcPr>
                  <w:tcW w:w="336" w:type="pct"/>
                </w:tcPr>
                <w:p w:rsidR="004B76D5" w:rsidRDefault="004B76D5" w:rsidP="00187FBC">
                  <w:pPr>
                    <w:pStyle w:val="TableBodyText"/>
                    <w:ind w:right="57"/>
                  </w:pPr>
                  <w:r>
                    <w:t>786</w:t>
                  </w:r>
                </w:p>
              </w:tc>
              <w:tc>
                <w:tcPr>
                  <w:tcW w:w="336" w:type="pct"/>
                </w:tcPr>
                <w:p w:rsidR="004B76D5" w:rsidRDefault="004B76D5" w:rsidP="00187FBC">
                  <w:pPr>
                    <w:pStyle w:val="TableBodyText"/>
                    <w:ind w:right="57"/>
                  </w:pPr>
                  <w:r>
                    <w:t>..</w:t>
                  </w:r>
                </w:p>
              </w:tc>
              <w:tc>
                <w:tcPr>
                  <w:tcW w:w="336" w:type="pct"/>
                </w:tcPr>
                <w:p w:rsidR="004B76D5" w:rsidRDefault="004B76D5" w:rsidP="00187FBC">
                  <w:pPr>
                    <w:pStyle w:val="TableBodyText"/>
                    <w:ind w:right="57"/>
                  </w:pPr>
                  <w:r>
                    <w:t>..</w:t>
                  </w:r>
                </w:p>
              </w:tc>
              <w:tc>
                <w:tcPr>
                  <w:tcW w:w="458" w:type="pct"/>
                  <w:shd w:val="clear" w:color="auto" w:fill="auto"/>
                </w:tcPr>
                <w:p w:rsidR="004B76D5" w:rsidRDefault="004B76D5" w:rsidP="00187FBC">
                  <w:pPr>
                    <w:pStyle w:val="TableBodyText"/>
                    <w:ind w:right="57"/>
                  </w:pPr>
                  <w:r w:rsidRPr="00154462">
                    <w:t>7</w:t>
                  </w:r>
                  <w:r>
                    <w:t xml:space="preserve"> </w:t>
                  </w:r>
                  <w:r w:rsidRPr="00154462">
                    <w:t>316</w:t>
                  </w:r>
                </w:p>
              </w:tc>
            </w:tr>
            <w:tr w:rsidR="00582643" w:rsidRPr="00343E37" w:rsidTr="00582643">
              <w:tc>
                <w:tcPr>
                  <w:tcW w:w="1234" w:type="pct"/>
                  <w:tcBorders>
                    <w:bottom w:val="single" w:sz="6" w:space="0" w:color="BFBFBF"/>
                  </w:tcBorders>
                  <w:shd w:val="clear" w:color="auto" w:fill="auto"/>
                </w:tcPr>
                <w:p w:rsidR="004B76D5" w:rsidRPr="00343E37" w:rsidRDefault="004B76D5" w:rsidP="00F31918">
                  <w:pPr>
                    <w:pStyle w:val="TableBodyText"/>
                    <w:ind w:left="120"/>
                    <w:jc w:val="left"/>
                    <w:rPr>
                      <w:b/>
                      <w:szCs w:val="24"/>
                    </w:rPr>
                  </w:pPr>
                  <w:r w:rsidRPr="00343E37">
                    <w:rPr>
                      <w:b/>
                    </w:rPr>
                    <w:t>Proportion of NDIS participants who were existing service users</w:t>
                  </w:r>
                </w:p>
              </w:tc>
              <w:tc>
                <w:tcPr>
                  <w:tcW w:w="276" w:type="pct"/>
                  <w:tcBorders>
                    <w:bottom w:val="single" w:sz="6" w:space="0" w:color="BFBFBF"/>
                  </w:tcBorders>
                </w:tcPr>
                <w:p w:rsidR="004B76D5" w:rsidRPr="00343E37" w:rsidRDefault="004B76D5" w:rsidP="00C07E5E">
                  <w:pPr>
                    <w:pStyle w:val="TableBodyText"/>
                    <w:jc w:val="center"/>
                    <w:rPr>
                      <w:b/>
                    </w:rPr>
                  </w:pPr>
                  <w:r w:rsidRPr="00343E37">
                    <w:rPr>
                      <w:b/>
                    </w:rPr>
                    <w:t>%</w:t>
                  </w:r>
                </w:p>
              </w:tc>
              <w:tc>
                <w:tcPr>
                  <w:tcW w:w="411" w:type="pct"/>
                  <w:tcBorders>
                    <w:bottom w:val="single" w:sz="6" w:space="0" w:color="BFBFBF"/>
                  </w:tcBorders>
                  <w:shd w:val="clear" w:color="auto" w:fill="auto"/>
                </w:tcPr>
                <w:p w:rsidR="004B76D5" w:rsidRPr="00343E37" w:rsidRDefault="004B76D5" w:rsidP="00187FBC">
                  <w:pPr>
                    <w:pStyle w:val="TableBodyText"/>
                    <w:ind w:right="57"/>
                    <w:rPr>
                      <w:b/>
                    </w:rPr>
                  </w:pPr>
                  <w:r w:rsidRPr="00343E37">
                    <w:rPr>
                      <w:b/>
                    </w:rPr>
                    <w:t>64.7</w:t>
                  </w:r>
                </w:p>
              </w:tc>
              <w:tc>
                <w:tcPr>
                  <w:tcW w:w="412" w:type="pct"/>
                  <w:tcBorders>
                    <w:bottom w:val="single" w:sz="6" w:space="0" w:color="BFBFBF"/>
                  </w:tcBorders>
                </w:tcPr>
                <w:p w:rsidR="004B76D5" w:rsidRPr="00343E37" w:rsidRDefault="004B76D5" w:rsidP="00187FBC">
                  <w:pPr>
                    <w:pStyle w:val="TableBodyText"/>
                    <w:ind w:right="57"/>
                    <w:rPr>
                      <w:b/>
                    </w:rPr>
                  </w:pPr>
                  <w:r w:rsidRPr="00343E37">
                    <w:rPr>
                      <w:b/>
                    </w:rPr>
                    <w:t>73.6</w:t>
                  </w:r>
                </w:p>
              </w:tc>
              <w:tc>
                <w:tcPr>
                  <w:tcW w:w="412" w:type="pct"/>
                  <w:tcBorders>
                    <w:bottom w:val="single" w:sz="6" w:space="0" w:color="BFBFBF"/>
                  </w:tcBorders>
                </w:tcPr>
                <w:p w:rsidR="004B76D5" w:rsidRPr="00343E37" w:rsidRDefault="004B76D5" w:rsidP="00187FBC">
                  <w:pPr>
                    <w:pStyle w:val="TableBodyText"/>
                    <w:ind w:right="57"/>
                    <w:rPr>
                      <w:b/>
                    </w:rPr>
                  </w:pPr>
                  <w:r w:rsidRPr="00343E37">
                    <w:rPr>
                      <w:b/>
                    </w:rPr>
                    <w:t>na</w:t>
                  </w:r>
                </w:p>
              </w:tc>
              <w:tc>
                <w:tcPr>
                  <w:tcW w:w="395" w:type="pct"/>
                  <w:tcBorders>
                    <w:bottom w:val="single" w:sz="6" w:space="0" w:color="BFBFBF"/>
                  </w:tcBorders>
                </w:tcPr>
                <w:p w:rsidR="004B76D5" w:rsidRPr="00343E37" w:rsidRDefault="004B76D5" w:rsidP="00187FBC">
                  <w:pPr>
                    <w:pStyle w:val="TableBodyText"/>
                    <w:ind w:right="57"/>
                    <w:rPr>
                      <w:b/>
                    </w:rPr>
                  </w:pPr>
                  <w:r w:rsidRPr="00343E37">
                    <w:rPr>
                      <w:b/>
                    </w:rPr>
                    <w:t>na</w:t>
                  </w:r>
                </w:p>
              </w:tc>
              <w:tc>
                <w:tcPr>
                  <w:tcW w:w="395" w:type="pct"/>
                  <w:tcBorders>
                    <w:bottom w:val="single" w:sz="6" w:space="0" w:color="BFBFBF"/>
                  </w:tcBorders>
                </w:tcPr>
                <w:p w:rsidR="004B76D5" w:rsidRPr="00343E37" w:rsidRDefault="004B76D5" w:rsidP="00187FBC">
                  <w:pPr>
                    <w:pStyle w:val="TableBodyText"/>
                    <w:ind w:right="57"/>
                    <w:rPr>
                      <w:b/>
                    </w:rPr>
                  </w:pPr>
                  <w:r w:rsidRPr="00343E37">
                    <w:rPr>
                      <w:b/>
                    </w:rPr>
                    <w:t>55.5</w:t>
                  </w:r>
                </w:p>
              </w:tc>
              <w:tc>
                <w:tcPr>
                  <w:tcW w:w="336" w:type="pct"/>
                  <w:tcBorders>
                    <w:bottom w:val="single" w:sz="6" w:space="0" w:color="BFBFBF"/>
                  </w:tcBorders>
                </w:tcPr>
                <w:p w:rsidR="004B76D5" w:rsidRPr="00343E37" w:rsidRDefault="004B76D5" w:rsidP="00187FBC">
                  <w:pPr>
                    <w:pStyle w:val="TableBodyText"/>
                    <w:ind w:right="57"/>
                    <w:rPr>
                      <w:b/>
                    </w:rPr>
                  </w:pPr>
                  <w:r w:rsidRPr="00343E37">
                    <w:rPr>
                      <w:b/>
                    </w:rPr>
                    <w:t>66.5</w:t>
                  </w:r>
                </w:p>
              </w:tc>
              <w:tc>
                <w:tcPr>
                  <w:tcW w:w="336" w:type="pct"/>
                  <w:tcBorders>
                    <w:bottom w:val="single" w:sz="6" w:space="0" w:color="BFBFBF"/>
                  </w:tcBorders>
                </w:tcPr>
                <w:p w:rsidR="004B76D5" w:rsidRPr="00343E37" w:rsidRDefault="004B76D5" w:rsidP="00187FBC">
                  <w:pPr>
                    <w:pStyle w:val="TableBodyText"/>
                    <w:ind w:right="57"/>
                    <w:rPr>
                      <w:b/>
                    </w:rPr>
                  </w:pPr>
                  <w:r w:rsidRPr="00343E37">
                    <w:rPr>
                      <w:b/>
                    </w:rPr>
                    <w:t>..</w:t>
                  </w:r>
                </w:p>
              </w:tc>
              <w:tc>
                <w:tcPr>
                  <w:tcW w:w="336" w:type="pct"/>
                  <w:tcBorders>
                    <w:bottom w:val="single" w:sz="6" w:space="0" w:color="BFBFBF"/>
                  </w:tcBorders>
                </w:tcPr>
                <w:p w:rsidR="004B76D5" w:rsidRPr="00343E37" w:rsidRDefault="004B76D5" w:rsidP="00187FBC">
                  <w:pPr>
                    <w:pStyle w:val="TableBodyText"/>
                    <w:ind w:right="57"/>
                    <w:rPr>
                      <w:b/>
                    </w:rPr>
                  </w:pPr>
                  <w:r w:rsidRPr="00343E37">
                    <w:rPr>
                      <w:b/>
                    </w:rPr>
                    <w:t>..</w:t>
                  </w:r>
                </w:p>
              </w:tc>
              <w:tc>
                <w:tcPr>
                  <w:tcW w:w="458" w:type="pct"/>
                  <w:tcBorders>
                    <w:bottom w:val="single" w:sz="6" w:space="0" w:color="BFBFBF"/>
                  </w:tcBorders>
                  <w:shd w:val="clear" w:color="auto" w:fill="auto"/>
                </w:tcPr>
                <w:p w:rsidR="004B76D5" w:rsidRPr="00343E37" w:rsidRDefault="004B76D5" w:rsidP="00187FBC">
                  <w:pPr>
                    <w:pStyle w:val="TableBodyText"/>
                    <w:ind w:right="57"/>
                    <w:rPr>
                      <w:b/>
                    </w:rPr>
                  </w:pPr>
                  <w:r w:rsidRPr="00343E37">
                    <w:rPr>
                      <w:b/>
                    </w:rPr>
                    <w:t>66.7</w:t>
                  </w:r>
                </w:p>
              </w:tc>
            </w:tr>
          </w:tbl>
          <w:p w:rsidR="00ED72B7" w:rsidRDefault="00ED72B7" w:rsidP="00ED72B7">
            <w:pPr>
              <w:pStyle w:val="Box"/>
            </w:pPr>
          </w:p>
        </w:tc>
      </w:tr>
      <w:tr w:rsidR="00ED72B7" w:rsidTr="00ED72B7">
        <w:trPr>
          <w:cantSplit/>
        </w:trPr>
        <w:tc>
          <w:tcPr>
            <w:tcW w:w="8771" w:type="dxa"/>
            <w:tcBorders>
              <w:top w:val="nil"/>
              <w:left w:val="nil"/>
              <w:bottom w:val="nil"/>
              <w:right w:val="nil"/>
            </w:tcBorders>
            <w:shd w:val="clear" w:color="auto" w:fill="auto"/>
          </w:tcPr>
          <w:p w:rsidR="004B1196" w:rsidRPr="004B1196" w:rsidRDefault="00ED72B7" w:rsidP="00CE15BA">
            <w:pPr>
              <w:pStyle w:val="Note"/>
            </w:pPr>
            <w:r w:rsidRPr="00035A44">
              <w:rPr>
                <w:rStyle w:val="NoteLabel"/>
              </w:rPr>
              <w:t>a</w:t>
            </w:r>
            <w:r w:rsidR="00035A44">
              <w:t>Data represent</w:t>
            </w:r>
            <w:r w:rsidR="00035A44" w:rsidRPr="00C07E5E">
              <w:t xml:space="preserve"> people who were reported in the DS NMDS who then transitioned to the NDIS and may not represent all service users who have transitioned to the NDIS.</w:t>
            </w:r>
            <w:r w:rsidR="00A44129" w:rsidRPr="00C07E5E">
              <w:t xml:space="preserve"> </w:t>
            </w:r>
            <w:r w:rsidR="00DC1FC9">
              <w:rPr>
                <w:rStyle w:val="NoteLabel"/>
              </w:rPr>
              <w:t>b</w:t>
            </w:r>
            <w:r w:rsidR="00A44129" w:rsidRPr="00C07E5E">
              <w:t xml:space="preserve"> </w:t>
            </w:r>
            <w:r w:rsidR="00035A44" w:rsidRPr="00C07E5E">
              <w:t>Service users may appear as transitioned to the NDIS in jurisdictions in which there are no NDIS trial sites. This is because a service user identified as transitioning to the NDIS has moved between jurisdictions during the 12</w:t>
            </w:r>
            <w:r w:rsidR="005547FD">
              <w:noBreakHyphen/>
            </w:r>
            <w:r w:rsidR="00035A44" w:rsidRPr="00C07E5E">
              <w:t>month period.</w:t>
            </w:r>
            <w:r w:rsidR="00CE15BA">
              <w:t xml:space="preserve"> </w:t>
            </w:r>
            <w:r w:rsidR="00CE15BA">
              <w:rPr>
                <w:rStyle w:val="NoteLabel"/>
              </w:rPr>
              <w:t>c </w:t>
            </w:r>
            <w:r w:rsidR="000873D0" w:rsidRPr="009E411B">
              <w:t>Data represents people who participated in the NDIS and reported receiving funded supports from Commonwealth and State/Territory disability programs.</w:t>
            </w:r>
            <w:r w:rsidR="00DC1FC9" w:rsidRPr="009E411B">
              <w:rPr>
                <w:rStyle w:val="NoteLabel"/>
              </w:rPr>
              <w:t xml:space="preserve"> d</w:t>
            </w:r>
            <w:r w:rsidR="00DC1FC9" w:rsidRPr="009E411B">
              <w:t xml:space="preserve"> </w:t>
            </w:r>
            <w:r w:rsidR="000873D0" w:rsidRPr="009E411B">
              <w:t xml:space="preserve">There were 19 active participants with approved plans for whom there was no information on whether </w:t>
            </w:r>
            <w:r w:rsidR="00A44129" w:rsidRPr="009E411B">
              <w:t>they were previously accessing existing disability programs.</w:t>
            </w:r>
            <w:r w:rsidR="008B63B7" w:rsidRPr="00481A86">
              <w:t xml:space="preserve"> </w:t>
            </w:r>
            <w:r w:rsidR="004B1196" w:rsidRPr="00481A86">
              <w:rPr>
                <w:b/>
              </w:rPr>
              <w:t>na</w:t>
            </w:r>
            <w:r w:rsidR="004B1196">
              <w:t xml:space="preserve"> Not available .. Not applicable</w:t>
            </w:r>
            <w:r w:rsidR="008B63B7">
              <w:t xml:space="preserve"> </w:t>
            </w:r>
            <w:r w:rsidR="008B63B7" w:rsidRPr="008B63B7">
              <w:t>– Nil or rounded to zero</w:t>
            </w:r>
            <w:r w:rsidR="008B63B7">
              <w:t>.</w:t>
            </w:r>
          </w:p>
        </w:tc>
      </w:tr>
      <w:tr w:rsidR="00ED72B7" w:rsidTr="00ED72B7">
        <w:trPr>
          <w:cantSplit/>
        </w:trPr>
        <w:tc>
          <w:tcPr>
            <w:tcW w:w="8771" w:type="dxa"/>
            <w:tcBorders>
              <w:top w:val="nil"/>
              <w:left w:val="nil"/>
              <w:bottom w:val="nil"/>
              <w:right w:val="nil"/>
            </w:tcBorders>
            <w:shd w:val="clear" w:color="auto" w:fill="auto"/>
          </w:tcPr>
          <w:p w:rsidR="00ED72B7" w:rsidRDefault="00ED72B7" w:rsidP="005D6C8F">
            <w:pPr>
              <w:pStyle w:val="Source"/>
            </w:pPr>
            <w:r w:rsidRPr="00DE4888">
              <w:rPr>
                <w:i/>
              </w:rPr>
              <w:t>Source</w:t>
            </w:r>
            <w:r w:rsidRPr="00DE4888">
              <w:t xml:space="preserve">: </w:t>
            </w:r>
            <w:r w:rsidR="00D65C2A">
              <w:t>Australian Institute of Health and Welfare (</w:t>
            </w:r>
            <w:r w:rsidR="00CF7795">
              <w:t>AIHW</w:t>
            </w:r>
            <w:r w:rsidR="00D65C2A">
              <w:t xml:space="preserve">, </w:t>
            </w:r>
            <w:r w:rsidR="00CF7795">
              <w:t>2015</w:t>
            </w:r>
            <w:r w:rsidR="000873D0">
              <w:t>a</w:t>
            </w:r>
            <w:r w:rsidR="00CF7795">
              <w:t xml:space="preserve">) </w:t>
            </w:r>
            <w:r w:rsidR="00CF7795" w:rsidRPr="00CF7795">
              <w:rPr>
                <w:i/>
              </w:rPr>
              <w:t>Disability support services: services provided under the National Disability Agreement 2013</w:t>
            </w:r>
            <w:r w:rsidR="005547FD">
              <w:rPr>
                <w:i/>
              </w:rPr>
              <w:noBreakHyphen/>
            </w:r>
            <w:r w:rsidR="00CF7795" w:rsidRPr="00CF7795">
              <w:rPr>
                <w:i/>
              </w:rPr>
              <w:t>14 —</w:t>
            </w:r>
            <w:r w:rsidR="004B1196">
              <w:rPr>
                <w:i/>
              </w:rPr>
              <w:t xml:space="preserve"> </w:t>
            </w:r>
            <w:r w:rsidR="00CF7795" w:rsidRPr="00CF7795">
              <w:rPr>
                <w:i/>
              </w:rPr>
              <w:t>Appendix</w:t>
            </w:r>
            <w:r w:rsidR="00CF7795">
              <w:t>. Cat. no. AUS 192; NDIA (published and unpublished), NDIA data collection.</w:t>
            </w:r>
          </w:p>
        </w:tc>
      </w:tr>
      <w:tr w:rsidR="00ED72B7" w:rsidTr="00ED72B7">
        <w:trPr>
          <w:cantSplit/>
        </w:trPr>
        <w:tc>
          <w:tcPr>
            <w:tcW w:w="8771" w:type="dxa"/>
            <w:tcBorders>
              <w:top w:val="nil"/>
              <w:left w:val="nil"/>
              <w:bottom w:val="single" w:sz="6" w:space="0" w:color="78A22F"/>
              <w:right w:val="nil"/>
            </w:tcBorders>
            <w:shd w:val="clear" w:color="auto" w:fill="auto"/>
          </w:tcPr>
          <w:p w:rsidR="00ED72B7" w:rsidRDefault="00ED72B7" w:rsidP="00ED72B7">
            <w:pPr>
              <w:pStyle w:val="Box"/>
              <w:spacing w:before="0" w:line="120" w:lineRule="exact"/>
            </w:pPr>
          </w:p>
        </w:tc>
      </w:tr>
      <w:tr w:rsidR="00ED72B7" w:rsidRPr="000863A5" w:rsidTr="00ED72B7">
        <w:tc>
          <w:tcPr>
            <w:tcW w:w="8771" w:type="dxa"/>
            <w:tcBorders>
              <w:top w:val="single" w:sz="6" w:space="0" w:color="78A22F"/>
              <w:left w:val="nil"/>
              <w:bottom w:val="nil"/>
              <w:right w:val="nil"/>
            </w:tcBorders>
          </w:tcPr>
          <w:p w:rsidR="00ED72B7" w:rsidRPr="00626D32" w:rsidRDefault="00ED72B7" w:rsidP="00ED72B7">
            <w:pPr>
              <w:pStyle w:val="BoxSpaceBelow"/>
            </w:pPr>
          </w:p>
        </w:tc>
      </w:tr>
    </w:tbl>
    <w:p w:rsidR="001F39F2" w:rsidRPr="00B02DB0" w:rsidRDefault="001F39F2" w:rsidP="00585E2C">
      <w:pPr>
        <w:pStyle w:val="Heading4"/>
      </w:pPr>
      <w:r w:rsidRPr="00B02DB0">
        <w:t>Mainstream services</w:t>
      </w:r>
    </w:p>
    <w:p w:rsidR="00DF6DD6" w:rsidRPr="00B02DB0" w:rsidRDefault="001F39F2" w:rsidP="00585E2C">
      <w:pPr>
        <w:pStyle w:val="BodyText"/>
      </w:pPr>
      <w:r w:rsidRPr="00B02DB0">
        <w:t xml:space="preserve">Mainstream services are services provided to the community as a whole. Governments acknowledge that specialist disability services are complemented by mainstream services. Under the NDA, </w:t>
      </w:r>
      <w:r w:rsidR="003D31DC" w:rsidRPr="000453A1">
        <w:rPr>
          <w:shd w:val="clear" w:color="auto" w:fill="FFFFFF" w:themeFill="background1"/>
        </w:rPr>
        <w:t xml:space="preserve">and consistent with the National Disability Strategy, </w:t>
      </w:r>
      <w:r w:rsidR="00D93951" w:rsidRPr="000453A1">
        <w:rPr>
          <w:shd w:val="clear" w:color="auto" w:fill="FFFFFF" w:themeFill="background1"/>
        </w:rPr>
        <w:t>the Australian and State and Territory governments</w:t>
      </w:r>
      <w:r w:rsidR="00D93951" w:rsidRPr="00B02DB0">
        <w:t xml:space="preserve"> </w:t>
      </w:r>
      <w:r w:rsidRPr="00B02DB0">
        <w:t xml:space="preserve">have agreed to strive to ensure that all people with disability have access to mainstream government services within their jurisdictions. It is recognised that improved outcomes for people with disability, their families and their carers, are contingent upon the effective coordination of efforts across government services. Some mainstream services give priority to people with disability (for example, </w:t>
      </w:r>
      <w:r w:rsidR="0019455A" w:rsidRPr="00B02DB0">
        <w:t>social</w:t>
      </w:r>
      <w:r w:rsidRPr="00B02DB0">
        <w:t xml:space="preserve"> housing) or have programs to meet the special needs of people with disability (for example, school education).</w:t>
      </w:r>
    </w:p>
    <w:p w:rsidR="001F39F2" w:rsidRPr="00B02DB0" w:rsidRDefault="001F39F2" w:rsidP="00585E2C">
      <w:pPr>
        <w:pStyle w:val="Heading4"/>
      </w:pPr>
      <w:r w:rsidRPr="00B02DB0">
        <w:lastRenderedPageBreak/>
        <w:t xml:space="preserve">Income support and allowances </w:t>
      </w:r>
    </w:p>
    <w:p w:rsidR="002A3276" w:rsidRDefault="001F39F2" w:rsidP="002A3276">
      <w:pPr>
        <w:pStyle w:val="BodyText"/>
      </w:pPr>
      <w:r w:rsidRPr="00B02DB0">
        <w:t>Income support for people with disability and their carers contributes to the outcomes of the NDA. The Australian Government is responsible for the provision of income support targeted to the needs of people with disability, the</w:t>
      </w:r>
      <w:r w:rsidR="00B9634A">
        <w:t>ir families and carers (box</w:t>
      </w:r>
      <w:r w:rsidR="00AE3578">
        <w:t> </w:t>
      </w:r>
      <w:r w:rsidR="00007C3B">
        <w:t>14.3</w:t>
      </w:r>
      <w:r w:rsidRPr="00B02DB0">
        <w:t xml:space="preserve">). Income support is provided to those who meet the relevant eligibility criteria. Income support payments and allowances include the Disability Support Pension, Carer Payment, Carer Allowance, Sickness Allowance, Mobility Allowance, Child Disability Assistance Payment and Carer Supplement. </w:t>
      </w:r>
    </w:p>
    <w:p w:rsidR="002A3276" w:rsidRPr="002A3276" w:rsidRDefault="002A327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3276" w:rsidTr="00336140">
        <w:tc>
          <w:tcPr>
            <w:tcW w:w="8771" w:type="dxa"/>
            <w:tcBorders>
              <w:top w:val="single" w:sz="6" w:space="0" w:color="78A22F"/>
              <w:left w:val="nil"/>
              <w:bottom w:val="nil"/>
              <w:right w:val="nil"/>
            </w:tcBorders>
            <w:shd w:val="clear" w:color="auto" w:fill="F2F2F2"/>
          </w:tcPr>
          <w:p w:rsidR="002A3276" w:rsidRDefault="002A3276" w:rsidP="002A3276">
            <w:pPr>
              <w:pStyle w:val="BoxTitle"/>
            </w:pPr>
            <w:r>
              <w:rPr>
                <w:b w:val="0"/>
              </w:rPr>
              <w:t xml:space="preserve">Box </w:t>
            </w:r>
            <w:bookmarkStart w:id="9" w:name="OLE_LINK7"/>
            <w:r w:rsidRPr="00B02DB0">
              <w:rPr>
                <w:b w:val="0"/>
              </w:rPr>
              <w:t>14.</w:t>
            </w:r>
            <w:r w:rsidR="004B691F">
              <w:rPr>
                <w:b w:val="0"/>
                <w:noProof/>
              </w:rPr>
              <w:t>3</w:t>
            </w:r>
            <w:bookmarkEnd w:id="9"/>
            <w:r>
              <w:tab/>
            </w:r>
            <w:r w:rsidRPr="00B02DB0">
              <w:t>Australian Government supplementary and income support arrangements</w:t>
            </w:r>
          </w:p>
        </w:tc>
      </w:tr>
      <w:tr w:rsidR="002A3276" w:rsidTr="00336140">
        <w:trPr>
          <w:cantSplit/>
        </w:trPr>
        <w:tc>
          <w:tcPr>
            <w:tcW w:w="8771" w:type="dxa"/>
            <w:tcBorders>
              <w:top w:val="nil"/>
              <w:left w:val="nil"/>
              <w:bottom w:val="nil"/>
              <w:right w:val="nil"/>
            </w:tcBorders>
            <w:shd w:val="clear" w:color="auto" w:fill="F2F2F2"/>
          </w:tcPr>
          <w:p w:rsidR="002A3276" w:rsidRPr="00F63E00" w:rsidRDefault="002A3276" w:rsidP="002A3276">
            <w:pPr>
              <w:pStyle w:val="Box"/>
            </w:pPr>
            <w:r w:rsidRPr="00F63E00">
              <w:t>Outlays on income support payments and allowances to people with disability and their carers in 2014</w:t>
            </w:r>
            <w:r w:rsidR="005547FD">
              <w:noBreakHyphen/>
            </w:r>
            <w:r w:rsidRPr="00F63E00">
              <w:t>15 (on an accrual basis) amounted to $</w:t>
            </w:r>
            <w:r w:rsidR="00EA47EA">
              <w:t xml:space="preserve"> 24.1 </w:t>
            </w:r>
            <w:r w:rsidRPr="003A44D7">
              <w:t>billion, comprising $</w:t>
            </w:r>
            <w:r w:rsidR="00EA47EA">
              <w:t xml:space="preserve">16.5 </w:t>
            </w:r>
            <w:r w:rsidRPr="00F63E00">
              <w:t>billion for the Disability Support Pension, $</w:t>
            </w:r>
            <w:r w:rsidR="00EA47EA">
              <w:t xml:space="preserve">4.6 </w:t>
            </w:r>
            <w:r w:rsidRPr="00F63E00">
              <w:t>billion for the Carer Payment, $</w:t>
            </w:r>
            <w:r w:rsidRPr="005547FD">
              <w:t xml:space="preserve">2.1 </w:t>
            </w:r>
            <w:r w:rsidRPr="003A44D7">
              <w:t>billion for the Carer Allowance, $</w:t>
            </w:r>
            <w:r w:rsidRPr="005547FD">
              <w:t>105.9</w:t>
            </w:r>
            <w:r w:rsidRPr="003A44D7">
              <w:t xml:space="preserve"> </w:t>
            </w:r>
            <w:r w:rsidRPr="00F63E00">
              <w:t>million for the Sickness Allowance, $</w:t>
            </w:r>
            <w:r w:rsidRPr="005547FD">
              <w:t xml:space="preserve">155.4 </w:t>
            </w:r>
            <w:r w:rsidRPr="003A44D7">
              <w:t xml:space="preserve">million for the Mobility Allowance, </w:t>
            </w:r>
            <w:r w:rsidRPr="00F63E00">
              <w:t>$</w:t>
            </w:r>
            <w:r w:rsidRPr="005547FD">
              <w:t>171.0</w:t>
            </w:r>
            <w:r w:rsidRPr="003A44D7">
              <w:t xml:space="preserve"> </w:t>
            </w:r>
            <w:r w:rsidRPr="00F63E00">
              <w:t xml:space="preserve">million for the Child Disability Assistance Payment </w:t>
            </w:r>
            <w:r w:rsidRPr="003A44D7">
              <w:t>and $</w:t>
            </w:r>
            <w:r w:rsidRPr="005547FD">
              <w:t>551.7</w:t>
            </w:r>
            <w:r w:rsidRPr="003A44D7">
              <w:t xml:space="preserve"> </w:t>
            </w:r>
            <w:r w:rsidRPr="00F63E00">
              <w:t>million for the Carer Supplement</w:t>
            </w:r>
            <w:r>
              <w:t>.</w:t>
            </w:r>
          </w:p>
          <w:p w:rsidR="002A3276" w:rsidRDefault="002A3276" w:rsidP="005547FD">
            <w:pPr>
              <w:pStyle w:val="Box"/>
            </w:pPr>
            <w:r w:rsidRPr="00FC0F04">
              <w:t xml:space="preserve">At June 2015, there were around </w:t>
            </w:r>
            <w:r w:rsidRPr="005547FD">
              <w:t>814</w:t>
            </w:r>
            <w:r w:rsidR="005547FD">
              <w:t> </w:t>
            </w:r>
            <w:r w:rsidRPr="005547FD">
              <w:t>400</w:t>
            </w:r>
            <w:r w:rsidRPr="00FC0F04">
              <w:t xml:space="preserve"> recipients of the Disability Support Pension, </w:t>
            </w:r>
            <w:r w:rsidRPr="005547FD">
              <w:t>255 500</w:t>
            </w:r>
            <w:r w:rsidRPr="00FC0F04">
              <w:t xml:space="preserve"> recipients of the Carer Payment,</w:t>
            </w:r>
            <w:r w:rsidRPr="005547FD">
              <w:t xml:space="preserve"> 622</w:t>
            </w:r>
            <w:r w:rsidR="005547FD">
              <w:t> </w:t>
            </w:r>
            <w:r w:rsidRPr="005547FD">
              <w:t>300</w:t>
            </w:r>
            <w:r w:rsidRPr="00FC0F04">
              <w:t xml:space="preserve"> recipients of the Carer Allowance (including Health Care Card only</w:t>
            </w:r>
            <w:r w:rsidRPr="00F63E00">
              <w:t xml:space="preserve"> recipients), </w:t>
            </w:r>
            <w:r w:rsidRPr="005547FD">
              <w:t>6</w:t>
            </w:r>
            <w:r w:rsidR="007D058F" w:rsidRPr="005547FD">
              <w:t>2</w:t>
            </w:r>
            <w:r w:rsidR="005547FD">
              <w:t> </w:t>
            </w:r>
            <w:r w:rsidR="007D058F" w:rsidRPr="005547FD">
              <w:t>000</w:t>
            </w:r>
            <w:r w:rsidRPr="005547FD">
              <w:t xml:space="preserve"> </w:t>
            </w:r>
            <w:r w:rsidRPr="009E411B">
              <w:t>recipients</w:t>
            </w:r>
            <w:r w:rsidRPr="00F63E00">
              <w:t xml:space="preserve"> of the Mobility Allowance, </w:t>
            </w:r>
            <w:r w:rsidRPr="005547FD">
              <w:t>7900</w:t>
            </w:r>
            <w:r w:rsidRPr="00F63E00">
              <w:t xml:space="preserve"> recipients of the Sickness Allowance, </w:t>
            </w:r>
            <w:r w:rsidRPr="005547FD">
              <w:t>150</w:t>
            </w:r>
            <w:r w:rsidR="005547FD">
              <w:t> </w:t>
            </w:r>
            <w:r w:rsidRPr="005547FD">
              <w:t>800</w:t>
            </w:r>
            <w:r w:rsidRPr="00F63E00" w:rsidDel="00503D6E">
              <w:t xml:space="preserve"> </w:t>
            </w:r>
            <w:r w:rsidRPr="00F63E00">
              <w:t xml:space="preserve">recipients of the Child Disability Assistance Payment and </w:t>
            </w:r>
            <w:r w:rsidRPr="005547FD">
              <w:t>614 800</w:t>
            </w:r>
            <w:r w:rsidRPr="00F63E00">
              <w:t xml:space="preserve"> recipients of the Carer Supplement.</w:t>
            </w:r>
          </w:p>
        </w:tc>
      </w:tr>
      <w:tr w:rsidR="002A3276" w:rsidTr="00336140">
        <w:trPr>
          <w:cantSplit/>
        </w:trPr>
        <w:tc>
          <w:tcPr>
            <w:tcW w:w="8771" w:type="dxa"/>
            <w:tcBorders>
              <w:top w:val="nil"/>
              <w:left w:val="nil"/>
              <w:bottom w:val="nil"/>
              <w:right w:val="nil"/>
            </w:tcBorders>
            <w:shd w:val="clear" w:color="auto" w:fill="F2F2F2"/>
          </w:tcPr>
          <w:p w:rsidR="002A3276" w:rsidRDefault="002A3276" w:rsidP="002A3276">
            <w:pPr>
              <w:pStyle w:val="BoxSource"/>
            </w:pPr>
            <w:r w:rsidRPr="00B02DB0">
              <w:rPr>
                <w:i/>
              </w:rPr>
              <w:t>Source</w:t>
            </w:r>
            <w:r w:rsidRPr="00B02DB0">
              <w:t>: Australian Government (unpublished); table</w:t>
            </w:r>
            <w:r>
              <w:t> </w:t>
            </w:r>
            <w:r w:rsidRPr="00B02DB0">
              <w:t>14A.1.</w:t>
            </w:r>
          </w:p>
        </w:tc>
      </w:tr>
      <w:tr w:rsidR="002A3276" w:rsidTr="00336140">
        <w:trPr>
          <w:cantSplit/>
        </w:trPr>
        <w:tc>
          <w:tcPr>
            <w:tcW w:w="8771" w:type="dxa"/>
            <w:tcBorders>
              <w:top w:val="nil"/>
              <w:left w:val="nil"/>
              <w:bottom w:val="single" w:sz="6" w:space="0" w:color="78A22F"/>
              <w:right w:val="nil"/>
            </w:tcBorders>
            <w:shd w:val="clear" w:color="auto" w:fill="F2F2F2"/>
          </w:tcPr>
          <w:p w:rsidR="002A3276" w:rsidRDefault="002A3276">
            <w:pPr>
              <w:pStyle w:val="Box"/>
              <w:spacing w:before="0" w:line="120" w:lineRule="exact"/>
            </w:pPr>
          </w:p>
        </w:tc>
      </w:tr>
      <w:tr w:rsidR="002A3276" w:rsidRPr="000863A5" w:rsidTr="00336140">
        <w:tc>
          <w:tcPr>
            <w:tcW w:w="8771" w:type="dxa"/>
            <w:tcBorders>
              <w:top w:val="single" w:sz="6" w:space="0" w:color="78A22F"/>
              <w:left w:val="nil"/>
              <w:bottom w:val="nil"/>
              <w:right w:val="nil"/>
            </w:tcBorders>
          </w:tcPr>
          <w:p w:rsidR="002A3276" w:rsidRPr="00626D32" w:rsidRDefault="002A3276" w:rsidP="00336140">
            <w:pPr>
              <w:pStyle w:val="BoxSpaceBelow"/>
            </w:pPr>
          </w:p>
        </w:tc>
      </w:tr>
    </w:tbl>
    <w:p w:rsidR="001F39F2" w:rsidRPr="00DC701D" w:rsidRDefault="001F39F2" w:rsidP="00585E2C">
      <w:pPr>
        <w:pStyle w:val="Heading3"/>
      </w:pPr>
      <w:r w:rsidRPr="00DC701D">
        <w:t>Funding</w:t>
      </w:r>
    </w:p>
    <w:p w:rsidR="00FC30A5" w:rsidRPr="00D04DE1" w:rsidRDefault="001F39F2" w:rsidP="00FC30A5">
      <w:pPr>
        <w:pStyle w:val="BodyText"/>
      </w:pPr>
      <w:r w:rsidRPr="00A12A03">
        <w:t>Australian</w:t>
      </w:r>
      <w:r w:rsidR="00DE4901">
        <w:t>, S</w:t>
      </w:r>
      <w:r w:rsidRPr="00A12A03">
        <w:t xml:space="preserve">tate and Territory governments fund both government and </w:t>
      </w:r>
      <w:r w:rsidR="00A202EC" w:rsidRPr="00A12A03">
        <w:br/>
      </w:r>
      <w:r w:rsidRPr="00A12A03">
        <w:t>non</w:t>
      </w:r>
      <w:r w:rsidR="00B84AF2" w:rsidRPr="00A12A03">
        <w:noBreakHyphen/>
      </w:r>
      <w:r w:rsidRPr="00A12A03">
        <w:t>government providers of specialist disability services under the NDA</w:t>
      </w:r>
      <w:r w:rsidR="00F83D9E" w:rsidRPr="00A12A03">
        <w:t xml:space="preserve"> including employment services</w:t>
      </w:r>
      <w:r w:rsidRPr="00A12A03">
        <w:t xml:space="preserve">. </w:t>
      </w:r>
      <w:r w:rsidR="00FC30A5">
        <w:t>Commonwealth f</w:t>
      </w:r>
      <w:r w:rsidR="00FC30A5" w:rsidRPr="00776064">
        <w:t>unding to the State and Territory governments is provided through the National Disability Services Specific Purpose Payment</w:t>
      </w:r>
      <w:r w:rsidR="00FC30A5" w:rsidRPr="007E6C73">
        <w:t xml:space="preserve">, associated with the </w:t>
      </w:r>
      <w:r w:rsidR="00FC30A5">
        <w:t>NDA</w:t>
      </w:r>
      <w:r w:rsidR="00FC30A5" w:rsidRPr="007E6C73">
        <w:t>.</w:t>
      </w:r>
      <w:r w:rsidR="00D04DE1">
        <w:t xml:space="preserve"> </w:t>
      </w:r>
      <w:r w:rsidR="00D04DE1" w:rsidRPr="00D04DE1">
        <w:t>Both the Australian Government and host jurisdictions are responsible for the cost of the NDIS</w:t>
      </w:r>
      <w:r w:rsidR="007D184D">
        <w:t xml:space="preserve"> (COAG 2012b)</w:t>
      </w:r>
      <w:r w:rsidR="00D04DE1" w:rsidRPr="00D04DE1">
        <w:t xml:space="preserve">. </w:t>
      </w:r>
      <w:r w:rsidR="00120C6C" w:rsidRPr="00D04DE1">
        <w:t xml:space="preserve">See </w:t>
      </w:r>
      <w:r w:rsidR="00E74F0A" w:rsidRPr="00D04DE1">
        <w:t>section</w:t>
      </w:r>
      <w:r w:rsidR="005547FD">
        <w:t> </w:t>
      </w:r>
      <w:r w:rsidR="00E74F0A" w:rsidRPr="00D04DE1">
        <w:t xml:space="preserve">14.3 </w:t>
      </w:r>
      <w:r w:rsidR="00D04DE1" w:rsidRPr="00D04DE1">
        <w:t xml:space="preserve">for details on the </w:t>
      </w:r>
      <w:r w:rsidR="007D184D">
        <w:t>inclusion</w:t>
      </w:r>
      <w:r w:rsidR="00D04DE1" w:rsidRPr="00D04DE1">
        <w:t xml:space="preserve"> of </w:t>
      </w:r>
      <w:r w:rsidR="00D04DE1">
        <w:t>cash and in</w:t>
      </w:r>
      <w:r w:rsidR="005547FD">
        <w:noBreakHyphen/>
      </w:r>
      <w:r w:rsidR="00D04DE1">
        <w:t xml:space="preserve">kind payments to the </w:t>
      </w:r>
      <w:r w:rsidR="00D04DE1" w:rsidRPr="00D04DE1">
        <w:t>NDIS</w:t>
      </w:r>
      <w:r w:rsidR="00D04DE1">
        <w:t xml:space="preserve"> </w:t>
      </w:r>
      <w:r w:rsidR="00D04DE1" w:rsidRPr="00D04DE1">
        <w:t>in this Report.</w:t>
      </w:r>
    </w:p>
    <w:p w:rsidR="001F39F2" w:rsidRPr="00A12A03" w:rsidRDefault="00DE4901" w:rsidP="00FC30A5">
      <w:pPr>
        <w:pStyle w:val="BodyText"/>
        <w:tabs>
          <w:tab w:val="left" w:pos="2835"/>
        </w:tabs>
      </w:pPr>
      <w:r w:rsidRPr="00185DCC">
        <w:t>I</w:t>
      </w:r>
      <w:r>
        <w:t>n 2014</w:t>
      </w:r>
      <w:r w:rsidR="005547FD">
        <w:noBreakHyphen/>
      </w:r>
      <w:r>
        <w:t>15, t</w:t>
      </w:r>
      <w:r w:rsidR="001F39F2" w:rsidRPr="00A12A03">
        <w:t>otal government expenditure on these services was $</w:t>
      </w:r>
      <w:r w:rsidR="004D3B73">
        <w:t xml:space="preserve">8.0 </w:t>
      </w:r>
      <w:r w:rsidR="001F39F2" w:rsidRPr="00A12A03">
        <w:t>billion</w:t>
      </w:r>
      <w:r>
        <w:t xml:space="preserve"> </w:t>
      </w:r>
      <w:r w:rsidR="003457C2" w:rsidRPr="00A12A03">
        <w:t xml:space="preserve">— a real increase of </w:t>
      </w:r>
      <w:r w:rsidR="004D3B73">
        <w:t>5.1 per </w:t>
      </w:r>
      <w:r w:rsidR="001F39F2" w:rsidRPr="00A12A03">
        <w:t xml:space="preserve">cent </w:t>
      </w:r>
      <w:r>
        <w:t>from</w:t>
      </w:r>
      <w:r w:rsidR="001F39F2" w:rsidRPr="00A12A03">
        <w:t xml:space="preserve"> </w:t>
      </w:r>
      <w:r w:rsidR="00A92F15" w:rsidRPr="00A12A03">
        <w:t>2013</w:t>
      </w:r>
      <w:r w:rsidR="00B84AF2" w:rsidRPr="00A12A03">
        <w:noBreakHyphen/>
      </w:r>
      <w:r w:rsidR="00A92F15" w:rsidRPr="004D3B73">
        <w:t>14</w:t>
      </w:r>
      <w:r>
        <w:t xml:space="preserve"> </w:t>
      </w:r>
      <w:r w:rsidR="001F39F2" w:rsidRPr="00A12A03">
        <w:t>(table</w:t>
      </w:r>
      <w:r w:rsidR="00AE3578" w:rsidRPr="00A12A03">
        <w:t> </w:t>
      </w:r>
      <w:r w:rsidR="001F39F2" w:rsidRPr="00A12A03">
        <w:t>14A.</w:t>
      </w:r>
      <w:r w:rsidR="00683393" w:rsidRPr="00A12A03">
        <w:t>6</w:t>
      </w:r>
      <w:r w:rsidR="001F39F2" w:rsidRPr="00A12A03">
        <w:t xml:space="preserve">). State and Territory governments funded the majority of this expenditure </w:t>
      </w:r>
      <w:r w:rsidR="001F39F2" w:rsidRPr="009F0C28">
        <w:t>(</w:t>
      </w:r>
      <w:r w:rsidR="009F0C28" w:rsidRPr="009F0C28">
        <w:t>70.3 </w:t>
      </w:r>
      <w:r w:rsidR="001F39F2" w:rsidRPr="009F0C28">
        <w:t>per</w:t>
      </w:r>
      <w:r w:rsidR="001F39F2" w:rsidRPr="00A12A03">
        <w:t xml:space="preserve"> cent, or $</w:t>
      </w:r>
      <w:r w:rsidR="009F0C28">
        <w:t>5.6 </w:t>
      </w:r>
      <w:r w:rsidR="001F39F2" w:rsidRPr="00A12A03">
        <w:t xml:space="preserve">billion). The Australian Government funded the remainder </w:t>
      </w:r>
      <w:r w:rsidR="001F39F2" w:rsidRPr="009F0C28">
        <w:t>(</w:t>
      </w:r>
      <w:r w:rsidR="009F0C28" w:rsidRPr="009F0C28">
        <w:t>29.7 </w:t>
      </w:r>
      <w:r w:rsidR="001F39F2" w:rsidRPr="009F0C28">
        <w:t>per cent, or $</w:t>
      </w:r>
      <w:r w:rsidR="009F0C28" w:rsidRPr="009F0C28">
        <w:t>2.4 </w:t>
      </w:r>
      <w:r w:rsidR="001F39F2" w:rsidRPr="009F0C28">
        <w:t>billion), which included $</w:t>
      </w:r>
      <w:r w:rsidR="009F0C28" w:rsidRPr="009F0C28">
        <w:t>1.4 </w:t>
      </w:r>
      <w:r w:rsidR="001F39F2" w:rsidRPr="009F0C28">
        <w:t>billion</w:t>
      </w:r>
      <w:r w:rsidR="001F39F2" w:rsidRPr="00A12A03">
        <w:t xml:space="preserve"> in transfer payments to states and territories </w:t>
      </w:r>
      <w:r w:rsidR="00D34CCC" w:rsidRPr="00E33476">
        <w:t>and $</w:t>
      </w:r>
      <w:r w:rsidR="00E33476" w:rsidRPr="00E33476">
        <w:t>0.9 </w:t>
      </w:r>
      <w:r w:rsidR="00D34CCC" w:rsidRPr="00E33476">
        <w:t>billion for disability</w:t>
      </w:r>
      <w:r w:rsidR="00D34CCC" w:rsidRPr="00A12A03">
        <w:t xml:space="preserve"> employment serv</w:t>
      </w:r>
      <w:r w:rsidR="009B2713" w:rsidRPr="00A12A03">
        <w:t>ic</w:t>
      </w:r>
      <w:r w:rsidR="00D34CCC" w:rsidRPr="00A12A03">
        <w:t xml:space="preserve">es and other disability services </w:t>
      </w:r>
      <w:r w:rsidR="001F39F2" w:rsidRPr="00A12A03">
        <w:t>(tables</w:t>
      </w:r>
      <w:r w:rsidR="00AE3578" w:rsidRPr="00A12A03">
        <w:t> </w:t>
      </w:r>
      <w:r w:rsidR="001F39F2" w:rsidRPr="00A12A03">
        <w:t>14A.</w:t>
      </w:r>
      <w:r w:rsidR="00683393" w:rsidRPr="00A12A03">
        <w:t>7</w:t>
      </w:r>
      <w:r w:rsidR="005547FD">
        <w:noBreakHyphen/>
      </w:r>
      <w:r w:rsidR="00683393" w:rsidRPr="00A12A03">
        <w:t>8</w:t>
      </w:r>
      <w:r w:rsidR="001F39F2" w:rsidRPr="00A12A03">
        <w:t>). Table</w:t>
      </w:r>
      <w:r w:rsidR="00AE3578" w:rsidRPr="00A12A03">
        <w:t> </w:t>
      </w:r>
      <w:r w:rsidR="001F39F2" w:rsidRPr="00A12A03">
        <w:t>14A.</w:t>
      </w:r>
      <w:r w:rsidR="00683393" w:rsidRPr="00A12A03">
        <w:t xml:space="preserve">9 </w:t>
      </w:r>
      <w:r w:rsidR="001F39F2" w:rsidRPr="00A12A03">
        <w:t>provides data on total government expenditure including and excluding payroll tax.</w:t>
      </w:r>
    </w:p>
    <w:p w:rsidR="001F39F2" w:rsidRPr="00C1206E" w:rsidRDefault="001F39F2" w:rsidP="00C1206E">
      <w:pPr>
        <w:pStyle w:val="BodyText"/>
      </w:pPr>
      <w:r w:rsidRPr="00C1206E">
        <w:lastRenderedPageBreak/>
        <w:t xml:space="preserve">Direct government expenditure on specialist disability services </w:t>
      </w:r>
      <w:r w:rsidR="009D46E6" w:rsidRPr="00C1206E">
        <w:t xml:space="preserve">under the NDA </w:t>
      </w:r>
      <w:r w:rsidRPr="00C1206E">
        <w:t>(excluding expenditure on administration) was $</w:t>
      </w:r>
      <w:r w:rsidR="00096206" w:rsidRPr="00C1206E">
        <w:t>7.5 </w:t>
      </w:r>
      <w:r w:rsidRPr="00C1206E">
        <w:t xml:space="preserve">billion in </w:t>
      </w:r>
      <w:r w:rsidR="00090CC8" w:rsidRPr="00C1206E">
        <w:t>2014</w:t>
      </w:r>
      <w:r w:rsidR="005547FD">
        <w:noBreakHyphen/>
      </w:r>
      <w:r w:rsidR="00090CC8" w:rsidRPr="00C1206E">
        <w:t>15</w:t>
      </w:r>
      <w:r w:rsidR="00184F38" w:rsidRPr="00C1206E">
        <w:t xml:space="preserve"> </w:t>
      </w:r>
      <w:r w:rsidRPr="00C1206E">
        <w:t>(table 14A.</w:t>
      </w:r>
      <w:r w:rsidR="00683393" w:rsidRPr="00C1206E">
        <w:t>10</w:t>
      </w:r>
      <w:r w:rsidRPr="00C1206E">
        <w:t>). The main areas of government expenditure were accommodation support services (</w:t>
      </w:r>
      <w:r w:rsidR="00C1206E" w:rsidRPr="00C1206E">
        <w:t>51.3 </w:t>
      </w:r>
      <w:r w:rsidRPr="00C1206E">
        <w:t>per cent of total direct service expenditure) and community support (</w:t>
      </w:r>
      <w:r w:rsidR="00C1206E" w:rsidRPr="00C1206E">
        <w:t>17.3 per </w:t>
      </w:r>
      <w:r w:rsidRPr="00C1206E">
        <w:t>cent of total direct service expenditure). Employment services were the main area of Australian Government expenditure (</w:t>
      </w:r>
      <w:r w:rsidR="00C1206E" w:rsidRPr="00C1206E">
        <w:t>82.6 </w:t>
      </w:r>
      <w:r w:rsidRPr="00C1206E">
        <w:t>per cent)</w:t>
      </w:r>
      <w:r w:rsidR="00DE4901">
        <w:t xml:space="preserve"> </w:t>
      </w:r>
      <w:r w:rsidR="00245596" w:rsidRPr="00C1206E">
        <w:t>(figure </w:t>
      </w:r>
      <w:r w:rsidR="00DE4901">
        <w:t>14.1</w:t>
      </w:r>
      <w:r w:rsidR="00245596" w:rsidRPr="00C1206E">
        <w:t>)</w:t>
      </w:r>
      <w:r w:rsidRPr="00C1206E">
        <w:t>.</w:t>
      </w:r>
    </w:p>
    <w:p w:rsidR="00466280" w:rsidRPr="00B86C20" w:rsidRDefault="0046628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6280" w:rsidRPr="007A3485" w:rsidTr="00730EA6">
        <w:tc>
          <w:tcPr>
            <w:tcW w:w="8771" w:type="dxa"/>
            <w:tcBorders>
              <w:top w:val="single" w:sz="6" w:space="0" w:color="78A22F"/>
              <w:left w:val="nil"/>
              <w:bottom w:val="nil"/>
              <w:right w:val="nil"/>
            </w:tcBorders>
            <w:shd w:val="clear" w:color="auto" w:fill="auto"/>
          </w:tcPr>
          <w:p w:rsidR="00466280" w:rsidRPr="007A3485" w:rsidRDefault="00466280" w:rsidP="00DE4901">
            <w:pPr>
              <w:pStyle w:val="FigureTitle"/>
            </w:pPr>
            <w:r w:rsidRPr="007A3485">
              <w:rPr>
                <w:b w:val="0"/>
              </w:rPr>
              <w:t xml:space="preserve">Figure </w:t>
            </w:r>
            <w:bookmarkStart w:id="10" w:name="OLE_LINK9"/>
            <w:r w:rsidR="00321568" w:rsidRPr="007A3485">
              <w:rPr>
                <w:b w:val="0"/>
              </w:rPr>
              <w:t>14.</w:t>
            </w:r>
            <w:r w:rsidR="004B691F">
              <w:rPr>
                <w:b w:val="0"/>
                <w:noProof/>
              </w:rPr>
              <w:t>1</w:t>
            </w:r>
            <w:bookmarkEnd w:id="10"/>
            <w:r w:rsidRPr="007A3485">
              <w:tab/>
              <w:t xml:space="preserve">Direct expenditure on NDA specialist disability services, by service type, </w:t>
            </w:r>
            <w:r w:rsidR="00A92F15" w:rsidRPr="007A3485">
              <w:t>2014</w:t>
            </w:r>
            <w:r w:rsidR="00B84AF2" w:rsidRPr="007A3485">
              <w:noBreakHyphen/>
            </w:r>
            <w:r w:rsidR="00A92F15" w:rsidRPr="007A3485">
              <w:t>15</w:t>
            </w:r>
            <w:r w:rsidR="00A92F15" w:rsidRPr="007A3485">
              <w:rPr>
                <w:rStyle w:val="NoteLabel"/>
                <w:b/>
              </w:rPr>
              <w:t>a</w:t>
            </w:r>
          </w:p>
        </w:tc>
      </w:tr>
      <w:tr w:rsidR="00466280" w:rsidRPr="007A3485"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66280" w:rsidRPr="007A3485" w:rsidTr="00730EA6">
              <w:trPr>
                <w:jc w:val="center"/>
              </w:trPr>
              <w:tc>
                <w:tcPr>
                  <w:tcW w:w="5000" w:type="pct"/>
                  <w:tcBorders>
                    <w:top w:val="nil"/>
                    <w:bottom w:val="nil"/>
                  </w:tcBorders>
                </w:tcPr>
                <w:p w:rsidR="00466280" w:rsidRPr="007A3485" w:rsidRDefault="00187FBC" w:rsidP="00096206">
                  <w:pPr>
                    <w:pStyle w:val="Figure"/>
                  </w:pPr>
                  <w:r>
                    <w:rPr>
                      <w:noProof/>
                    </w:rPr>
                    <w:drawing>
                      <wp:inline distT="0" distB="0" distL="0" distR="0">
                        <wp:extent cx="5225415" cy="2695575"/>
                        <wp:effectExtent l="0" t="0" r="0" b="9525"/>
                        <wp:docPr id="1" name="Picture 1" descr="Figure 14.1 Direct expenditure on NDA specialist disability services, by service typ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5415" cy="2695575"/>
                                </a:xfrm>
                                <a:prstGeom prst="rect">
                                  <a:avLst/>
                                </a:prstGeom>
                                <a:noFill/>
                                <a:ln>
                                  <a:noFill/>
                                </a:ln>
                              </pic:spPr>
                            </pic:pic>
                          </a:graphicData>
                        </a:graphic>
                      </wp:inline>
                    </w:drawing>
                  </w:r>
                </w:p>
              </w:tc>
            </w:tr>
          </w:tbl>
          <w:p w:rsidR="00466280" w:rsidRPr="007A3485" w:rsidRDefault="00466280" w:rsidP="00A54DB5">
            <w:pPr>
              <w:pStyle w:val="Figure"/>
            </w:pPr>
          </w:p>
        </w:tc>
      </w:tr>
      <w:tr w:rsidR="00466280" w:rsidRPr="007A3485" w:rsidTr="00730EA6">
        <w:tc>
          <w:tcPr>
            <w:tcW w:w="8771" w:type="dxa"/>
            <w:tcBorders>
              <w:top w:val="nil"/>
              <w:left w:val="nil"/>
              <w:bottom w:val="nil"/>
              <w:right w:val="nil"/>
            </w:tcBorders>
            <w:shd w:val="clear" w:color="auto" w:fill="auto"/>
          </w:tcPr>
          <w:p w:rsidR="00466280" w:rsidRPr="007A3485" w:rsidRDefault="00466280" w:rsidP="0031570D">
            <w:pPr>
              <w:pStyle w:val="Note"/>
              <w:keepNext/>
            </w:pPr>
            <w:r w:rsidRPr="00B20B3B">
              <w:rPr>
                <w:rStyle w:val="NoteLabel"/>
              </w:rPr>
              <w:t>a</w:t>
            </w:r>
            <w:r w:rsidRPr="00B20B3B">
              <w:t xml:space="preserve"> </w:t>
            </w:r>
            <w:r w:rsidR="001D40AB" w:rsidRPr="00B20B3B">
              <w:t xml:space="preserve">See </w:t>
            </w:r>
            <w:r w:rsidR="00C362F9" w:rsidRPr="00B20B3B">
              <w:t>table</w:t>
            </w:r>
            <w:r w:rsidR="005547FD">
              <w:t> </w:t>
            </w:r>
            <w:r w:rsidR="00C362F9" w:rsidRPr="00B20B3B">
              <w:t>14A.10</w:t>
            </w:r>
            <w:r w:rsidR="001D40AB" w:rsidRPr="00B20B3B">
              <w:t xml:space="preserve"> for detailed </w:t>
            </w:r>
            <w:r w:rsidR="003D7F75">
              <w:t>definitions, footnotes and caveats</w:t>
            </w:r>
            <w:r w:rsidR="001D40AB" w:rsidRPr="00B20B3B">
              <w:t xml:space="preserve">. </w:t>
            </w:r>
          </w:p>
        </w:tc>
      </w:tr>
      <w:tr w:rsidR="00466280" w:rsidRPr="007A3485" w:rsidTr="00730EA6">
        <w:tc>
          <w:tcPr>
            <w:tcW w:w="8771" w:type="dxa"/>
            <w:tcBorders>
              <w:top w:val="nil"/>
              <w:left w:val="nil"/>
              <w:bottom w:val="nil"/>
              <w:right w:val="nil"/>
            </w:tcBorders>
            <w:shd w:val="clear" w:color="auto" w:fill="auto"/>
          </w:tcPr>
          <w:p w:rsidR="00466280" w:rsidRPr="007A3485" w:rsidRDefault="00894BE1" w:rsidP="00A54DB5">
            <w:pPr>
              <w:pStyle w:val="Source"/>
              <w:keepNext/>
            </w:pPr>
            <w:r w:rsidRPr="007A3485">
              <w:rPr>
                <w:i/>
              </w:rPr>
              <w:t>S</w:t>
            </w:r>
            <w:r w:rsidR="00466280" w:rsidRPr="007A3485">
              <w:rPr>
                <w:i/>
              </w:rPr>
              <w:t>ource</w:t>
            </w:r>
            <w:r w:rsidR="00466280" w:rsidRPr="007A3485">
              <w:t>: Australian, State and Territory governments (unpublished); table</w:t>
            </w:r>
            <w:r w:rsidR="00AE3578" w:rsidRPr="007A3485">
              <w:t> </w:t>
            </w:r>
            <w:r w:rsidR="00466280" w:rsidRPr="007A3485">
              <w:t>14A.</w:t>
            </w:r>
            <w:r w:rsidR="00604140" w:rsidRPr="007A3485">
              <w:t>11</w:t>
            </w:r>
            <w:r w:rsidR="0027235C" w:rsidRPr="007A3485">
              <w:t>.</w:t>
            </w:r>
          </w:p>
        </w:tc>
      </w:tr>
      <w:tr w:rsidR="00466280" w:rsidRPr="007A3485" w:rsidTr="00730EA6">
        <w:tc>
          <w:tcPr>
            <w:tcW w:w="8771" w:type="dxa"/>
            <w:tcBorders>
              <w:top w:val="nil"/>
              <w:left w:val="nil"/>
              <w:bottom w:val="single" w:sz="6" w:space="0" w:color="78A22F"/>
              <w:right w:val="nil"/>
            </w:tcBorders>
            <w:shd w:val="clear" w:color="auto" w:fill="auto"/>
          </w:tcPr>
          <w:p w:rsidR="00466280" w:rsidRPr="007A3485" w:rsidRDefault="00466280" w:rsidP="00A54DB5">
            <w:pPr>
              <w:pStyle w:val="Figurespace"/>
            </w:pPr>
          </w:p>
        </w:tc>
      </w:tr>
      <w:tr w:rsidR="00466280" w:rsidRPr="007A3485" w:rsidTr="00730EA6">
        <w:tc>
          <w:tcPr>
            <w:tcW w:w="8771" w:type="dxa"/>
            <w:tcBorders>
              <w:top w:val="single" w:sz="6" w:space="0" w:color="78A22F"/>
              <w:left w:val="nil"/>
              <w:bottom w:val="nil"/>
              <w:right w:val="nil"/>
            </w:tcBorders>
          </w:tcPr>
          <w:p w:rsidR="00466280" w:rsidRPr="007A3485" w:rsidRDefault="00466280" w:rsidP="00730EA6">
            <w:pPr>
              <w:pStyle w:val="BoxSpaceBelow"/>
            </w:pPr>
          </w:p>
        </w:tc>
      </w:tr>
    </w:tbl>
    <w:p w:rsidR="00A92F15" w:rsidRDefault="00A92F15" w:rsidP="00A92F15">
      <w:pPr>
        <w:pStyle w:val="BodyText"/>
        <w:rPr>
          <w:shd w:val="clear" w:color="auto" w:fill="BFBFBF" w:themeFill="background1" w:themeFillShade="BF"/>
        </w:rPr>
      </w:pPr>
      <w:bookmarkStart w:id="11" w:name="OLE_LINK1"/>
      <w:r w:rsidRPr="00C1206E">
        <w:t xml:space="preserve">Both the </w:t>
      </w:r>
      <w:r w:rsidRPr="00C1206E">
        <w:rPr>
          <w:shd w:val="clear" w:color="auto" w:fill="FFFFFF" w:themeFill="background1"/>
        </w:rPr>
        <w:t>Australian Government and</w:t>
      </w:r>
      <w:r w:rsidRPr="00C1206E">
        <w:t xml:space="preserve"> host jurisdictions are responsible for the cost of the NDIS trial sites in accordance with Intergovernmental Agreement for the National Disability Insurance Scheme (NDIS) Launch (COAG </w:t>
      </w:r>
      <w:r w:rsidR="005F06FB" w:rsidRPr="00C1206E">
        <w:t>2012</w:t>
      </w:r>
      <w:r w:rsidR="00021A47" w:rsidRPr="00C1206E">
        <w:t>b</w:t>
      </w:r>
      <w:r w:rsidRPr="00C1206E">
        <w:t xml:space="preserve">). </w:t>
      </w:r>
      <w:r w:rsidR="00BC4A68" w:rsidRPr="00960B72">
        <w:t>Total funding committed to the NDIS for 2014</w:t>
      </w:r>
      <w:r w:rsidR="005547FD">
        <w:noBreakHyphen/>
      </w:r>
      <w:r w:rsidR="00BC4A68" w:rsidRPr="00960B72">
        <w:t>15 was $456.9 million, including cash and in</w:t>
      </w:r>
      <w:r w:rsidR="005547FD">
        <w:noBreakHyphen/>
      </w:r>
      <w:r w:rsidR="00BC4A68" w:rsidRPr="00960B72">
        <w:t>kind contributions. The average annualised package cost at 30</w:t>
      </w:r>
      <w:r w:rsidR="005547FD">
        <w:t> </w:t>
      </w:r>
      <w:r w:rsidR="00BC4A68" w:rsidRPr="00960B72">
        <w:t>June 2015 was approximately $38 423</w:t>
      </w:r>
      <w:r w:rsidR="00980AE4" w:rsidRPr="00960B72">
        <w:t>.</w:t>
      </w:r>
      <w:r w:rsidR="00980AE4" w:rsidRPr="009E411B">
        <w:t xml:space="preserve"> This includes the costs of a concentration of high needs participants in Large Residential Centres (LRC) in NSW and Victoria. When LRCs are excluded, the average annualised pa</w:t>
      </w:r>
      <w:r w:rsidR="006A2450" w:rsidRPr="009E411B">
        <w:t>ckage cost is $33</w:t>
      </w:r>
      <w:r w:rsidR="005547FD">
        <w:t> </w:t>
      </w:r>
      <w:r w:rsidR="006A2450" w:rsidRPr="009E411B">
        <w:t>597(NDIA 2015</w:t>
      </w:r>
      <w:r w:rsidR="00980AE4" w:rsidRPr="009E411B">
        <w:t>)</w:t>
      </w:r>
      <w:r w:rsidR="00BC4A68" w:rsidRPr="009E411B">
        <w:t>.</w:t>
      </w:r>
      <w:r w:rsidR="00BC4A68" w:rsidRPr="009E411B">
        <w:rPr>
          <w:rStyle w:val="FootnoteReference"/>
        </w:rPr>
        <w:footnoteReference w:id="3"/>
      </w:r>
    </w:p>
    <w:p w:rsidR="001F39F2" w:rsidRDefault="00C80824" w:rsidP="00373B20">
      <w:pPr>
        <w:pStyle w:val="Heading3"/>
      </w:pPr>
      <w:r>
        <w:lastRenderedPageBreak/>
        <w:t>Size and scope</w:t>
      </w:r>
    </w:p>
    <w:p w:rsidR="00103DF5" w:rsidRPr="00373B20" w:rsidRDefault="00103DF5" w:rsidP="00373B20">
      <w:pPr>
        <w:pStyle w:val="BodyText"/>
      </w:pPr>
      <w:r w:rsidRPr="00373B20">
        <w:t>Definitions of disability are provided in box 14.</w:t>
      </w:r>
      <w:r w:rsidR="00111C33" w:rsidRPr="00373B20">
        <w:t>4</w:t>
      </w:r>
      <w:r w:rsidRPr="00373B20">
        <w:t>.</w:t>
      </w:r>
    </w:p>
    <w:p w:rsidR="00103DF5" w:rsidRPr="000233CD" w:rsidRDefault="00103DF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3DF5" w:rsidRPr="00B02DB0" w:rsidTr="00FC30A5">
        <w:trPr>
          <w:cantSplit/>
        </w:trPr>
        <w:tc>
          <w:tcPr>
            <w:tcW w:w="8771" w:type="dxa"/>
            <w:tcBorders>
              <w:top w:val="single" w:sz="6" w:space="0" w:color="78A22F"/>
              <w:left w:val="nil"/>
              <w:bottom w:val="nil"/>
              <w:right w:val="nil"/>
            </w:tcBorders>
            <w:shd w:val="clear" w:color="auto" w:fill="F2F2F2"/>
          </w:tcPr>
          <w:p w:rsidR="00103DF5" w:rsidRPr="00B02DB0" w:rsidRDefault="00103DF5" w:rsidP="00FC30A5">
            <w:pPr>
              <w:pStyle w:val="BoxTitle"/>
            </w:pPr>
            <w:r w:rsidRPr="00B02DB0">
              <w:rPr>
                <w:b w:val="0"/>
              </w:rPr>
              <w:t>Box 14.</w:t>
            </w:r>
            <w:r w:rsidR="004B691F">
              <w:rPr>
                <w:b w:val="0"/>
                <w:noProof/>
              </w:rPr>
              <w:t>4</w:t>
            </w:r>
            <w:r w:rsidRPr="00B02DB0">
              <w:tab/>
              <w:t>Definitions of disability</w:t>
            </w:r>
          </w:p>
        </w:tc>
      </w:tr>
      <w:tr w:rsidR="00103DF5" w:rsidRPr="00B02DB0" w:rsidTr="00FC30A5">
        <w:trPr>
          <w:cantSplit/>
        </w:trPr>
        <w:tc>
          <w:tcPr>
            <w:tcW w:w="8771" w:type="dxa"/>
            <w:tcBorders>
              <w:top w:val="nil"/>
              <w:left w:val="nil"/>
              <w:bottom w:val="nil"/>
              <w:right w:val="nil"/>
            </w:tcBorders>
            <w:shd w:val="clear" w:color="auto" w:fill="F2F2F2"/>
          </w:tcPr>
          <w:p w:rsidR="00103DF5" w:rsidRPr="00B02DB0" w:rsidRDefault="00103DF5" w:rsidP="00C80824">
            <w:pPr>
              <w:pStyle w:val="Box"/>
              <w:keepNext w:val="0"/>
              <w:spacing w:before="100"/>
            </w:pPr>
            <w:r w:rsidRPr="00B02DB0">
              <w:t xml:space="preserve">The United Nation’s </w:t>
            </w:r>
            <w:r w:rsidRPr="00185DCC">
              <w:t>Convention on the Rights of Persons with Disabilities,</w:t>
            </w:r>
            <w:r w:rsidRPr="00B02DB0">
              <w:t xml:space="preserve"> ratified by Australia on </w:t>
            </w:r>
            <w:r w:rsidRPr="00B02DB0">
              <w:rPr>
                <w:rFonts w:cs="Arial"/>
                <w:lang w:val="en"/>
              </w:rPr>
              <w:t>17</w:t>
            </w:r>
            <w:r w:rsidR="005547FD">
              <w:rPr>
                <w:rFonts w:cs="Arial"/>
                <w:lang w:val="en"/>
              </w:rPr>
              <w:t> </w:t>
            </w:r>
            <w:r w:rsidRPr="00B02DB0">
              <w:rPr>
                <w:rFonts w:cs="Arial"/>
                <w:lang w:val="en"/>
              </w:rPr>
              <w:t>July 2008, defines ‘p</w:t>
            </w:r>
            <w:r w:rsidRPr="00B02DB0">
              <w:t xml:space="preserve">ersons with disabilities’ as those who have </w:t>
            </w:r>
            <w:r w:rsidRPr="00B02DB0">
              <w:br/>
              <w:t>long</w:t>
            </w:r>
            <w:r>
              <w:noBreakHyphen/>
            </w:r>
            <w:r w:rsidRPr="00B02DB0">
              <w:t xml:space="preserve">term physical, mental, intellectual or sensory impairments which, in interaction with various barriers, may hinder their full and effective participation in society on an equal basis with others. </w:t>
            </w:r>
          </w:p>
          <w:p w:rsidR="00C80824" w:rsidRDefault="00103DF5" w:rsidP="00C80824">
            <w:pPr>
              <w:pStyle w:val="Box"/>
              <w:keepNext w:val="0"/>
              <w:spacing w:before="100"/>
            </w:pPr>
            <w:r w:rsidRPr="00B02DB0">
              <w:t>The World Health Organisation (WHO) 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(WHO 2009).</w:t>
            </w:r>
            <w:r w:rsidR="00C80824">
              <w:t xml:space="preserve"> </w:t>
            </w:r>
          </w:p>
          <w:p w:rsidR="00103DF5" w:rsidRPr="00B02DB0" w:rsidRDefault="00103DF5" w:rsidP="00C80824">
            <w:pPr>
              <w:pStyle w:val="Box"/>
              <w:keepNext w:val="0"/>
              <w:spacing w:before="100"/>
            </w:pPr>
            <w:r w:rsidRPr="00B02DB0">
              <w:t>The third CSTDA</w:t>
            </w:r>
            <w:r w:rsidR="00C80824">
              <w:t xml:space="preserve"> (</w:t>
            </w:r>
            <w:r w:rsidRPr="00B02DB0">
              <w:t>2003, p.</w:t>
            </w:r>
            <w:r>
              <w:t> </w:t>
            </w:r>
            <w:r w:rsidRPr="00B02DB0">
              <w:t>9) defined ‘people with disabilities’ as those whose disability manifests itself before the age of 65 years and for which they require significant ongoing and/or long</w:t>
            </w:r>
            <w:r w:rsidRPr="00B02DB0">
              <w:noBreakHyphen/>
              <w:t>term episodic support. 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w:t>
            </w:r>
            <w:r w:rsidR="003071FB">
              <w:t xml:space="preserve"> </w:t>
            </w:r>
            <w:r w:rsidRPr="00B02DB0">
              <w:t>self</w:t>
            </w:r>
            <w:r>
              <w:noBreakHyphen/>
            </w:r>
            <w:r w:rsidRPr="00B02DB0">
              <w:t>care/management</w:t>
            </w:r>
            <w:r w:rsidR="003071FB">
              <w:t xml:space="preserve">; </w:t>
            </w:r>
            <w:r w:rsidRPr="00B02DB0">
              <w:t>mobility</w:t>
            </w:r>
            <w:r w:rsidR="003071FB">
              <w:t xml:space="preserve">; </w:t>
            </w:r>
            <w:r w:rsidRPr="00B02DB0">
              <w:t>communication.</w:t>
            </w:r>
            <w:r w:rsidR="002A3276">
              <w:t xml:space="preserve"> </w:t>
            </w:r>
            <w:r w:rsidRPr="00B02DB0">
              <w:t>The NDA does not include a specific definition of ‘people with disability’.</w:t>
            </w:r>
          </w:p>
          <w:p w:rsidR="00103DF5" w:rsidRPr="00B02DB0" w:rsidRDefault="00103DF5" w:rsidP="00C80824">
            <w:pPr>
              <w:pStyle w:val="Box"/>
              <w:spacing w:before="100"/>
            </w:pPr>
            <w:r w:rsidRPr="00B02DB0">
              <w:t xml:space="preserve">The Australian Bureau of Statistics (ABS) </w:t>
            </w:r>
            <w:r w:rsidRPr="00074C83">
              <w:t>Survey of Disability, Ageing and Carers</w:t>
            </w:r>
            <w:r w:rsidRPr="00B02DB0">
              <w:t xml:space="preserve"> (SDAC) defines ‘disability’ as a limitation, restriction or impairment, which has lasted, or is likely to last, for at least 6 months and restricts everyday activities. Examples range from hearing loss that requires the use of a hearing aid, to difficulty dressing due to arthritis, to advanced dementia requiring constant help and supervision. The SDAC reports on the spectrum of disability experiences using three main ‘categories’ of disability:</w:t>
            </w:r>
          </w:p>
          <w:p w:rsidR="00103DF5" w:rsidRPr="00B02DB0" w:rsidRDefault="00103DF5" w:rsidP="00FC30A5">
            <w:pPr>
              <w:pStyle w:val="BoxListBullet"/>
            </w:pPr>
            <w:r w:rsidRPr="00B02DB0">
              <w:t>with a core activity limitation (mild, moderate, severe or profound)</w:t>
            </w:r>
          </w:p>
          <w:p w:rsidR="00103DF5" w:rsidRDefault="00103DF5" w:rsidP="00FC30A5">
            <w:pPr>
              <w:pStyle w:val="BoxListBullet"/>
            </w:pPr>
            <w:r w:rsidRPr="00B02DB0">
              <w:t xml:space="preserve">with a schooling or employment restriction </w:t>
            </w:r>
          </w:p>
          <w:p w:rsidR="00EF7F41" w:rsidRDefault="00EF7F41" w:rsidP="00FC30A5">
            <w:pPr>
              <w:pStyle w:val="BoxListBullet"/>
            </w:pPr>
            <w:r w:rsidRPr="00B02DB0">
              <w:t>with a disability, but without a specific limitation or restriction — includes people who need assistance with health care, cognition and emotion, paperwork, transport, housework, property maintenance or meal preparation.</w:t>
            </w:r>
          </w:p>
          <w:p w:rsidR="00EF7F41" w:rsidRPr="00B02DB0" w:rsidRDefault="00EF7F41" w:rsidP="00C80824">
            <w:pPr>
              <w:pStyle w:val="Box"/>
              <w:spacing w:before="100"/>
            </w:pPr>
            <w:r w:rsidRPr="00B02DB0">
              <w:t>Self</w:t>
            </w:r>
            <w:r>
              <w:noBreakHyphen/>
            </w:r>
            <w:r w:rsidRPr="00B02DB0">
              <w:t>care, mobility and communication are defined as core activities. The ABS defines levels of core activity limitation as:</w:t>
            </w:r>
          </w:p>
          <w:p w:rsidR="00103DF5" w:rsidRDefault="00EF7F41" w:rsidP="00373B20">
            <w:pPr>
              <w:pStyle w:val="BoxListBullet"/>
              <w:spacing w:before="80"/>
              <w:rPr>
                <w:szCs w:val="24"/>
              </w:rPr>
            </w:pPr>
            <w:r w:rsidRPr="00B02DB0">
              <w:t>mild — where a person does not need assistance and has no difficulty with self</w:t>
            </w:r>
            <w:r>
              <w:noBreakHyphen/>
            </w:r>
            <w:r w:rsidRPr="00B02DB0">
              <w:t>care, mobility and/or communication, but uses aids or equipment. They may also not be able to easily walk 200m, walk up and down stairs without a handrail, bend to pick up objects from the floor or use public transport easily or without help or supervision</w:t>
            </w:r>
          </w:p>
          <w:p w:rsidR="009F394B" w:rsidRPr="00B02DB0" w:rsidRDefault="009F394B" w:rsidP="009F394B">
            <w:pPr>
              <w:pStyle w:val="BoxListBullet"/>
              <w:spacing w:before="80"/>
            </w:pPr>
            <w:r w:rsidRPr="00B02DB0">
              <w:t>moderate — where a person does not need assistance, but has difficulty with self</w:t>
            </w:r>
            <w:r>
              <w:noBreakHyphen/>
            </w:r>
            <w:r w:rsidRPr="00B02DB0">
              <w:t>care</w:t>
            </w:r>
            <w:r>
              <w:t>, mobility and/or communication</w:t>
            </w:r>
          </w:p>
          <w:p w:rsidR="003071FB" w:rsidRPr="00B02DB0" w:rsidRDefault="009F394B" w:rsidP="009F394B">
            <w:pPr>
              <w:pStyle w:val="Continued"/>
            </w:pPr>
            <w:r>
              <w:t>(continued next page)</w:t>
            </w:r>
          </w:p>
        </w:tc>
      </w:tr>
      <w:tr w:rsidR="00103DF5" w:rsidRPr="00B02DB0" w:rsidTr="00FC30A5">
        <w:trPr>
          <w:cantSplit/>
        </w:trPr>
        <w:tc>
          <w:tcPr>
            <w:tcW w:w="8771" w:type="dxa"/>
            <w:tcBorders>
              <w:top w:val="nil"/>
              <w:left w:val="nil"/>
              <w:bottom w:val="single" w:sz="6" w:space="0" w:color="78A22F"/>
              <w:right w:val="nil"/>
            </w:tcBorders>
            <w:shd w:val="clear" w:color="auto" w:fill="F2F2F2"/>
          </w:tcPr>
          <w:p w:rsidR="00103DF5" w:rsidRPr="00B02DB0" w:rsidRDefault="00103DF5" w:rsidP="00FC30A5">
            <w:pPr>
              <w:pStyle w:val="Box"/>
              <w:keepNext w:val="0"/>
              <w:spacing w:before="0" w:line="120" w:lineRule="exact"/>
              <w:rPr>
                <w:szCs w:val="24"/>
              </w:rPr>
            </w:pPr>
          </w:p>
        </w:tc>
      </w:tr>
      <w:tr w:rsidR="00103DF5" w:rsidRPr="00B02DB0" w:rsidTr="00FC30A5">
        <w:trPr>
          <w:cantSplit/>
        </w:trPr>
        <w:tc>
          <w:tcPr>
            <w:tcW w:w="8771" w:type="dxa"/>
            <w:tcBorders>
              <w:top w:val="single" w:sz="6" w:space="0" w:color="78A22F"/>
              <w:left w:val="nil"/>
              <w:bottom w:val="nil"/>
              <w:right w:val="nil"/>
            </w:tcBorders>
          </w:tcPr>
          <w:p w:rsidR="00103DF5" w:rsidRPr="00B02DB0" w:rsidRDefault="00103DF5" w:rsidP="00FC30A5">
            <w:pPr>
              <w:pStyle w:val="BoxSpaceBelow"/>
            </w:pPr>
          </w:p>
        </w:tc>
      </w:tr>
    </w:tbl>
    <w:p w:rsidR="009F394B" w:rsidRDefault="009F394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394B" w:rsidTr="005D6C8F">
        <w:tc>
          <w:tcPr>
            <w:tcW w:w="8771" w:type="dxa"/>
            <w:tcBorders>
              <w:top w:val="single" w:sz="6" w:space="0" w:color="78A22F"/>
              <w:left w:val="nil"/>
              <w:bottom w:val="nil"/>
              <w:right w:val="nil"/>
            </w:tcBorders>
            <w:shd w:val="clear" w:color="auto" w:fill="F2F2F2"/>
          </w:tcPr>
          <w:p w:rsidR="009F394B" w:rsidRDefault="009F394B" w:rsidP="009F394B">
            <w:pPr>
              <w:pStyle w:val="BoxTitle"/>
            </w:pPr>
            <w:r>
              <w:rPr>
                <w:b w:val="0"/>
              </w:rPr>
              <w:t>Box 14.4</w:t>
            </w:r>
            <w:r>
              <w:tab/>
            </w:r>
            <w:r w:rsidR="00BE12BE" w:rsidRPr="00960B72">
              <w:rPr>
                <w:rStyle w:val="ContinuedChar"/>
                <w:b w:val="0"/>
              </w:rPr>
              <w:t>(</w:t>
            </w:r>
            <w:r w:rsidRPr="00960B72">
              <w:rPr>
                <w:rStyle w:val="ContinuedChar"/>
                <w:b w:val="0"/>
              </w:rPr>
              <w:t>continued</w:t>
            </w:r>
            <w:r w:rsidR="00BE12BE">
              <w:rPr>
                <w:rStyle w:val="ContinuedChar"/>
                <w:b w:val="0"/>
              </w:rPr>
              <w:t>)</w:t>
            </w:r>
          </w:p>
        </w:tc>
      </w:tr>
      <w:tr w:rsidR="009F394B" w:rsidTr="005D6C8F">
        <w:trPr>
          <w:cantSplit/>
        </w:trPr>
        <w:tc>
          <w:tcPr>
            <w:tcW w:w="8771" w:type="dxa"/>
            <w:tcBorders>
              <w:top w:val="nil"/>
              <w:left w:val="nil"/>
              <w:bottom w:val="nil"/>
              <w:right w:val="nil"/>
            </w:tcBorders>
            <w:shd w:val="clear" w:color="auto" w:fill="F2F2F2"/>
          </w:tcPr>
          <w:p w:rsidR="009F394B" w:rsidRPr="00B02DB0" w:rsidRDefault="009F394B" w:rsidP="009F394B">
            <w:pPr>
              <w:pStyle w:val="BoxListBullet"/>
              <w:spacing w:before="80"/>
            </w:pPr>
            <w:r w:rsidRPr="00B02DB0">
              <w:t>severe — where a person sometimes needs assistance with self</w:t>
            </w:r>
            <w:r>
              <w:noBreakHyphen/>
            </w:r>
            <w:r w:rsidRPr="00B02DB0">
              <w:t>care, mobility and/or communication tasks; has difficulty understanding or being understood by family or friends; or can communicate more easil</w:t>
            </w:r>
            <w:r>
              <w:t xml:space="preserve">y using sign language or other </w:t>
            </w:r>
            <w:r w:rsidRPr="00B02DB0">
              <w:t>non</w:t>
            </w:r>
            <w:r w:rsidRPr="00B02DB0">
              <w:noBreakHyphen/>
              <w:t xml:space="preserve">spoken forms of communication </w:t>
            </w:r>
          </w:p>
          <w:p w:rsidR="009F394B" w:rsidRDefault="009F394B" w:rsidP="00960B72">
            <w:pPr>
              <w:pStyle w:val="BoxListBullet"/>
            </w:pPr>
            <w:r w:rsidRPr="00B02DB0">
              <w:t>profound — where a person is unable, or always needs assistance, to perform self</w:t>
            </w:r>
            <w:r>
              <w:noBreakHyphen/>
            </w:r>
            <w:r w:rsidRPr="00B02DB0">
              <w:t>care, mobility and/or communication tasks.</w:t>
            </w:r>
          </w:p>
        </w:tc>
      </w:tr>
      <w:tr w:rsidR="009F394B" w:rsidRPr="00B02DB0" w:rsidTr="005D6C8F">
        <w:trPr>
          <w:cantSplit/>
        </w:trPr>
        <w:tc>
          <w:tcPr>
            <w:tcW w:w="8771" w:type="dxa"/>
            <w:tcBorders>
              <w:top w:val="nil"/>
              <w:left w:val="nil"/>
              <w:bottom w:val="nil"/>
              <w:right w:val="nil"/>
            </w:tcBorders>
            <w:shd w:val="clear" w:color="auto" w:fill="F2F2F2"/>
          </w:tcPr>
          <w:p w:rsidR="009F394B" w:rsidRPr="00B02DB0" w:rsidRDefault="009F394B" w:rsidP="005D6C8F">
            <w:pPr>
              <w:pStyle w:val="BoxSource"/>
              <w:spacing w:before="100"/>
            </w:pPr>
            <w:r w:rsidRPr="00B02DB0">
              <w:rPr>
                <w:i/>
              </w:rPr>
              <w:t>Source</w:t>
            </w:r>
            <w:r w:rsidRPr="00B02DB0">
              <w:t>: CSTDA (2003); WHO (2009); ABS (2013).</w:t>
            </w:r>
          </w:p>
        </w:tc>
      </w:tr>
      <w:tr w:rsidR="009F394B" w:rsidTr="005D6C8F">
        <w:trPr>
          <w:cantSplit/>
        </w:trPr>
        <w:tc>
          <w:tcPr>
            <w:tcW w:w="8771" w:type="dxa"/>
            <w:tcBorders>
              <w:top w:val="nil"/>
              <w:left w:val="nil"/>
              <w:bottom w:val="single" w:sz="6" w:space="0" w:color="78A22F"/>
              <w:right w:val="nil"/>
            </w:tcBorders>
            <w:shd w:val="clear" w:color="auto" w:fill="F2F2F2"/>
          </w:tcPr>
          <w:p w:rsidR="009F394B" w:rsidRDefault="009F394B">
            <w:pPr>
              <w:pStyle w:val="Box"/>
              <w:spacing w:before="0" w:line="120" w:lineRule="exact"/>
            </w:pPr>
          </w:p>
        </w:tc>
      </w:tr>
      <w:tr w:rsidR="009F394B" w:rsidRPr="000863A5" w:rsidTr="005D6C8F">
        <w:tc>
          <w:tcPr>
            <w:tcW w:w="8771" w:type="dxa"/>
            <w:tcBorders>
              <w:top w:val="single" w:sz="6" w:space="0" w:color="78A22F"/>
              <w:left w:val="nil"/>
              <w:bottom w:val="nil"/>
              <w:right w:val="nil"/>
            </w:tcBorders>
          </w:tcPr>
          <w:p w:rsidR="009F394B" w:rsidRPr="00626D32" w:rsidRDefault="009F394B" w:rsidP="005D6C8F">
            <w:pPr>
              <w:pStyle w:val="BoxSpaceBelow"/>
            </w:pPr>
          </w:p>
        </w:tc>
      </w:tr>
    </w:tbl>
    <w:p w:rsidR="001F39F2" w:rsidRPr="00DC701D" w:rsidRDefault="001F39F2" w:rsidP="00585E2C">
      <w:pPr>
        <w:pStyle w:val="Heading4"/>
      </w:pPr>
      <w:r w:rsidRPr="00DC701D">
        <w:t>Disability prevalence</w:t>
      </w:r>
    </w:p>
    <w:p w:rsidR="002773D6" w:rsidRPr="00DC701D" w:rsidRDefault="001F39F2" w:rsidP="00B56596">
      <w:pPr>
        <w:pStyle w:val="BodyText"/>
      </w:pPr>
      <w:r w:rsidRPr="00DC701D">
        <w:t xml:space="preserve">The </w:t>
      </w:r>
      <w:r w:rsidR="0086127D" w:rsidRPr="00DC701D">
        <w:t>ABS</w:t>
      </w:r>
      <w:r w:rsidRPr="00DC701D">
        <w:t xml:space="preserve"> estimates that </w:t>
      </w:r>
      <w:r w:rsidR="00361EB7" w:rsidRPr="00DC701D">
        <w:t>4.2 million Australians, or 18.5</w:t>
      </w:r>
      <w:r w:rsidR="00850B9F" w:rsidRPr="00DC701D">
        <w:t> </w:t>
      </w:r>
      <w:r w:rsidR="00361EB7" w:rsidRPr="00DC701D">
        <w:t>per cent of the population had a disability</w:t>
      </w:r>
      <w:r w:rsidRPr="00DC701D">
        <w:t xml:space="preserve"> in 20</w:t>
      </w:r>
      <w:r w:rsidR="00361EB7" w:rsidRPr="00DC701D">
        <w:t>12</w:t>
      </w:r>
      <w:r w:rsidRPr="00DC701D">
        <w:t xml:space="preserve"> (ABS 201</w:t>
      </w:r>
      <w:r w:rsidR="003A3D09" w:rsidRPr="00DC701D">
        <w:t>3</w:t>
      </w:r>
      <w:r w:rsidRPr="00DC701D">
        <w:t xml:space="preserve">), </w:t>
      </w:r>
      <w:r w:rsidR="00003E95" w:rsidRPr="00DC701D">
        <w:t xml:space="preserve">the </w:t>
      </w:r>
      <w:r w:rsidR="00EA2E7B" w:rsidRPr="00DC701D">
        <w:t>same</w:t>
      </w:r>
      <w:r w:rsidR="003A3D09" w:rsidRPr="00DC701D">
        <w:t xml:space="preserve"> </w:t>
      </w:r>
      <w:r w:rsidR="00D113DD" w:rsidRPr="00DC701D">
        <w:rPr>
          <w:shd w:val="clear" w:color="auto" w:fill="FFFFFF" w:themeFill="background1"/>
        </w:rPr>
        <w:t>proportion</w:t>
      </w:r>
      <w:r w:rsidR="00D113DD" w:rsidRPr="00DC701D">
        <w:t xml:space="preserve"> </w:t>
      </w:r>
      <w:r w:rsidR="00EA2E7B" w:rsidRPr="00DC701D">
        <w:t xml:space="preserve">as in </w:t>
      </w:r>
      <w:r w:rsidR="003A3D09" w:rsidRPr="00DC701D">
        <w:t xml:space="preserve">2009 </w:t>
      </w:r>
      <w:r w:rsidRPr="00DC701D">
        <w:t>(ABS 20</w:t>
      </w:r>
      <w:r w:rsidR="003A3D09" w:rsidRPr="00DC701D">
        <w:t>11</w:t>
      </w:r>
      <w:r w:rsidR="006731B7" w:rsidRPr="00DC701D">
        <w:t>a</w:t>
      </w:r>
      <w:r w:rsidRPr="00DC701D">
        <w:t xml:space="preserve">). Of the </w:t>
      </w:r>
      <w:r w:rsidR="003A3D09" w:rsidRPr="00DC701D">
        <w:t xml:space="preserve">total </w:t>
      </w:r>
      <w:r w:rsidRPr="00DC701D">
        <w:t>population in 20</w:t>
      </w:r>
      <w:r w:rsidR="003A3D09" w:rsidRPr="00DC701D">
        <w:t>12</w:t>
      </w:r>
      <w:r w:rsidR="009D46E6" w:rsidRPr="00DC701D">
        <w:t>,</w:t>
      </w:r>
      <w:r w:rsidRPr="00DC701D">
        <w:t xml:space="preserve"> an estimated </w:t>
      </w:r>
      <w:r w:rsidR="003A3D09" w:rsidRPr="00DC701D">
        <w:t>6.1</w:t>
      </w:r>
      <w:r w:rsidRPr="00DC701D">
        <w:t xml:space="preserve"> per cent had a </w:t>
      </w:r>
      <w:r w:rsidR="003A3D09" w:rsidRPr="00DC701D">
        <w:t xml:space="preserve">profound or severe </w:t>
      </w:r>
      <w:r w:rsidRPr="00DC701D">
        <w:t xml:space="preserve">core activity limitation </w:t>
      </w:r>
      <w:r w:rsidR="009D46E6" w:rsidRPr="00DC701D">
        <w:t>(ABS 201</w:t>
      </w:r>
      <w:r w:rsidR="003A3D09" w:rsidRPr="00DC701D">
        <w:t>3</w:t>
      </w:r>
      <w:r w:rsidR="009D46E6" w:rsidRPr="00DC701D">
        <w:t xml:space="preserve">) </w:t>
      </w:r>
      <w:r w:rsidRPr="00DC701D">
        <w:t xml:space="preserve">compared with </w:t>
      </w:r>
      <w:r w:rsidR="003A3D09" w:rsidRPr="00DC701D">
        <w:t>5.8</w:t>
      </w:r>
      <w:r w:rsidRPr="00DC701D">
        <w:t xml:space="preserve"> per cent in 200</w:t>
      </w:r>
      <w:r w:rsidR="003A3D09" w:rsidRPr="00DC701D">
        <w:t>9</w:t>
      </w:r>
      <w:r w:rsidRPr="00DC701D">
        <w:t xml:space="preserve"> (ABS 20</w:t>
      </w:r>
      <w:r w:rsidR="003A3D09" w:rsidRPr="00DC701D">
        <w:t>11</w:t>
      </w:r>
      <w:r w:rsidR="006731B7" w:rsidRPr="00DC701D">
        <w:t>a</w:t>
      </w:r>
      <w:r w:rsidR="00241794" w:rsidRPr="00DC701D">
        <w:t xml:space="preserve">). </w:t>
      </w:r>
      <w:r w:rsidRPr="00DC701D">
        <w:t>Tables</w:t>
      </w:r>
      <w:r w:rsidR="00AE3578" w:rsidRPr="00DC701D">
        <w:t> </w:t>
      </w:r>
      <w:r w:rsidRPr="00DC701D">
        <w:t>14A.</w:t>
      </w:r>
      <w:r w:rsidR="00683393" w:rsidRPr="00DC701D">
        <w:t xml:space="preserve">12 </w:t>
      </w:r>
      <w:r w:rsidRPr="00DC701D">
        <w:t>and 14A.</w:t>
      </w:r>
      <w:r w:rsidR="00683393" w:rsidRPr="00DC701D">
        <w:t xml:space="preserve">13 </w:t>
      </w:r>
      <w:r w:rsidRPr="00DC701D">
        <w:t>contain additional information on disability prevalence, and table 14A.</w:t>
      </w:r>
      <w:r w:rsidR="00683393" w:rsidRPr="00DC701D">
        <w:t xml:space="preserve">14 </w:t>
      </w:r>
      <w:r w:rsidRPr="00DC701D">
        <w:t>contains information on the estimated number of people with a profound or severe core activity limitation who received help as a proportion of those who needed help.</w:t>
      </w:r>
      <w:r w:rsidR="002773D6" w:rsidRPr="00DC701D">
        <w:t xml:space="preserve"> </w:t>
      </w:r>
    </w:p>
    <w:p w:rsidR="00327856" w:rsidRDefault="002773D6" w:rsidP="00327856">
      <w:pPr>
        <w:pStyle w:val="BodyText"/>
      </w:pPr>
      <w:r w:rsidRPr="00327856">
        <w:t>Males and females are similarly affected by disability (18 per cent and 19 per cent respectively), but this changes with age and severity of disability (figure</w:t>
      </w:r>
      <w:r w:rsidR="005547FD">
        <w:t> </w:t>
      </w:r>
      <w:r w:rsidR="003071FB">
        <w:t>14.2</w:t>
      </w:r>
      <w:r w:rsidRPr="00327856">
        <w:t>).</w:t>
      </w:r>
    </w:p>
    <w:p w:rsidR="00327856" w:rsidRDefault="0032785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7856" w:rsidTr="00CC0417">
        <w:tc>
          <w:tcPr>
            <w:tcW w:w="8771" w:type="dxa"/>
            <w:tcBorders>
              <w:top w:val="single" w:sz="6" w:space="0" w:color="78A22F"/>
              <w:left w:val="nil"/>
              <w:bottom w:val="nil"/>
              <w:right w:val="nil"/>
            </w:tcBorders>
            <w:shd w:val="clear" w:color="auto" w:fill="auto"/>
          </w:tcPr>
          <w:p w:rsidR="00327856" w:rsidRPr="00176D3F" w:rsidRDefault="00327856" w:rsidP="00327856">
            <w:pPr>
              <w:pStyle w:val="FigureTitle"/>
            </w:pPr>
            <w:r w:rsidRPr="00784A05">
              <w:rPr>
                <w:b w:val="0"/>
              </w:rPr>
              <w:t xml:space="preserve">Figure </w:t>
            </w:r>
            <w:bookmarkStart w:id="12" w:name="OLE_LINK10"/>
            <w:r>
              <w:rPr>
                <w:b w:val="0"/>
              </w:rPr>
              <w:t>14.</w:t>
            </w:r>
            <w:r w:rsidR="004B691F">
              <w:rPr>
                <w:b w:val="0"/>
                <w:noProof/>
              </w:rPr>
              <w:t>2</w:t>
            </w:r>
            <w:bookmarkEnd w:id="12"/>
            <w:r>
              <w:tab/>
            </w:r>
            <w:r w:rsidRPr="00327856">
              <w:t>Disability prevalence, people with profound or severe core activity l</w:t>
            </w:r>
            <w:r>
              <w:t>imitation, by sex, by age, 2012</w:t>
            </w:r>
          </w:p>
        </w:tc>
      </w:tr>
      <w:tr w:rsidR="00327856" w:rsidTr="00CC041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7856" w:rsidTr="00CC0417">
              <w:trPr>
                <w:jc w:val="center"/>
              </w:trPr>
              <w:tc>
                <w:tcPr>
                  <w:tcW w:w="5000" w:type="pct"/>
                  <w:tcBorders>
                    <w:top w:val="nil"/>
                    <w:bottom w:val="nil"/>
                  </w:tcBorders>
                </w:tcPr>
                <w:p w:rsidR="00327856" w:rsidRPr="00FC3972" w:rsidRDefault="00187FBC" w:rsidP="00FC3972">
                  <w:pPr>
                    <w:pStyle w:val="Figure"/>
                  </w:pPr>
                  <w:r>
                    <w:rPr>
                      <w:noProof/>
                    </w:rPr>
                    <w:drawing>
                      <wp:inline distT="0" distB="0" distL="0" distR="0">
                        <wp:extent cx="5225415" cy="2683510"/>
                        <wp:effectExtent l="0" t="0" r="0" b="2540"/>
                        <wp:docPr id="5" name="Picture 5" descr="Figure 14.2 Disability prevalence, people with profound or severe core activity limitation, by sex, by ag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327856" w:rsidRDefault="00327856" w:rsidP="00CC0417">
            <w:pPr>
              <w:pStyle w:val="Figure"/>
            </w:pPr>
          </w:p>
        </w:tc>
      </w:tr>
      <w:tr w:rsidR="00327856" w:rsidRPr="00176D3F" w:rsidTr="00CC0417">
        <w:tc>
          <w:tcPr>
            <w:tcW w:w="8771" w:type="dxa"/>
            <w:tcBorders>
              <w:top w:val="nil"/>
              <w:left w:val="nil"/>
              <w:bottom w:val="nil"/>
              <w:right w:val="nil"/>
            </w:tcBorders>
            <w:shd w:val="clear" w:color="auto" w:fill="auto"/>
          </w:tcPr>
          <w:p w:rsidR="00327856" w:rsidRPr="00176D3F" w:rsidRDefault="00327856" w:rsidP="00CC0417">
            <w:pPr>
              <w:pStyle w:val="Source"/>
            </w:pPr>
            <w:r>
              <w:rPr>
                <w:i/>
              </w:rPr>
              <w:t>S</w:t>
            </w:r>
            <w:r w:rsidRPr="00784A05">
              <w:rPr>
                <w:i/>
              </w:rPr>
              <w:t>ource</w:t>
            </w:r>
            <w:r w:rsidR="006D7251">
              <w:t xml:space="preserve">: </w:t>
            </w:r>
            <w:r w:rsidRPr="00327856">
              <w:t xml:space="preserve">Australian Bureau of Statistics (ABS) (unpublished) </w:t>
            </w:r>
            <w:r w:rsidRPr="00960B72">
              <w:t>Survey of Disability, Ageing and Carers, 2012</w:t>
            </w:r>
            <w:r w:rsidRPr="00327856">
              <w:rPr>
                <w:i/>
              </w:rPr>
              <w:t>.</w:t>
            </w:r>
          </w:p>
        </w:tc>
      </w:tr>
      <w:tr w:rsidR="00327856" w:rsidTr="00CC0417">
        <w:tc>
          <w:tcPr>
            <w:tcW w:w="8771" w:type="dxa"/>
            <w:tcBorders>
              <w:top w:val="nil"/>
              <w:left w:val="nil"/>
              <w:bottom w:val="single" w:sz="6" w:space="0" w:color="78A22F"/>
              <w:right w:val="nil"/>
            </w:tcBorders>
            <w:shd w:val="clear" w:color="auto" w:fill="auto"/>
          </w:tcPr>
          <w:p w:rsidR="00327856" w:rsidRDefault="00327856" w:rsidP="00CC0417">
            <w:pPr>
              <w:pStyle w:val="Figurespace"/>
            </w:pPr>
          </w:p>
        </w:tc>
      </w:tr>
      <w:tr w:rsidR="00327856" w:rsidRPr="000863A5" w:rsidTr="00CC0417">
        <w:tc>
          <w:tcPr>
            <w:tcW w:w="8771" w:type="dxa"/>
            <w:tcBorders>
              <w:top w:val="single" w:sz="6" w:space="0" w:color="78A22F"/>
              <w:left w:val="nil"/>
              <w:bottom w:val="nil"/>
              <w:right w:val="nil"/>
            </w:tcBorders>
          </w:tcPr>
          <w:p w:rsidR="00327856" w:rsidRPr="00626D32" w:rsidRDefault="00327856" w:rsidP="00CC0417">
            <w:pPr>
              <w:pStyle w:val="BoxSpaceBelow"/>
            </w:pPr>
          </w:p>
        </w:tc>
      </w:tr>
    </w:tbl>
    <w:p w:rsidR="001F39F2" w:rsidRPr="00DC701D" w:rsidRDefault="00FC17DE" w:rsidP="00940B9F">
      <w:pPr>
        <w:pStyle w:val="BodyText"/>
      </w:pPr>
      <w:r w:rsidRPr="00DC701D">
        <w:lastRenderedPageBreak/>
        <w:t xml:space="preserve">Aboriginal and Torres Strait </w:t>
      </w:r>
      <w:r w:rsidR="00C21DBC" w:rsidRPr="00DC701D">
        <w:t>Islander people</w:t>
      </w:r>
      <w:r w:rsidR="00465494" w:rsidRPr="00DC701D">
        <w:t xml:space="preserve"> </w:t>
      </w:r>
      <w:r w:rsidR="0093488C" w:rsidRPr="00DC701D">
        <w:t>experience</w:t>
      </w:r>
      <w:r w:rsidR="00465494" w:rsidRPr="00DC701D">
        <w:t xml:space="preserve"> significantly higher rates of disability than non</w:t>
      </w:r>
      <w:r w:rsidR="00B84AF2" w:rsidRPr="00DC701D">
        <w:noBreakHyphen/>
      </w:r>
      <w:r w:rsidR="00ED3937" w:rsidRPr="00DC701D">
        <w:t>Indigenous people</w:t>
      </w:r>
      <w:r w:rsidR="00465494" w:rsidRPr="00DC701D">
        <w:t xml:space="preserve">. </w:t>
      </w:r>
      <w:r w:rsidR="009B2713" w:rsidRPr="00DC701D">
        <w:t>Nationally i</w:t>
      </w:r>
      <w:r w:rsidR="00940B9F" w:rsidRPr="00DC701D">
        <w:t xml:space="preserve">n 2012, </w:t>
      </w:r>
      <w:r w:rsidR="00003E95" w:rsidRPr="00DC701D">
        <w:t xml:space="preserve">after adjusting for differences in population age structures, the SDAC shows that </w:t>
      </w:r>
      <w:r w:rsidR="009F455E" w:rsidRPr="00DC701D">
        <w:rPr>
          <w:shd w:val="clear" w:color="auto" w:fill="FFFFFF" w:themeFill="background1"/>
        </w:rPr>
        <w:t>8.4</w:t>
      </w:r>
      <w:r w:rsidR="0005735B" w:rsidRPr="00DC701D">
        <w:rPr>
          <w:shd w:val="clear" w:color="auto" w:fill="FFFFFF" w:themeFill="background1"/>
        </w:rPr>
        <w:t> per cent</w:t>
      </w:r>
      <w:r w:rsidR="0005735B" w:rsidRPr="00DC701D">
        <w:t xml:space="preserve"> of Aboriginal and Torres Strait </w:t>
      </w:r>
      <w:r w:rsidR="00C21DBC" w:rsidRPr="00DC701D">
        <w:t>Islander people</w:t>
      </w:r>
      <w:r w:rsidR="0005735B" w:rsidRPr="00DC701D">
        <w:t xml:space="preserve"> reported a profound or severe core activity limitation, around </w:t>
      </w:r>
      <w:r w:rsidR="00146CE5" w:rsidRPr="00DC701D">
        <w:t>1.7</w:t>
      </w:r>
      <w:r w:rsidR="003071FB">
        <w:t> </w:t>
      </w:r>
      <w:r w:rsidR="00146CE5" w:rsidRPr="00DC701D">
        <w:t>times</w:t>
      </w:r>
      <w:r w:rsidR="0005735B" w:rsidRPr="00DC701D">
        <w:t xml:space="preserve"> the rate </w:t>
      </w:r>
      <w:r w:rsidR="00003E95" w:rsidRPr="00DC701D">
        <w:t>for</w:t>
      </w:r>
      <w:r w:rsidR="0005735B" w:rsidRPr="00DC701D">
        <w:t xml:space="preserve"> non</w:t>
      </w:r>
      <w:r w:rsidR="00B84AF2" w:rsidRPr="00DC701D">
        <w:noBreakHyphen/>
      </w:r>
      <w:r w:rsidR="00ED3937" w:rsidRPr="00DC701D">
        <w:t>Indigenous people</w:t>
      </w:r>
      <w:r w:rsidR="00D658BD" w:rsidRPr="00DC701D">
        <w:t xml:space="preserve"> </w:t>
      </w:r>
      <w:r w:rsidR="00D658BD" w:rsidRPr="00DC701D">
        <w:rPr>
          <w:shd w:val="clear" w:color="auto" w:fill="FFFFFF" w:themeFill="background1"/>
        </w:rPr>
        <w:t>(</w:t>
      </w:r>
      <w:r w:rsidR="00146CE5" w:rsidRPr="00DC701D">
        <w:rPr>
          <w:shd w:val="clear" w:color="auto" w:fill="FFFFFF" w:themeFill="background1"/>
        </w:rPr>
        <w:t>4.9 per </w:t>
      </w:r>
      <w:r w:rsidR="00D658BD" w:rsidRPr="00DC701D">
        <w:rPr>
          <w:shd w:val="clear" w:color="auto" w:fill="FFFFFF" w:themeFill="background1"/>
        </w:rPr>
        <w:t xml:space="preserve">cent). </w:t>
      </w:r>
      <w:r w:rsidR="001F39F2" w:rsidRPr="00DC701D">
        <w:t xml:space="preserve">The disparity between </w:t>
      </w:r>
      <w:r w:rsidR="000758C7" w:rsidRPr="00DC701D">
        <w:t xml:space="preserve">Aboriginal and Torres Strait Islander </w:t>
      </w:r>
      <w:r w:rsidR="001F39F2" w:rsidRPr="00DC701D">
        <w:t>and non</w:t>
      </w:r>
      <w:r w:rsidR="00B84AF2" w:rsidRPr="00DC701D">
        <w:noBreakHyphen/>
      </w:r>
      <w:r w:rsidR="000F5B6E" w:rsidRPr="00DC701D">
        <w:t xml:space="preserve">Indigenous </w:t>
      </w:r>
      <w:r w:rsidR="00ED3937" w:rsidRPr="00DC701D">
        <w:t>people</w:t>
      </w:r>
      <w:r w:rsidR="001F39F2" w:rsidRPr="00DC701D">
        <w:t xml:space="preserve"> is consistent across age groups</w:t>
      </w:r>
      <w:r w:rsidR="009B2713" w:rsidRPr="00DC701D">
        <w:t xml:space="preserve"> (figure </w:t>
      </w:r>
      <w:r w:rsidR="003071FB">
        <w:t>14.3</w:t>
      </w:r>
      <w:r w:rsidR="00BE25BB" w:rsidRPr="00DC701D">
        <w:t>).</w:t>
      </w:r>
      <w:r w:rsidR="003071FB">
        <w:t xml:space="preserve"> Data from the </w:t>
      </w:r>
      <w:r w:rsidR="003071FB" w:rsidRPr="00DC701D">
        <w:rPr>
          <w:shd w:val="clear" w:color="auto" w:fill="FFFFFF" w:themeFill="background1"/>
        </w:rPr>
        <w:t>2011–13</w:t>
      </w:r>
      <w:r w:rsidR="003071FB">
        <w:rPr>
          <w:shd w:val="clear" w:color="auto" w:fill="FFFFFF" w:themeFill="background1"/>
        </w:rPr>
        <w:t xml:space="preserve"> Australian Health Survey, whilst not directly comparable,</w:t>
      </w:r>
      <w:r w:rsidR="003071FB" w:rsidRPr="00DC701D">
        <w:rPr>
          <w:shd w:val="clear" w:color="auto" w:fill="FFFFFF" w:themeFill="background1"/>
        </w:rPr>
        <w:t xml:space="preserve"> show similar trends.</w:t>
      </w:r>
    </w:p>
    <w:p w:rsidR="00BE25BB" w:rsidRPr="00B86C20" w:rsidRDefault="00BE25B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25BB" w:rsidRPr="009B54FB" w:rsidTr="00730EA6">
        <w:tc>
          <w:tcPr>
            <w:tcW w:w="8771" w:type="dxa"/>
            <w:tcBorders>
              <w:top w:val="single" w:sz="6" w:space="0" w:color="78A22F"/>
              <w:left w:val="nil"/>
              <w:bottom w:val="nil"/>
              <w:right w:val="nil"/>
            </w:tcBorders>
            <w:shd w:val="clear" w:color="auto" w:fill="auto"/>
          </w:tcPr>
          <w:p w:rsidR="00BE25BB" w:rsidRPr="009B54FB" w:rsidRDefault="00BE25BB" w:rsidP="00D65C2A">
            <w:pPr>
              <w:pStyle w:val="FigureTitle"/>
            </w:pPr>
            <w:r w:rsidRPr="009B54FB">
              <w:rPr>
                <w:b w:val="0"/>
              </w:rPr>
              <w:t xml:space="preserve">Figure </w:t>
            </w:r>
            <w:bookmarkStart w:id="13" w:name="OLE_LINK11"/>
            <w:r w:rsidR="00546C7D" w:rsidRPr="009B54FB">
              <w:rPr>
                <w:b w:val="0"/>
              </w:rPr>
              <w:t>14.</w:t>
            </w:r>
            <w:r w:rsidR="004B691F">
              <w:rPr>
                <w:b w:val="0"/>
                <w:noProof/>
              </w:rPr>
              <w:t>3</w:t>
            </w:r>
            <w:bookmarkEnd w:id="13"/>
            <w:r w:rsidRPr="009B54FB">
              <w:tab/>
            </w:r>
            <w:r w:rsidR="00B0519B" w:rsidRPr="009B54FB">
              <w:t xml:space="preserve">Disability prevalence, by </w:t>
            </w:r>
            <w:r w:rsidR="00147FD2" w:rsidRPr="009B54FB">
              <w:t>Indigenous</w:t>
            </w:r>
            <w:r w:rsidR="00B0519B" w:rsidRPr="009B54FB">
              <w:t xml:space="preserve"> status, by age, 2012</w:t>
            </w:r>
            <w:r w:rsidR="00B0519B" w:rsidRPr="009B54FB">
              <w:rPr>
                <w:rStyle w:val="NoteLabel"/>
                <w:b/>
              </w:rPr>
              <w:t>a</w:t>
            </w:r>
          </w:p>
        </w:tc>
      </w:tr>
      <w:tr w:rsidR="00BE25BB" w:rsidRPr="00B86C2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BE25BB" w:rsidRPr="00B86C20" w:rsidTr="00631DBC">
              <w:trPr>
                <w:jc w:val="center"/>
              </w:trPr>
              <w:tc>
                <w:tcPr>
                  <w:tcW w:w="8504" w:type="dxa"/>
                  <w:tcBorders>
                    <w:top w:val="nil"/>
                    <w:bottom w:val="nil"/>
                  </w:tcBorders>
                </w:tcPr>
                <w:p w:rsidR="00D24B1B" w:rsidRPr="00B86C20" w:rsidRDefault="00187FBC" w:rsidP="009B2713">
                  <w:pPr>
                    <w:pStyle w:val="Figure"/>
                    <w:rPr>
                      <w:rStyle w:val="DraftingNote"/>
                      <w:b w:val="0"/>
                      <w:color w:val="808080" w:themeColor="background1" w:themeShade="80"/>
                      <w:u w:val="none"/>
                    </w:rPr>
                  </w:pPr>
                  <w:r>
                    <w:rPr>
                      <w:noProof/>
                      <w:color w:val="808080" w:themeColor="background1" w:themeShade="80"/>
                    </w:rPr>
                    <w:drawing>
                      <wp:inline distT="0" distB="0" distL="0" distR="0">
                        <wp:extent cx="5225415" cy="2683510"/>
                        <wp:effectExtent l="0" t="0" r="0" b="2540"/>
                        <wp:docPr id="6" name="Picture 6" descr="Figure 14.3 Disability prevalence, by Indigenous status, by ag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BE25BB" w:rsidRPr="00B86C20" w:rsidRDefault="00BE25BB" w:rsidP="009B2713">
            <w:pPr>
              <w:rPr>
                <w:color w:val="808080" w:themeColor="background1" w:themeShade="80"/>
              </w:rPr>
            </w:pPr>
          </w:p>
        </w:tc>
      </w:tr>
      <w:tr w:rsidR="00B0519B" w:rsidRPr="009B54FB" w:rsidTr="002A6A88">
        <w:tc>
          <w:tcPr>
            <w:tcW w:w="8771" w:type="dxa"/>
            <w:tcBorders>
              <w:top w:val="nil"/>
              <w:left w:val="nil"/>
              <w:bottom w:val="nil"/>
              <w:right w:val="nil"/>
            </w:tcBorders>
            <w:shd w:val="clear" w:color="auto" w:fill="FFFFFF" w:themeFill="background1"/>
          </w:tcPr>
          <w:p w:rsidR="00B0519B" w:rsidRPr="009B54FB" w:rsidRDefault="00B0519B" w:rsidP="00D65C2A">
            <w:pPr>
              <w:pStyle w:val="Note"/>
            </w:pPr>
            <w:r w:rsidRPr="009B54FB">
              <w:t xml:space="preserve">AS = Age standardised. </w:t>
            </w:r>
            <w:proofErr w:type="spellStart"/>
            <w:r w:rsidRPr="009B54FB">
              <w:rPr>
                <w:rStyle w:val="NoteLabel"/>
              </w:rPr>
              <w:t>a</w:t>
            </w:r>
            <w:proofErr w:type="spellEnd"/>
            <w:r w:rsidRPr="009B54FB">
              <w:t xml:space="preserve"> The </w:t>
            </w:r>
            <w:proofErr w:type="spellStart"/>
            <w:r w:rsidR="002A6A88" w:rsidRPr="009B54FB">
              <w:t>SDAC</w:t>
            </w:r>
            <w:proofErr w:type="spellEnd"/>
            <w:r w:rsidRPr="009B54FB">
              <w:t xml:space="preserve"> does not </w:t>
            </w:r>
            <w:r w:rsidR="0093488C" w:rsidRPr="009B54FB">
              <w:t>survey</w:t>
            </w:r>
            <w:r w:rsidRPr="009B54FB">
              <w:t xml:space="preserve"> people in very remote areas.</w:t>
            </w:r>
            <w:r w:rsidR="00D113DD" w:rsidRPr="009B54FB">
              <w:t xml:space="preserve"> </w:t>
            </w:r>
          </w:p>
        </w:tc>
      </w:tr>
      <w:tr w:rsidR="00B0519B" w:rsidRPr="009B54FB" w:rsidTr="00730EA6">
        <w:tc>
          <w:tcPr>
            <w:tcW w:w="8771" w:type="dxa"/>
            <w:tcBorders>
              <w:top w:val="nil"/>
              <w:left w:val="nil"/>
              <w:bottom w:val="nil"/>
              <w:right w:val="nil"/>
            </w:tcBorders>
            <w:shd w:val="clear" w:color="auto" w:fill="auto"/>
          </w:tcPr>
          <w:p w:rsidR="00B0519B" w:rsidRPr="009B54FB" w:rsidRDefault="00894BE1" w:rsidP="00D65C2A">
            <w:pPr>
              <w:pStyle w:val="Source"/>
            </w:pPr>
            <w:r w:rsidRPr="009B54FB">
              <w:rPr>
                <w:i/>
              </w:rPr>
              <w:t>S</w:t>
            </w:r>
            <w:r w:rsidR="00B0519B" w:rsidRPr="009B54FB">
              <w:rPr>
                <w:i/>
              </w:rPr>
              <w:t>ource</w:t>
            </w:r>
            <w:r w:rsidR="00B0519B" w:rsidRPr="009B54FB">
              <w:t xml:space="preserve">: </w:t>
            </w:r>
            <w:r w:rsidR="0086127D" w:rsidRPr="009B54FB">
              <w:t>ABS</w:t>
            </w:r>
            <w:r w:rsidR="00631DBC" w:rsidRPr="009B54FB">
              <w:t xml:space="preserve"> (unpublished) </w:t>
            </w:r>
            <w:r w:rsidR="00044F4B" w:rsidRPr="00241C57">
              <w:t>Survey of Disa</w:t>
            </w:r>
            <w:r w:rsidR="008F6B5D" w:rsidRPr="00241C57">
              <w:t>bility, Ageing and Carers.</w:t>
            </w:r>
          </w:p>
        </w:tc>
      </w:tr>
      <w:tr w:rsidR="009B54FB" w:rsidRPr="00B86C20" w:rsidTr="00730EA6">
        <w:tc>
          <w:tcPr>
            <w:tcW w:w="8771" w:type="dxa"/>
            <w:tcBorders>
              <w:top w:val="nil"/>
              <w:left w:val="nil"/>
              <w:bottom w:val="single" w:sz="6" w:space="0" w:color="78A22F"/>
              <w:right w:val="nil"/>
            </w:tcBorders>
            <w:shd w:val="clear" w:color="auto" w:fill="auto"/>
          </w:tcPr>
          <w:p w:rsidR="00B0519B" w:rsidRPr="00B86C20" w:rsidRDefault="00B0519B" w:rsidP="00730EA6">
            <w:pPr>
              <w:pStyle w:val="Figurespace"/>
              <w:rPr>
                <w:color w:val="808080" w:themeColor="background1" w:themeShade="80"/>
              </w:rPr>
            </w:pPr>
          </w:p>
        </w:tc>
      </w:tr>
      <w:tr w:rsidR="009B54FB" w:rsidRPr="00B86C20" w:rsidTr="00730EA6">
        <w:tc>
          <w:tcPr>
            <w:tcW w:w="8771" w:type="dxa"/>
            <w:tcBorders>
              <w:top w:val="single" w:sz="6" w:space="0" w:color="78A22F"/>
              <w:left w:val="nil"/>
              <w:bottom w:val="nil"/>
              <w:right w:val="nil"/>
            </w:tcBorders>
          </w:tcPr>
          <w:p w:rsidR="00B0519B" w:rsidRPr="00B86C20" w:rsidRDefault="00B0519B" w:rsidP="00730EA6">
            <w:pPr>
              <w:pStyle w:val="BoxSpaceBelow"/>
              <w:rPr>
                <w:color w:val="808080" w:themeColor="background1" w:themeShade="80"/>
              </w:rPr>
            </w:pPr>
          </w:p>
        </w:tc>
      </w:tr>
    </w:tbl>
    <w:p w:rsidR="00A21D67" w:rsidRPr="009B54FB" w:rsidRDefault="00A21D67" w:rsidP="006C5F8E">
      <w:pPr>
        <w:pStyle w:val="Heading5"/>
      </w:pPr>
      <w:r w:rsidRPr="009B54FB">
        <w:t>Potential population</w:t>
      </w:r>
    </w:p>
    <w:p w:rsidR="008B6F83" w:rsidRPr="00FE16B7" w:rsidRDefault="00F93C35" w:rsidP="00A64C59">
      <w:pPr>
        <w:pStyle w:val="BodyText"/>
      </w:pPr>
      <w:r w:rsidRPr="009B54FB">
        <w:t>The potential population is an estimate, derived using a range of data sources, of the number of people with the potential to require disability support services</w:t>
      </w:r>
      <w:r w:rsidR="002977EB" w:rsidRPr="009B54FB">
        <w:t>,</w:t>
      </w:r>
      <w:r w:rsidRPr="009B54FB">
        <w:t xml:space="preserve"> including individuals who meet the service eligibility criteria but who do not demand services. Results are reported </w:t>
      </w:r>
      <w:r w:rsidR="006E200B" w:rsidRPr="009B54FB">
        <w:t>as rates</w:t>
      </w:r>
      <w:r w:rsidR="00445BD4" w:rsidRPr="009B54FB">
        <w:t>, which are the proportion of potential service users that ar</w:t>
      </w:r>
      <w:r w:rsidR="008D4578" w:rsidRPr="009B54FB">
        <w:t>e</w:t>
      </w:r>
      <w:r w:rsidR="00445BD4" w:rsidRPr="009B54FB">
        <w:t xml:space="preserve"> actually using the service. </w:t>
      </w:r>
      <w:r w:rsidR="006E200B" w:rsidRPr="009B54FB">
        <w:t>This allows better comparison between people in special needs groups with people outside those groups.</w:t>
      </w:r>
      <w:r w:rsidRPr="009B54FB">
        <w:t xml:space="preserve"> </w:t>
      </w:r>
      <w:r w:rsidR="00B733A9" w:rsidRPr="009B54FB">
        <w:t xml:space="preserve">For open employment services, the potential population is not used; instead, an estimate of all people </w:t>
      </w:r>
      <w:r w:rsidR="002977EB" w:rsidRPr="009B54FB">
        <w:t xml:space="preserve">aged 15–64 years </w:t>
      </w:r>
      <w:r w:rsidR="00B733A9" w:rsidRPr="009B54FB">
        <w:t xml:space="preserve">with disability </w:t>
      </w:r>
      <w:r w:rsidR="00B733A9" w:rsidRPr="00A12A03">
        <w:t xml:space="preserve">and who have an employment restriction is used. </w:t>
      </w:r>
      <w:r w:rsidR="008B6F83" w:rsidRPr="00A12A03">
        <w:t xml:space="preserve">Further information </w:t>
      </w:r>
      <w:r w:rsidR="002977EB" w:rsidRPr="00A12A03">
        <w:t xml:space="preserve">on </w:t>
      </w:r>
      <w:r w:rsidR="009730EC" w:rsidRPr="00FE16B7">
        <w:t>deriving potential populations for special needs groups</w:t>
      </w:r>
      <w:r w:rsidR="008B6F83" w:rsidRPr="00FE16B7">
        <w:t xml:space="preserve"> for the 201</w:t>
      </w:r>
      <w:r w:rsidR="00CD6F55">
        <w:t>6</w:t>
      </w:r>
      <w:r w:rsidR="009B2713" w:rsidRPr="00FE16B7">
        <w:t> </w:t>
      </w:r>
      <w:r w:rsidR="00177211" w:rsidRPr="00FE16B7">
        <w:t>R</w:t>
      </w:r>
      <w:r w:rsidR="008B6F83" w:rsidRPr="003A31D9">
        <w:t xml:space="preserve">eport </w:t>
      </w:r>
      <w:r w:rsidR="00CF50E4" w:rsidRPr="003A31D9">
        <w:t xml:space="preserve">can be found in </w:t>
      </w:r>
      <w:r w:rsidR="00A64C59" w:rsidRPr="00A12A03">
        <w:t>section</w:t>
      </w:r>
      <w:r w:rsidR="005547FD">
        <w:t> </w:t>
      </w:r>
      <w:r w:rsidR="00A64C59" w:rsidRPr="00A12A03">
        <w:t>14.</w:t>
      </w:r>
      <w:r w:rsidR="00D65C2A">
        <w:t>5</w:t>
      </w:r>
      <w:r w:rsidR="008B6F83" w:rsidRPr="00A12A03">
        <w:t>.</w:t>
      </w:r>
    </w:p>
    <w:p w:rsidR="001F39F2" w:rsidRPr="00A12A03" w:rsidRDefault="001F39F2" w:rsidP="006C5F8E">
      <w:pPr>
        <w:pStyle w:val="Heading4"/>
      </w:pPr>
      <w:r w:rsidRPr="00A12A03">
        <w:lastRenderedPageBreak/>
        <w:t xml:space="preserve">Informal carers </w:t>
      </w:r>
    </w:p>
    <w:p w:rsidR="001F39F2" w:rsidRPr="009B54FB" w:rsidRDefault="001F39F2" w:rsidP="00585E2C">
      <w:pPr>
        <w:pStyle w:val="BodyText"/>
      </w:pPr>
      <w:r w:rsidRPr="00FE16B7">
        <w:t>Family and friends provide most</w:t>
      </w:r>
      <w:r w:rsidR="007678AB">
        <w:t xml:space="preserve"> of the</w:t>
      </w:r>
      <w:r w:rsidRPr="00FE16B7">
        <w:t xml:space="preserve"> help and/or care </w:t>
      </w:r>
      <w:r w:rsidR="007678AB">
        <w:t>that</w:t>
      </w:r>
      <w:r w:rsidRPr="00FE16B7">
        <w:t xml:space="preserve"> people with disability</w:t>
      </w:r>
      <w:r w:rsidR="007678AB">
        <w:t xml:space="preserve"> receive</w:t>
      </w:r>
      <w:r w:rsidRPr="00FE16B7">
        <w:t xml:space="preserve">. Information about informal carers </w:t>
      </w:r>
      <w:r w:rsidRPr="009B54FB">
        <w:t>enables governments to plan ahead for the future demand for services that support carers and the people they assist. Support services that assist people with disability to live in the community, such as in</w:t>
      </w:r>
      <w:r w:rsidR="00B84AF2" w:rsidRPr="009B54FB">
        <w:noBreakHyphen/>
      </w:r>
      <w:r w:rsidRPr="009B54FB">
        <w:t>home accommodation support and community support, often complement and are contingent on the availability of informal care. In turn, the provision of informal care may rely on access to formal support services</w:t>
      </w:r>
      <w:r w:rsidR="00C21626" w:rsidRPr="009B54FB">
        <w:t>,</w:t>
      </w:r>
      <w:r w:rsidRPr="009B54FB">
        <w:t xml:space="preserve"> including</w:t>
      </w:r>
      <w:r w:rsidR="00C21626" w:rsidRPr="009B54FB">
        <w:t xml:space="preserve"> carer</w:t>
      </w:r>
      <w:r w:rsidRPr="009B54FB">
        <w:t xml:space="preserve"> respite services and a range of services for the person with disability. </w:t>
      </w:r>
    </w:p>
    <w:p w:rsidR="001F39F2" w:rsidRPr="009B54FB" w:rsidRDefault="001F39F2" w:rsidP="00585E2C">
      <w:pPr>
        <w:pStyle w:val="BodyText"/>
      </w:pPr>
      <w:r w:rsidRPr="009B54FB">
        <w:t>Information on informal carers is available from the SDAC</w:t>
      </w:r>
      <w:r w:rsidR="00CD6F55">
        <w:t>,</w:t>
      </w:r>
      <w:r w:rsidRPr="009B54FB">
        <w:t xml:space="preserve"> and for NDA service users from the DS NMDS. The definition of informal carers differs slightly across these data collections</w:t>
      </w:r>
      <w:r w:rsidR="001C512C" w:rsidRPr="009B54FB">
        <w:t xml:space="preserve"> as</w:t>
      </w:r>
      <w:r w:rsidRPr="009B54FB">
        <w:t>:</w:t>
      </w:r>
    </w:p>
    <w:p w:rsidR="001F39F2" w:rsidRPr="009B54FB" w:rsidRDefault="00685AE1" w:rsidP="00585E2C">
      <w:pPr>
        <w:pStyle w:val="ListBullet"/>
      </w:pPr>
      <w:r w:rsidRPr="009B54FB">
        <w:t>t</w:t>
      </w:r>
      <w:r w:rsidR="001F39F2" w:rsidRPr="009B54FB">
        <w:t xml:space="preserve">he SDAC defines an informal primary carer as a person who provides the most informal assistance, in terms of help or supervision, to a person with one or more disabilities. The assistance has to be ongoing, or likely </w:t>
      </w:r>
      <w:r w:rsidR="00445BD4" w:rsidRPr="009B54FB">
        <w:t>to be ongoing, for at least six </w:t>
      </w:r>
      <w:r w:rsidR="001F39F2" w:rsidRPr="009B54FB">
        <w:t xml:space="preserve">months and be provided for one or more of the core activities (communication, mobility and </w:t>
      </w:r>
      <w:r w:rsidR="00A12A03" w:rsidRPr="009B54FB">
        <w:t>self</w:t>
      </w:r>
      <w:r w:rsidR="005547FD">
        <w:noBreakHyphen/>
      </w:r>
      <w:r w:rsidR="00A12A03" w:rsidRPr="009B54FB">
        <w:t>care</w:t>
      </w:r>
      <w:r w:rsidR="001F39F2" w:rsidRPr="009B54FB">
        <w:t xml:space="preserve">) </w:t>
      </w:r>
    </w:p>
    <w:p w:rsidR="001F39F2" w:rsidRPr="009B54FB" w:rsidRDefault="00685AE1" w:rsidP="00585E2C">
      <w:pPr>
        <w:pStyle w:val="ListBullet"/>
      </w:pPr>
      <w:r w:rsidRPr="009B54FB">
        <w:t>t</w:t>
      </w:r>
      <w:r w:rsidR="001F39F2" w:rsidRPr="009B54FB">
        <w:t>he DS NMDS defines an informal carer as someone</w:t>
      </w:r>
      <w:r w:rsidR="00C21626" w:rsidRPr="009B54FB">
        <w:t>,</w:t>
      </w:r>
      <w:r w:rsidR="001F39F2" w:rsidRPr="009B54FB">
        <w:t xml:space="preserve"> such as a family member, friend or neighbour, who is identified as providing regular and sustained care and assistance to a person with disability (see section</w:t>
      </w:r>
      <w:r w:rsidR="005547FD">
        <w:t> </w:t>
      </w:r>
      <w:r w:rsidR="001F39F2" w:rsidRPr="009B54FB">
        <w:t>14.</w:t>
      </w:r>
      <w:r w:rsidR="008A12F2">
        <w:t>6</w:t>
      </w:r>
      <w:r w:rsidR="001F39F2" w:rsidRPr="009B54FB">
        <w:t xml:space="preserve"> for further details). Informal carers who provide assistance with core activities (</w:t>
      </w:r>
      <w:r w:rsidR="00A12A03" w:rsidRPr="009B54FB">
        <w:t>self</w:t>
      </w:r>
      <w:r w:rsidR="005547FD">
        <w:noBreakHyphen/>
      </w:r>
      <w:r w:rsidR="00A12A03" w:rsidRPr="009B54FB">
        <w:t>care</w:t>
      </w:r>
      <w:r w:rsidR="001F39F2" w:rsidRPr="009B54FB">
        <w:t>, mobility and communication) are defined as primary carers.</w:t>
      </w:r>
    </w:p>
    <w:p w:rsidR="00C83971" w:rsidRDefault="001F39F2" w:rsidP="00C83971">
      <w:pPr>
        <w:pStyle w:val="BodyText"/>
      </w:pPr>
      <w:r w:rsidRPr="009B54FB">
        <w:t>An estimated 57</w:t>
      </w:r>
      <w:r w:rsidR="00286A86" w:rsidRPr="009B54FB">
        <w:t>6</w:t>
      </w:r>
      <w:r w:rsidR="008F2226" w:rsidRPr="009B54FB">
        <w:t> </w:t>
      </w:r>
      <w:r w:rsidR="00286A86" w:rsidRPr="009B54FB">
        <w:t>4</w:t>
      </w:r>
      <w:r w:rsidRPr="009B54FB">
        <w:t>00 informal primary carers aged 15</w:t>
      </w:r>
      <w:r w:rsidR="008F2226" w:rsidRPr="009B54FB">
        <w:t>–</w:t>
      </w:r>
      <w:r w:rsidRPr="009B54FB">
        <w:t xml:space="preserve">64 years provided the majority of assistance with </w:t>
      </w:r>
      <w:r w:rsidR="006D7251" w:rsidRPr="009B54FB">
        <w:t>self</w:t>
      </w:r>
      <w:r w:rsidR="005547FD">
        <w:noBreakHyphen/>
      </w:r>
      <w:r w:rsidR="006D7251" w:rsidRPr="009B54FB">
        <w:t>care</w:t>
      </w:r>
      <w:r w:rsidRPr="009B54FB">
        <w:t>, mobility and communication for people with disability, including older people</w:t>
      </w:r>
      <w:r w:rsidR="00445BD4" w:rsidRPr="009B54FB">
        <w:t>,</w:t>
      </w:r>
      <w:r w:rsidRPr="009B54FB">
        <w:t xml:space="preserve"> in 20</w:t>
      </w:r>
      <w:r w:rsidR="00286A86" w:rsidRPr="009B54FB">
        <w:t>12</w:t>
      </w:r>
      <w:r w:rsidRPr="009B54FB">
        <w:t xml:space="preserve"> (ABS 201</w:t>
      </w:r>
      <w:r w:rsidR="00286A86" w:rsidRPr="009B54FB">
        <w:t>3</w:t>
      </w:r>
      <w:r w:rsidRPr="009B54FB">
        <w:t>)</w:t>
      </w:r>
      <w:r w:rsidR="00D65C2A">
        <w:t xml:space="preserve">, </w:t>
      </w:r>
      <w:r w:rsidR="005266D2" w:rsidRPr="009B54FB">
        <w:t>similar</w:t>
      </w:r>
      <w:r w:rsidR="00286A86" w:rsidRPr="009B54FB">
        <w:t xml:space="preserve"> to </w:t>
      </w:r>
      <w:r w:rsidR="005266D2" w:rsidRPr="009B54FB">
        <w:t xml:space="preserve">2009 </w:t>
      </w:r>
      <w:r w:rsidR="00286A86" w:rsidRPr="009B54FB">
        <w:t>(ABS 2011</w:t>
      </w:r>
      <w:r w:rsidR="006731B7" w:rsidRPr="009B54FB">
        <w:t>a</w:t>
      </w:r>
      <w:r w:rsidR="00286A86" w:rsidRPr="009B54FB">
        <w:t>).</w:t>
      </w:r>
      <w:r w:rsidRPr="009B54FB">
        <w:t xml:space="preserve"> </w:t>
      </w:r>
      <w:r w:rsidR="00D65C2A">
        <w:t>In 2013</w:t>
      </w:r>
      <w:r w:rsidR="005547FD">
        <w:noBreakHyphen/>
      </w:r>
      <w:r w:rsidR="00D65C2A">
        <w:t>14, o</w:t>
      </w:r>
      <w:r w:rsidRPr="009B54FB">
        <w:t>f</w:t>
      </w:r>
      <w:r w:rsidR="005266D2" w:rsidRPr="009B54FB">
        <w:t> </w:t>
      </w:r>
      <w:r w:rsidR="00F34F8D" w:rsidRPr="009B54FB">
        <w:t>the 308 120</w:t>
      </w:r>
      <w:r w:rsidR="00850B9F" w:rsidRPr="009B54FB" w:rsidDel="00850B9F">
        <w:t xml:space="preserve"> </w:t>
      </w:r>
      <w:r w:rsidRPr="009B54FB">
        <w:t xml:space="preserve">people with disability who accessed NDA specialist disability services, </w:t>
      </w:r>
      <w:r w:rsidR="00F34F8D" w:rsidRPr="009B54FB">
        <w:t>44.4</w:t>
      </w:r>
      <w:r w:rsidR="00D65C2A">
        <w:t> </w:t>
      </w:r>
      <w:r w:rsidRPr="009B54FB">
        <w:t>per</w:t>
      </w:r>
      <w:r w:rsidR="00850B9F" w:rsidRPr="009B54FB">
        <w:t> </w:t>
      </w:r>
      <w:r w:rsidRPr="009B54FB">
        <w:t xml:space="preserve">cent reported having an informal carer and </w:t>
      </w:r>
      <w:r w:rsidR="00F34F8D" w:rsidRPr="009B54FB">
        <w:t xml:space="preserve">31.5 </w:t>
      </w:r>
      <w:r w:rsidRPr="009B54FB">
        <w:t>per cent reported having an informal carer who was a primary carer</w:t>
      </w:r>
      <w:r w:rsidR="00C83971">
        <w:t>, with these proportions higher for people in very remote areas (54.3 per cent and 44.6 per cent respectively)</w:t>
      </w:r>
      <w:r w:rsidR="00117EFA" w:rsidRPr="009B54FB">
        <w:t xml:space="preserve"> (</w:t>
      </w:r>
      <w:r w:rsidR="00D65C2A">
        <w:t>table</w:t>
      </w:r>
      <w:r w:rsidR="005547FD">
        <w:t> </w:t>
      </w:r>
      <w:r w:rsidR="00D65C2A">
        <w:t>14A.2</w:t>
      </w:r>
      <w:r w:rsidR="00117EFA" w:rsidRPr="009B54FB">
        <w:t>)</w:t>
      </w:r>
      <w:r w:rsidR="00E33476">
        <w:t>.</w:t>
      </w:r>
      <w:r w:rsidR="00C83971">
        <w:t xml:space="preserve"> Table</w:t>
      </w:r>
      <w:r w:rsidR="005547FD">
        <w:t> </w:t>
      </w:r>
      <w:r w:rsidR="00C83971">
        <w:t>14</w:t>
      </w:r>
      <w:r w:rsidR="00C13CC1">
        <w:t>A</w:t>
      </w:r>
      <w:r w:rsidR="00C83971">
        <w:t xml:space="preserve">.4 provides data on the </w:t>
      </w:r>
      <w:r w:rsidR="00C83971" w:rsidRPr="00133E61">
        <w:t>proportions of informal primary carers who are in different age groups, by location</w:t>
      </w:r>
      <w:r w:rsidR="00C83971">
        <w:t>.</w:t>
      </w:r>
    </w:p>
    <w:p w:rsidR="001F39F2" w:rsidRPr="00133E61" w:rsidRDefault="001F39F2" w:rsidP="00406D39">
      <w:pPr>
        <w:pStyle w:val="Heading4"/>
        <w:keepNext w:val="0"/>
      </w:pPr>
      <w:bookmarkStart w:id="14" w:name="OLE_LINK2"/>
      <w:bookmarkEnd w:id="11"/>
      <w:r w:rsidRPr="00133E61">
        <w:t>Use of NDA specialist disability services</w:t>
      </w:r>
    </w:p>
    <w:p w:rsidR="00C83971" w:rsidRPr="00133E61" w:rsidRDefault="001F39F2" w:rsidP="00C83971">
      <w:pPr>
        <w:pStyle w:val="BodyText"/>
      </w:pPr>
      <w:r w:rsidRPr="00C04EAE">
        <w:t xml:space="preserve">In </w:t>
      </w:r>
      <w:r w:rsidR="003D309A" w:rsidRPr="00C04EAE">
        <w:t>2013</w:t>
      </w:r>
      <w:r w:rsidR="00B84AF2" w:rsidRPr="00C04EAE">
        <w:noBreakHyphen/>
      </w:r>
      <w:r w:rsidR="003D309A" w:rsidRPr="00C04EAE">
        <w:t>14</w:t>
      </w:r>
      <w:r w:rsidR="000C3E40" w:rsidRPr="00C04EAE">
        <w:t>,</w:t>
      </w:r>
      <w:r w:rsidRPr="00C04EAE">
        <w:t xml:space="preserve"> </w:t>
      </w:r>
      <w:r w:rsidR="00AB4510" w:rsidRPr="00C04EAE">
        <w:t>192 915</w:t>
      </w:r>
      <w:r w:rsidR="003D309A" w:rsidRPr="00C04EAE">
        <w:t xml:space="preserve"> </w:t>
      </w:r>
      <w:r w:rsidRPr="00C04EAE">
        <w:t xml:space="preserve">people were reported as using specialist disability services </w:t>
      </w:r>
      <w:r w:rsidR="002A3F57" w:rsidRPr="00C04EAE">
        <w:t>administered by State and Territory governments</w:t>
      </w:r>
      <w:r w:rsidRPr="00C04EAE">
        <w:t xml:space="preserve"> under the NDA (excluding service users who received specialist psychi</w:t>
      </w:r>
      <w:r w:rsidR="009B2713" w:rsidRPr="00C04EAE">
        <w:t xml:space="preserve">atric disability services only). </w:t>
      </w:r>
      <w:r w:rsidR="002A3F57" w:rsidRPr="00C04EAE">
        <w:t xml:space="preserve">Nationally, </w:t>
      </w:r>
      <w:r w:rsidR="006D5A49" w:rsidRPr="00C04EAE">
        <w:t xml:space="preserve">this is </w:t>
      </w:r>
      <w:r w:rsidR="00C04EAE" w:rsidRPr="00C04EAE">
        <w:t>33.8</w:t>
      </w:r>
      <w:r w:rsidR="001B3857" w:rsidRPr="00C04EAE">
        <w:t> per </w:t>
      </w:r>
      <w:r w:rsidR="002A3F57" w:rsidRPr="00C04EAE">
        <w:t>cent of the</w:t>
      </w:r>
      <w:r w:rsidR="00074C83">
        <w:t xml:space="preserve"> estimated potential population. </w:t>
      </w:r>
      <w:r w:rsidR="00C83971" w:rsidRPr="00133E61">
        <w:t>Service use varied across service types</w:t>
      </w:r>
      <w:r w:rsidR="00A1630C">
        <w:t xml:space="preserve"> with the largest number of users in 2013</w:t>
      </w:r>
      <w:r w:rsidR="005547FD">
        <w:noBreakHyphen/>
      </w:r>
      <w:r w:rsidR="00A1630C">
        <w:t xml:space="preserve">14 reported for </w:t>
      </w:r>
      <w:r w:rsidR="00A1630C" w:rsidRPr="00133E61">
        <w:t>community support (142 159 users)</w:t>
      </w:r>
      <w:r w:rsidR="00A1630C">
        <w:t xml:space="preserve"> and </w:t>
      </w:r>
      <w:r w:rsidR="00A1630C" w:rsidRPr="00133E61">
        <w:t xml:space="preserve">employment services </w:t>
      </w:r>
      <w:r w:rsidR="00A1630C">
        <w:t>(</w:t>
      </w:r>
      <w:r w:rsidR="00A1630C" w:rsidRPr="00133E61">
        <w:t>132 169 users</w:t>
      </w:r>
      <w:r w:rsidR="00A1630C">
        <w:t xml:space="preserve">), followed by </w:t>
      </w:r>
      <w:r w:rsidR="00C83971" w:rsidRPr="00133E61">
        <w:t xml:space="preserve">community access (49 562 </w:t>
      </w:r>
      <w:r w:rsidR="00C83971" w:rsidRPr="00133E61">
        <w:lastRenderedPageBreak/>
        <w:t xml:space="preserve">users), </w:t>
      </w:r>
      <w:r w:rsidR="00A1630C">
        <w:t>r</w:t>
      </w:r>
      <w:r w:rsidR="00C83971" w:rsidRPr="00133E61">
        <w:t xml:space="preserve">espite services (37 316 users) </w:t>
      </w:r>
      <w:r w:rsidR="00A1630C">
        <w:t>and a</w:t>
      </w:r>
      <w:r w:rsidR="00A1630C" w:rsidRPr="00133E61">
        <w:t>ccommodation support (</w:t>
      </w:r>
      <w:r w:rsidR="00A1630C">
        <w:t>37 0</w:t>
      </w:r>
      <w:r w:rsidR="00A1630C" w:rsidRPr="00133E61">
        <w:t xml:space="preserve">65 users) </w:t>
      </w:r>
      <w:r w:rsidR="00C83971" w:rsidRPr="00133E61">
        <w:t>(table 14A.15).</w:t>
      </w:r>
    </w:p>
    <w:p w:rsidR="00A1630C" w:rsidRPr="00133E61" w:rsidRDefault="00A1630C" w:rsidP="00A1630C">
      <w:pPr>
        <w:pStyle w:val="BodyText"/>
      </w:pPr>
      <w:r>
        <w:t>I</w:t>
      </w:r>
      <w:r w:rsidRPr="006025BC">
        <w:t>n 2013</w:t>
      </w:r>
      <w:r w:rsidR="005547FD">
        <w:noBreakHyphen/>
      </w:r>
      <w:r w:rsidRPr="00FE16B7">
        <w:t>14, the most commonly reported disability of NDA service users was an intellectual disability (</w:t>
      </w:r>
      <w:r w:rsidRPr="003A31D9">
        <w:t xml:space="preserve">32.3 per cent of service users, including </w:t>
      </w:r>
      <w:r w:rsidRPr="006025BC">
        <w:t>26.6 per cent who reported it as their primary disability) (figure </w:t>
      </w:r>
      <w:r>
        <w:t>14.</w:t>
      </w:r>
      <w:r w:rsidR="00F61907">
        <w:t>4</w:t>
      </w:r>
      <w:r w:rsidRPr="006025BC">
        <w:t xml:space="preserve">). Data on users of NDA specialist disability services for people aged 0–64 years as a proportion of the estimated potential population by sex and by age are also </w:t>
      </w:r>
      <w:r w:rsidRPr="00086254">
        <w:t>available (table 14A.</w:t>
      </w:r>
      <w:r w:rsidR="004E5CBA">
        <w:t>18</w:t>
      </w:r>
      <w:r w:rsidR="005F64DE">
        <w:t xml:space="preserve">) and in the AIHW’s publication </w:t>
      </w:r>
      <w:r w:rsidR="005F64DE" w:rsidRPr="005F64DE">
        <w:rPr>
          <w:i/>
        </w:rPr>
        <w:t>Disability support services: Services provided under the National Disability Agreement 2013</w:t>
      </w:r>
      <w:r w:rsidR="005547FD">
        <w:rPr>
          <w:i/>
        </w:rPr>
        <w:noBreakHyphen/>
      </w:r>
      <w:r w:rsidR="005F64DE" w:rsidRPr="005F64DE">
        <w:rPr>
          <w:i/>
        </w:rPr>
        <w:t>14</w:t>
      </w:r>
      <w:r w:rsidR="005F64DE">
        <w:rPr>
          <w:i/>
        </w:rPr>
        <w:t xml:space="preserve"> </w:t>
      </w:r>
      <w:r w:rsidR="005F64DE" w:rsidRPr="005F64DE">
        <w:t>(AIHW </w:t>
      </w:r>
      <w:r w:rsidR="005F64DE">
        <w:t>2015</w:t>
      </w:r>
      <w:r w:rsidR="005E7EBC">
        <w:t>a</w:t>
      </w:r>
      <w:r w:rsidR="005F64DE">
        <w:t>)</w:t>
      </w:r>
      <w:r w:rsidR="005F64DE" w:rsidRPr="005F64DE">
        <w:t>.</w:t>
      </w:r>
    </w:p>
    <w:p w:rsidR="00022DFD" w:rsidRPr="00B86C20" w:rsidRDefault="00022DFD" w:rsidP="00022DFD">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6FE4" w:rsidRPr="00133E61" w:rsidTr="00730EA6">
        <w:tc>
          <w:tcPr>
            <w:tcW w:w="8771" w:type="dxa"/>
            <w:tcBorders>
              <w:top w:val="single" w:sz="6" w:space="0" w:color="78A22F"/>
              <w:left w:val="nil"/>
              <w:bottom w:val="nil"/>
              <w:right w:val="nil"/>
            </w:tcBorders>
            <w:shd w:val="clear" w:color="auto" w:fill="auto"/>
          </w:tcPr>
          <w:p w:rsidR="006A6FE4" w:rsidRPr="00133E61" w:rsidRDefault="006A6FE4" w:rsidP="00AB4510">
            <w:pPr>
              <w:pStyle w:val="FigureTitle"/>
            </w:pPr>
            <w:r w:rsidRPr="00133E61">
              <w:rPr>
                <w:b w:val="0"/>
              </w:rPr>
              <w:t xml:space="preserve">Figure </w:t>
            </w:r>
            <w:bookmarkStart w:id="15" w:name="OLE_LINK15"/>
            <w:r w:rsidR="00321568" w:rsidRPr="00133E61">
              <w:rPr>
                <w:b w:val="0"/>
              </w:rPr>
              <w:t>14.</w:t>
            </w:r>
            <w:r w:rsidR="004B691F">
              <w:rPr>
                <w:b w:val="0"/>
                <w:noProof/>
              </w:rPr>
              <w:t>4</w:t>
            </w:r>
            <w:bookmarkEnd w:id="15"/>
            <w:r w:rsidRPr="00133E61">
              <w:tab/>
              <w:t xml:space="preserve">NDA specialist disability service users, by disability group, </w:t>
            </w:r>
            <w:r w:rsidR="00255466" w:rsidRPr="00133E61">
              <w:t>2013</w:t>
            </w:r>
            <w:r w:rsidR="00B84AF2" w:rsidRPr="00133E61">
              <w:noBreakHyphen/>
            </w:r>
            <w:r w:rsidR="00255466" w:rsidRPr="00133E61">
              <w:t>14</w:t>
            </w:r>
            <w:r w:rsidR="00255466" w:rsidRPr="00133E61">
              <w:rPr>
                <w:rStyle w:val="NoteLabel"/>
                <w:b/>
              </w:rPr>
              <w:t>a</w:t>
            </w:r>
          </w:p>
        </w:tc>
      </w:tr>
      <w:tr w:rsidR="006A6FE4" w:rsidRPr="00133E61"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A6FE4" w:rsidRPr="00133E61" w:rsidTr="00730EA6">
              <w:trPr>
                <w:jc w:val="center"/>
              </w:trPr>
              <w:tc>
                <w:tcPr>
                  <w:tcW w:w="5000" w:type="pct"/>
                  <w:tcBorders>
                    <w:top w:val="nil"/>
                    <w:bottom w:val="nil"/>
                  </w:tcBorders>
                </w:tcPr>
                <w:p w:rsidR="00D24B1B" w:rsidRPr="00532D7E" w:rsidRDefault="00187FBC" w:rsidP="00373B20">
                  <w:pPr>
                    <w:pStyle w:val="Figure"/>
                  </w:pPr>
                  <w:r>
                    <w:rPr>
                      <w:noProof/>
                    </w:rPr>
                    <w:drawing>
                      <wp:inline distT="0" distB="0" distL="0" distR="0">
                        <wp:extent cx="5225415" cy="2695575"/>
                        <wp:effectExtent l="0" t="0" r="0" b="9525"/>
                        <wp:docPr id="7" name="Picture 7" descr="Figure 14.4 NDA specialist disability service users, by disability group,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5415" cy="2695575"/>
                                </a:xfrm>
                                <a:prstGeom prst="rect">
                                  <a:avLst/>
                                </a:prstGeom>
                                <a:noFill/>
                                <a:ln>
                                  <a:noFill/>
                                </a:ln>
                              </pic:spPr>
                            </pic:pic>
                          </a:graphicData>
                        </a:graphic>
                      </wp:inline>
                    </w:drawing>
                  </w:r>
                </w:p>
              </w:tc>
            </w:tr>
          </w:tbl>
          <w:p w:rsidR="006A6FE4" w:rsidRPr="00133E61" w:rsidRDefault="006A6FE4" w:rsidP="00730EA6">
            <w:pPr>
              <w:pStyle w:val="Figure"/>
            </w:pPr>
          </w:p>
        </w:tc>
      </w:tr>
      <w:tr w:rsidR="00BF5C27" w:rsidRPr="00133E61" w:rsidTr="00730EA6">
        <w:tc>
          <w:tcPr>
            <w:tcW w:w="8771" w:type="dxa"/>
            <w:tcBorders>
              <w:top w:val="nil"/>
              <w:left w:val="nil"/>
              <w:bottom w:val="nil"/>
              <w:right w:val="nil"/>
            </w:tcBorders>
            <w:shd w:val="clear" w:color="auto" w:fill="auto"/>
          </w:tcPr>
          <w:p w:rsidR="006A6FE4" w:rsidRPr="00133E61" w:rsidRDefault="00445BD4" w:rsidP="00AB4510">
            <w:pPr>
              <w:pStyle w:val="Note"/>
            </w:pPr>
            <w:r w:rsidRPr="00133E61">
              <w:t>DL = Delayed d</w:t>
            </w:r>
            <w:r w:rsidR="006A6FE4" w:rsidRPr="00133E61">
              <w:t>evelop</w:t>
            </w:r>
            <w:r w:rsidRPr="00133E61">
              <w:t>ment; Intellect = Intellectual disability; SL = Specific l</w:t>
            </w:r>
            <w:r w:rsidR="006A6FE4" w:rsidRPr="00133E61">
              <w:t xml:space="preserve">earning; ABI = Acquired brain injury; DB = Deafblind; Psych = Psychiatric; Neuro = Neurological. </w:t>
            </w:r>
            <w:r w:rsidR="006A6FE4" w:rsidRPr="00133E61">
              <w:rPr>
                <w:rStyle w:val="NoteLabel"/>
              </w:rPr>
              <w:t>a</w:t>
            </w:r>
            <w:r w:rsidR="006A6FE4" w:rsidRPr="00133E61">
              <w:t xml:space="preserve"> See tables</w:t>
            </w:r>
            <w:r w:rsidR="00AE3578" w:rsidRPr="00133E61">
              <w:t> </w:t>
            </w:r>
            <w:r w:rsidR="006A6FE4" w:rsidRPr="00133E61">
              <w:t>14A.</w:t>
            </w:r>
            <w:r w:rsidR="00683393" w:rsidRPr="00133E61">
              <w:t>16</w:t>
            </w:r>
            <w:r w:rsidR="00B84AF2" w:rsidRPr="00133E61">
              <w:noBreakHyphen/>
            </w:r>
            <w:r w:rsidR="00C73AAC" w:rsidRPr="00133E61">
              <w:t>1</w:t>
            </w:r>
            <w:r w:rsidR="00683393" w:rsidRPr="00133E61">
              <w:t xml:space="preserve">7 </w:t>
            </w:r>
            <w:r w:rsidR="00A1630C">
              <w:t xml:space="preserve">for </w:t>
            </w:r>
            <w:r w:rsidR="007717E7" w:rsidRPr="00133E61">
              <w:t xml:space="preserve">detailed </w:t>
            </w:r>
            <w:r w:rsidR="003D7F75">
              <w:t>definitions, footnotes and caveats</w:t>
            </w:r>
            <w:r w:rsidR="007717E7" w:rsidRPr="00133E61">
              <w:t>.</w:t>
            </w:r>
          </w:p>
        </w:tc>
      </w:tr>
      <w:tr w:rsidR="006A6FE4" w:rsidRPr="00133E61" w:rsidTr="00730EA6">
        <w:tc>
          <w:tcPr>
            <w:tcW w:w="8771" w:type="dxa"/>
            <w:tcBorders>
              <w:top w:val="nil"/>
              <w:left w:val="nil"/>
              <w:bottom w:val="nil"/>
              <w:right w:val="nil"/>
            </w:tcBorders>
            <w:shd w:val="clear" w:color="auto" w:fill="auto"/>
          </w:tcPr>
          <w:p w:rsidR="006A6FE4" w:rsidRPr="00133E61" w:rsidRDefault="006A6FE4" w:rsidP="00C73AAC">
            <w:pPr>
              <w:pStyle w:val="Source"/>
            </w:pPr>
            <w:r w:rsidRPr="00133E61">
              <w:rPr>
                <w:i/>
              </w:rPr>
              <w:t>Source</w:t>
            </w:r>
            <w:r w:rsidRPr="00133E61">
              <w:t xml:space="preserve">: AIHW (unpublished) </w:t>
            </w:r>
            <w:r w:rsidRPr="00BB5BA4">
              <w:t>DS NMDS</w:t>
            </w:r>
            <w:r w:rsidR="00406D39" w:rsidRPr="00BB5BA4">
              <w:t xml:space="preserve"> 2013</w:t>
            </w:r>
            <w:r w:rsidR="005547FD">
              <w:noBreakHyphen/>
            </w:r>
            <w:r w:rsidR="00406D39" w:rsidRPr="00BB5BA4">
              <w:t>14</w:t>
            </w:r>
            <w:r w:rsidRPr="00A1630C">
              <w:t>;</w:t>
            </w:r>
            <w:r w:rsidRPr="00133E61">
              <w:t xml:space="preserve"> tables</w:t>
            </w:r>
            <w:r w:rsidR="00AE3578" w:rsidRPr="00133E61">
              <w:t> </w:t>
            </w:r>
            <w:r w:rsidRPr="00133E61">
              <w:t>14A.</w:t>
            </w:r>
            <w:r w:rsidR="00683393" w:rsidRPr="00133E61">
              <w:t>16</w:t>
            </w:r>
            <w:r w:rsidR="00B84AF2" w:rsidRPr="00133E61">
              <w:noBreakHyphen/>
            </w:r>
            <w:r w:rsidR="00683393" w:rsidRPr="00133E61">
              <w:t>17</w:t>
            </w:r>
            <w:r w:rsidRPr="00133E61">
              <w:t>.</w:t>
            </w:r>
          </w:p>
        </w:tc>
      </w:tr>
      <w:tr w:rsidR="006A6FE4" w:rsidRPr="00133E61" w:rsidTr="00730EA6">
        <w:tc>
          <w:tcPr>
            <w:tcW w:w="8771" w:type="dxa"/>
            <w:tcBorders>
              <w:top w:val="nil"/>
              <w:left w:val="nil"/>
              <w:bottom w:val="single" w:sz="6" w:space="0" w:color="78A22F"/>
              <w:right w:val="nil"/>
            </w:tcBorders>
            <w:shd w:val="clear" w:color="auto" w:fill="auto"/>
          </w:tcPr>
          <w:p w:rsidR="006A6FE4" w:rsidRPr="00133E61" w:rsidRDefault="006A6FE4" w:rsidP="00730EA6">
            <w:pPr>
              <w:pStyle w:val="Figurespace"/>
            </w:pPr>
          </w:p>
        </w:tc>
      </w:tr>
      <w:tr w:rsidR="006A6FE4" w:rsidRPr="00133E61" w:rsidTr="00730EA6">
        <w:tc>
          <w:tcPr>
            <w:tcW w:w="8771" w:type="dxa"/>
            <w:tcBorders>
              <w:top w:val="single" w:sz="6" w:space="0" w:color="78A22F"/>
              <w:left w:val="nil"/>
              <w:bottom w:val="nil"/>
              <w:right w:val="nil"/>
            </w:tcBorders>
          </w:tcPr>
          <w:p w:rsidR="006A6FE4" w:rsidRPr="00133E61" w:rsidRDefault="006A6FE4" w:rsidP="00730EA6">
            <w:pPr>
              <w:pStyle w:val="BoxSpaceBelow"/>
            </w:pPr>
          </w:p>
        </w:tc>
      </w:tr>
    </w:tbl>
    <w:bookmarkEnd w:id="14"/>
    <w:p w:rsidR="001E28AE" w:rsidRPr="00133E61" w:rsidRDefault="001E28AE" w:rsidP="001E28AE">
      <w:pPr>
        <w:pStyle w:val="Heading4"/>
      </w:pPr>
      <w:r w:rsidRPr="00133E61">
        <w:t>Basic Community Care</w:t>
      </w:r>
    </w:p>
    <w:p w:rsidR="00242A87" w:rsidRPr="00133E61" w:rsidRDefault="00BD1C57" w:rsidP="000453A1">
      <w:pPr>
        <w:pStyle w:val="BodyText"/>
        <w:shd w:val="clear" w:color="auto" w:fill="FFFFFF" w:themeFill="background1"/>
      </w:pPr>
      <w:r w:rsidRPr="00133E61">
        <w:t>B</w:t>
      </w:r>
      <w:r w:rsidR="00A1630C">
        <w:t xml:space="preserve">asic </w:t>
      </w:r>
      <w:r w:rsidRPr="00133E61">
        <w:t>C</w:t>
      </w:r>
      <w:r w:rsidR="00A1630C">
        <w:t xml:space="preserve">ommunity </w:t>
      </w:r>
      <w:r w:rsidRPr="00133E61">
        <w:t>C</w:t>
      </w:r>
      <w:r w:rsidR="00A1630C">
        <w:t>are (BCC)</w:t>
      </w:r>
      <w:r w:rsidR="00242A87" w:rsidRPr="00133E61">
        <w:t xml:space="preserve"> services are provided under the NDA to assist people with disability to live independently and to actively participate and engage in their community. </w:t>
      </w:r>
      <w:r w:rsidR="008B7B74" w:rsidRPr="00133E61">
        <w:t>BCC services include basic maintenance and support services, including allied health care, assessment, case management and client care coordination, centre</w:t>
      </w:r>
      <w:r w:rsidR="00B84AF2" w:rsidRPr="00133E61">
        <w:noBreakHyphen/>
      </w:r>
      <w:r w:rsidR="008B7B74" w:rsidRPr="00133E61">
        <w:t>based day care, counselling, support, information and advocacy, domestic assistance, home maintenance, nursing, personal care and respite care, social support, meals, home modification, linen service, goods and equipment, and transport.</w:t>
      </w:r>
    </w:p>
    <w:p w:rsidR="00F21046" w:rsidRPr="00133E61" w:rsidRDefault="00F21046" w:rsidP="000453A1">
      <w:pPr>
        <w:pStyle w:val="BodyText"/>
        <w:shd w:val="clear" w:color="auto" w:fill="FFFFFF" w:themeFill="background1"/>
      </w:pPr>
      <w:r w:rsidRPr="00133E61">
        <w:lastRenderedPageBreak/>
        <w:t xml:space="preserve">States and Territories have full financial and operational responsibility for BCC services for people with disability aged under 65 years (and Aboriginal and Torres Strait Islander people aged under 50 years). </w:t>
      </w:r>
      <w:r w:rsidR="00076EA6" w:rsidRPr="00133E61">
        <w:t>Further information on these services can be found in sector overview F.</w:t>
      </w:r>
    </w:p>
    <w:p w:rsidR="001E28AE" w:rsidRPr="002162CA" w:rsidRDefault="00A268D7" w:rsidP="002162CA">
      <w:pPr>
        <w:pStyle w:val="BodyText"/>
      </w:pPr>
      <w:r w:rsidRPr="005547FD">
        <w:t>Nationally in 2014</w:t>
      </w:r>
      <w:r w:rsidR="005547FD">
        <w:noBreakHyphen/>
      </w:r>
      <w:r w:rsidRPr="005547FD">
        <w:t xml:space="preserve">15, there were 10 service users per 1000 </w:t>
      </w:r>
      <w:r w:rsidR="002162CA" w:rsidRPr="005547FD">
        <w:t>population</w:t>
      </w:r>
      <w:r w:rsidRPr="005547FD">
        <w:t xml:space="preserve"> </w:t>
      </w:r>
      <w:r w:rsidR="002162CA" w:rsidRPr="005547FD">
        <w:t>(non</w:t>
      </w:r>
      <w:r w:rsidR="005547FD">
        <w:noBreakHyphen/>
      </w:r>
      <w:r w:rsidR="002162CA" w:rsidRPr="005547FD">
        <w:t xml:space="preserve">Indigenous people under the age of 65 years </w:t>
      </w:r>
      <w:r w:rsidRPr="005547FD">
        <w:t xml:space="preserve">and Aboriginal and Torres Strait Islander people under the age of 50 years) receiving BCC services </w:t>
      </w:r>
      <w:r w:rsidR="00D65A47" w:rsidRPr="00003214">
        <w:t>(table </w:t>
      </w:r>
      <w:r w:rsidR="00A1630C" w:rsidRPr="00003214">
        <w:t>14.2</w:t>
      </w:r>
      <w:r w:rsidR="001E28AE" w:rsidRPr="00003214">
        <w:t>).</w:t>
      </w:r>
    </w:p>
    <w:p w:rsidR="00022DFD" w:rsidRPr="00C13CC1" w:rsidRDefault="00022DFD" w:rsidP="00960B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371B0" w:rsidRPr="00022DFD" w:rsidTr="00F7530C">
        <w:tc>
          <w:tcPr>
            <w:tcW w:w="8771" w:type="dxa"/>
            <w:tcBorders>
              <w:top w:val="single" w:sz="6" w:space="0" w:color="78A22F"/>
              <w:left w:val="nil"/>
              <w:bottom w:val="nil"/>
              <w:right w:val="nil"/>
            </w:tcBorders>
            <w:shd w:val="clear" w:color="auto" w:fill="auto"/>
          </w:tcPr>
          <w:p w:rsidR="007371B0" w:rsidRPr="00022DFD" w:rsidRDefault="007371B0" w:rsidP="00C13CC1">
            <w:pPr>
              <w:pStyle w:val="TableTitle"/>
            </w:pPr>
            <w:r w:rsidRPr="00022DFD">
              <w:rPr>
                <w:b w:val="0"/>
              </w:rPr>
              <w:t xml:space="preserve">Table </w:t>
            </w:r>
            <w:bookmarkStart w:id="16" w:name="OLE_LINK19"/>
            <w:r w:rsidRPr="00022DFD">
              <w:rPr>
                <w:b w:val="0"/>
              </w:rPr>
              <w:t>14.</w:t>
            </w:r>
            <w:r w:rsidR="004B691F">
              <w:rPr>
                <w:b w:val="0"/>
                <w:noProof/>
              </w:rPr>
              <w:t>2</w:t>
            </w:r>
            <w:bookmarkEnd w:id="16"/>
            <w:r w:rsidRPr="00022DFD">
              <w:tab/>
              <w:t>Users of Basic Community Care service</w:t>
            </w:r>
            <w:r w:rsidR="00022DFD">
              <w:t>s, 2014</w:t>
            </w:r>
            <w:r w:rsidR="00022DFD">
              <w:noBreakHyphen/>
              <w:t>15</w:t>
            </w:r>
            <w:r w:rsidRPr="00D37252">
              <w:rPr>
                <w:rStyle w:val="NoteLabel"/>
                <w:b/>
              </w:rPr>
              <w:t>a</w:t>
            </w:r>
          </w:p>
        </w:tc>
      </w:tr>
      <w:tr w:rsidR="007371B0" w:rsidRPr="00022DFD" w:rsidTr="00F7530C">
        <w:trPr>
          <w:cantSplit/>
        </w:trPr>
        <w:tc>
          <w:tcPr>
            <w:tcW w:w="8771" w:type="dxa"/>
            <w:tcBorders>
              <w:top w:val="nil"/>
              <w:left w:val="nil"/>
              <w:bottom w:val="nil"/>
              <w:right w:val="nil"/>
            </w:tcBorders>
            <w:shd w:val="clear" w:color="auto" w:fill="auto"/>
          </w:tcPr>
          <w:tbl>
            <w:tblPr>
              <w:tblW w:w="8487" w:type="dxa"/>
              <w:tblCellMar>
                <w:left w:w="0" w:type="dxa"/>
                <w:right w:w="0" w:type="dxa"/>
              </w:tblCellMar>
              <w:tblLook w:val="0000" w:firstRow="0" w:lastRow="0" w:firstColumn="0" w:lastColumn="0" w:noHBand="0" w:noVBand="0"/>
            </w:tblPr>
            <w:tblGrid>
              <w:gridCol w:w="1391"/>
              <w:gridCol w:w="773"/>
              <w:gridCol w:w="773"/>
              <w:gridCol w:w="772"/>
              <w:gridCol w:w="772"/>
              <w:gridCol w:w="772"/>
              <w:gridCol w:w="772"/>
              <w:gridCol w:w="772"/>
              <w:gridCol w:w="772"/>
              <w:gridCol w:w="918"/>
            </w:tblGrid>
            <w:tr w:rsidR="00C13CC1" w:rsidRPr="00A268D7" w:rsidTr="00BD41DE">
              <w:tc>
                <w:tcPr>
                  <w:tcW w:w="819" w:type="pct"/>
                  <w:tcBorders>
                    <w:top w:val="single" w:sz="4" w:space="0" w:color="BFBFBF"/>
                    <w:bottom w:val="single" w:sz="4" w:space="0" w:color="BFBFBF"/>
                  </w:tcBorders>
                  <w:shd w:val="clear" w:color="auto" w:fill="auto"/>
                </w:tcPr>
                <w:p w:rsidR="007371B0" w:rsidRPr="00022DFD" w:rsidRDefault="007371B0" w:rsidP="00F7530C">
                  <w:pPr>
                    <w:pStyle w:val="TableColumnHeading"/>
                  </w:pPr>
                </w:p>
              </w:tc>
              <w:tc>
                <w:tcPr>
                  <w:tcW w:w="455" w:type="pct"/>
                  <w:tcBorders>
                    <w:top w:val="single" w:sz="4" w:space="0" w:color="BFBFBF"/>
                    <w:bottom w:val="single" w:sz="4" w:space="0" w:color="BFBFBF"/>
                  </w:tcBorders>
                </w:tcPr>
                <w:p w:rsidR="007371B0" w:rsidRPr="00A268D7" w:rsidRDefault="007371B0" w:rsidP="00F7530C">
                  <w:pPr>
                    <w:pStyle w:val="TableColumnHeading"/>
                  </w:pPr>
                  <w:r w:rsidRPr="00A268D7">
                    <w:t>NSW</w:t>
                  </w:r>
                </w:p>
              </w:tc>
              <w:tc>
                <w:tcPr>
                  <w:tcW w:w="455" w:type="pct"/>
                  <w:tcBorders>
                    <w:top w:val="single" w:sz="4" w:space="0" w:color="BFBFBF"/>
                    <w:bottom w:val="single" w:sz="4" w:space="0" w:color="BFBFBF"/>
                  </w:tcBorders>
                </w:tcPr>
                <w:p w:rsidR="007371B0" w:rsidRPr="00A268D7" w:rsidRDefault="007371B0" w:rsidP="00F7530C">
                  <w:pPr>
                    <w:pStyle w:val="TableColumnHeading"/>
                  </w:pPr>
                  <w:r w:rsidRPr="00A268D7">
                    <w:t>Vic</w:t>
                  </w:r>
                </w:p>
              </w:tc>
              <w:tc>
                <w:tcPr>
                  <w:tcW w:w="455" w:type="pct"/>
                  <w:tcBorders>
                    <w:top w:val="single" w:sz="4" w:space="0" w:color="BFBFBF"/>
                    <w:bottom w:val="single" w:sz="4" w:space="0" w:color="BFBFBF"/>
                  </w:tcBorders>
                </w:tcPr>
                <w:p w:rsidR="007371B0" w:rsidRPr="00A268D7" w:rsidRDefault="007371B0" w:rsidP="00F7530C">
                  <w:pPr>
                    <w:pStyle w:val="TableColumnHeading"/>
                  </w:pPr>
                  <w:r w:rsidRPr="00A268D7">
                    <w:t>Qld</w:t>
                  </w:r>
                </w:p>
              </w:tc>
              <w:tc>
                <w:tcPr>
                  <w:tcW w:w="455" w:type="pct"/>
                  <w:tcBorders>
                    <w:top w:val="single" w:sz="4" w:space="0" w:color="BFBFBF"/>
                    <w:bottom w:val="single" w:sz="4" w:space="0" w:color="BFBFBF"/>
                  </w:tcBorders>
                </w:tcPr>
                <w:p w:rsidR="007371B0" w:rsidRPr="00A268D7" w:rsidRDefault="007371B0" w:rsidP="00F7530C">
                  <w:pPr>
                    <w:pStyle w:val="TableColumnHeading"/>
                  </w:pPr>
                  <w:r w:rsidRPr="00A268D7">
                    <w:t>WA</w:t>
                  </w:r>
                </w:p>
              </w:tc>
              <w:tc>
                <w:tcPr>
                  <w:tcW w:w="455" w:type="pct"/>
                  <w:tcBorders>
                    <w:top w:val="single" w:sz="4" w:space="0" w:color="BFBFBF"/>
                    <w:bottom w:val="single" w:sz="4" w:space="0" w:color="BFBFBF"/>
                  </w:tcBorders>
                  <w:shd w:val="clear" w:color="auto" w:fill="auto"/>
                </w:tcPr>
                <w:p w:rsidR="007371B0" w:rsidRPr="00A268D7" w:rsidRDefault="007371B0" w:rsidP="00F7530C">
                  <w:pPr>
                    <w:pStyle w:val="TableColumnHeading"/>
                  </w:pPr>
                  <w:r w:rsidRPr="00A268D7">
                    <w:t>SA</w:t>
                  </w:r>
                </w:p>
              </w:tc>
              <w:tc>
                <w:tcPr>
                  <w:tcW w:w="455" w:type="pct"/>
                  <w:tcBorders>
                    <w:top w:val="single" w:sz="4" w:space="0" w:color="BFBFBF"/>
                    <w:bottom w:val="single" w:sz="4" w:space="0" w:color="BFBFBF"/>
                  </w:tcBorders>
                  <w:shd w:val="clear" w:color="auto" w:fill="auto"/>
                </w:tcPr>
                <w:p w:rsidR="007371B0" w:rsidRPr="00A268D7" w:rsidRDefault="007371B0" w:rsidP="00F7530C">
                  <w:pPr>
                    <w:pStyle w:val="TableColumnHeading"/>
                  </w:pPr>
                  <w:r w:rsidRPr="00A268D7">
                    <w:t>Tas</w:t>
                  </w:r>
                </w:p>
              </w:tc>
              <w:tc>
                <w:tcPr>
                  <w:tcW w:w="455" w:type="pct"/>
                  <w:tcBorders>
                    <w:top w:val="single" w:sz="4" w:space="0" w:color="BFBFBF"/>
                    <w:left w:val="nil"/>
                    <w:bottom w:val="single" w:sz="4" w:space="0" w:color="BFBFBF"/>
                  </w:tcBorders>
                  <w:shd w:val="clear" w:color="auto" w:fill="auto"/>
                </w:tcPr>
                <w:p w:rsidR="007371B0" w:rsidRPr="00A268D7" w:rsidRDefault="007371B0" w:rsidP="00F7530C">
                  <w:pPr>
                    <w:pStyle w:val="TableColumnHeading"/>
                  </w:pPr>
                  <w:r w:rsidRPr="00A268D7">
                    <w:t>ACT</w:t>
                  </w:r>
                </w:p>
              </w:tc>
              <w:tc>
                <w:tcPr>
                  <w:tcW w:w="455" w:type="pct"/>
                  <w:tcBorders>
                    <w:top w:val="single" w:sz="4" w:space="0" w:color="BFBFBF"/>
                    <w:left w:val="nil"/>
                    <w:bottom w:val="single" w:sz="4" w:space="0" w:color="BFBFBF"/>
                  </w:tcBorders>
                </w:tcPr>
                <w:p w:rsidR="007371B0" w:rsidRPr="00A268D7" w:rsidRDefault="007371B0" w:rsidP="00F7530C">
                  <w:pPr>
                    <w:pStyle w:val="TableColumnHeading"/>
                  </w:pPr>
                  <w:r w:rsidRPr="00A268D7">
                    <w:t>NT</w:t>
                  </w:r>
                </w:p>
              </w:tc>
              <w:tc>
                <w:tcPr>
                  <w:tcW w:w="541" w:type="pct"/>
                  <w:tcBorders>
                    <w:top w:val="single" w:sz="4" w:space="0" w:color="BFBFBF"/>
                    <w:left w:val="nil"/>
                    <w:bottom w:val="single" w:sz="4" w:space="0" w:color="BFBFBF"/>
                  </w:tcBorders>
                </w:tcPr>
                <w:p w:rsidR="007371B0" w:rsidRPr="00A268D7" w:rsidRDefault="007371B0" w:rsidP="00F7530C">
                  <w:pPr>
                    <w:pStyle w:val="TableColumnHeading"/>
                  </w:pPr>
                  <w:r w:rsidRPr="00A268D7">
                    <w:t>Aust</w:t>
                  </w:r>
                </w:p>
              </w:tc>
            </w:tr>
            <w:tr w:rsidR="007371B0" w:rsidRPr="00A268D7" w:rsidTr="00BD41DE">
              <w:tc>
                <w:tcPr>
                  <w:tcW w:w="5000" w:type="pct"/>
                  <w:gridSpan w:val="10"/>
                  <w:tcBorders>
                    <w:top w:val="single" w:sz="4" w:space="0" w:color="BFBFBF"/>
                  </w:tcBorders>
                  <w:shd w:val="clear" w:color="auto" w:fill="auto"/>
                </w:tcPr>
                <w:p w:rsidR="007371B0" w:rsidRPr="00A268D7" w:rsidRDefault="007371B0" w:rsidP="00F7530C">
                  <w:pPr>
                    <w:pStyle w:val="TableColumnHeading"/>
                    <w:jc w:val="left"/>
                  </w:pPr>
                  <w:r w:rsidRPr="00A268D7">
                    <w:t>Aboriginal and Torres Strait Islander people aged 49 years and under</w:t>
                  </w:r>
                </w:p>
              </w:tc>
            </w:tr>
            <w:tr w:rsidR="00C13CC1" w:rsidRPr="00A268D7" w:rsidTr="00BD41DE">
              <w:trPr>
                <w:trHeight w:val="459"/>
              </w:trPr>
              <w:tc>
                <w:tcPr>
                  <w:tcW w:w="819" w:type="pct"/>
                  <w:vAlign w:val="center"/>
                </w:tcPr>
                <w:p w:rsidR="00393E55" w:rsidRPr="00A268D7" w:rsidRDefault="00393E55" w:rsidP="00F7530C">
                  <w:pPr>
                    <w:pStyle w:val="TableUnitsRow"/>
                    <w:jc w:val="left"/>
                  </w:pPr>
                  <w:r w:rsidRPr="00A268D7">
                    <w:t>Numerator</w:t>
                  </w:r>
                </w:p>
              </w:tc>
              <w:tc>
                <w:tcPr>
                  <w:tcW w:w="455" w:type="pct"/>
                </w:tcPr>
                <w:p w:rsidR="00393E55" w:rsidRPr="00A268D7" w:rsidRDefault="00393E55" w:rsidP="00393E55">
                  <w:pPr>
                    <w:pStyle w:val="TableBodyText"/>
                  </w:pPr>
                  <w:r w:rsidRPr="00A268D7">
                    <w:t>3 018</w:t>
                  </w:r>
                </w:p>
              </w:tc>
              <w:tc>
                <w:tcPr>
                  <w:tcW w:w="455" w:type="pct"/>
                </w:tcPr>
                <w:p w:rsidR="00393E55" w:rsidRPr="00A268D7" w:rsidRDefault="00393E55" w:rsidP="00393E55">
                  <w:pPr>
                    <w:pStyle w:val="TableBodyText"/>
                  </w:pPr>
                  <w:r w:rsidRPr="00A268D7">
                    <w:t xml:space="preserve"> 1 136</w:t>
                  </w:r>
                </w:p>
              </w:tc>
              <w:tc>
                <w:tcPr>
                  <w:tcW w:w="455" w:type="pct"/>
                  <w:tcBorders>
                    <w:right w:val="nil"/>
                  </w:tcBorders>
                </w:tcPr>
                <w:p w:rsidR="00393E55" w:rsidRPr="00A268D7" w:rsidRDefault="00393E55" w:rsidP="00393E55">
                  <w:pPr>
                    <w:pStyle w:val="TableBodyText"/>
                  </w:pPr>
                  <w:r w:rsidRPr="00A268D7">
                    <w:t xml:space="preserve"> 1 405</w:t>
                  </w:r>
                </w:p>
              </w:tc>
              <w:tc>
                <w:tcPr>
                  <w:tcW w:w="455" w:type="pct"/>
                  <w:tcBorders>
                    <w:right w:val="nil"/>
                  </w:tcBorders>
                </w:tcPr>
                <w:p w:rsidR="00393E55" w:rsidRPr="00A268D7" w:rsidRDefault="00393E55" w:rsidP="00393E55">
                  <w:pPr>
                    <w:pStyle w:val="TableBodyText"/>
                  </w:pPr>
                  <w:r w:rsidRPr="00A268D7">
                    <w:t>554</w:t>
                  </w:r>
                </w:p>
              </w:tc>
              <w:tc>
                <w:tcPr>
                  <w:tcW w:w="455" w:type="pct"/>
                  <w:tcBorders>
                    <w:left w:val="nil"/>
                  </w:tcBorders>
                </w:tcPr>
                <w:p w:rsidR="00393E55" w:rsidRPr="00A268D7" w:rsidRDefault="00393E55" w:rsidP="00393E55">
                  <w:pPr>
                    <w:pStyle w:val="TableBodyText"/>
                  </w:pPr>
                  <w:r w:rsidRPr="00A268D7">
                    <w:t>716</w:t>
                  </w:r>
                </w:p>
              </w:tc>
              <w:tc>
                <w:tcPr>
                  <w:tcW w:w="455" w:type="pct"/>
                  <w:tcBorders>
                    <w:left w:val="nil"/>
                  </w:tcBorders>
                </w:tcPr>
                <w:p w:rsidR="00393E55" w:rsidRPr="00A268D7" w:rsidRDefault="00393E55" w:rsidP="00393E55">
                  <w:pPr>
                    <w:pStyle w:val="TableBodyText"/>
                  </w:pPr>
                  <w:r w:rsidRPr="00A268D7">
                    <w:t>165</w:t>
                  </w:r>
                </w:p>
              </w:tc>
              <w:tc>
                <w:tcPr>
                  <w:tcW w:w="455" w:type="pct"/>
                </w:tcPr>
                <w:p w:rsidR="00393E55" w:rsidRPr="00A268D7" w:rsidRDefault="00393E55" w:rsidP="00393E55">
                  <w:pPr>
                    <w:pStyle w:val="TableBodyText"/>
                  </w:pPr>
                  <w:r w:rsidRPr="00A268D7">
                    <w:t>49</w:t>
                  </w:r>
                </w:p>
              </w:tc>
              <w:tc>
                <w:tcPr>
                  <w:tcW w:w="455" w:type="pct"/>
                </w:tcPr>
                <w:p w:rsidR="00393E55" w:rsidRPr="00A268D7" w:rsidRDefault="00393E55" w:rsidP="00393E55">
                  <w:pPr>
                    <w:pStyle w:val="TableBodyText"/>
                  </w:pPr>
                  <w:r w:rsidRPr="00A268D7">
                    <w:t>142</w:t>
                  </w:r>
                </w:p>
              </w:tc>
              <w:tc>
                <w:tcPr>
                  <w:tcW w:w="541" w:type="pct"/>
                </w:tcPr>
                <w:p w:rsidR="00393E55" w:rsidRPr="00A268D7" w:rsidRDefault="00393E55" w:rsidP="00393E55">
                  <w:pPr>
                    <w:pStyle w:val="TableBodyText"/>
                  </w:pPr>
                  <w:r w:rsidRPr="00A268D7">
                    <w:t>7 185</w:t>
                  </w:r>
                </w:p>
              </w:tc>
            </w:tr>
            <w:tr w:rsidR="00C13CC1" w:rsidRPr="00A268D7" w:rsidTr="00BD41DE">
              <w:trPr>
                <w:trHeight w:val="139"/>
              </w:trPr>
              <w:tc>
                <w:tcPr>
                  <w:tcW w:w="819" w:type="pct"/>
                  <w:vAlign w:val="center"/>
                </w:tcPr>
                <w:p w:rsidR="00C13CC1" w:rsidRPr="00A268D7" w:rsidRDefault="00C13CC1" w:rsidP="00F7530C">
                  <w:pPr>
                    <w:pStyle w:val="TableUnitsRow"/>
                    <w:jc w:val="left"/>
                  </w:pPr>
                  <w:r w:rsidRPr="00A268D7">
                    <w:t>Denominator (‘000)</w:t>
                  </w:r>
                </w:p>
              </w:tc>
              <w:tc>
                <w:tcPr>
                  <w:tcW w:w="455" w:type="pct"/>
                </w:tcPr>
                <w:p w:rsidR="00C13CC1" w:rsidRPr="00A268D7" w:rsidRDefault="00C13CC1" w:rsidP="00C13CC1">
                  <w:pPr>
                    <w:pStyle w:val="TableBodyText"/>
                  </w:pPr>
                  <w:r w:rsidRPr="00A268D7">
                    <w:t xml:space="preserve">186.6 </w:t>
                  </w:r>
                </w:p>
              </w:tc>
              <w:tc>
                <w:tcPr>
                  <w:tcW w:w="455" w:type="pct"/>
                </w:tcPr>
                <w:p w:rsidR="00C13CC1" w:rsidRPr="00A268D7" w:rsidRDefault="00C13CC1" w:rsidP="00C13CC1">
                  <w:pPr>
                    <w:pStyle w:val="TableBodyText"/>
                  </w:pPr>
                  <w:r w:rsidRPr="00A268D7">
                    <w:t xml:space="preserve">43.8 </w:t>
                  </w:r>
                </w:p>
              </w:tc>
              <w:tc>
                <w:tcPr>
                  <w:tcW w:w="455" w:type="pct"/>
                  <w:tcBorders>
                    <w:right w:val="nil"/>
                  </w:tcBorders>
                </w:tcPr>
                <w:p w:rsidR="00C13CC1" w:rsidRPr="00A268D7" w:rsidRDefault="00C13CC1" w:rsidP="00C13CC1">
                  <w:pPr>
                    <w:pStyle w:val="TableBodyText"/>
                  </w:pPr>
                  <w:r w:rsidRPr="00A268D7">
                    <w:t xml:space="preserve">175.8 </w:t>
                  </w:r>
                </w:p>
              </w:tc>
              <w:tc>
                <w:tcPr>
                  <w:tcW w:w="455" w:type="pct"/>
                  <w:tcBorders>
                    <w:right w:val="nil"/>
                  </w:tcBorders>
                </w:tcPr>
                <w:p w:rsidR="00C13CC1" w:rsidRPr="00A268D7" w:rsidRDefault="00C13CC1" w:rsidP="00C13CC1">
                  <w:pPr>
                    <w:pStyle w:val="TableBodyText"/>
                  </w:pPr>
                  <w:r w:rsidRPr="00A268D7">
                    <w:t xml:space="preserve">80.8 </w:t>
                  </w:r>
                </w:p>
              </w:tc>
              <w:tc>
                <w:tcPr>
                  <w:tcW w:w="455" w:type="pct"/>
                  <w:tcBorders>
                    <w:left w:val="nil"/>
                  </w:tcBorders>
                </w:tcPr>
                <w:p w:rsidR="00C13CC1" w:rsidRPr="00A268D7" w:rsidRDefault="00C13CC1" w:rsidP="00C13CC1">
                  <w:pPr>
                    <w:pStyle w:val="TableBodyText"/>
                  </w:pPr>
                  <w:r w:rsidRPr="00A268D7">
                    <w:t xml:space="preserve">34.1 </w:t>
                  </w:r>
                </w:p>
              </w:tc>
              <w:tc>
                <w:tcPr>
                  <w:tcW w:w="455" w:type="pct"/>
                  <w:tcBorders>
                    <w:left w:val="nil"/>
                  </w:tcBorders>
                </w:tcPr>
                <w:p w:rsidR="00C13CC1" w:rsidRPr="00A268D7" w:rsidRDefault="00C13CC1" w:rsidP="00C13CC1">
                  <w:pPr>
                    <w:pStyle w:val="TableBodyText"/>
                  </w:pPr>
                  <w:r w:rsidRPr="00A268D7">
                    <w:t xml:space="preserve">21.7 </w:t>
                  </w:r>
                </w:p>
              </w:tc>
              <w:tc>
                <w:tcPr>
                  <w:tcW w:w="455" w:type="pct"/>
                </w:tcPr>
                <w:p w:rsidR="00C13CC1" w:rsidRPr="00A268D7" w:rsidRDefault="00C13CC1" w:rsidP="00C13CC1">
                  <w:pPr>
                    <w:pStyle w:val="TableBodyText"/>
                  </w:pPr>
                  <w:r w:rsidRPr="00A268D7">
                    <w:t xml:space="preserve">5.9 </w:t>
                  </w:r>
                </w:p>
              </w:tc>
              <w:tc>
                <w:tcPr>
                  <w:tcW w:w="455" w:type="pct"/>
                </w:tcPr>
                <w:p w:rsidR="00C13CC1" w:rsidRPr="00A268D7" w:rsidRDefault="00C13CC1" w:rsidP="00C13CC1">
                  <w:pPr>
                    <w:pStyle w:val="TableBodyText"/>
                  </w:pPr>
                  <w:r w:rsidRPr="00A268D7">
                    <w:t xml:space="preserve">62.1 </w:t>
                  </w:r>
                </w:p>
              </w:tc>
              <w:tc>
                <w:tcPr>
                  <w:tcW w:w="541" w:type="pct"/>
                </w:tcPr>
                <w:p w:rsidR="00C13CC1" w:rsidRPr="00A268D7" w:rsidRDefault="00C13CC1" w:rsidP="00C13CC1">
                  <w:pPr>
                    <w:pStyle w:val="TableBodyText"/>
                  </w:pPr>
                  <w:r w:rsidRPr="00A268D7">
                    <w:t xml:space="preserve">610.8 </w:t>
                  </w:r>
                </w:p>
              </w:tc>
            </w:tr>
            <w:tr w:rsidR="002F528D" w:rsidRPr="00A268D7" w:rsidTr="00003214">
              <w:trPr>
                <w:trHeight w:val="145"/>
              </w:trPr>
              <w:tc>
                <w:tcPr>
                  <w:tcW w:w="819" w:type="pct"/>
                  <w:shd w:val="clear" w:color="auto" w:fill="auto"/>
                  <w:vAlign w:val="center"/>
                </w:tcPr>
                <w:p w:rsidR="002F528D" w:rsidRPr="00A268D7" w:rsidRDefault="0026494E" w:rsidP="00B429E4">
                  <w:pPr>
                    <w:pStyle w:val="TableUnitsRow"/>
                    <w:jc w:val="left"/>
                    <w:rPr>
                      <w:b/>
                    </w:rPr>
                  </w:pPr>
                  <w:r>
                    <w:rPr>
                      <w:b/>
                    </w:rPr>
                    <w:t>Rate per 1000 population</w:t>
                  </w:r>
                </w:p>
              </w:tc>
              <w:tc>
                <w:tcPr>
                  <w:tcW w:w="455" w:type="pct"/>
                  <w:shd w:val="clear" w:color="auto" w:fill="auto"/>
                </w:tcPr>
                <w:p w:rsidR="002F528D" w:rsidRPr="002F528D" w:rsidRDefault="002F528D" w:rsidP="002F528D">
                  <w:pPr>
                    <w:pStyle w:val="TableBodyText"/>
                    <w:rPr>
                      <w:b/>
                    </w:rPr>
                  </w:pPr>
                  <w:r w:rsidRPr="002F528D">
                    <w:rPr>
                      <w:b/>
                    </w:rPr>
                    <w:t>16.2</w:t>
                  </w:r>
                </w:p>
              </w:tc>
              <w:tc>
                <w:tcPr>
                  <w:tcW w:w="455" w:type="pct"/>
                  <w:shd w:val="clear" w:color="auto" w:fill="auto"/>
                </w:tcPr>
                <w:p w:rsidR="002F528D" w:rsidRPr="002F528D" w:rsidRDefault="002F528D" w:rsidP="002F528D">
                  <w:pPr>
                    <w:pStyle w:val="TableBodyText"/>
                    <w:rPr>
                      <w:b/>
                    </w:rPr>
                  </w:pPr>
                  <w:r w:rsidRPr="002F528D">
                    <w:rPr>
                      <w:b/>
                    </w:rPr>
                    <w:t>25.9</w:t>
                  </w:r>
                </w:p>
              </w:tc>
              <w:tc>
                <w:tcPr>
                  <w:tcW w:w="455" w:type="pct"/>
                  <w:tcBorders>
                    <w:right w:val="nil"/>
                  </w:tcBorders>
                  <w:shd w:val="clear" w:color="auto" w:fill="auto"/>
                </w:tcPr>
                <w:p w:rsidR="002F528D" w:rsidRPr="002F528D" w:rsidRDefault="002F528D" w:rsidP="002F528D">
                  <w:pPr>
                    <w:pStyle w:val="TableBodyText"/>
                    <w:rPr>
                      <w:b/>
                    </w:rPr>
                  </w:pPr>
                  <w:r w:rsidRPr="002F528D">
                    <w:rPr>
                      <w:b/>
                    </w:rPr>
                    <w:t>8.0</w:t>
                  </w:r>
                </w:p>
              </w:tc>
              <w:tc>
                <w:tcPr>
                  <w:tcW w:w="455" w:type="pct"/>
                  <w:tcBorders>
                    <w:right w:val="nil"/>
                  </w:tcBorders>
                  <w:shd w:val="clear" w:color="auto" w:fill="auto"/>
                </w:tcPr>
                <w:p w:rsidR="002F528D" w:rsidRPr="002F528D" w:rsidRDefault="002F528D" w:rsidP="002F528D">
                  <w:pPr>
                    <w:pStyle w:val="TableBodyText"/>
                    <w:rPr>
                      <w:b/>
                    </w:rPr>
                  </w:pPr>
                  <w:r w:rsidRPr="002F528D">
                    <w:rPr>
                      <w:b/>
                    </w:rPr>
                    <w:t>6.9</w:t>
                  </w:r>
                </w:p>
              </w:tc>
              <w:tc>
                <w:tcPr>
                  <w:tcW w:w="455" w:type="pct"/>
                  <w:tcBorders>
                    <w:left w:val="nil"/>
                  </w:tcBorders>
                  <w:shd w:val="clear" w:color="auto" w:fill="auto"/>
                </w:tcPr>
                <w:p w:rsidR="002F528D" w:rsidRPr="002F528D" w:rsidRDefault="002F528D" w:rsidP="002F528D">
                  <w:pPr>
                    <w:pStyle w:val="TableBodyText"/>
                    <w:rPr>
                      <w:b/>
                    </w:rPr>
                  </w:pPr>
                  <w:r w:rsidRPr="002F528D">
                    <w:rPr>
                      <w:b/>
                    </w:rPr>
                    <w:t>21.0</w:t>
                  </w:r>
                </w:p>
              </w:tc>
              <w:tc>
                <w:tcPr>
                  <w:tcW w:w="455" w:type="pct"/>
                  <w:tcBorders>
                    <w:left w:val="nil"/>
                  </w:tcBorders>
                  <w:shd w:val="clear" w:color="auto" w:fill="auto"/>
                </w:tcPr>
                <w:p w:rsidR="002F528D" w:rsidRPr="002F528D" w:rsidRDefault="002F528D" w:rsidP="002F528D">
                  <w:pPr>
                    <w:pStyle w:val="TableBodyText"/>
                    <w:rPr>
                      <w:b/>
                    </w:rPr>
                  </w:pPr>
                  <w:r w:rsidRPr="002F528D">
                    <w:rPr>
                      <w:b/>
                    </w:rPr>
                    <w:t>7.6</w:t>
                  </w:r>
                </w:p>
              </w:tc>
              <w:tc>
                <w:tcPr>
                  <w:tcW w:w="455" w:type="pct"/>
                  <w:shd w:val="clear" w:color="auto" w:fill="auto"/>
                </w:tcPr>
                <w:p w:rsidR="002F528D" w:rsidRPr="002F528D" w:rsidRDefault="002F528D" w:rsidP="002F528D">
                  <w:pPr>
                    <w:pStyle w:val="TableBodyText"/>
                    <w:rPr>
                      <w:b/>
                    </w:rPr>
                  </w:pPr>
                  <w:r w:rsidRPr="002F528D">
                    <w:rPr>
                      <w:b/>
                    </w:rPr>
                    <w:t>8.3</w:t>
                  </w:r>
                </w:p>
              </w:tc>
              <w:tc>
                <w:tcPr>
                  <w:tcW w:w="455" w:type="pct"/>
                  <w:shd w:val="clear" w:color="auto" w:fill="auto"/>
                </w:tcPr>
                <w:p w:rsidR="002F528D" w:rsidRPr="002F528D" w:rsidRDefault="002F528D" w:rsidP="002F528D">
                  <w:pPr>
                    <w:pStyle w:val="TableBodyText"/>
                    <w:rPr>
                      <w:b/>
                    </w:rPr>
                  </w:pPr>
                  <w:r w:rsidRPr="002F528D">
                    <w:rPr>
                      <w:b/>
                    </w:rPr>
                    <w:t>2.3</w:t>
                  </w:r>
                </w:p>
              </w:tc>
              <w:tc>
                <w:tcPr>
                  <w:tcW w:w="541" w:type="pct"/>
                  <w:shd w:val="clear" w:color="auto" w:fill="auto"/>
                </w:tcPr>
                <w:p w:rsidR="002F528D" w:rsidRPr="002F528D" w:rsidRDefault="002F528D" w:rsidP="002F528D">
                  <w:pPr>
                    <w:pStyle w:val="TableBodyText"/>
                    <w:rPr>
                      <w:b/>
                    </w:rPr>
                  </w:pPr>
                  <w:r w:rsidRPr="002F528D">
                    <w:rPr>
                      <w:b/>
                    </w:rPr>
                    <w:t>11.8</w:t>
                  </w:r>
                </w:p>
              </w:tc>
            </w:tr>
            <w:tr w:rsidR="007371B0" w:rsidRPr="00A268D7" w:rsidTr="00BD41DE">
              <w:trPr>
                <w:trHeight w:val="479"/>
              </w:trPr>
              <w:tc>
                <w:tcPr>
                  <w:tcW w:w="5000" w:type="pct"/>
                  <w:gridSpan w:val="10"/>
                  <w:vAlign w:val="center"/>
                </w:tcPr>
                <w:p w:rsidR="007371B0" w:rsidRPr="00A268D7" w:rsidRDefault="00C20C63" w:rsidP="00F7530C">
                  <w:pPr>
                    <w:pStyle w:val="TableColumnHeading"/>
                    <w:jc w:val="left"/>
                  </w:pPr>
                  <w:r>
                    <w:t xml:space="preserve">People born in </w:t>
                  </w:r>
                  <w:r w:rsidR="007371B0" w:rsidRPr="00A268D7">
                    <w:t>non</w:t>
                  </w:r>
                  <w:r w:rsidR="007371B0" w:rsidRPr="00A268D7">
                    <w:noBreakHyphen/>
                    <w:t>English speaking countries aged 64 years and under</w:t>
                  </w:r>
                </w:p>
              </w:tc>
            </w:tr>
            <w:tr w:rsidR="00C13CC1" w:rsidRPr="00A268D7" w:rsidTr="00C13CC1">
              <w:trPr>
                <w:trHeight w:val="390"/>
              </w:trPr>
              <w:tc>
                <w:tcPr>
                  <w:tcW w:w="819" w:type="pct"/>
                  <w:vAlign w:val="center"/>
                </w:tcPr>
                <w:p w:rsidR="00393E55" w:rsidRPr="00A268D7" w:rsidRDefault="00393E55" w:rsidP="00F7530C">
                  <w:pPr>
                    <w:pStyle w:val="TableUnitsRow"/>
                    <w:jc w:val="left"/>
                  </w:pPr>
                  <w:r w:rsidRPr="00A268D7">
                    <w:t>Numerator</w:t>
                  </w:r>
                </w:p>
              </w:tc>
              <w:tc>
                <w:tcPr>
                  <w:tcW w:w="455" w:type="pct"/>
                </w:tcPr>
                <w:p w:rsidR="00393E55" w:rsidRPr="00A268D7" w:rsidRDefault="00393E55" w:rsidP="00393E55">
                  <w:pPr>
                    <w:pStyle w:val="TableBodyText"/>
                  </w:pPr>
                  <w:r w:rsidRPr="00A268D7">
                    <w:t>7 217</w:t>
                  </w:r>
                </w:p>
              </w:tc>
              <w:tc>
                <w:tcPr>
                  <w:tcW w:w="455" w:type="pct"/>
                </w:tcPr>
                <w:p w:rsidR="00393E55" w:rsidRPr="00A268D7" w:rsidRDefault="00393E55" w:rsidP="00393E55">
                  <w:pPr>
                    <w:pStyle w:val="TableBodyText"/>
                  </w:pPr>
                  <w:r w:rsidRPr="00A268D7">
                    <w:t xml:space="preserve"> 10 070</w:t>
                  </w:r>
                </w:p>
              </w:tc>
              <w:tc>
                <w:tcPr>
                  <w:tcW w:w="455" w:type="pct"/>
                  <w:tcBorders>
                    <w:right w:val="nil"/>
                  </w:tcBorders>
                </w:tcPr>
                <w:p w:rsidR="00393E55" w:rsidRPr="00A268D7" w:rsidRDefault="00393E55" w:rsidP="00393E55">
                  <w:pPr>
                    <w:pStyle w:val="TableBodyText"/>
                  </w:pPr>
                  <w:r w:rsidRPr="00A268D7">
                    <w:t xml:space="preserve"> 2 164</w:t>
                  </w:r>
                </w:p>
              </w:tc>
              <w:tc>
                <w:tcPr>
                  <w:tcW w:w="455" w:type="pct"/>
                  <w:tcBorders>
                    <w:right w:val="nil"/>
                  </w:tcBorders>
                </w:tcPr>
                <w:p w:rsidR="00393E55" w:rsidRPr="00A268D7" w:rsidRDefault="00393E55" w:rsidP="00393E55">
                  <w:pPr>
                    <w:pStyle w:val="TableBodyText"/>
                  </w:pPr>
                  <w:r w:rsidRPr="00A268D7">
                    <w:t xml:space="preserve"> 1 209</w:t>
                  </w:r>
                </w:p>
              </w:tc>
              <w:tc>
                <w:tcPr>
                  <w:tcW w:w="455" w:type="pct"/>
                  <w:tcBorders>
                    <w:left w:val="nil"/>
                  </w:tcBorders>
                </w:tcPr>
                <w:p w:rsidR="00393E55" w:rsidRPr="00A268D7" w:rsidRDefault="00393E55" w:rsidP="00393E55">
                  <w:pPr>
                    <w:pStyle w:val="TableBodyText"/>
                  </w:pPr>
                  <w:r w:rsidRPr="00A268D7">
                    <w:t xml:space="preserve"> 1 743</w:t>
                  </w:r>
                </w:p>
              </w:tc>
              <w:tc>
                <w:tcPr>
                  <w:tcW w:w="455" w:type="pct"/>
                  <w:tcBorders>
                    <w:left w:val="nil"/>
                  </w:tcBorders>
                </w:tcPr>
                <w:p w:rsidR="00393E55" w:rsidRPr="00A268D7" w:rsidRDefault="00393E55" w:rsidP="00393E55">
                  <w:pPr>
                    <w:pStyle w:val="TableBodyText"/>
                  </w:pPr>
                  <w:r w:rsidRPr="00A268D7">
                    <w:t>173</w:t>
                  </w:r>
                </w:p>
              </w:tc>
              <w:tc>
                <w:tcPr>
                  <w:tcW w:w="455" w:type="pct"/>
                </w:tcPr>
                <w:p w:rsidR="00393E55" w:rsidRPr="00A268D7" w:rsidRDefault="00393E55" w:rsidP="00393E55">
                  <w:pPr>
                    <w:pStyle w:val="TableBodyText"/>
                  </w:pPr>
                  <w:r w:rsidRPr="00A268D7">
                    <w:t>503</w:t>
                  </w:r>
                </w:p>
              </w:tc>
              <w:tc>
                <w:tcPr>
                  <w:tcW w:w="455" w:type="pct"/>
                </w:tcPr>
                <w:p w:rsidR="00393E55" w:rsidRPr="00A268D7" w:rsidRDefault="00393E55" w:rsidP="00393E55">
                  <w:pPr>
                    <w:pStyle w:val="TableBodyText"/>
                  </w:pPr>
                  <w:r w:rsidRPr="00A268D7">
                    <w:t>17</w:t>
                  </w:r>
                </w:p>
              </w:tc>
              <w:tc>
                <w:tcPr>
                  <w:tcW w:w="541" w:type="pct"/>
                </w:tcPr>
                <w:p w:rsidR="00393E55" w:rsidRPr="00A268D7" w:rsidRDefault="00393E55" w:rsidP="00393E55">
                  <w:pPr>
                    <w:pStyle w:val="TableBodyText"/>
                  </w:pPr>
                  <w:r w:rsidRPr="00A268D7">
                    <w:t xml:space="preserve"> 23 096</w:t>
                  </w:r>
                </w:p>
              </w:tc>
            </w:tr>
            <w:tr w:rsidR="00C13CC1" w:rsidRPr="00A268D7" w:rsidTr="00C13CC1">
              <w:trPr>
                <w:trHeight w:val="159"/>
              </w:trPr>
              <w:tc>
                <w:tcPr>
                  <w:tcW w:w="819" w:type="pct"/>
                  <w:vAlign w:val="center"/>
                </w:tcPr>
                <w:p w:rsidR="00C13CC1" w:rsidRPr="00A268D7" w:rsidRDefault="00C13CC1" w:rsidP="00D841E9">
                  <w:pPr>
                    <w:pStyle w:val="TableUnitsRow"/>
                    <w:jc w:val="left"/>
                  </w:pPr>
                  <w:r w:rsidRPr="00A268D7">
                    <w:t>Denominator (‘000)</w:t>
                  </w:r>
                </w:p>
              </w:tc>
              <w:tc>
                <w:tcPr>
                  <w:tcW w:w="455" w:type="pct"/>
                </w:tcPr>
                <w:p w:rsidR="00C13CC1" w:rsidRPr="00A268D7" w:rsidRDefault="00C13CC1" w:rsidP="00C13CC1">
                  <w:pPr>
                    <w:pStyle w:val="TableBodyText"/>
                  </w:pPr>
                  <w:r w:rsidRPr="00A268D7">
                    <w:t>12</w:t>
                  </w:r>
                  <w:r w:rsidR="007D45DE">
                    <w:t xml:space="preserve"> </w:t>
                  </w:r>
                  <w:r w:rsidRPr="00A268D7">
                    <w:t xml:space="preserve">13.7 </w:t>
                  </w:r>
                </w:p>
              </w:tc>
              <w:tc>
                <w:tcPr>
                  <w:tcW w:w="455" w:type="pct"/>
                </w:tcPr>
                <w:p w:rsidR="00C13CC1" w:rsidRPr="00A268D7" w:rsidRDefault="00C13CC1" w:rsidP="00C13CC1">
                  <w:pPr>
                    <w:pStyle w:val="TableBodyText"/>
                  </w:pPr>
                  <w:r w:rsidRPr="00A268D7">
                    <w:t xml:space="preserve">957.2 </w:t>
                  </w:r>
                </w:p>
              </w:tc>
              <w:tc>
                <w:tcPr>
                  <w:tcW w:w="455" w:type="pct"/>
                  <w:tcBorders>
                    <w:right w:val="nil"/>
                  </w:tcBorders>
                </w:tcPr>
                <w:p w:rsidR="00C13CC1" w:rsidRPr="00A268D7" w:rsidRDefault="00C13CC1" w:rsidP="00C13CC1">
                  <w:pPr>
                    <w:pStyle w:val="TableBodyText"/>
                  </w:pPr>
                  <w:r w:rsidRPr="00A268D7">
                    <w:t xml:space="preserve">390.4 </w:t>
                  </w:r>
                </w:p>
              </w:tc>
              <w:tc>
                <w:tcPr>
                  <w:tcW w:w="455" w:type="pct"/>
                  <w:tcBorders>
                    <w:right w:val="nil"/>
                  </w:tcBorders>
                </w:tcPr>
                <w:p w:rsidR="00C13CC1" w:rsidRPr="00A268D7" w:rsidRDefault="00C13CC1" w:rsidP="00C13CC1">
                  <w:pPr>
                    <w:pStyle w:val="TableBodyText"/>
                  </w:pPr>
                  <w:r w:rsidRPr="00A268D7">
                    <w:t xml:space="preserve">319.6 </w:t>
                  </w:r>
                </w:p>
              </w:tc>
              <w:tc>
                <w:tcPr>
                  <w:tcW w:w="455" w:type="pct"/>
                  <w:tcBorders>
                    <w:left w:val="nil"/>
                  </w:tcBorders>
                </w:tcPr>
                <w:p w:rsidR="00C13CC1" w:rsidRPr="00A268D7" w:rsidRDefault="00C13CC1" w:rsidP="00C13CC1">
                  <w:pPr>
                    <w:pStyle w:val="TableBodyText"/>
                  </w:pPr>
                  <w:r w:rsidRPr="00A268D7">
                    <w:t xml:space="preserve">167.2 </w:t>
                  </w:r>
                </w:p>
              </w:tc>
              <w:tc>
                <w:tcPr>
                  <w:tcW w:w="455" w:type="pct"/>
                  <w:tcBorders>
                    <w:left w:val="nil"/>
                  </w:tcBorders>
                </w:tcPr>
                <w:p w:rsidR="00C13CC1" w:rsidRPr="00A268D7" w:rsidRDefault="00C13CC1" w:rsidP="00C13CC1">
                  <w:pPr>
                    <w:pStyle w:val="TableBodyText"/>
                  </w:pPr>
                  <w:r w:rsidRPr="00A268D7">
                    <w:t xml:space="preserve">20.2 </w:t>
                  </w:r>
                </w:p>
              </w:tc>
              <w:tc>
                <w:tcPr>
                  <w:tcW w:w="455" w:type="pct"/>
                </w:tcPr>
                <w:p w:rsidR="00C13CC1" w:rsidRPr="00A268D7" w:rsidRDefault="00C13CC1" w:rsidP="00C13CC1">
                  <w:pPr>
                    <w:pStyle w:val="TableBodyText"/>
                  </w:pPr>
                  <w:r w:rsidRPr="00A268D7">
                    <w:t xml:space="preserve">56.0 </w:t>
                  </w:r>
                </w:p>
              </w:tc>
              <w:tc>
                <w:tcPr>
                  <w:tcW w:w="455" w:type="pct"/>
                </w:tcPr>
                <w:p w:rsidR="00C13CC1" w:rsidRPr="00A268D7" w:rsidRDefault="00C13CC1" w:rsidP="00C13CC1">
                  <w:pPr>
                    <w:pStyle w:val="TableBodyText"/>
                  </w:pPr>
                  <w:r w:rsidRPr="00A268D7">
                    <w:t xml:space="preserve">24.5 </w:t>
                  </w:r>
                </w:p>
              </w:tc>
              <w:tc>
                <w:tcPr>
                  <w:tcW w:w="541" w:type="pct"/>
                </w:tcPr>
                <w:p w:rsidR="00C13CC1" w:rsidRPr="00A268D7" w:rsidRDefault="00C13CC1" w:rsidP="00C13CC1">
                  <w:pPr>
                    <w:pStyle w:val="TableBodyText"/>
                  </w:pPr>
                  <w:r w:rsidRPr="00A268D7">
                    <w:t>3</w:t>
                  </w:r>
                  <w:r w:rsidR="007D45DE">
                    <w:t xml:space="preserve"> </w:t>
                  </w:r>
                  <w:r w:rsidRPr="00A268D7">
                    <w:t xml:space="preserve">148.8 </w:t>
                  </w:r>
                </w:p>
              </w:tc>
            </w:tr>
            <w:tr w:rsidR="002F528D" w:rsidRPr="00A268D7" w:rsidTr="00003214">
              <w:trPr>
                <w:trHeight w:val="95"/>
              </w:trPr>
              <w:tc>
                <w:tcPr>
                  <w:tcW w:w="819" w:type="pct"/>
                  <w:shd w:val="clear" w:color="auto" w:fill="auto"/>
                  <w:vAlign w:val="center"/>
                </w:tcPr>
                <w:p w:rsidR="002F528D" w:rsidRPr="00A268D7" w:rsidRDefault="0026494E" w:rsidP="00F7530C">
                  <w:pPr>
                    <w:pStyle w:val="TableUnitsRow"/>
                    <w:jc w:val="left"/>
                    <w:rPr>
                      <w:b/>
                    </w:rPr>
                  </w:pPr>
                  <w:r>
                    <w:rPr>
                      <w:b/>
                    </w:rPr>
                    <w:t>Rate per 1000 population</w:t>
                  </w:r>
                </w:p>
              </w:tc>
              <w:tc>
                <w:tcPr>
                  <w:tcW w:w="455" w:type="pct"/>
                  <w:shd w:val="clear" w:color="auto" w:fill="auto"/>
                </w:tcPr>
                <w:p w:rsidR="002F528D" w:rsidRPr="002F528D" w:rsidRDefault="002F528D" w:rsidP="002F528D">
                  <w:pPr>
                    <w:pStyle w:val="TableBodyText"/>
                    <w:rPr>
                      <w:b/>
                    </w:rPr>
                  </w:pPr>
                  <w:r w:rsidRPr="002F528D">
                    <w:rPr>
                      <w:b/>
                    </w:rPr>
                    <w:t>5.9</w:t>
                  </w:r>
                </w:p>
              </w:tc>
              <w:tc>
                <w:tcPr>
                  <w:tcW w:w="455" w:type="pct"/>
                  <w:shd w:val="clear" w:color="auto" w:fill="auto"/>
                </w:tcPr>
                <w:p w:rsidR="002F528D" w:rsidRPr="002F528D" w:rsidRDefault="002F528D" w:rsidP="002F528D">
                  <w:pPr>
                    <w:pStyle w:val="TableBodyText"/>
                    <w:rPr>
                      <w:b/>
                    </w:rPr>
                  </w:pPr>
                  <w:r w:rsidRPr="002F528D">
                    <w:rPr>
                      <w:b/>
                    </w:rPr>
                    <w:t>10.5</w:t>
                  </w:r>
                </w:p>
              </w:tc>
              <w:tc>
                <w:tcPr>
                  <w:tcW w:w="455" w:type="pct"/>
                  <w:tcBorders>
                    <w:right w:val="nil"/>
                  </w:tcBorders>
                  <w:shd w:val="clear" w:color="auto" w:fill="auto"/>
                </w:tcPr>
                <w:p w:rsidR="002F528D" w:rsidRPr="002F528D" w:rsidRDefault="002F528D" w:rsidP="002F528D">
                  <w:pPr>
                    <w:pStyle w:val="TableBodyText"/>
                    <w:rPr>
                      <w:b/>
                    </w:rPr>
                  </w:pPr>
                  <w:r w:rsidRPr="002F528D">
                    <w:rPr>
                      <w:b/>
                    </w:rPr>
                    <w:t>5.5</w:t>
                  </w:r>
                </w:p>
              </w:tc>
              <w:tc>
                <w:tcPr>
                  <w:tcW w:w="455" w:type="pct"/>
                  <w:tcBorders>
                    <w:right w:val="nil"/>
                  </w:tcBorders>
                  <w:shd w:val="clear" w:color="auto" w:fill="auto"/>
                </w:tcPr>
                <w:p w:rsidR="002F528D" w:rsidRPr="002F528D" w:rsidRDefault="002F528D" w:rsidP="002F528D">
                  <w:pPr>
                    <w:pStyle w:val="TableBodyText"/>
                    <w:rPr>
                      <w:b/>
                    </w:rPr>
                  </w:pPr>
                  <w:r w:rsidRPr="002F528D">
                    <w:rPr>
                      <w:b/>
                    </w:rPr>
                    <w:t>3.8</w:t>
                  </w:r>
                </w:p>
              </w:tc>
              <w:tc>
                <w:tcPr>
                  <w:tcW w:w="455" w:type="pct"/>
                  <w:tcBorders>
                    <w:left w:val="nil"/>
                  </w:tcBorders>
                  <w:shd w:val="clear" w:color="auto" w:fill="auto"/>
                </w:tcPr>
                <w:p w:rsidR="002F528D" w:rsidRPr="002F528D" w:rsidRDefault="002F528D" w:rsidP="002F528D">
                  <w:pPr>
                    <w:pStyle w:val="TableBodyText"/>
                    <w:rPr>
                      <w:b/>
                    </w:rPr>
                  </w:pPr>
                  <w:r w:rsidRPr="002F528D">
                    <w:rPr>
                      <w:b/>
                    </w:rPr>
                    <w:t>10.4</w:t>
                  </w:r>
                </w:p>
              </w:tc>
              <w:tc>
                <w:tcPr>
                  <w:tcW w:w="455" w:type="pct"/>
                  <w:tcBorders>
                    <w:left w:val="nil"/>
                  </w:tcBorders>
                  <w:shd w:val="clear" w:color="auto" w:fill="auto"/>
                </w:tcPr>
                <w:p w:rsidR="002F528D" w:rsidRPr="002F528D" w:rsidRDefault="002F528D" w:rsidP="002F528D">
                  <w:pPr>
                    <w:pStyle w:val="TableBodyText"/>
                    <w:rPr>
                      <w:b/>
                    </w:rPr>
                  </w:pPr>
                  <w:r w:rsidRPr="002F528D">
                    <w:rPr>
                      <w:b/>
                    </w:rPr>
                    <w:t>8.6</w:t>
                  </w:r>
                </w:p>
              </w:tc>
              <w:tc>
                <w:tcPr>
                  <w:tcW w:w="455" w:type="pct"/>
                  <w:shd w:val="clear" w:color="auto" w:fill="auto"/>
                </w:tcPr>
                <w:p w:rsidR="002F528D" w:rsidRPr="002F528D" w:rsidRDefault="002F528D" w:rsidP="002F528D">
                  <w:pPr>
                    <w:pStyle w:val="TableBodyText"/>
                    <w:rPr>
                      <w:b/>
                    </w:rPr>
                  </w:pPr>
                  <w:r w:rsidRPr="002F528D">
                    <w:rPr>
                      <w:b/>
                    </w:rPr>
                    <w:t>9.0</w:t>
                  </w:r>
                </w:p>
              </w:tc>
              <w:tc>
                <w:tcPr>
                  <w:tcW w:w="455" w:type="pct"/>
                  <w:shd w:val="clear" w:color="auto" w:fill="auto"/>
                </w:tcPr>
                <w:p w:rsidR="002F528D" w:rsidRPr="002F528D" w:rsidRDefault="002F528D" w:rsidP="002F528D">
                  <w:pPr>
                    <w:pStyle w:val="TableBodyText"/>
                    <w:rPr>
                      <w:b/>
                    </w:rPr>
                  </w:pPr>
                  <w:r w:rsidRPr="002F528D">
                    <w:rPr>
                      <w:b/>
                    </w:rPr>
                    <w:t>0.7</w:t>
                  </w:r>
                </w:p>
              </w:tc>
              <w:tc>
                <w:tcPr>
                  <w:tcW w:w="541" w:type="pct"/>
                  <w:shd w:val="clear" w:color="auto" w:fill="auto"/>
                </w:tcPr>
                <w:p w:rsidR="002F528D" w:rsidRPr="002F528D" w:rsidRDefault="002F528D" w:rsidP="002F528D">
                  <w:pPr>
                    <w:pStyle w:val="TableBodyText"/>
                    <w:rPr>
                      <w:b/>
                    </w:rPr>
                  </w:pPr>
                  <w:r w:rsidRPr="002F528D">
                    <w:rPr>
                      <w:b/>
                    </w:rPr>
                    <w:t>7.3</w:t>
                  </w:r>
                </w:p>
              </w:tc>
            </w:tr>
            <w:tr w:rsidR="007371B0" w:rsidRPr="00A268D7" w:rsidTr="00C13CC1">
              <w:trPr>
                <w:trHeight w:val="705"/>
              </w:trPr>
              <w:tc>
                <w:tcPr>
                  <w:tcW w:w="5000" w:type="pct"/>
                  <w:gridSpan w:val="10"/>
                  <w:vAlign w:val="center"/>
                </w:tcPr>
                <w:p w:rsidR="007371B0" w:rsidRPr="00A268D7" w:rsidRDefault="007371B0" w:rsidP="00F7530C">
                  <w:pPr>
                    <w:pStyle w:val="TableColumnHeading"/>
                    <w:jc w:val="left"/>
                  </w:pPr>
                  <w:r w:rsidRPr="00A268D7">
                    <w:t>All people aged 64 years and under and Aboriginal and Torres Strait Islander people aged 49 years and under</w:t>
                  </w:r>
                </w:p>
              </w:tc>
            </w:tr>
            <w:tr w:rsidR="00C13CC1" w:rsidRPr="00A268D7" w:rsidTr="00C13CC1">
              <w:trPr>
                <w:trHeight w:val="95"/>
              </w:trPr>
              <w:tc>
                <w:tcPr>
                  <w:tcW w:w="819" w:type="pct"/>
                  <w:vAlign w:val="center"/>
                </w:tcPr>
                <w:p w:rsidR="00393E55" w:rsidRPr="00A268D7" w:rsidRDefault="00393E55" w:rsidP="00F7530C">
                  <w:pPr>
                    <w:pStyle w:val="TableUnitsRow"/>
                    <w:jc w:val="left"/>
                  </w:pPr>
                  <w:r w:rsidRPr="00A268D7">
                    <w:t>Numerator</w:t>
                  </w:r>
                </w:p>
              </w:tc>
              <w:tc>
                <w:tcPr>
                  <w:tcW w:w="455" w:type="pct"/>
                </w:tcPr>
                <w:p w:rsidR="00393E55" w:rsidRPr="00A268D7" w:rsidRDefault="00393E55" w:rsidP="00393E55">
                  <w:pPr>
                    <w:pStyle w:val="TableBodyText"/>
                  </w:pPr>
                  <w:r w:rsidRPr="00A268D7">
                    <w:t>49 744</w:t>
                  </w:r>
                </w:p>
              </w:tc>
              <w:tc>
                <w:tcPr>
                  <w:tcW w:w="455" w:type="pct"/>
                </w:tcPr>
                <w:p w:rsidR="00393E55" w:rsidRPr="00A268D7" w:rsidRDefault="00393E55" w:rsidP="00393E55">
                  <w:pPr>
                    <w:pStyle w:val="TableBodyText"/>
                  </w:pPr>
                  <w:r w:rsidRPr="00A268D7">
                    <w:t xml:space="preserve"> 69 506</w:t>
                  </w:r>
                </w:p>
              </w:tc>
              <w:tc>
                <w:tcPr>
                  <w:tcW w:w="455" w:type="pct"/>
                  <w:tcBorders>
                    <w:right w:val="nil"/>
                  </w:tcBorders>
                  <w:shd w:val="clear" w:color="auto" w:fill="FFFFFF" w:themeFill="background1"/>
                </w:tcPr>
                <w:p w:rsidR="00393E55" w:rsidRPr="00A268D7" w:rsidRDefault="00393E55" w:rsidP="00393E55">
                  <w:pPr>
                    <w:pStyle w:val="TableBodyText"/>
                  </w:pPr>
                  <w:r w:rsidRPr="00A268D7">
                    <w:t xml:space="preserve"> 37 203</w:t>
                  </w:r>
                </w:p>
              </w:tc>
              <w:tc>
                <w:tcPr>
                  <w:tcW w:w="455" w:type="pct"/>
                  <w:tcBorders>
                    <w:right w:val="nil"/>
                  </w:tcBorders>
                  <w:shd w:val="clear" w:color="auto" w:fill="FFFFFF" w:themeFill="background1"/>
                </w:tcPr>
                <w:p w:rsidR="00393E55" w:rsidRPr="00A268D7" w:rsidRDefault="00393E55" w:rsidP="00393E55">
                  <w:pPr>
                    <w:pStyle w:val="TableBodyText"/>
                  </w:pPr>
                  <w:r w:rsidRPr="00A268D7">
                    <w:t>14 063</w:t>
                  </w:r>
                </w:p>
              </w:tc>
              <w:tc>
                <w:tcPr>
                  <w:tcW w:w="455" w:type="pct"/>
                  <w:tcBorders>
                    <w:left w:val="nil"/>
                  </w:tcBorders>
                  <w:shd w:val="clear" w:color="auto" w:fill="FFFFFF" w:themeFill="background1"/>
                </w:tcPr>
                <w:p w:rsidR="00393E55" w:rsidRPr="00A268D7" w:rsidRDefault="00393E55" w:rsidP="00393E55">
                  <w:pPr>
                    <w:pStyle w:val="TableBodyText"/>
                  </w:pPr>
                  <w:r w:rsidRPr="00A268D7">
                    <w:t xml:space="preserve"> 19 474</w:t>
                  </w:r>
                </w:p>
              </w:tc>
              <w:tc>
                <w:tcPr>
                  <w:tcW w:w="455" w:type="pct"/>
                  <w:tcBorders>
                    <w:left w:val="nil"/>
                  </w:tcBorders>
                </w:tcPr>
                <w:p w:rsidR="00393E55" w:rsidRPr="00A268D7" w:rsidRDefault="00393E55" w:rsidP="00393E55">
                  <w:pPr>
                    <w:pStyle w:val="TableBodyText"/>
                  </w:pPr>
                  <w:r w:rsidRPr="00A268D7">
                    <w:t xml:space="preserve"> 5 846</w:t>
                  </w:r>
                </w:p>
              </w:tc>
              <w:tc>
                <w:tcPr>
                  <w:tcW w:w="455" w:type="pct"/>
                </w:tcPr>
                <w:p w:rsidR="00393E55" w:rsidRPr="00A268D7" w:rsidRDefault="00393E55" w:rsidP="00393E55">
                  <w:pPr>
                    <w:pStyle w:val="TableBodyText"/>
                  </w:pPr>
                  <w:r w:rsidRPr="00A268D7">
                    <w:t xml:space="preserve"> 3 465</w:t>
                  </w:r>
                </w:p>
              </w:tc>
              <w:tc>
                <w:tcPr>
                  <w:tcW w:w="455" w:type="pct"/>
                </w:tcPr>
                <w:p w:rsidR="00393E55" w:rsidRPr="00A268D7" w:rsidRDefault="00393E55" w:rsidP="00393E55">
                  <w:pPr>
                    <w:pStyle w:val="TableBodyText"/>
                  </w:pPr>
                  <w:r w:rsidRPr="00A268D7">
                    <w:t>233</w:t>
                  </w:r>
                </w:p>
              </w:tc>
              <w:tc>
                <w:tcPr>
                  <w:tcW w:w="541" w:type="pct"/>
                </w:tcPr>
                <w:p w:rsidR="00393E55" w:rsidRPr="00A268D7" w:rsidRDefault="00393E55" w:rsidP="00393E55">
                  <w:pPr>
                    <w:pStyle w:val="TableBodyText"/>
                  </w:pPr>
                  <w:r w:rsidRPr="00A268D7">
                    <w:t xml:space="preserve"> 199 534</w:t>
                  </w:r>
                </w:p>
              </w:tc>
            </w:tr>
            <w:tr w:rsidR="00C13CC1" w:rsidRPr="00A268D7" w:rsidTr="00C13CC1">
              <w:trPr>
                <w:trHeight w:val="130"/>
              </w:trPr>
              <w:tc>
                <w:tcPr>
                  <w:tcW w:w="819" w:type="pct"/>
                  <w:vAlign w:val="center"/>
                </w:tcPr>
                <w:p w:rsidR="00C13CC1" w:rsidRPr="00A268D7" w:rsidRDefault="00C13CC1" w:rsidP="00F83558">
                  <w:pPr>
                    <w:pStyle w:val="TableUnitsRow"/>
                    <w:jc w:val="left"/>
                  </w:pPr>
                  <w:r w:rsidRPr="00A268D7">
                    <w:t xml:space="preserve">Denominator (‘000) </w:t>
                  </w:r>
                </w:p>
              </w:tc>
              <w:tc>
                <w:tcPr>
                  <w:tcW w:w="455" w:type="pct"/>
                </w:tcPr>
                <w:p w:rsidR="00C13CC1" w:rsidRPr="00A268D7" w:rsidRDefault="00C13CC1" w:rsidP="00C13CC1">
                  <w:pPr>
                    <w:pStyle w:val="TableBodyText"/>
                  </w:pPr>
                  <w:r w:rsidRPr="00A268D7">
                    <w:t>6</w:t>
                  </w:r>
                  <w:r w:rsidR="002F528D">
                    <w:t xml:space="preserve"> </w:t>
                  </w:r>
                  <w:r w:rsidRPr="00A268D7">
                    <w:t xml:space="preserve">330.5 </w:t>
                  </w:r>
                </w:p>
              </w:tc>
              <w:tc>
                <w:tcPr>
                  <w:tcW w:w="455" w:type="pct"/>
                </w:tcPr>
                <w:p w:rsidR="00C13CC1" w:rsidRPr="00A268D7" w:rsidRDefault="00C13CC1" w:rsidP="00C13CC1">
                  <w:pPr>
                    <w:pStyle w:val="TableBodyText"/>
                  </w:pPr>
                  <w:r w:rsidRPr="00A268D7">
                    <w:t>4</w:t>
                  </w:r>
                  <w:r w:rsidR="002F528D">
                    <w:t xml:space="preserve"> </w:t>
                  </w:r>
                  <w:r w:rsidRPr="00A268D7">
                    <w:t xml:space="preserve">971.4 </w:t>
                  </w:r>
                </w:p>
              </w:tc>
              <w:tc>
                <w:tcPr>
                  <w:tcW w:w="455" w:type="pct"/>
                  <w:tcBorders>
                    <w:right w:val="nil"/>
                  </w:tcBorders>
                  <w:shd w:val="clear" w:color="auto" w:fill="FFFFFF" w:themeFill="background1"/>
                </w:tcPr>
                <w:p w:rsidR="00C13CC1" w:rsidRPr="00A268D7" w:rsidRDefault="00C13CC1" w:rsidP="00C13CC1">
                  <w:pPr>
                    <w:pStyle w:val="TableBodyText"/>
                  </w:pPr>
                  <w:r w:rsidRPr="00A268D7">
                    <w:t>4</w:t>
                  </w:r>
                  <w:r w:rsidR="002F528D">
                    <w:t xml:space="preserve"> </w:t>
                  </w:r>
                  <w:r w:rsidRPr="00A268D7">
                    <w:t xml:space="preserve">042.4 </w:t>
                  </w:r>
                </w:p>
              </w:tc>
              <w:tc>
                <w:tcPr>
                  <w:tcW w:w="455" w:type="pct"/>
                  <w:tcBorders>
                    <w:right w:val="nil"/>
                  </w:tcBorders>
                  <w:shd w:val="clear" w:color="auto" w:fill="FFFFFF" w:themeFill="background1"/>
                </w:tcPr>
                <w:p w:rsidR="00C13CC1" w:rsidRPr="00A268D7" w:rsidRDefault="00C13CC1" w:rsidP="00C13CC1">
                  <w:pPr>
                    <w:pStyle w:val="TableBodyText"/>
                  </w:pPr>
                  <w:r w:rsidRPr="00A268D7">
                    <w:t>2</w:t>
                  </w:r>
                  <w:r w:rsidR="002F528D">
                    <w:t xml:space="preserve"> </w:t>
                  </w:r>
                  <w:r w:rsidRPr="00A268D7">
                    <w:t xml:space="preserve">236.1 </w:t>
                  </w:r>
                </w:p>
              </w:tc>
              <w:tc>
                <w:tcPr>
                  <w:tcW w:w="455" w:type="pct"/>
                  <w:tcBorders>
                    <w:left w:val="nil"/>
                  </w:tcBorders>
                  <w:shd w:val="clear" w:color="auto" w:fill="FFFFFF" w:themeFill="background1"/>
                </w:tcPr>
                <w:p w:rsidR="00C13CC1" w:rsidRPr="00A268D7" w:rsidRDefault="00C13CC1" w:rsidP="00C13CC1">
                  <w:pPr>
                    <w:pStyle w:val="TableBodyText"/>
                  </w:pPr>
                  <w:r w:rsidRPr="00A268D7">
                    <w:t>1</w:t>
                  </w:r>
                  <w:r w:rsidR="002F528D">
                    <w:t xml:space="preserve"> </w:t>
                  </w:r>
                  <w:r w:rsidRPr="00A268D7">
                    <w:t xml:space="preserve">393.9 </w:t>
                  </w:r>
                </w:p>
              </w:tc>
              <w:tc>
                <w:tcPr>
                  <w:tcW w:w="455" w:type="pct"/>
                  <w:tcBorders>
                    <w:left w:val="nil"/>
                  </w:tcBorders>
                </w:tcPr>
                <w:p w:rsidR="00C13CC1" w:rsidRPr="00A268D7" w:rsidRDefault="00C13CC1" w:rsidP="00C13CC1">
                  <w:pPr>
                    <w:pStyle w:val="TableBodyText"/>
                  </w:pPr>
                  <w:r w:rsidRPr="00A268D7">
                    <w:t xml:space="preserve">420.3 </w:t>
                  </w:r>
                </w:p>
              </w:tc>
              <w:tc>
                <w:tcPr>
                  <w:tcW w:w="455" w:type="pct"/>
                </w:tcPr>
                <w:p w:rsidR="00C13CC1" w:rsidRPr="00A268D7" w:rsidRDefault="00C13CC1" w:rsidP="00C13CC1">
                  <w:pPr>
                    <w:pStyle w:val="TableBodyText"/>
                  </w:pPr>
                  <w:r w:rsidRPr="00A268D7">
                    <w:t xml:space="preserve">340.0 </w:t>
                  </w:r>
                </w:p>
              </w:tc>
              <w:tc>
                <w:tcPr>
                  <w:tcW w:w="455" w:type="pct"/>
                </w:tcPr>
                <w:p w:rsidR="00C13CC1" w:rsidRPr="00A268D7" w:rsidRDefault="00C13CC1" w:rsidP="00C13CC1">
                  <w:pPr>
                    <w:pStyle w:val="TableBodyText"/>
                  </w:pPr>
                  <w:r w:rsidRPr="00A268D7">
                    <w:t xml:space="preserve">221.5 </w:t>
                  </w:r>
                </w:p>
              </w:tc>
              <w:tc>
                <w:tcPr>
                  <w:tcW w:w="541" w:type="pct"/>
                </w:tcPr>
                <w:p w:rsidR="00C13CC1" w:rsidRPr="00A268D7" w:rsidRDefault="00C13CC1" w:rsidP="00C13CC1">
                  <w:pPr>
                    <w:pStyle w:val="TableBodyText"/>
                  </w:pPr>
                  <w:r w:rsidRPr="00A268D7">
                    <w:t>19</w:t>
                  </w:r>
                  <w:r w:rsidR="002F528D">
                    <w:t xml:space="preserve"> </w:t>
                  </w:r>
                  <w:r w:rsidRPr="00A268D7">
                    <w:t xml:space="preserve">956.0 </w:t>
                  </w:r>
                </w:p>
              </w:tc>
            </w:tr>
            <w:tr w:rsidR="002F528D" w:rsidRPr="00022DFD" w:rsidTr="00003214">
              <w:trPr>
                <w:trHeight w:val="95"/>
              </w:trPr>
              <w:tc>
                <w:tcPr>
                  <w:tcW w:w="819" w:type="pct"/>
                  <w:tcBorders>
                    <w:bottom w:val="single" w:sz="4" w:space="0" w:color="BFBFBF"/>
                  </w:tcBorders>
                  <w:shd w:val="clear" w:color="auto" w:fill="auto"/>
                  <w:vAlign w:val="center"/>
                </w:tcPr>
                <w:p w:rsidR="002F528D" w:rsidRPr="00A268D7" w:rsidRDefault="002F528D" w:rsidP="00F7530C">
                  <w:pPr>
                    <w:pStyle w:val="TableUnitsRow"/>
                    <w:jc w:val="left"/>
                    <w:rPr>
                      <w:b/>
                    </w:rPr>
                  </w:pPr>
                  <w:r w:rsidRPr="00A268D7">
                    <w:rPr>
                      <w:b/>
                    </w:rPr>
                    <w:t xml:space="preserve">Rate per </w:t>
                  </w:r>
                  <w:r w:rsidR="0026494E">
                    <w:rPr>
                      <w:b/>
                    </w:rPr>
                    <w:t>1000 population</w:t>
                  </w:r>
                </w:p>
              </w:tc>
              <w:tc>
                <w:tcPr>
                  <w:tcW w:w="455" w:type="pct"/>
                  <w:tcBorders>
                    <w:bottom w:val="single" w:sz="4" w:space="0" w:color="BFBFBF"/>
                  </w:tcBorders>
                  <w:shd w:val="clear" w:color="auto" w:fill="auto"/>
                </w:tcPr>
                <w:p w:rsidR="002F528D" w:rsidRPr="002F528D" w:rsidRDefault="002F528D" w:rsidP="002F528D">
                  <w:pPr>
                    <w:pStyle w:val="TableBodyText"/>
                    <w:rPr>
                      <w:b/>
                    </w:rPr>
                  </w:pPr>
                  <w:r w:rsidRPr="002F528D">
                    <w:rPr>
                      <w:b/>
                    </w:rPr>
                    <w:t>7.9</w:t>
                  </w:r>
                </w:p>
              </w:tc>
              <w:tc>
                <w:tcPr>
                  <w:tcW w:w="455" w:type="pct"/>
                  <w:tcBorders>
                    <w:bottom w:val="single" w:sz="4" w:space="0" w:color="BFBFBF"/>
                  </w:tcBorders>
                  <w:shd w:val="clear" w:color="auto" w:fill="auto"/>
                </w:tcPr>
                <w:p w:rsidR="002F528D" w:rsidRPr="002F528D" w:rsidRDefault="002F528D" w:rsidP="002F528D">
                  <w:pPr>
                    <w:pStyle w:val="TableBodyText"/>
                    <w:rPr>
                      <w:b/>
                    </w:rPr>
                  </w:pPr>
                  <w:r w:rsidRPr="002F528D">
                    <w:rPr>
                      <w:b/>
                    </w:rPr>
                    <w:t>14.0</w:t>
                  </w:r>
                </w:p>
              </w:tc>
              <w:tc>
                <w:tcPr>
                  <w:tcW w:w="455" w:type="pct"/>
                  <w:tcBorders>
                    <w:bottom w:val="single" w:sz="4" w:space="0" w:color="BFBFBF"/>
                    <w:right w:val="nil"/>
                  </w:tcBorders>
                  <w:shd w:val="clear" w:color="auto" w:fill="auto"/>
                </w:tcPr>
                <w:p w:rsidR="002F528D" w:rsidRPr="002F528D" w:rsidRDefault="002F528D" w:rsidP="002F528D">
                  <w:pPr>
                    <w:pStyle w:val="TableBodyText"/>
                    <w:rPr>
                      <w:b/>
                    </w:rPr>
                  </w:pPr>
                  <w:r w:rsidRPr="002F528D">
                    <w:rPr>
                      <w:b/>
                    </w:rPr>
                    <w:t>9.2</w:t>
                  </w:r>
                </w:p>
              </w:tc>
              <w:tc>
                <w:tcPr>
                  <w:tcW w:w="455" w:type="pct"/>
                  <w:tcBorders>
                    <w:bottom w:val="single" w:sz="4" w:space="0" w:color="BFBFBF"/>
                    <w:right w:val="nil"/>
                  </w:tcBorders>
                  <w:shd w:val="clear" w:color="auto" w:fill="auto"/>
                </w:tcPr>
                <w:p w:rsidR="002F528D" w:rsidRPr="002F528D" w:rsidRDefault="002F528D" w:rsidP="002F528D">
                  <w:pPr>
                    <w:pStyle w:val="TableBodyText"/>
                    <w:rPr>
                      <w:b/>
                    </w:rPr>
                  </w:pPr>
                  <w:r w:rsidRPr="002F528D">
                    <w:rPr>
                      <w:b/>
                    </w:rPr>
                    <w:t>6.3</w:t>
                  </w:r>
                </w:p>
              </w:tc>
              <w:tc>
                <w:tcPr>
                  <w:tcW w:w="455" w:type="pct"/>
                  <w:tcBorders>
                    <w:left w:val="nil"/>
                    <w:bottom w:val="single" w:sz="4" w:space="0" w:color="BFBFBF"/>
                  </w:tcBorders>
                  <w:shd w:val="clear" w:color="auto" w:fill="auto"/>
                </w:tcPr>
                <w:p w:rsidR="002F528D" w:rsidRPr="002F528D" w:rsidRDefault="002F528D" w:rsidP="002F528D">
                  <w:pPr>
                    <w:pStyle w:val="TableBodyText"/>
                    <w:rPr>
                      <w:b/>
                    </w:rPr>
                  </w:pPr>
                  <w:r w:rsidRPr="002F528D">
                    <w:rPr>
                      <w:b/>
                    </w:rPr>
                    <w:t>14.0</w:t>
                  </w:r>
                </w:p>
              </w:tc>
              <w:tc>
                <w:tcPr>
                  <w:tcW w:w="455" w:type="pct"/>
                  <w:tcBorders>
                    <w:left w:val="nil"/>
                    <w:bottom w:val="single" w:sz="4" w:space="0" w:color="BFBFBF"/>
                  </w:tcBorders>
                  <w:shd w:val="clear" w:color="auto" w:fill="auto"/>
                </w:tcPr>
                <w:p w:rsidR="002F528D" w:rsidRPr="002F528D" w:rsidRDefault="002F528D" w:rsidP="002F528D">
                  <w:pPr>
                    <w:pStyle w:val="TableBodyText"/>
                    <w:rPr>
                      <w:b/>
                    </w:rPr>
                  </w:pPr>
                  <w:r w:rsidRPr="002F528D">
                    <w:rPr>
                      <w:b/>
                    </w:rPr>
                    <w:t>13.9</w:t>
                  </w:r>
                </w:p>
              </w:tc>
              <w:tc>
                <w:tcPr>
                  <w:tcW w:w="455" w:type="pct"/>
                  <w:tcBorders>
                    <w:bottom w:val="single" w:sz="4" w:space="0" w:color="BFBFBF"/>
                  </w:tcBorders>
                  <w:shd w:val="clear" w:color="auto" w:fill="auto"/>
                </w:tcPr>
                <w:p w:rsidR="002F528D" w:rsidRPr="002F528D" w:rsidRDefault="002F528D" w:rsidP="002F528D">
                  <w:pPr>
                    <w:pStyle w:val="TableBodyText"/>
                    <w:rPr>
                      <w:b/>
                    </w:rPr>
                  </w:pPr>
                  <w:r w:rsidRPr="002F528D">
                    <w:rPr>
                      <w:b/>
                    </w:rPr>
                    <w:t>10.2</w:t>
                  </w:r>
                </w:p>
              </w:tc>
              <w:tc>
                <w:tcPr>
                  <w:tcW w:w="455" w:type="pct"/>
                  <w:tcBorders>
                    <w:bottom w:val="single" w:sz="4" w:space="0" w:color="BFBFBF"/>
                  </w:tcBorders>
                  <w:shd w:val="clear" w:color="auto" w:fill="auto"/>
                </w:tcPr>
                <w:p w:rsidR="002F528D" w:rsidRPr="002F528D" w:rsidRDefault="002F528D" w:rsidP="002F528D">
                  <w:pPr>
                    <w:pStyle w:val="TableBodyText"/>
                    <w:rPr>
                      <w:b/>
                    </w:rPr>
                  </w:pPr>
                  <w:r w:rsidRPr="002F528D">
                    <w:rPr>
                      <w:b/>
                    </w:rPr>
                    <w:t>1.1</w:t>
                  </w:r>
                </w:p>
              </w:tc>
              <w:tc>
                <w:tcPr>
                  <w:tcW w:w="541" w:type="pct"/>
                  <w:tcBorders>
                    <w:bottom w:val="single" w:sz="4" w:space="0" w:color="BFBFBF"/>
                  </w:tcBorders>
                  <w:shd w:val="clear" w:color="auto" w:fill="auto"/>
                </w:tcPr>
                <w:p w:rsidR="002F528D" w:rsidRPr="002F528D" w:rsidRDefault="002F528D" w:rsidP="002F528D">
                  <w:pPr>
                    <w:pStyle w:val="TableBodyText"/>
                    <w:rPr>
                      <w:b/>
                    </w:rPr>
                  </w:pPr>
                  <w:r w:rsidRPr="002F528D">
                    <w:rPr>
                      <w:b/>
                    </w:rPr>
                    <w:t>10.0</w:t>
                  </w:r>
                </w:p>
              </w:tc>
            </w:tr>
          </w:tbl>
          <w:p w:rsidR="007371B0" w:rsidRPr="00022DFD" w:rsidRDefault="007371B0" w:rsidP="00F7530C">
            <w:pPr>
              <w:pStyle w:val="Box"/>
            </w:pPr>
          </w:p>
        </w:tc>
      </w:tr>
      <w:tr w:rsidR="007371B0" w:rsidRPr="00022DFD" w:rsidTr="00F7530C">
        <w:trPr>
          <w:cantSplit/>
        </w:trPr>
        <w:tc>
          <w:tcPr>
            <w:tcW w:w="8771" w:type="dxa"/>
            <w:tcBorders>
              <w:top w:val="nil"/>
              <w:left w:val="nil"/>
              <w:bottom w:val="nil"/>
              <w:right w:val="nil"/>
            </w:tcBorders>
            <w:shd w:val="clear" w:color="auto" w:fill="auto"/>
          </w:tcPr>
          <w:p w:rsidR="007371B0" w:rsidRPr="00D841E9" w:rsidRDefault="007371B0" w:rsidP="000D69D9">
            <w:pPr>
              <w:pStyle w:val="Note"/>
            </w:pPr>
            <w:r w:rsidRPr="00D841E9">
              <w:rPr>
                <w:rStyle w:val="NoteLabel"/>
              </w:rPr>
              <w:t>a</w:t>
            </w:r>
            <w:r w:rsidRPr="00D841E9">
              <w:t xml:space="preserve"> </w:t>
            </w:r>
            <w:r w:rsidR="00393E55" w:rsidRPr="00D841E9">
              <w:t>See table</w:t>
            </w:r>
            <w:r w:rsidR="005547FD">
              <w:t> </w:t>
            </w:r>
            <w:r w:rsidR="00877CCC" w:rsidRPr="00D841E9">
              <w:t>14A.</w:t>
            </w:r>
            <w:r w:rsidR="00393E55" w:rsidRPr="00D841E9">
              <w:t>14</w:t>
            </w:r>
            <w:r w:rsidR="000D69D9">
              <w:t>9</w:t>
            </w:r>
            <w:r w:rsidR="00150D0A" w:rsidRPr="00D841E9">
              <w:t xml:space="preserve"> for detailed </w:t>
            </w:r>
            <w:r w:rsidR="003D7F75" w:rsidRPr="00D841E9">
              <w:t>definitions, footnotes and caveats</w:t>
            </w:r>
            <w:r w:rsidR="00150D0A" w:rsidRPr="00D841E9">
              <w:t>.</w:t>
            </w:r>
          </w:p>
        </w:tc>
      </w:tr>
      <w:tr w:rsidR="007371B0" w:rsidRPr="00022DFD" w:rsidTr="00F7530C">
        <w:trPr>
          <w:cantSplit/>
        </w:trPr>
        <w:tc>
          <w:tcPr>
            <w:tcW w:w="8771" w:type="dxa"/>
            <w:tcBorders>
              <w:top w:val="nil"/>
              <w:left w:val="nil"/>
              <w:bottom w:val="nil"/>
              <w:right w:val="nil"/>
            </w:tcBorders>
            <w:shd w:val="clear" w:color="auto" w:fill="auto"/>
          </w:tcPr>
          <w:p w:rsidR="007371B0" w:rsidRPr="00D841E9" w:rsidRDefault="007371B0" w:rsidP="000D69D9">
            <w:pPr>
              <w:pStyle w:val="Source"/>
            </w:pPr>
            <w:r w:rsidRPr="00D841E9">
              <w:rPr>
                <w:i/>
              </w:rPr>
              <w:t>Source</w:t>
            </w:r>
            <w:r w:rsidRPr="00D841E9">
              <w:t>: DSS (unpublished) HACC MDS 201</w:t>
            </w:r>
            <w:r w:rsidR="00022DFD" w:rsidRPr="00D841E9">
              <w:t>4</w:t>
            </w:r>
            <w:r w:rsidRPr="00D841E9">
              <w:noBreakHyphen/>
              <w:t>1</w:t>
            </w:r>
            <w:r w:rsidR="00022DFD" w:rsidRPr="00D841E9">
              <w:t>5</w:t>
            </w:r>
            <w:r w:rsidRPr="00D841E9">
              <w:t>; table</w:t>
            </w:r>
            <w:r w:rsidR="00086254" w:rsidRPr="00D841E9">
              <w:t> 14A.14</w:t>
            </w:r>
            <w:r w:rsidR="000D69D9">
              <w:t>9</w:t>
            </w:r>
            <w:r w:rsidR="00086254" w:rsidRPr="00D841E9">
              <w:t>.</w:t>
            </w:r>
          </w:p>
        </w:tc>
      </w:tr>
      <w:tr w:rsidR="007371B0" w:rsidRPr="00022DFD" w:rsidTr="00F7530C">
        <w:trPr>
          <w:cantSplit/>
        </w:trPr>
        <w:tc>
          <w:tcPr>
            <w:tcW w:w="8771" w:type="dxa"/>
            <w:tcBorders>
              <w:top w:val="nil"/>
              <w:left w:val="nil"/>
              <w:bottom w:val="single" w:sz="6" w:space="0" w:color="78A22F"/>
              <w:right w:val="nil"/>
            </w:tcBorders>
            <w:shd w:val="clear" w:color="auto" w:fill="auto"/>
          </w:tcPr>
          <w:p w:rsidR="007371B0" w:rsidRPr="00022DFD" w:rsidRDefault="007371B0" w:rsidP="00F7530C">
            <w:pPr>
              <w:pStyle w:val="Box"/>
              <w:spacing w:before="0" w:line="120" w:lineRule="exact"/>
            </w:pPr>
          </w:p>
        </w:tc>
      </w:tr>
      <w:tr w:rsidR="007371B0" w:rsidRPr="00022DFD" w:rsidTr="00F7530C">
        <w:tc>
          <w:tcPr>
            <w:tcW w:w="8771" w:type="dxa"/>
            <w:tcBorders>
              <w:top w:val="single" w:sz="6" w:space="0" w:color="78A22F"/>
              <w:left w:val="nil"/>
              <w:bottom w:val="nil"/>
              <w:right w:val="nil"/>
            </w:tcBorders>
          </w:tcPr>
          <w:p w:rsidR="007371B0" w:rsidRPr="00022DFD" w:rsidRDefault="007371B0" w:rsidP="00F7530C">
            <w:pPr>
              <w:pStyle w:val="BoxSpaceBelow"/>
            </w:pPr>
          </w:p>
        </w:tc>
      </w:tr>
    </w:tbl>
    <w:p w:rsidR="001E28AE" w:rsidRPr="00133E61" w:rsidRDefault="00D65A47" w:rsidP="00626A1F">
      <w:pPr>
        <w:pStyle w:val="BodyText"/>
      </w:pPr>
      <w:r w:rsidRPr="00133E61">
        <w:t>Data</w:t>
      </w:r>
      <w:r w:rsidR="001E28AE" w:rsidRPr="00133E61">
        <w:t xml:space="preserve"> on BCC services received by people aged under 65 years and </w:t>
      </w:r>
      <w:r w:rsidR="00904E97" w:rsidRPr="00133E61">
        <w:t xml:space="preserve">Aboriginal and Torres Strait </w:t>
      </w:r>
      <w:r w:rsidR="00C21DBC" w:rsidRPr="00133E61">
        <w:t>Islander people</w:t>
      </w:r>
      <w:r w:rsidR="001E28AE" w:rsidRPr="00133E61">
        <w:t xml:space="preserve"> aged under 50 years are </w:t>
      </w:r>
      <w:r w:rsidRPr="00133E61">
        <w:t xml:space="preserve">also </w:t>
      </w:r>
      <w:r w:rsidR="001E28AE" w:rsidRPr="00133E61">
        <w:t>available by geographical location</w:t>
      </w:r>
      <w:r w:rsidR="00E70BF9" w:rsidRPr="00133E61">
        <w:t xml:space="preserve"> </w:t>
      </w:r>
      <w:r w:rsidR="001E28AE" w:rsidRPr="00133E61">
        <w:t>(tables 14A.</w:t>
      </w:r>
      <w:r w:rsidR="00086254">
        <w:t>1</w:t>
      </w:r>
      <w:r w:rsidR="004E5CBA">
        <w:t>4</w:t>
      </w:r>
      <w:r w:rsidR="000D69D9">
        <w:t>3</w:t>
      </w:r>
      <w:r w:rsidR="001E28AE" w:rsidRPr="00133E61">
        <w:t>−</w:t>
      </w:r>
      <w:r w:rsidR="0095697E" w:rsidRPr="00133E61">
        <w:t>1</w:t>
      </w:r>
      <w:r w:rsidR="004E5CBA">
        <w:t>4</w:t>
      </w:r>
      <w:r w:rsidR="000D69D9">
        <w:t>8</w:t>
      </w:r>
      <w:r w:rsidR="001E28AE" w:rsidRPr="00133E61">
        <w:t>).</w:t>
      </w:r>
    </w:p>
    <w:p w:rsidR="001F39F2" w:rsidRPr="00133E61" w:rsidRDefault="00321568" w:rsidP="00585E2C">
      <w:pPr>
        <w:pStyle w:val="Heading2"/>
      </w:pPr>
      <w:bookmarkStart w:id="17" w:name="_Toc248563903"/>
      <w:bookmarkStart w:id="18" w:name="_Toc397527174"/>
      <w:bookmarkStart w:id="19" w:name="_Toc432512537"/>
      <w:r w:rsidRPr="00133E61">
        <w:t>14.</w:t>
      </w:r>
      <w:r w:rsidR="004B691F">
        <w:rPr>
          <w:noProof/>
        </w:rPr>
        <w:t>2</w:t>
      </w:r>
      <w:r w:rsidR="001F39F2" w:rsidRPr="00133E61">
        <w:tab/>
        <w:t>Framework of performance indicators</w:t>
      </w:r>
      <w:bookmarkEnd w:id="17"/>
      <w:bookmarkEnd w:id="18"/>
      <w:bookmarkEnd w:id="19"/>
    </w:p>
    <w:p w:rsidR="001F39F2" w:rsidRPr="00133E61" w:rsidRDefault="001F39F2" w:rsidP="00585E2C">
      <w:pPr>
        <w:pStyle w:val="BodyText"/>
      </w:pPr>
      <w:r w:rsidRPr="00133E61">
        <w:t xml:space="preserve">The framework </w:t>
      </w:r>
      <w:r w:rsidR="00C869F8" w:rsidRPr="00133E61">
        <w:t>of performance</w:t>
      </w:r>
      <w:r w:rsidRPr="00133E61">
        <w:t xml:space="preserve"> indicators reflect</w:t>
      </w:r>
      <w:r w:rsidR="00BE12BE">
        <w:t>s</w:t>
      </w:r>
      <w:r w:rsidRPr="00133E61">
        <w:t xml:space="preserve"> governments’ shared objectives and priorities under the NDA</w:t>
      </w:r>
      <w:r w:rsidR="00C869F8" w:rsidRPr="00133E61">
        <w:t xml:space="preserve"> </w:t>
      </w:r>
      <w:r w:rsidRPr="00133E61">
        <w:t>(box</w:t>
      </w:r>
      <w:r w:rsidR="00AE3578" w:rsidRPr="00133E61">
        <w:t> </w:t>
      </w:r>
      <w:r w:rsidRPr="00133E61">
        <w:t>14.</w:t>
      </w:r>
      <w:r w:rsidR="00651C61">
        <w:t>5</w:t>
      </w:r>
      <w:r w:rsidRPr="00133E61">
        <w:t xml:space="preserve">). </w:t>
      </w:r>
    </w:p>
    <w:p w:rsidR="00022DFD" w:rsidRPr="00B86C20" w:rsidRDefault="00022DFD" w:rsidP="00022DFD">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75D3" w:rsidRPr="00133E61" w:rsidTr="00C827D5">
        <w:tc>
          <w:tcPr>
            <w:tcW w:w="8771" w:type="dxa"/>
            <w:tcBorders>
              <w:top w:val="single" w:sz="6" w:space="0" w:color="78A22F"/>
              <w:left w:val="nil"/>
              <w:bottom w:val="nil"/>
              <w:right w:val="nil"/>
            </w:tcBorders>
            <w:shd w:val="clear" w:color="auto" w:fill="F2F2F2"/>
          </w:tcPr>
          <w:p w:rsidR="006875D3" w:rsidRPr="00133E61" w:rsidRDefault="006875D3" w:rsidP="006875D3">
            <w:pPr>
              <w:pStyle w:val="BoxTitle"/>
            </w:pPr>
            <w:r w:rsidRPr="00133E61">
              <w:rPr>
                <w:b w:val="0"/>
              </w:rPr>
              <w:t xml:space="preserve">Box </w:t>
            </w:r>
            <w:r w:rsidR="00321568" w:rsidRPr="00133E61">
              <w:rPr>
                <w:b w:val="0"/>
              </w:rPr>
              <w:t>14.</w:t>
            </w:r>
            <w:r w:rsidR="004B691F">
              <w:rPr>
                <w:b w:val="0"/>
                <w:noProof/>
              </w:rPr>
              <w:t>5</w:t>
            </w:r>
            <w:r w:rsidRPr="00133E61">
              <w:tab/>
              <w:t xml:space="preserve">Objectives of government funded services for people with disability </w:t>
            </w:r>
          </w:p>
        </w:tc>
      </w:tr>
      <w:tr w:rsidR="006875D3" w:rsidRPr="00133E61" w:rsidTr="00C827D5">
        <w:trPr>
          <w:cantSplit/>
        </w:trPr>
        <w:tc>
          <w:tcPr>
            <w:tcW w:w="8771" w:type="dxa"/>
            <w:tcBorders>
              <w:top w:val="nil"/>
              <w:left w:val="nil"/>
              <w:bottom w:val="nil"/>
              <w:right w:val="nil"/>
            </w:tcBorders>
            <w:shd w:val="clear" w:color="auto" w:fill="F2F2F2"/>
          </w:tcPr>
          <w:p w:rsidR="006875D3" w:rsidRPr="00133E61" w:rsidRDefault="006875D3" w:rsidP="006875D3">
            <w:pPr>
              <w:pStyle w:val="Box"/>
            </w:pPr>
            <w:r w:rsidRPr="00133E61">
              <w:rPr>
                <w:szCs w:val="22"/>
              </w:rPr>
              <w:t xml:space="preserve">The </w:t>
            </w:r>
            <w:r w:rsidRPr="00133E61">
              <w:t>long</w:t>
            </w:r>
            <w:r w:rsidR="00B84AF2" w:rsidRPr="00133E61">
              <w:noBreakHyphen/>
            </w:r>
            <w:r w:rsidRPr="00133E61">
              <w:t>term objective</w:t>
            </w:r>
            <w:r w:rsidRPr="00133E61">
              <w:rPr>
                <w:szCs w:val="22"/>
              </w:rPr>
              <w:t xml:space="preserve"> under the NDA is</w:t>
            </w:r>
            <w:r w:rsidR="00445BD4" w:rsidRPr="00133E61">
              <w:rPr>
                <w:szCs w:val="22"/>
              </w:rPr>
              <w:t xml:space="preserve"> that</w:t>
            </w:r>
            <w:r w:rsidRPr="00133E61">
              <w:t>:</w:t>
            </w:r>
          </w:p>
          <w:p w:rsidR="006875D3" w:rsidRPr="00133E61" w:rsidRDefault="006875D3" w:rsidP="006875D3">
            <w:pPr>
              <w:pStyle w:val="BoxQuote"/>
              <w:rPr>
                <w:rStyle w:val="BoxQuoteChar"/>
              </w:rPr>
            </w:pPr>
            <w:r w:rsidRPr="00133E61">
              <w:rPr>
                <w:rStyle w:val="BoxQuoteChar"/>
              </w:rPr>
              <w:t xml:space="preserve">People with disability and their carers have an enhanced quality of life and participate as valued members of the community. </w:t>
            </w:r>
          </w:p>
          <w:p w:rsidR="006875D3" w:rsidRPr="00133E61" w:rsidRDefault="006875D3" w:rsidP="006875D3">
            <w:pPr>
              <w:pStyle w:val="Box"/>
            </w:pPr>
            <w:r w:rsidRPr="00133E61">
              <w:t xml:space="preserve">All aspects of the NDA contribute to or measure progress towards this objective. </w:t>
            </w:r>
            <w:r w:rsidRPr="00133E61">
              <w:rPr>
                <w:szCs w:val="22"/>
              </w:rPr>
              <w:t>The objective is enhanced by three specific outcomes as well as a set of revised priority reform areas (outlined in box</w:t>
            </w:r>
            <w:r w:rsidR="00AE3578" w:rsidRPr="00133E61">
              <w:rPr>
                <w:szCs w:val="22"/>
              </w:rPr>
              <w:t> </w:t>
            </w:r>
            <w:r w:rsidRPr="00133E61">
              <w:rPr>
                <w:szCs w:val="22"/>
              </w:rPr>
              <w:t xml:space="preserve">14.1). </w:t>
            </w:r>
            <w:r w:rsidRPr="00133E61">
              <w:t>The outcomes are that:</w:t>
            </w:r>
          </w:p>
          <w:p w:rsidR="006875D3" w:rsidRPr="00133E61" w:rsidRDefault="006875D3" w:rsidP="006875D3">
            <w:pPr>
              <w:pStyle w:val="BoxListBullet"/>
            </w:pPr>
            <w:r w:rsidRPr="00133E61">
              <w:t>people with disability achieve economic participation and social inclusion</w:t>
            </w:r>
          </w:p>
          <w:p w:rsidR="006875D3" w:rsidRPr="00133E61" w:rsidRDefault="006875D3" w:rsidP="006875D3">
            <w:pPr>
              <w:pStyle w:val="BoxListBullet"/>
            </w:pPr>
            <w:r w:rsidRPr="00133E61">
              <w:t>people with disability enjoy choice, wellbeing and the opportunity to live as independently as possible</w:t>
            </w:r>
          </w:p>
          <w:p w:rsidR="006875D3" w:rsidRPr="00133E61" w:rsidRDefault="006875D3" w:rsidP="006875D3">
            <w:pPr>
              <w:pStyle w:val="BoxListBullet"/>
            </w:pPr>
            <w:r w:rsidRPr="00133E61">
              <w:t>families and carers are well supported.</w:t>
            </w:r>
          </w:p>
          <w:p w:rsidR="006875D3" w:rsidRPr="00133E61" w:rsidRDefault="006875D3" w:rsidP="006875D3">
            <w:pPr>
              <w:pStyle w:val="Box"/>
            </w:pPr>
            <w:r w:rsidRPr="00133E61">
              <w:t>In support of the agreed NDA outcomes, governments will contribute to the following outputs:</w:t>
            </w:r>
          </w:p>
          <w:p w:rsidR="006875D3" w:rsidRPr="00133E61" w:rsidRDefault="006875D3" w:rsidP="006875D3">
            <w:pPr>
              <w:pStyle w:val="BoxListBullet"/>
            </w:pPr>
            <w:r w:rsidRPr="00133E61">
              <w:t>services that provide skills and support to people with disability to enable them to live as independently as possible</w:t>
            </w:r>
          </w:p>
          <w:p w:rsidR="006875D3" w:rsidRPr="00133E61" w:rsidRDefault="006875D3" w:rsidP="006875D3">
            <w:pPr>
              <w:pStyle w:val="BoxListBullet"/>
            </w:pPr>
            <w:r w:rsidRPr="00133E61">
              <w:t xml:space="preserve">services that assist people with disability to live in stable and sustainable living arrangements </w:t>
            </w:r>
          </w:p>
          <w:p w:rsidR="006875D3" w:rsidRPr="00133E61" w:rsidRDefault="006875D3" w:rsidP="006875D3">
            <w:pPr>
              <w:pStyle w:val="BoxListBullet"/>
            </w:pPr>
            <w:r w:rsidRPr="00133E61">
              <w:t>income support for people with disability and their carers</w:t>
            </w:r>
          </w:p>
          <w:p w:rsidR="006875D3" w:rsidRPr="00133E61" w:rsidRDefault="006875D3" w:rsidP="006875D3">
            <w:pPr>
              <w:pStyle w:val="BoxListBullet"/>
            </w:pPr>
            <w:r w:rsidRPr="00133E61">
              <w:t>services that assist families and carers in their caring role</w:t>
            </w:r>
          </w:p>
        </w:tc>
      </w:tr>
      <w:tr w:rsidR="006875D3" w:rsidRPr="00133E61" w:rsidTr="00C827D5">
        <w:trPr>
          <w:cantSplit/>
        </w:trPr>
        <w:tc>
          <w:tcPr>
            <w:tcW w:w="8771" w:type="dxa"/>
            <w:tcBorders>
              <w:top w:val="nil"/>
              <w:left w:val="nil"/>
              <w:bottom w:val="nil"/>
              <w:right w:val="nil"/>
            </w:tcBorders>
            <w:shd w:val="clear" w:color="auto" w:fill="F2F2F2"/>
          </w:tcPr>
          <w:p w:rsidR="006875D3" w:rsidRPr="00133E61" w:rsidRDefault="006875D3" w:rsidP="00D65A47">
            <w:pPr>
              <w:pStyle w:val="BoxSource"/>
              <w:ind w:left="120" w:hanging="120"/>
            </w:pPr>
            <w:r w:rsidRPr="00133E61">
              <w:rPr>
                <w:i/>
              </w:rPr>
              <w:t>Source</w:t>
            </w:r>
            <w:r w:rsidRPr="00133E61">
              <w:t>:</w:t>
            </w:r>
            <w:r w:rsidRPr="00133E61">
              <w:rPr>
                <w:i/>
              </w:rPr>
              <w:t xml:space="preserve"> </w:t>
            </w:r>
            <w:r w:rsidRPr="00133E61">
              <w:t>COAG (2012</w:t>
            </w:r>
            <w:r w:rsidR="00325E2A">
              <w:t>a</w:t>
            </w:r>
            <w:r w:rsidRPr="00133E61">
              <w:t>).</w:t>
            </w:r>
          </w:p>
        </w:tc>
      </w:tr>
      <w:tr w:rsidR="006875D3" w:rsidRPr="00133E61" w:rsidTr="00C827D5">
        <w:trPr>
          <w:cantSplit/>
        </w:trPr>
        <w:tc>
          <w:tcPr>
            <w:tcW w:w="8771" w:type="dxa"/>
            <w:tcBorders>
              <w:top w:val="nil"/>
              <w:left w:val="nil"/>
              <w:bottom w:val="single" w:sz="6" w:space="0" w:color="78A22F"/>
              <w:right w:val="nil"/>
            </w:tcBorders>
            <w:shd w:val="clear" w:color="auto" w:fill="F2F2F2"/>
          </w:tcPr>
          <w:p w:rsidR="006875D3" w:rsidRPr="00133E61" w:rsidRDefault="006875D3">
            <w:pPr>
              <w:pStyle w:val="Box"/>
              <w:spacing w:before="0" w:line="120" w:lineRule="exact"/>
            </w:pPr>
          </w:p>
        </w:tc>
      </w:tr>
      <w:tr w:rsidR="00DD31C3" w:rsidRPr="00133E61" w:rsidTr="00C827D5">
        <w:tc>
          <w:tcPr>
            <w:tcW w:w="8771" w:type="dxa"/>
            <w:tcBorders>
              <w:top w:val="single" w:sz="6" w:space="0" w:color="78A22F"/>
              <w:left w:val="nil"/>
              <w:bottom w:val="nil"/>
              <w:right w:val="nil"/>
            </w:tcBorders>
          </w:tcPr>
          <w:p w:rsidR="006875D3" w:rsidRPr="00133E61" w:rsidRDefault="006875D3" w:rsidP="00C827D5">
            <w:pPr>
              <w:pStyle w:val="BoxSpaceBelow"/>
            </w:pPr>
          </w:p>
        </w:tc>
      </w:tr>
    </w:tbl>
    <w:p w:rsidR="001F39F2" w:rsidRPr="00BB0CBB" w:rsidRDefault="001F39F2" w:rsidP="00585E2C">
      <w:pPr>
        <w:pStyle w:val="BodyText"/>
      </w:pPr>
      <w:r w:rsidRPr="00BB0CBB">
        <w:t xml:space="preserve">The performance indicator framework provides information on equity, efficiency and effectiveness, and distinguishes </w:t>
      </w:r>
      <w:r w:rsidR="00DB2B7E">
        <w:t xml:space="preserve">the </w:t>
      </w:r>
      <w:r w:rsidRPr="00BB0CBB">
        <w:t>outputs and outcomes of services for people with disability (figure</w:t>
      </w:r>
      <w:r w:rsidR="00AE3578" w:rsidRPr="00BB0CBB">
        <w:t> </w:t>
      </w:r>
      <w:r w:rsidR="00381116">
        <w:t>14.</w:t>
      </w:r>
      <w:r w:rsidR="00F61907">
        <w:t>5</w:t>
      </w:r>
      <w:r w:rsidRPr="00BB0CBB">
        <w:t xml:space="preserve">). </w:t>
      </w:r>
      <w:r w:rsidR="00E62ED5" w:rsidRPr="00BB0CBB">
        <w:t>The performance indicator framework shows which data are complete and comparable in the 2016 Report.</w:t>
      </w:r>
      <w:r w:rsidRPr="00BB0CBB">
        <w:t xml:space="preserve"> </w:t>
      </w:r>
      <w:r w:rsidR="00E62ED5" w:rsidRPr="00BB0CBB">
        <w:t>For data that are not considered directly comparable, text includes relevant caveats and supporting commentary. Chapter 1 discusses data comparability and data completeness from a Report</w:t>
      </w:r>
      <w:r w:rsidR="00E62ED5" w:rsidRPr="00BB0CBB">
        <w:noBreakHyphen/>
        <w:t>wide perspective (section 1.6).</w:t>
      </w:r>
    </w:p>
    <w:p w:rsidR="00802A7D" w:rsidRPr="00133E61" w:rsidRDefault="00F67C18" w:rsidP="00802A7D">
      <w:pPr>
        <w:spacing w:before="240" w:line="320" w:lineRule="atLeast"/>
        <w:jc w:val="both"/>
        <w:rPr>
          <w:szCs w:val="20"/>
        </w:rPr>
      </w:pPr>
      <w:r w:rsidRPr="00133E61">
        <w:rPr>
          <w:szCs w:val="26"/>
        </w:rPr>
        <w:t>In addition to section</w:t>
      </w:r>
      <w:r w:rsidR="005547FD">
        <w:rPr>
          <w:szCs w:val="26"/>
        </w:rPr>
        <w:t> </w:t>
      </w:r>
      <w:r w:rsidR="00381116">
        <w:rPr>
          <w:szCs w:val="26"/>
        </w:rPr>
        <w:t>14</w:t>
      </w:r>
      <w:r w:rsidRPr="00133E61">
        <w:rPr>
          <w:szCs w:val="26"/>
        </w:rPr>
        <w:t xml:space="preserve">.1, the </w:t>
      </w:r>
      <w:r w:rsidR="00802A7D" w:rsidRPr="00133E61">
        <w:rPr>
          <w:szCs w:val="26"/>
        </w:rPr>
        <w:t>Report’s statistical context chapter contains data that may assist in interpreting the performance indicators presented in this chapter. These data cover a range of demographic and geographic characteristics (chapter</w:t>
      </w:r>
      <w:r w:rsidR="005547FD">
        <w:rPr>
          <w:szCs w:val="26"/>
        </w:rPr>
        <w:t> </w:t>
      </w:r>
      <w:r w:rsidR="00802A7D" w:rsidRPr="00133E61">
        <w:rPr>
          <w:szCs w:val="26"/>
        </w:rPr>
        <w:t>2).</w:t>
      </w:r>
    </w:p>
    <w:p w:rsidR="00022DFD" w:rsidRPr="00B86C20" w:rsidRDefault="00022DFD" w:rsidP="00022DFD">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6FE4" w:rsidRPr="00133E61" w:rsidTr="00730EA6">
        <w:tc>
          <w:tcPr>
            <w:tcW w:w="8771" w:type="dxa"/>
            <w:tcBorders>
              <w:top w:val="single" w:sz="6" w:space="0" w:color="78A22F"/>
              <w:left w:val="nil"/>
              <w:bottom w:val="nil"/>
              <w:right w:val="nil"/>
            </w:tcBorders>
            <w:shd w:val="clear" w:color="auto" w:fill="auto"/>
          </w:tcPr>
          <w:p w:rsidR="006A6FE4" w:rsidRPr="00133E61" w:rsidRDefault="006A6FE4" w:rsidP="004A0228">
            <w:pPr>
              <w:pStyle w:val="FigureTitle"/>
            </w:pPr>
            <w:r w:rsidRPr="00133E61">
              <w:rPr>
                <w:b w:val="0"/>
              </w:rPr>
              <w:t xml:space="preserve">Figure </w:t>
            </w:r>
            <w:bookmarkStart w:id="20" w:name="OLE_LINK20"/>
            <w:r w:rsidR="00321568" w:rsidRPr="00133E61">
              <w:rPr>
                <w:b w:val="0"/>
              </w:rPr>
              <w:t>14.</w:t>
            </w:r>
            <w:r w:rsidR="004B691F">
              <w:rPr>
                <w:b w:val="0"/>
                <w:noProof/>
              </w:rPr>
              <w:t>5</w:t>
            </w:r>
            <w:bookmarkEnd w:id="20"/>
            <w:r w:rsidRPr="00133E61">
              <w:tab/>
              <w:t>Services for people with disability performance indicator framework</w:t>
            </w:r>
          </w:p>
        </w:tc>
      </w:tr>
      <w:tr w:rsidR="006A6FE4" w:rsidRPr="00133E61"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A6FE4" w:rsidRPr="00133E61" w:rsidTr="00730EA6">
              <w:trPr>
                <w:jc w:val="center"/>
              </w:trPr>
              <w:tc>
                <w:tcPr>
                  <w:tcW w:w="5000" w:type="pct"/>
                  <w:tcBorders>
                    <w:top w:val="nil"/>
                    <w:bottom w:val="nil"/>
                  </w:tcBorders>
                </w:tcPr>
                <w:p w:rsidR="006152DC" w:rsidRPr="00133E61" w:rsidRDefault="0001512C" w:rsidP="00332AA1">
                  <w:pPr>
                    <w:pStyle w:val="Figure"/>
                    <w:rPr>
                      <w:rStyle w:val="DraftingNote"/>
                      <w:b w:val="0"/>
                      <w:color w:val="auto"/>
                      <w:u w:val="none"/>
                    </w:rPr>
                  </w:pPr>
                  <w:r>
                    <w:rPr>
                      <w:noProof/>
                    </w:rPr>
                    <w:drawing>
                      <wp:inline distT="0" distB="0" distL="0" distR="0">
                        <wp:extent cx="5367647" cy="4966734"/>
                        <wp:effectExtent l="0" t="0" r="5080" b="5715"/>
                        <wp:docPr id="3" name="Picture 3" descr="Figure 14.5 Services for people with disability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10_PIFs\PNG Final PIFS\Chapter 14_Disability.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7826" cy="4966900"/>
                                </a:xfrm>
                                <a:prstGeom prst="rect">
                                  <a:avLst/>
                                </a:prstGeom>
                                <a:noFill/>
                                <a:ln>
                                  <a:noFill/>
                                </a:ln>
                              </pic:spPr>
                            </pic:pic>
                          </a:graphicData>
                        </a:graphic>
                      </wp:inline>
                    </w:drawing>
                  </w:r>
                </w:p>
              </w:tc>
            </w:tr>
          </w:tbl>
          <w:p w:rsidR="006A6FE4" w:rsidRPr="00133E61" w:rsidRDefault="006A6FE4" w:rsidP="00730EA6">
            <w:pPr>
              <w:pStyle w:val="Figure"/>
            </w:pPr>
          </w:p>
        </w:tc>
      </w:tr>
      <w:tr w:rsidR="006A6FE4" w:rsidRPr="00133E61" w:rsidTr="00730EA6">
        <w:tc>
          <w:tcPr>
            <w:tcW w:w="8771" w:type="dxa"/>
            <w:tcBorders>
              <w:top w:val="nil"/>
              <w:left w:val="nil"/>
              <w:bottom w:val="single" w:sz="6" w:space="0" w:color="78A22F"/>
              <w:right w:val="nil"/>
            </w:tcBorders>
            <w:shd w:val="clear" w:color="auto" w:fill="auto"/>
          </w:tcPr>
          <w:p w:rsidR="006A6FE4" w:rsidRPr="00133E61" w:rsidRDefault="006A6FE4" w:rsidP="00730EA6">
            <w:pPr>
              <w:pStyle w:val="Figurespace"/>
            </w:pPr>
          </w:p>
        </w:tc>
      </w:tr>
      <w:tr w:rsidR="006A6FE4" w:rsidRPr="00133E61" w:rsidTr="00730EA6">
        <w:tc>
          <w:tcPr>
            <w:tcW w:w="8771" w:type="dxa"/>
            <w:tcBorders>
              <w:top w:val="single" w:sz="6" w:space="0" w:color="78A22F"/>
              <w:left w:val="nil"/>
              <w:bottom w:val="nil"/>
              <w:right w:val="nil"/>
            </w:tcBorders>
          </w:tcPr>
          <w:p w:rsidR="006A6FE4" w:rsidRPr="00133E61" w:rsidRDefault="006A6FE4" w:rsidP="00730EA6">
            <w:pPr>
              <w:pStyle w:val="BoxSpaceBelow"/>
            </w:pPr>
          </w:p>
        </w:tc>
      </w:tr>
    </w:tbl>
    <w:p w:rsidR="001F39F2" w:rsidRPr="00133E61" w:rsidRDefault="00321568" w:rsidP="0086127D">
      <w:pPr>
        <w:pStyle w:val="Heading2"/>
      </w:pPr>
      <w:bookmarkStart w:id="21" w:name="_Toc248563904"/>
      <w:bookmarkStart w:id="22" w:name="_Toc397527175"/>
      <w:bookmarkStart w:id="23" w:name="_Toc432512538"/>
      <w:r w:rsidRPr="00133E61">
        <w:t>14.</w:t>
      </w:r>
      <w:r w:rsidR="004B691F">
        <w:rPr>
          <w:noProof/>
        </w:rPr>
        <w:t>3</w:t>
      </w:r>
      <w:r w:rsidR="001F39F2" w:rsidRPr="00133E61">
        <w:tab/>
        <w:t>Key performance indicator results</w:t>
      </w:r>
      <w:bookmarkStart w:id="24" w:name="_GoBack"/>
      <w:bookmarkEnd w:id="21"/>
      <w:bookmarkEnd w:id="22"/>
      <w:bookmarkEnd w:id="23"/>
      <w:bookmarkEnd w:id="24"/>
    </w:p>
    <w:p w:rsidR="001F39F2" w:rsidRPr="00133E61" w:rsidRDefault="007F3C76" w:rsidP="007F3C76">
      <w:pPr>
        <w:pStyle w:val="BodyText"/>
      </w:pPr>
      <w:r w:rsidRPr="00133E61">
        <w:t>Different delivery contexts, locations and types of clients can affect the equity, effectiveness and efficiency of services for people with disability.</w:t>
      </w:r>
    </w:p>
    <w:p w:rsidR="007F3C76" w:rsidRPr="00133E61" w:rsidRDefault="007F3C76" w:rsidP="007F3C76">
      <w:pPr>
        <w:pStyle w:val="BodyText"/>
      </w:pPr>
      <w:r w:rsidRPr="00133E61">
        <w:t>Data quality information (DQI) is included where available for performance indicators in this Report. The purpose of DQI is to provide structured and consistent information about quality aspects of data used to report on performance indicators, in addition to material in the chapter or sector overview and attachment tables. All DQI for the 2016 Report can be found at www.pc.gov.au/rogs/2016</w:t>
      </w:r>
      <w:r w:rsidR="00DB2B7E">
        <w:t>.</w:t>
      </w:r>
    </w:p>
    <w:p w:rsidR="001F39F2" w:rsidRPr="00133E61" w:rsidRDefault="001F39F2" w:rsidP="00585E2C">
      <w:pPr>
        <w:pStyle w:val="Heading3"/>
      </w:pPr>
      <w:r w:rsidRPr="00133E61">
        <w:lastRenderedPageBreak/>
        <w:t>Outputs</w:t>
      </w:r>
    </w:p>
    <w:p w:rsidR="001F39F2" w:rsidRPr="00133E61" w:rsidRDefault="001F39F2" w:rsidP="00585E2C">
      <w:pPr>
        <w:pStyle w:val="BodyText"/>
      </w:pPr>
      <w:r w:rsidRPr="00133E61">
        <w:t>Outputs are the services delivered (while outcomes are the impact of these services on the status of an individual or group) (see chapter</w:t>
      </w:r>
      <w:r w:rsidR="005547FD">
        <w:t> </w:t>
      </w:r>
      <w:r w:rsidRPr="00133E61">
        <w:t>1, section</w:t>
      </w:r>
      <w:r w:rsidR="005547FD">
        <w:t> </w:t>
      </w:r>
      <w:r w:rsidRPr="00133E61">
        <w:t>1.5).</w:t>
      </w:r>
      <w:r w:rsidR="007F3C76" w:rsidRPr="00133E61">
        <w:t xml:space="preserve"> Output information is also critical for equitable, efficient and effective management of government services. </w:t>
      </w:r>
    </w:p>
    <w:p w:rsidR="00381116" w:rsidRDefault="001F39F2" w:rsidP="00BB5BA4">
      <w:pPr>
        <w:pStyle w:val="Heading3"/>
      </w:pPr>
      <w:r w:rsidRPr="00133E61">
        <w:t>Equity and effectiveness</w:t>
      </w:r>
    </w:p>
    <w:p w:rsidR="001F39F2" w:rsidRPr="00133E61" w:rsidRDefault="00381116" w:rsidP="00BB5BA4">
      <w:pPr>
        <w:pStyle w:val="Heading4"/>
      </w:pPr>
      <w:r>
        <w:t>A</w:t>
      </w:r>
      <w:r w:rsidR="001F39F2" w:rsidRPr="00133E61">
        <w:t xml:space="preserve">ccess to appropriate services on the basis of relative need </w:t>
      </w:r>
      <w:r>
        <w:t xml:space="preserve">– </w:t>
      </w:r>
      <w:r w:rsidR="001F39F2" w:rsidRPr="00133E61">
        <w:t>Access to NDA specialist disability services</w:t>
      </w:r>
    </w:p>
    <w:p w:rsidR="001F39F2" w:rsidRPr="00133E61" w:rsidRDefault="001F39F2" w:rsidP="00585E2C">
      <w:pPr>
        <w:pStyle w:val="BodyText"/>
      </w:pPr>
      <w:r w:rsidRPr="00133E61">
        <w:t>‘Access to NDA specialist disability services’ is an indicator of governments’ objective to provide access to government funded services</w:t>
      </w:r>
      <w:r w:rsidR="006D402D" w:rsidRPr="00133E61">
        <w:t>,</w:t>
      </w:r>
      <w:r w:rsidRPr="00133E61">
        <w:t xml:space="preserve"> including specialist disability services</w:t>
      </w:r>
      <w:r w:rsidR="006D402D" w:rsidRPr="00133E61">
        <w:t>,</w:t>
      </w:r>
      <w:r w:rsidRPr="00133E61">
        <w:t xml:space="preserve"> on the basis of relative need and available resources (box</w:t>
      </w:r>
      <w:r w:rsidR="00AE3578" w:rsidRPr="00133E61">
        <w:t> </w:t>
      </w:r>
      <w:r w:rsidRPr="00133E61">
        <w:t>14.</w:t>
      </w:r>
      <w:r w:rsidR="0093627B">
        <w:t>6</w:t>
      </w:r>
      <w:r w:rsidR="006875D3" w:rsidRPr="00133E61">
        <w:t>).</w:t>
      </w:r>
    </w:p>
    <w:p w:rsidR="00022DFD" w:rsidRPr="00B86C20" w:rsidRDefault="00022DFD" w:rsidP="00022DFD">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75D3" w:rsidRPr="00133E61" w:rsidTr="00C827D5">
        <w:tc>
          <w:tcPr>
            <w:tcW w:w="8771" w:type="dxa"/>
            <w:tcBorders>
              <w:top w:val="single" w:sz="6" w:space="0" w:color="78A22F"/>
              <w:left w:val="nil"/>
              <w:bottom w:val="nil"/>
              <w:right w:val="nil"/>
            </w:tcBorders>
            <w:shd w:val="clear" w:color="auto" w:fill="F2F2F2"/>
          </w:tcPr>
          <w:p w:rsidR="006875D3" w:rsidRPr="00133E61" w:rsidRDefault="006875D3" w:rsidP="006875D3">
            <w:pPr>
              <w:pStyle w:val="BoxTitle"/>
            </w:pPr>
            <w:r w:rsidRPr="00133E61">
              <w:rPr>
                <w:b w:val="0"/>
              </w:rPr>
              <w:t xml:space="preserve">Box </w:t>
            </w:r>
            <w:bookmarkStart w:id="25" w:name="OLE_LINK24"/>
            <w:r w:rsidR="00321568" w:rsidRPr="00133E61">
              <w:rPr>
                <w:b w:val="0"/>
              </w:rPr>
              <w:t>14.</w:t>
            </w:r>
            <w:r w:rsidR="004B691F">
              <w:rPr>
                <w:b w:val="0"/>
                <w:noProof/>
              </w:rPr>
              <w:t>6</w:t>
            </w:r>
            <w:bookmarkEnd w:id="25"/>
            <w:r w:rsidRPr="00133E61">
              <w:tab/>
              <w:t>Access to National Disability Agreement specialist disability services</w:t>
            </w:r>
          </w:p>
        </w:tc>
      </w:tr>
      <w:tr w:rsidR="006875D3" w:rsidRPr="00133E61" w:rsidTr="00C827D5">
        <w:trPr>
          <w:cantSplit/>
        </w:trPr>
        <w:tc>
          <w:tcPr>
            <w:tcW w:w="8771" w:type="dxa"/>
            <w:tcBorders>
              <w:top w:val="nil"/>
              <w:left w:val="nil"/>
              <w:bottom w:val="nil"/>
              <w:right w:val="nil"/>
            </w:tcBorders>
            <w:shd w:val="clear" w:color="auto" w:fill="F2F2F2"/>
          </w:tcPr>
          <w:p w:rsidR="006875D3" w:rsidRDefault="006875D3" w:rsidP="006875D3">
            <w:pPr>
              <w:pStyle w:val="Box"/>
            </w:pPr>
            <w:r w:rsidRPr="00133E61">
              <w:t>‘Access to NDA specialist disability services’ is defined as the number of people</w:t>
            </w:r>
            <w:r w:rsidR="00381116">
              <w:t xml:space="preserve"> </w:t>
            </w:r>
            <w:r w:rsidRPr="00133E61">
              <w:t xml:space="preserve">using a particular NDA specialist disability service divided by the potential population for that service. The potential population is an estimate of the number of people with the potential to require specialist disability services at some time. </w:t>
            </w:r>
            <w:r w:rsidR="00CE3DAC" w:rsidRPr="00133E61">
              <w:t>Further details on the potential population can be found in</w:t>
            </w:r>
            <w:r w:rsidR="005E19A6" w:rsidRPr="00133E61">
              <w:t xml:space="preserve"> in sections</w:t>
            </w:r>
            <w:r w:rsidR="005547FD">
              <w:t> </w:t>
            </w:r>
            <w:r w:rsidR="005E19A6" w:rsidRPr="00133E61">
              <w:t>14.</w:t>
            </w:r>
            <w:r w:rsidR="008A12F2">
              <w:t>5</w:t>
            </w:r>
            <w:r w:rsidR="005E19A6" w:rsidRPr="00133E61">
              <w:t xml:space="preserve"> and 14.</w:t>
            </w:r>
            <w:r w:rsidR="008A12F2">
              <w:t>6</w:t>
            </w:r>
            <w:r w:rsidR="005E19A6" w:rsidRPr="00133E61">
              <w:t>.</w:t>
            </w:r>
          </w:p>
          <w:p w:rsidR="00B63AF8" w:rsidRPr="00133E61" w:rsidRDefault="00381116" w:rsidP="006875D3">
            <w:pPr>
              <w:pStyle w:val="Box"/>
            </w:pPr>
            <w:r w:rsidRPr="00133E61">
              <w:t>Measures of services are reported for accommodation support, community support, community access, respite services and employment services (open and supported)</w:t>
            </w:r>
            <w:r>
              <w:t>.</w:t>
            </w:r>
            <w:r w:rsidR="00B04499">
              <w:t xml:space="preserve"> </w:t>
            </w:r>
            <w:r w:rsidR="00B63AF8" w:rsidRPr="00133E61">
              <w:t>‘Access to NDA specialist disability services’ is defined as the number of people</w:t>
            </w:r>
            <w:r w:rsidR="00B63AF8">
              <w:t xml:space="preserve"> </w:t>
            </w:r>
            <w:r w:rsidR="00B63AF8" w:rsidRPr="00133E61">
              <w:t xml:space="preserve">using a particular NDA specialist disability service divided by the potential population for that service. The potential population is an estimate of the number of people with the potential to require specialist disability services at some time. </w:t>
            </w:r>
          </w:p>
          <w:p w:rsidR="008A12F2" w:rsidRPr="00133E61" w:rsidRDefault="008A12F2" w:rsidP="008A12F2">
            <w:pPr>
              <w:pStyle w:val="Box"/>
            </w:pPr>
            <w:r w:rsidRPr="00133E61">
              <w:t>Measures of services are reported for accommodation support, community support, community access, respite services and employment services (open and supported)</w:t>
            </w:r>
            <w:r>
              <w:t>.</w:t>
            </w:r>
          </w:p>
          <w:p w:rsidR="006875D3" w:rsidRPr="00133E61" w:rsidRDefault="00B63AF8" w:rsidP="008A12F2">
            <w:pPr>
              <w:pStyle w:val="Box"/>
              <w:jc w:val="right"/>
              <w:rPr>
                <w:szCs w:val="24"/>
              </w:rPr>
            </w:pPr>
            <w:r w:rsidRPr="00BB5BA4">
              <w:rPr>
                <w:sz w:val="18"/>
                <w:szCs w:val="18"/>
              </w:rPr>
              <w:t>(continued next page)</w:t>
            </w:r>
          </w:p>
        </w:tc>
      </w:tr>
      <w:tr w:rsidR="006875D3" w:rsidRPr="00133E61" w:rsidTr="00C827D5">
        <w:trPr>
          <w:cantSplit/>
        </w:trPr>
        <w:tc>
          <w:tcPr>
            <w:tcW w:w="8771" w:type="dxa"/>
            <w:tcBorders>
              <w:top w:val="nil"/>
              <w:left w:val="nil"/>
              <w:bottom w:val="single" w:sz="6" w:space="0" w:color="78A22F"/>
              <w:right w:val="nil"/>
            </w:tcBorders>
            <w:shd w:val="clear" w:color="auto" w:fill="F2F2F2"/>
          </w:tcPr>
          <w:p w:rsidR="006875D3" w:rsidRPr="00133E61" w:rsidRDefault="006875D3">
            <w:pPr>
              <w:pStyle w:val="Box"/>
              <w:spacing w:before="0" w:line="120" w:lineRule="exact"/>
            </w:pPr>
          </w:p>
        </w:tc>
      </w:tr>
      <w:tr w:rsidR="006875D3" w:rsidRPr="00133E61" w:rsidTr="00C827D5">
        <w:tc>
          <w:tcPr>
            <w:tcW w:w="8771" w:type="dxa"/>
            <w:tcBorders>
              <w:top w:val="single" w:sz="6" w:space="0" w:color="78A22F"/>
              <w:left w:val="nil"/>
              <w:bottom w:val="nil"/>
              <w:right w:val="nil"/>
            </w:tcBorders>
          </w:tcPr>
          <w:p w:rsidR="006875D3" w:rsidRPr="00133E61" w:rsidRDefault="006875D3" w:rsidP="00C827D5">
            <w:pPr>
              <w:pStyle w:val="BoxSpaceBelow"/>
            </w:pPr>
          </w:p>
        </w:tc>
      </w:tr>
    </w:tbl>
    <w:p w:rsidR="00B63AF8" w:rsidRPr="00B86C20" w:rsidRDefault="00B63AF8" w:rsidP="00B63AF8">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3AF8" w:rsidRPr="00133E61" w:rsidTr="002E1DB0">
        <w:tc>
          <w:tcPr>
            <w:tcW w:w="8771" w:type="dxa"/>
            <w:tcBorders>
              <w:top w:val="single" w:sz="6" w:space="0" w:color="78A22F"/>
              <w:left w:val="nil"/>
              <w:bottom w:val="nil"/>
              <w:right w:val="nil"/>
            </w:tcBorders>
            <w:shd w:val="clear" w:color="auto" w:fill="F2F2F2"/>
          </w:tcPr>
          <w:p w:rsidR="00B63AF8" w:rsidRPr="00133E61" w:rsidRDefault="00B63AF8" w:rsidP="00B63AF8">
            <w:pPr>
              <w:pStyle w:val="BoxTitle"/>
            </w:pPr>
            <w:r w:rsidRPr="00133E61">
              <w:rPr>
                <w:b w:val="0"/>
              </w:rPr>
              <w:t>Box</w:t>
            </w:r>
            <w:r>
              <w:rPr>
                <w:b w:val="0"/>
              </w:rPr>
              <w:t xml:space="preserve"> </w:t>
            </w:r>
            <w:r w:rsidRPr="00BB5BA4">
              <w:rPr>
                <w:b w:val="0"/>
              </w:rPr>
              <w:t>14.6</w:t>
            </w:r>
            <w:r w:rsidRPr="00133E61">
              <w:tab/>
            </w:r>
            <w:r w:rsidRPr="00BB5BA4">
              <w:rPr>
                <w:b w:val="0"/>
                <w:sz w:val="18"/>
                <w:szCs w:val="18"/>
              </w:rPr>
              <w:t>(continued)</w:t>
            </w:r>
          </w:p>
        </w:tc>
      </w:tr>
      <w:tr w:rsidR="00B63AF8" w:rsidRPr="00133E61" w:rsidTr="002E1DB0">
        <w:trPr>
          <w:cantSplit/>
        </w:trPr>
        <w:tc>
          <w:tcPr>
            <w:tcW w:w="8771" w:type="dxa"/>
            <w:tcBorders>
              <w:top w:val="nil"/>
              <w:left w:val="nil"/>
              <w:bottom w:val="nil"/>
              <w:right w:val="nil"/>
            </w:tcBorders>
            <w:shd w:val="clear" w:color="auto" w:fill="F2F2F2"/>
          </w:tcPr>
          <w:p w:rsidR="00B63AF8" w:rsidRPr="00133E61" w:rsidRDefault="00B63AF8" w:rsidP="002E1DB0">
            <w:pPr>
              <w:pStyle w:val="Box"/>
            </w:pPr>
            <w:r w:rsidRPr="00133E61">
              <w:t>The potential population is the number of people aged 0–64 years (and Aboriginal and Torres Strait Islander people aged 0–49 years) who are most appropriately supported by disability services, require ongoing and/or long</w:t>
            </w:r>
            <w:r w:rsidRPr="00133E61">
              <w:noBreakHyphen/>
              <w:t>term episodic support, have a permanent or chronic impairment, and who have a substantially reduced capacity in one or more core activities. For respite services, only those people with a primary carer are included. For supported employment services, only the potential population aged 15–64 years participating in the labour force are included. For open employment services, the potential population is not used; instead, an estimate of all people aged 15–64 years with a disability and who have an employment restriction is used.</w:t>
            </w:r>
          </w:p>
          <w:p w:rsidR="00B63AF8" w:rsidRDefault="00B63AF8" w:rsidP="002E1DB0">
            <w:pPr>
              <w:pStyle w:val="Box"/>
            </w:pPr>
            <w:r w:rsidRPr="00133E61">
              <w:t xml:space="preserve">In previous Reports, the numerator of an access measure included service users of all ages, unlike NDA reporting, where the numerator excludes users aged 65 years and over. For this report, the numerators of the access measures have been aligned with the </w:t>
            </w:r>
            <w:r>
              <w:t xml:space="preserve">age scope of the </w:t>
            </w:r>
            <w:r w:rsidRPr="00133E61">
              <w:t>NDA</w:t>
            </w:r>
            <w:r>
              <w:t xml:space="preserve"> and backcast to 2004</w:t>
            </w:r>
            <w:r w:rsidR="005547FD">
              <w:noBreakHyphen/>
            </w:r>
            <w:r>
              <w:t>05.</w:t>
            </w:r>
          </w:p>
          <w:p w:rsidR="00B63AF8" w:rsidRPr="00133E61" w:rsidRDefault="00B63AF8" w:rsidP="002E1DB0">
            <w:pPr>
              <w:pStyle w:val="Box"/>
            </w:pPr>
            <w:r w:rsidRPr="00133E61">
              <w:t xml:space="preserve">A high or increasing proportion of the relevant estimated potential population using a particular NDA service suggests greater access to that service. </w:t>
            </w:r>
          </w:p>
          <w:p w:rsidR="00B63AF8" w:rsidRPr="00133E61" w:rsidRDefault="00B63AF8" w:rsidP="002E1DB0">
            <w:pPr>
              <w:pStyle w:val="Box"/>
            </w:pPr>
            <w:r w:rsidRPr="00133E61">
              <w:t>Not all people in the estimated potential population will need the service or seek to access the service in the relevant period. In addition, this indicator does not provide information on whether the services are appropriate for the needs of the people receiving them, or accessed by those most in need.</w:t>
            </w:r>
          </w:p>
          <w:p w:rsidR="00B63AF8" w:rsidRPr="00133E61" w:rsidRDefault="00B63AF8" w:rsidP="002E1DB0">
            <w:pPr>
              <w:pStyle w:val="Box"/>
            </w:pPr>
            <w:r w:rsidRPr="00133E61">
              <w:t>Data reported for this measure are:</w:t>
            </w:r>
          </w:p>
          <w:p w:rsidR="00B63AF8" w:rsidRPr="00133E61" w:rsidRDefault="00B63AF8" w:rsidP="002E1DB0">
            <w:pPr>
              <w:pStyle w:val="BoxListBullet"/>
              <w:keepLines/>
            </w:pPr>
            <w:r w:rsidRPr="00133E61">
              <w:t xml:space="preserve">comparable (subject to caveats) across jurisdictions and over time </w:t>
            </w:r>
          </w:p>
          <w:p w:rsidR="00B63AF8" w:rsidRPr="00133E61" w:rsidRDefault="00B63AF8" w:rsidP="002E1DB0">
            <w:pPr>
              <w:keepNext/>
              <w:numPr>
                <w:ilvl w:val="0"/>
                <w:numId w:val="1"/>
              </w:numPr>
              <w:spacing w:before="60" w:line="280" w:lineRule="atLeast"/>
              <w:jc w:val="both"/>
              <w:rPr>
                <w:rFonts w:ascii="Arial" w:hAnsi="Arial"/>
                <w:sz w:val="20"/>
                <w:szCs w:val="20"/>
              </w:rPr>
            </w:pPr>
            <w:r w:rsidRPr="00133E61">
              <w:rPr>
                <w:rFonts w:ascii="Arial" w:hAnsi="Arial"/>
                <w:sz w:val="20"/>
                <w:szCs w:val="20"/>
              </w:rPr>
              <w:t>complete (subject to caveats) for the current reporting period. All required 2013</w:t>
            </w:r>
            <w:r w:rsidR="005547FD">
              <w:rPr>
                <w:rFonts w:ascii="Arial" w:hAnsi="Arial"/>
                <w:sz w:val="20"/>
                <w:szCs w:val="20"/>
              </w:rPr>
              <w:noBreakHyphen/>
            </w:r>
            <w:r w:rsidRPr="00133E61">
              <w:rPr>
                <w:rFonts w:ascii="Arial" w:hAnsi="Arial"/>
                <w:sz w:val="20"/>
                <w:szCs w:val="20"/>
              </w:rPr>
              <w:t>14 data are available for all jurisdictions.</w:t>
            </w:r>
          </w:p>
          <w:p w:rsidR="00B63AF8" w:rsidRPr="00133E61" w:rsidRDefault="00B63AF8" w:rsidP="002E1DB0">
            <w:pPr>
              <w:pStyle w:val="Box"/>
            </w:pPr>
            <w:r w:rsidRPr="00133E61">
              <w:t>Data quality information for this indicator is at www.pc.gov.au/rogs/2016.</w:t>
            </w:r>
          </w:p>
        </w:tc>
      </w:tr>
      <w:tr w:rsidR="00B63AF8" w:rsidRPr="00133E61" w:rsidTr="002E1DB0">
        <w:trPr>
          <w:cantSplit/>
        </w:trPr>
        <w:tc>
          <w:tcPr>
            <w:tcW w:w="8771" w:type="dxa"/>
            <w:tcBorders>
              <w:top w:val="nil"/>
              <w:left w:val="nil"/>
              <w:bottom w:val="single" w:sz="6" w:space="0" w:color="78A22F"/>
              <w:right w:val="nil"/>
            </w:tcBorders>
            <w:shd w:val="clear" w:color="auto" w:fill="F2F2F2"/>
          </w:tcPr>
          <w:p w:rsidR="00B63AF8" w:rsidRPr="00133E61" w:rsidRDefault="00B63AF8" w:rsidP="002E1DB0">
            <w:pPr>
              <w:pStyle w:val="Box"/>
              <w:spacing w:before="0" w:line="120" w:lineRule="exact"/>
            </w:pPr>
          </w:p>
        </w:tc>
      </w:tr>
      <w:tr w:rsidR="00B63AF8" w:rsidRPr="00133E61" w:rsidTr="002E1DB0">
        <w:tc>
          <w:tcPr>
            <w:tcW w:w="8771" w:type="dxa"/>
            <w:tcBorders>
              <w:top w:val="single" w:sz="6" w:space="0" w:color="78A22F"/>
              <w:left w:val="nil"/>
              <w:bottom w:val="nil"/>
              <w:right w:val="nil"/>
            </w:tcBorders>
          </w:tcPr>
          <w:p w:rsidR="00B63AF8" w:rsidRPr="00133E61" w:rsidRDefault="00B63AF8" w:rsidP="002E1DB0">
            <w:pPr>
              <w:pStyle w:val="BoxSpaceBelow"/>
            </w:pPr>
          </w:p>
        </w:tc>
      </w:tr>
    </w:tbl>
    <w:p w:rsidR="00B63AF8" w:rsidRDefault="00B63AF8" w:rsidP="00B63AF8">
      <w:pPr>
        <w:pStyle w:val="BodyText"/>
      </w:pPr>
      <w:r>
        <w:t>Nationally in 2013</w:t>
      </w:r>
      <w:r w:rsidR="005547FD">
        <w:noBreakHyphen/>
      </w:r>
      <w:r>
        <w:t>14</w:t>
      </w:r>
      <w:r w:rsidR="00EB36BE">
        <w:t>, of the estimated potential population</w:t>
      </w:r>
      <w:r>
        <w:t>:</w:t>
      </w:r>
    </w:p>
    <w:p w:rsidR="00B63AF8" w:rsidRDefault="005E7A9E" w:rsidP="00BB5BA4">
      <w:pPr>
        <w:pStyle w:val="ListBullet"/>
      </w:pPr>
      <w:r w:rsidRPr="00AB7604">
        <w:t>5.8</w:t>
      </w:r>
      <w:r w:rsidR="00A84DD1" w:rsidRPr="00AB7604">
        <w:t xml:space="preserve"> </w:t>
      </w:r>
      <w:r w:rsidR="001F39F2" w:rsidRPr="00AB7604">
        <w:t>per cent were using NDA accommodation support services</w:t>
      </w:r>
      <w:r w:rsidR="00E43475" w:rsidRPr="00AB7604">
        <w:t xml:space="preserve"> </w:t>
      </w:r>
      <w:r w:rsidR="001F39F2" w:rsidRPr="00AB7604">
        <w:t>(figure</w:t>
      </w:r>
      <w:r w:rsidR="00AE3578" w:rsidRPr="00AB7604">
        <w:t> </w:t>
      </w:r>
      <w:r w:rsidR="001F39F2" w:rsidRPr="00AB7604">
        <w:t>14.</w:t>
      </w:r>
      <w:r w:rsidR="00F61907">
        <w:t>6</w:t>
      </w:r>
      <w:r w:rsidR="001F39F2" w:rsidRPr="00AB7604">
        <w:t>)</w:t>
      </w:r>
    </w:p>
    <w:p w:rsidR="00B63AF8" w:rsidRDefault="00B63AF8" w:rsidP="00BB5BA4">
      <w:pPr>
        <w:pStyle w:val="ListBullet"/>
      </w:pPr>
      <w:r w:rsidRPr="0093627B">
        <w:t>23.2 per cent were using NDA community support</w:t>
      </w:r>
      <w:r w:rsidR="001D785B">
        <w:t xml:space="preserve"> (figure 14.</w:t>
      </w:r>
      <w:r w:rsidR="00F61907">
        <w:t>7</w:t>
      </w:r>
      <w:r>
        <w:t>)</w:t>
      </w:r>
    </w:p>
    <w:p w:rsidR="00B63AF8" w:rsidRDefault="00B63AF8" w:rsidP="00BB5BA4">
      <w:pPr>
        <w:pStyle w:val="ListBullet"/>
      </w:pPr>
      <w:r w:rsidRPr="00133E61">
        <w:t>7.7 per cent were using ND</w:t>
      </w:r>
      <w:r w:rsidR="001D785B">
        <w:t>A community access (figure 14.</w:t>
      </w:r>
      <w:r w:rsidR="00F61907">
        <w:t>8</w:t>
      </w:r>
      <w:r>
        <w:t>)</w:t>
      </w:r>
    </w:p>
    <w:p w:rsidR="00EB36BE" w:rsidRDefault="00B63AF8" w:rsidP="00BB5BA4">
      <w:pPr>
        <w:pStyle w:val="ListBullet"/>
      </w:pPr>
      <w:r w:rsidRPr="00E72F70">
        <w:t>16.4 per cent who reported having a primary carer were using NDA respite services</w:t>
      </w:r>
      <w:r w:rsidRPr="00E72F70" w:rsidDel="009E792D">
        <w:t xml:space="preserve"> </w:t>
      </w:r>
      <w:r w:rsidRPr="00E72F70">
        <w:t>(figure 14.</w:t>
      </w:r>
      <w:r w:rsidR="00F61907">
        <w:t>9</w:t>
      </w:r>
      <w:r w:rsidR="00EB36BE">
        <w:t>).</w:t>
      </w:r>
    </w:p>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3280" w:rsidRPr="00133E61" w:rsidTr="00730EA6">
        <w:tc>
          <w:tcPr>
            <w:tcW w:w="8771" w:type="dxa"/>
            <w:tcBorders>
              <w:top w:val="single" w:sz="6" w:space="0" w:color="78A22F"/>
              <w:left w:val="nil"/>
              <w:bottom w:val="nil"/>
              <w:right w:val="nil"/>
            </w:tcBorders>
            <w:shd w:val="clear" w:color="auto" w:fill="auto"/>
          </w:tcPr>
          <w:p w:rsidR="000D3280" w:rsidRPr="00133E61" w:rsidRDefault="000D3280" w:rsidP="002E1DB0">
            <w:pPr>
              <w:pStyle w:val="FigureTitle"/>
              <w:tabs>
                <w:tab w:val="left" w:pos="1344"/>
              </w:tabs>
            </w:pPr>
            <w:r w:rsidRPr="00133E61">
              <w:rPr>
                <w:b w:val="0"/>
              </w:rPr>
              <w:t xml:space="preserve">Figure </w:t>
            </w:r>
            <w:r w:rsidR="00321568" w:rsidRPr="00133E61">
              <w:rPr>
                <w:b w:val="0"/>
              </w:rPr>
              <w:t>14.</w:t>
            </w:r>
            <w:r w:rsidR="004B691F">
              <w:rPr>
                <w:b w:val="0"/>
                <w:noProof/>
              </w:rPr>
              <w:t>6</w:t>
            </w:r>
            <w:r w:rsidRPr="00133E61">
              <w:tab/>
              <w:t>Users of NDA accommodation support services as a proportion of the estimated potential population</w:t>
            </w:r>
            <w:r w:rsidRPr="00133E61">
              <w:rPr>
                <w:rStyle w:val="NoteLabel"/>
                <w:b/>
              </w:rPr>
              <w:t>a</w:t>
            </w:r>
            <w:r w:rsidRPr="00133E61">
              <w:rPr>
                <w:rStyle w:val="NoteLabel"/>
              </w:rPr>
              <w:t xml:space="preserve"> </w:t>
            </w:r>
          </w:p>
        </w:tc>
      </w:tr>
      <w:tr w:rsidR="000D3280" w:rsidRPr="00133E61" w:rsidTr="00730EA6">
        <w:tc>
          <w:tcPr>
            <w:tcW w:w="8771" w:type="dxa"/>
            <w:tcBorders>
              <w:top w:val="nil"/>
              <w:left w:val="nil"/>
              <w:bottom w:val="nil"/>
              <w:right w:val="nil"/>
            </w:tcBorders>
            <w:shd w:val="clear" w:color="auto" w:fill="auto"/>
            <w:tcMar>
              <w:top w:w="28" w:type="dxa"/>
              <w:bottom w:w="28" w:type="dxa"/>
            </w:tcMar>
          </w:tcPr>
          <w:p w:rsidR="00A84DD1" w:rsidRPr="00532D7E" w:rsidRDefault="00187FBC" w:rsidP="00406D39">
            <w:pPr>
              <w:pStyle w:val="Figure"/>
              <w:tabs>
                <w:tab w:val="left" w:pos="1344"/>
              </w:tabs>
            </w:pPr>
            <w:r>
              <w:rPr>
                <w:noProof/>
              </w:rPr>
              <w:drawing>
                <wp:inline distT="0" distB="0" distL="0" distR="0">
                  <wp:extent cx="5225415" cy="2683510"/>
                  <wp:effectExtent l="0" t="0" r="0" b="2540"/>
                  <wp:docPr id="8" name="Picture 8" descr="Figure 14.6 Users of NDA accommodation support service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r w:rsidR="000D3280" w:rsidRPr="00133E61" w:rsidTr="00730EA6">
        <w:tc>
          <w:tcPr>
            <w:tcW w:w="8771" w:type="dxa"/>
            <w:tcBorders>
              <w:top w:val="nil"/>
              <w:left w:val="nil"/>
              <w:bottom w:val="nil"/>
              <w:right w:val="nil"/>
            </w:tcBorders>
            <w:shd w:val="clear" w:color="auto" w:fill="auto"/>
          </w:tcPr>
          <w:p w:rsidR="000D3280" w:rsidRPr="00133E61" w:rsidRDefault="000D3280" w:rsidP="00406D39">
            <w:pPr>
              <w:pStyle w:val="Note"/>
              <w:tabs>
                <w:tab w:val="left" w:pos="1344"/>
              </w:tabs>
            </w:pPr>
            <w:r w:rsidRPr="00133E61">
              <w:rPr>
                <w:rStyle w:val="NoteLabel"/>
              </w:rPr>
              <w:t>a</w:t>
            </w:r>
            <w:r w:rsidRPr="00133E61">
              <w:t xml:space="preserve"> See </w:t>
            </w:r>
            <w:r w:rsidR="0093627B">
              <w:t>box</w:t>
            </w:r>
            <w:r w:rsidR="005547FD">
              <w:t> </w:t>
            </w:r>
            <w:r w:rsidR="0093627B">
              <w:t>14.6</w:t>
            </w:r>
            <w:r w:rsidR="00CB566F" w:rsidRPr="00133E61">
              <w:t xml:space="preserve"> and </w:t>
            </w:r>
            <w:r w:rsidRPr="00133E61">
              <w:t>table</w:t>
            </w:r>
            <w:r w:rsidR="00AE3578" w:rsidRPr="00133E61">
              <w:t> </w:t>
            </w:r>
            <w:r w:rsidRPr="00133E61">
              <w:t>14A.</w:t>
            </w:r>
            <w:r w:rsidR="00086254">
              <w:t>19</w:t>
            </w:r>
            <w:r w:rsidR="00683393" w:rsidRPr="00133E61">
              <w:t xml:space="preserve"> </w:t>
            </w:r>
            <w:r w:rsidRPr="00133E61">
              <w:t xml:space="preserve">for detailed </w:t>
            </w:r>
            <w:r w:rsidR="003D7F75">
              <w:t>definitions, footnotes and caveats</w:t>
            </w:r>
            <w:r w:rsidR="00CB566F" w:rsidRPr="00133E61">
              <w:t>.</w:t>
            </w:r>
          </w:p>
        </w:tc>
      </w:tr>
      <w:tr w:rsidR="000D3280" w:rsidRPr="00133E61" w:rsidTr="00730EA6">
        <w:tc>
          <w:tcPr>
            <w:tcW w:w="8771" w:type="dxa"/>
            <w:tcBorders>
              <w:top w:val="nil"/>
              <w:left w:val="nil"/>
              <w:bottom w:val="nil"/>
              <w:right w:val="nil"/>
            </w:tcBorders>
            <w:shd w:val="clear" w:color="auto" w:fill="auto"/>
          </w:tcPr>
          <w:p w:rsidR="000D3280" w:rsidRPr="00133E61" w:rsidRDefault="000D3280" w:rsidP="00086254">
            <w:pPr>
              <w:pStyle w:val="Source"/>
              <w:tabs>
                <w:tab w:val="left" w:pos="1344"/>
              </w:tabs>
            </w:pPr>
            <w:r w:rsidRPr="00133E61">
              <w:rPr>
                <w:i/>
              </w:rPr>
              <w:t>Source</w:t>
            </w:r>
            <w:r w:rsidR="00CF44B8" w:rsidRPr="00133E61">
              <w:t>: AIHW (unpublished)</w:t>
            </w:r>
            <w:r w:rsidRPr="00133E61">
              <w:t xml:space="preserve"> </w:t>
            </w:r>
            <w:r w:rsidRPr="00BB5BA4">
              <w:t>DS NMDS</w:t>
            </w:r>
            <w:r w:rsidRPr="00B63AF8">
              <w:t xml:space="preserve">, AIHW analysis of the ABS </w:t>
            </w:r>
            <w:r w:rsidR="00B63AF8">
              <w:t>June ERP</w:t>
            </w:r>
            <w:r w:rsidRPr="00BB5BA4">
              <w:t>, ABS Census of Population and Housing</w:t>
            </w:r>
            <w:r w:rsidR="006B51BC" w:rsidRPr="00BB5BA4">
              <w:t xml:space="preserve"> </w:t>
            </w:r>
            <w:r w:rsidRPr="00B63AF8">
              <w:t xml:space="preserve">and the ABS </w:t>
            </w:r>
            <w:r w:rsidR="00B63AF8">
              <w:t>SDAC</w:t>
            </w:r>
            <w:r w:rsidR="00445BD4" w:rsidRPr="00B63AF8">
              <w:t>; t</w:t>
            </w:r>
            <w:r w:rsidR="00445BD4" w:rsidRPr="00133E61">
              <w:t>able </w:t>
            </w:r>
            <w:r w:rsidRPr="00133E61">
              <w:t>14A.</w:t>
            </w:r>
            <w:r w:rsidR="00683393" w:rsidRPr="00133E61">
              <w:t>1</w:t>
            </w:r>
            <w:r w:rsidR="00086254">
              <w:t>9</w:t>
            </w:r>
            <w:r w:rsidRPr="00133E61">
              <w:t xml:space="preserve">. </w:t>
            </w:r>
          </w:p>
        </w:tc>
      </w:tr>
      <w:tr w:rsidR="000D3280" w:rsidRPr="00133E61" w:rsidTr="00730EA6">
        <w:tc>
          <w:tcPr>
            <w:tcW w:w="8771" w:type="dxa"/>
            <w:tcBorders>
              <w:top w:val="nil"/>
              <w:left w:val="nil"/>
              <w:bottom w:val="single" w:sz="6" w:space="0" w:color="78A22F"/>
              <w:right w:val="nil"/>
            </w:tcBorders>
            <w:shd w:val="clear" w:color="auto" w:fill="auto"/>
          </w:tcPr>
          <w:p w:rsidR="000D3280" w:rsidRPr="00133E61" w:rsidRDefault="000D3280" w:rsidP="00406D39">
            <w:pPr>
              <w:pStyle w:val="Figurespace"/>
              <w:tabs>
                <w:tab w:val="left" w:pos="1344"/>
              </w:tabs>
            </w:pPr>
          </w:p>
        </w:tc>
      </w:tr>
      <w:tr w:rsidR="000D3280" w:rsidRPr="00133E61" w:rsidTr="00730EA6">
        <w:tc>
          <w:tcPr>
            <w:tcW w:w="8771" w:type="dxa"/>
            <w:tcBorders>
              <w:top w:val="single" w:sz="6" w:space="0" w:color="78A22F"/>
              <w:left w:val="nil"/>
              <w:bottom w:val="nil"/>
              <w:right w:val="nil"/>
            </w:tcBorders>
          </w:tcPr>
          <w:p w:rsidR="000D3280" w:rsidRPr="00133E61" w:rsidRDefault="000D3280" w:rsidP="00406D39">
            <w:pPr>
              <w:pStyle w:val="BoxSpaceBelow"/>
              <w:tabs>
                <w:tab w:val="left" w:pos="1344"/>
              </w:tabs>
            </w:pPr>
          </w:p>
        </w:tc>
      </w:tr>
    </w:tbl>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3280" w:rsidRPr="00133E61" w:rsidTr="00730EA6">
        <w:tc>
          <w:tcPr>
            <w:tcW w:w="8771" w:type="dxa"/>
            <w:tcBorders>
              <w:top w:val="single" w:sz="6" w:space="0" w:color="78A22F"/>
              <w:left w:val="nil"/>
              <w:bottom w:val="nil"/>
              <w:right w:val="nil"/>
            </w:tcBorders>
            <w:shd w:val="clear" w:color="auto" w:fill="auto"/>
          </w:tcPr>
          <w:p w:rsidR="000D3280" w:rsidRPr="00133E61" w:rsidRDefault="000D3280" w:rsidP="002E1DB0">
            <w:pPr>
              <w:pStyle w:val="FigureTitle"/>
              <w:tabs>
                <w:tab w:val="left" w:pos="1344"/>
              </w:tabs>
            </w:pPr>
            <w:r w:rsidRPr="00133E61">
              <w:rPr>
                <w:b w:val="0"/>
              </w:rPr>
              <w:t xml:space="preserve">Figure </w:t>
            </w:r>
            <w:r w:rsidR="00321568" w:rsidRPr="00133E61">
              <w:rPr>
                <w:b w:val="0"/>
              </w:rPr>
              <w:t>14.</w:t>
            </w:r>
            <w:r w:rsidR="004B691F">
              <w:rPr>
                <w:b w:val="0"/>
                <w:noProof/>
              </w:rPr>
              <w:t>7</w:t>
            </w:r>
            <w:r w:rsidRPr="00133E61">
              <w:tab/>
              <w:t>Users of NDA community support services as a proportion of the estimated potential population</w:t>
            </w:r>
            <w:r w:rsidRPr="00133E61">
              <w:rPr>
                <w:rStyle w:val="NoteLabel"/>
                <w:b/>
              </w:rPr>
              <w:t>a</w:t>
            </w:r>
          </w:p>
        </w:tc>
      </w:tr>
      <w:tr w:rsidR="000D3280" w:rsidRPr="00133E61"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D3280" w:rsidRPr="00133E61" w:rsidTr="00730EA6">
              <w:trPr>
                <w:jc w:val="center"/>
              </w:trPr>
              <w:tc>
                <w:tcPr>
                  <w:tcW w:w="5000" w:type="pct"/>
                  <w:tcBorders>
                    <w:top w:val="nil"/>
                    <w:bottom w:val="nil"/>
                  </w:tcBorders>
                </w:tcPr>
                <w:p w:rsidR="000D3280" w:rsidRPr="00133E61" w:rsidRDefault="00187FBC" w:rsidP="00406D39">
                  <w:pPr>
                    <w:pStyle w:val="Figure"/>
                    <w:tabs>
                      <w:tab w:val="left" w:pos="1344"/>
                    </w:tabs>
                    <w:spacing w:before="60" w:after="60"/>
                  </w:pPr>
                  <w:r>
                    <w:rPr>
                      <w:noProof/>
                    </w:rPr>
                    <w:drawing>
                      <wp:inline distT="0" distB="0" distL="0" distR="0">
                        <wp:extent cx="5391150" cy="2600960"/>
                        <wp:effectExtent l="0" t="0" r="0" b="8890"/>
                        <wp:docPr id="9" name="Picture 9" descr="Figure 14.7 Users of NDA community support services as a proportion of the estimated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00960"/>
                                </a:xfrm>
                                <a:prstGeom prst="rect">
                                  <a:avLst/>
                                </a:prstGeom>
                                <a:noFill/>
                                <a:ln>
                                  <a:noFill/>
                                </a:ln>
                              </pic:spPr>
                            </pic:pic>
                          </a:graphicData>
                        </a:graphic>
                      </wp:inline>
                    </w:drawing>
                  </w:r>
                </w:p>
              </w:tc>
            </w:tr>
          </w:tbl>
          <w:p w:rsidR="000D3280" w:rsidRPr="00133E61" w:rsidRDefault="000D3280" w:rsidP="00406D39">
            <w:pPr>
              <w:pStyle w:val="Figure"/>
              <w:tabs>
                <w:tab w:val="left" w:pos="1344"/>
              </w:tabs>
            </w:pPr>
          </w:p>
        </w:tc>
      </w:tr>
      <w:tr w:rsidR="000D3280" w:rsidRPr="00133E61" w:rsidTr="00730EA6">
        <w:tc>
          <w:tcPr>
            <w:tcW w:w="8771" w:type="dxa"/>
            <w:tcBorders>
              <w:top w:val="nil"/>
              <w:left w:val="nil"/>
              <w:bottom w:val="nil"/>
              <w:right w:val="nil"/>
            </w:tcBorders>
            <w:shd w:val="clear" w:color="auto" w:fill="auto"/>
          </w:tcPr>
          <w:p w:rsidR="000D3280" w:rsidRPr="00133E61" w:rsidRDefault="000D3280" w:rsidP="00086254">
            <w:pPr>
              <w:pStyle w:val="Note"/>
              <w:tabs>
                <w:tab w:val="left" w:pos="1344"/>
              </w:tabs>
            </w:pPr>
            <w:r w:rsidRPr="00133E61">
              <w:rPr>
                <w:rStyle w:val="NoteLabel"/>
              </w:rPr>
              <w:t>a</w:t>
            </w:r>
            <w:r w:rsidRPr="00133E61">
              <w:t xml:space="preserve"> </w:t>
            </w:r>
            <w:r w:rsidR="00DB2B7E">
              <w:t>See box</w:t>
            </w:r>
            <w:r w:rsidR="005547FD">
              <w:t> </w:t>
            </w:r>
            <w:r w:rsidR="00DB2B7E">
              <w:t>14.6</w:t>
            </w:r>
            <w:r w:rsidR="00CB566F" w:rsidRPr="00133E61">
              <w:t xml:space="preserve"> and table 14A.</w:t>
            </w:r>
            <w:r w:rsidR="00086254">
              <w:t>20</w:t>
            </w:r>
            <w:r w:rsidR="00CB566F" w:rsidRPr="00133E61">
              <w:t xml:space="preserve"> for detailed </w:t>
            </w:r>
            <w:r w:rsidR="003D7F75">
              <w:t>definitions, footnotes and caveats</w:t>
            </w:r>
            <w:r w:rsidR="00CB566F" w:rsidRPr="00133E61">
              <w:t>.</w:t>
            </w:r>
            <w:r w:rsidRPr="00133E61">
              <w:rPr>
                <w:rStyle w:val="NoteLabel"/>
              </w:rPr>
              <w:t xml:space="preserve"> </w:t>
            </w:r>
          </w:p>
        </w:tc>
      </w:tr>
      <w:tr w:rsidR="000D3280" w:rsidRPr="00133E61" w:rsidTr="00730EA6">
        <w:tc>
          <w:tcPr>
            <w:tcW w:w="8771" w:type="dxa"/>
            <w:tcBorders>
              <w:top w:val="nil"/>
              <w:left w:val="nil"/>
              <w:bottom w:val="nil"/>
              <w:right w:val="nil"/>
            </w:tcBorders>
            <w:shd w:val="clear" w:color="auto" w:fill="auto"/>
          </w:tcPr>
          <w:p w:rsidR="000D3280" w:rsidRPr="00133E61" w:rsidRDefault="000D3280" w:rsidP="00086254">
            <w:pPr>
              <w:pStyle w:val="Source"/>
              <w:tabs>
                <w:tab w:val="left" w:pos="1344"/>
              </w:tabs>
            </w:pPr>
            <w:r w:rsidRPr="00133E61">
              <w:rPr>
                <w:i/>
              </w:rPr>
              <w:t>Source</w:t>
            </w:r>
            <w:r w:rsidRPr="00133E61">
              <w:t xml:space="preserve">: AIHW </w:t>
            </w:r>
            <w:r w:rsidRPr="00B63AF8">
              <w:t>(unpublish</w:t>
            </w:r>
            <w:r w:rsidR="009E0A9E" w:rsidRPr="00B63AF8">
              <w:t xml:space="preserve">ed), </w:t>
            </w:r>
            <w:r w:rsidR="009E0A9E" w:rsidRPr="00BB5BA4">
              <w:t>DS NMDS</w:t>
            </w:r>
            <w:r w:rsidRPr="00B63AF8">
              <w:t xml:space="preserve">, AIHW analysis of the ABS </w:t>
            </w:r>
            <w:r w:rsidR="00B63AF8">
              <w:t>June ERP</w:t>
            </w:r>
            <w:r w:rsidRPr="00BB5BA4">
              <w:t>, ABS Cens</w:t>
            </w:r>
            <w:r w:rsidR="009E0A9E" w:rsidRPr="00BB5BA4">
              <w:t>us of Population and Housing</w:t>
            </w:r>
            <w:r w:rsidR="00B63AF8">
              <w:t xml:space="preserve"> </w:t>
            </w:r>
            <w:r w:rsidRPr="00B63AF8">
              <w:t xml:space="preserve">and the ABS </w:t>
            </w:r>
            <w:r w:rsidRPr="00BB5BA4">
              <w:t>S</w:t>
            </w:r>
            <w:r w:rsidR="00B63AF8">
              <w:t>DAC</w:t>
            </w:r>
            <w:r w:rsidR="00445BD4" w:rsidRPr="00133E61">
              <w:t>; table </w:t>
            </w:r>
            <w:r w:rsidRPr="00133E61">
              <w:t>14A.</w:t>
            </w:r>
            <w:r w:rsidR="00086254">
              <w:t>20</w:t>
            </w:r>
            <w:r w:rsidRPr="00133E61">
              <w:t>.</w:t>
            </w:r>
          </w:p>
        </w:tc>
      </w:tr>
      <w:tr w:rsidR="000D3280" w:rsidRPr="00133E61" w:rsidTr="00730EA6">
        <w:tc>
          <w:tcPr>
            <w:tcW w:w="8771" w:type="dxa"/>
            <w:tcBorders>
              <w:top w:val="nil"/>
              <w:left w:val="nil"/>
              <w:bottom w:val="single" w:sz="6" w:space="0" w:color="78A22F"/>
              <w:right w:val="nil"/>
            </w:tcBorders>
            <w:shd w:val="clear" w:color="auto" w:fill="auto"/>
          </w:tcPr>
          <w:p w:rsidR="000D3280" w:rsidRPr="00133E61" w:rsidRDefault="000D3280" w:rsidP="00406D39">
            <w:pPr>
              <w:pStyle w:val="Figurespace"/>
              <w:tabs>
                <w:tab w:val="left" w:pos="1344"/>
              </w:tabs>
            </w:pPr>
          </w:p>
        </w:tc>
      </w:tr>
      <w:tr w:rsidR="000D3280" w:rsidRPr="00133E61" w:rsidTr="00730EA6">
        <w:tc>
          <w:tcPr>
            <w:tcW w:w="8771" w:type="dxa"/>
            <w:tcBorders>
              <w:top w:val="single" w:sz="6" w:space="0" w:color="78A22F"/>
              <w:left w:val="nil"/>
              <w:bottom w:val="nil"/>
              <w:right w:val="nil"/>
            </w:tcBorders>
          </w:tcPr>
          <w:p w:rsidR="000D3280" w:rsidRPr="00133E61" w:rsidRDefault="000D3280" w:rsidP="00406D39">
            <w:pPr>
              <w:pStyle w:val="BoxSpaceBelow"/>
              <w:tabs>
                <w:tab w:val="left" w:pos="1344"/>
              </w:tabs>
            </w:pPr>
          </w:p>
        </w:tc>
      </w:tr>
    </w:tbl>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37E0" w:rsidRPr="00133E61" w:rsidTr="00730EA6">
        <w:tc>
          <w:tcPr>
            <w:tcW w:w="8771" w:type="dxa"/>
            <w:tcBorders>
              <w:top w:val="single" w:sz="6" w:space="0" w:color="78A22F"/>
              <w:left w:val="nil"/>
              <w:bottom w:val="nil"/>
              <w:right w:val="nil"/>
            </w:tcBorders>
            <w:shd w:val="clear" w:color="auto" w:fill="auto"/>
          </w:tcPr>
          <w:p w:rsidR="002637E0" w:rsidRPr="00133E61" w:rsidRDefault="002637E0" w:rsidP="00187FBC">
            <w:pPr>
              <w:pStyle w:val="FigureTitle"/>
              <w:tabs>
                <w:tab w:val="left" w:pos="1344"/>
              </w:tabs>
            </w:pPr>
            <w:r w:rsidRPr="00133E61">
              <w:rPr>
                <w:b w:val="0"/>
              </w:rPr>
              <w:t xml:space="preserve">Figure </w:t>
            </w:r>
            <w:r w:rsidR="00321568" w:rsidRPr="00133E61">
              <w:rPr>
                <w:b w:val="0"/>
              </w:rPr>
              <w:t>14.</w:t>
            </w:r>
            <w:r w:rsidR="004B691F">
              <w:rPr>
                <w:b w:val="0"/>
                <w:noProof/>
              </w:rPr>
              <w:t>8</w:t>
            </w:r>
            <w:r w:rsidRPr="00133E61">
              <w:tab/>
              <w:t>Users of NDA community access services as a proportion of</w:t>
            </w:r>
            <w:r w:rsidR="00187FBC">
              <w:t xml:space="preserve"> </w:t>
            </w:r>
            <w:r w:rsidRPr="00133E61">
              <w:t>the estimated potential population</w:t>
            </w:r>
            <w:r w:rsidRPr="00133E61">
              <w:rPr>
                <w:rStyle w:val="NoteLabel"/>
                <w:b/>
              </w:rPr>
              <w:t>a</w:t>
            </w:r>
          </w:p>
        </w:tc>
      </w:tr>
      <w:tr w:rsidR="002637E0" w:rsidRPr="00133E61"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637E0" w:rsidRPr="00133E61" w:rsidTr="00730EA6">
              <w:trPr>
                <w:jc w:val="center"/>
              </w:trPr>
              <w:tc>
                <w:tcPr>
                  <w:tcW w:w="5000" w:type="pct"/>
                  <w:tcBorders>
                    <w:top w:val="nil"/>
                    <w:bottom w:val="nil"/>
                  </w:tcBorders>
                </w:tcPr>
                <w:p w:rsidR="002637E0" w:rsidRPr="00532D7E" w:rsidRDefault="00187FBC" w:rsidP="00406D39">
                  <w:pPr>
                    <w:pStyle w:val="Figure"/>
                    <w:tabs>
                      <w:tab w:val="left" w:pos="1344"/>
                    </w:tabs>
                  </w:pPr>
                  <w:r>
                    <w:rPr>
                      <w:noProof/>
                    </w:rPr>
                    <w:drawing>
                      <wp:inline distT="0" distB="0" distL="0" distR="0">
                        <wp:extent cx="5225415" cy="2612390"/>
                        <wp:effectExtent l="0" t="0" r="0" b="0"/>
                        <wp:docPr id="10" name="Picture 10" descr="Figure 14.8 Users of NDA community access services as a proportion of the estimated potential population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25415" cy="2612390"/>
                                </a:xfrm>
                                <a:prstGeom prst="rect">
                                  <a:avLst/>
                                </a:prstGeom>
                                <a:noFill/>
                                <a:ln>
                                  <a:noFill/>
                                </a:ln>
                              </pic:spPr>
                            </pic:pic>
                          </a:graphicData>
                        </a:graphic>
                      </wp:inline>
                    </w:drawing>
                  </w:r>
                </w:p>
              </w:tc>
            </w:tr>
          </w:tbl>
          <w:p w:rsidR="002637E0" w:rsidRPr="00133E61" w:rsidRDefault="002637E0" w:rsidP="00406D39">
            <w:pPr>
              <w:pStyle w:val="Figure"/>
              <w:tabs>
                <w:tab w:val="left" w:pos="1344"/>
              </w:tabs>
            </w:pPr>
          </w:p>
        </w:tc>
      </w:tr>
      <w:tr w:rsidR="002637E0" w:rsidRPr="00133E61" w:rsidTr="00730EA6">
        <w:tc>
          <w:tcPr>
            <w:tcW w:w="8771" w:type="dxa"/>
            <w:tcBorders>
              <w:top w:val="nil"/>
              <w:left w:val="nil"/>
              <w:bottom w:val="nil"/>
              <w:right w:val="nil"/>
            </w:tcBorders>
            <w:shd w:val="clear" w:color="auto" w:fill="auto"/>
          </w:tcPr>
          <w:p w:rsidR="002637E0" w:rsidRPr="00133E61" w:rsidRDefault="002637E0" w:rsidP="00086254">
            <w:pPr>
              <w:pStyle w:val="Note"/>
              <w:tabs>
                <w:tab w:val="left" w:pos="1344"/>
              </w:tabs>
            </w:pPr>
            <w:r w:rsidRPr="00133E61">
              <w:rPr>
                <w:rStyle w:val="NoteLabel"/>
              </w:rPr>
              <w:t>a</w:t>
            </w:r>
            <w:r w:rsidRPr="00133E61">
              <w:t xml:space="preserve"> </w:t>
            </w:r>
            <w:r w:rsidR="00CB566F" w:rsidRPr="00133E61">
              <w:t>See box</w:t>
            </w:r>
            <w:r w:rsidR="005547FD">
              <w:t> </w:t>
            </w:r>
            <w:r w:rsidR="00CB566F" w:rsidRPr="00133E61">
              <w:t>14.</w:t>
            </w:r>
            <w:r w:rsidR="0093627B">
              <w:t>6</w:t>
            </w:r>
            <w:r w:rsidR="00CB566F" w:rsidRPr="00133E61">
              <w:t xml:space="preserve"> and table 14A.2</w:t>
            </w:r>
            <w:r w:rsidR="00086254">
              <w:t>1</w:t>
            </w:r>
            <w:r w:rsidR="00CB566F" w:rsidRPr="00133E61">
              <w:t xml:space="preserve"> for detailed </w:t>
            </w:r>
            <w:r w:rsidR="003D7F75">
              <w:t>definitions, footnotes and caveats</w:t>
            </w:r>
            <w:r w:rsidR="00CB566F" w:rsidRPr="00133E61">
              <w:t>.</w:t>
            </w:r>
          </w:p>
        </w:tc>
      </w:tr>
      <w:tr w:rsidR="002637E0" w:rsidRPr="00133E61" w:rsidTr="00730EA6">
        <w:tc>
          <w:tcPr>
            <w:tcW w:w="8771" w:type="dxa"/>
            <w:tcBorders>
              <w:top w:val="nil"/>
              <w:left w:val="nil"/>
              <w:bottom w:val="nil"/>
              <w:right w:val="nil"/>
            </w:tcBorders>
            <w:shd w:val="clear" w:color="auto" w:fill="auto"/>
          </w:tcPr>
          <w:p w:rsidR="002637E0" w:rsidRPr="00133E61" w:rsidRDefault="002637E0" w:rsidP="00086254">
            <w:pPr>
              <w:pStyle w:val="Source"/>
              <w:tabs>
                <w:tab w:val="left" w:pos="1344"/>
              </w:tabs>
            </w:pPr>
            <w:r w:rsidRPr="00133E61">
              <w:rPr>
                <w:rStyle w:val="SourceChar"/>
                <w:i/>
              </w:rPr>
              <w:t>Source</w:t>
            </w:r>
            <w:r w:rsidRPr="00133E61">
              <w:rPr>
                <w:rStyle w:val="SourceChar"/>
              </w:rPr>
              <w:t xml:space="preserve">: </w:t>
            </w:r>
            <w:r w:rsidRPr="00133E61">
              <w:t xml:space="preserve">AIHW (unpublished) </w:t>
            </w:r>
            <w:r w:rsidRPr="00BB5BA4">
              <w:t>DS NMDS</w:t>
            </w:r>
            <w:r w:rsidRPr="00EB36BE">
              <w:t>,</w:t>
            </w:r>
            <w:r w:rsidR="00F164F6" w:rsidRPr="00EB36BE">
              <w:t xml:space="preserve"> </w:t>
            </w:r>
            <w:r w:rsidRPr="00EB36BE">
              <w:t>AIHW analysis of the ABS</w:t>
            </w:r>
            <w:r w:rsidR="00EB36BE">
              <w:t xml:space="preserve"> June ERP</w:t>
            </w:r>
            <w:r w:rsidRPr="00BB5BA4">
              <w:t>, ABS Census of Population and Housing</w:t>
            </w:r>
            <w:r w:rsidRPr="00EB36BE">
              <w:t xml:space="preserve"> and the ABS </w:t>
            </w:r>
            <w:r w:rsidR="00EB36BE">
              <w:t>SDAC</w:t>
            </w:r>
            <w:r w:rsidRPr="00EB36BE">
              <w:rPr>
                <w:rStyle w:val="SourceChar"/>
              </w:rPr>
              <w:t>; table</w:t>
            </w:r>
            <w:r w:rsidR="00445BD4" w:rsidRPr="00EB36BE">
              <w:rPr>
                <w:rStyle w:val="SourceChar"/>
              </w:rPr>
              <w:t> </w:t>
            </w:r>
            <w:r w:rsidRPr="00EB36BE">
              <w:rPr>
                <w:rStyle w:val="SourceChar"/>
              </w:rPr>
              <w:t>14A.</w:t>
            </w:r>
            <w:r w:rsidR="00683393" w:rsidRPr="00EB36BE">
              <w:rPr>
                <w:rStyle w:val="SourceChar"/>
              </w:rPr>
              <w:t>2</w:t>
            </w:r>
            <w:r w:rsidR="00086254">
              <w:rPr>
                <w:rStyle w:val="SourceChar"/>
              </w:rPr>
              <w:t>1</w:t>
            </w:r>
            <w:r w:rsidRPr="00133E61">
              <w:rPr>
                <w:rStyle w:val="SourceChar"/>
              </w:rPr>
              <w:t>.</w:t>
            </w:r>
          </w:p>
        </w:tc>
      </w:tr>
      <w:tr w:rsidR="002637E0" w:rsidRPr="00133E61" w:rsidTr="00730EA6">
        <w:tc>
          <w:tcPr>
            <w:tcW w:w="8771" w:type="dxa"/>
            <w:tcBorders>
              <w:top w:val="nil"/>
              <w:left w:val="nil"/>
              <w:bottom w:val="single" w:sz="6" w:space="0" w:color="78A22F"/>
              <w:right w:val="nil"/>
            </w:tcBorders>
            <w:shd w:val="clear" w:color="auto" w:fill="auto"/>
          </w:tcPr>
          <w:p w:rsidR="002637E0" w:rsidRPr="00133E61" w:rsidRDefault="002637E0" w:rsidP="00406D39">
            <w:pPr>
              <w:pStyle w:val="Figurespace"/>
              <w:tabs>
                <w:tab w:val="left" w:pos="1344"/>
              </w:tabs>
            </w:pPr>
          </w:p>
        </w:tc>
      </w:tr>
      <w:tr w:rsidR="002637E0" w:rsidRPr="00133E61" w:rsidTr="00730EA6">
        <w:tc>
          <w:tcPr>
            <w:tcW w:w="8771" w:type="dxa"/>
            <w:tcBorders>
              <w:top w:val="single" w:sz="6" w:space="0" w:color="78A22F"/>
              <w:left w:val="nil"/>
              <w:bottom w:val="nil"/>
              <w:right w:val="nil"/>
            </w:tcBorders>
          </w:tcPr>
          <w:p w:rsidR="002637E0" w:rsidRPr="00133E61" w:rsidRDefault="002637E0" w:rsidP="00406D39">
            <w:pPr>
              <w:pStyle w:val="BoxSpaceBelow"/>
              <w:tabs>
                <w:tab w:val="left" w:pos="1344"/>
              </w:tabs>
            </w:pPr>
          </w:p>
        </w:tc>
      </w:tr>
    </w:tbl>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37E0" w:rsidRPr="00E72F70" w:rsidTr="00730EA6">
        <w:tc>
          <w:tcPr>
            <w:tcW w:w="8771" w:type="dxa"/>
            <w:tcBorders>
              <w:top w:val="single" w:sz="6" w:space="0" w:color="78A22F"/>
              <w:left w:val="nil"/>
              <w:bottom w:val="nil"/>
              <w:right w:val="nil"/>
            </w:tcBorders>
            <w:shd w:val="clear" w:color="auto" w:fill="auto"/>
          </w:tcPr>
          <w:p w:rsidR="002637E0" w:rsidRPr="00E72F70" w:rsidRDefault="002637E0" w:rsidP="00406D39">
            <w:pPr>
              <w:pStyle w:val="FigureTitle"/>
              <w:tabs>
                <w:tab w:val="left" w:pos="1344"/>
              </w:tabs>
            </w:pPr>
            <w:r w:rsidRPr="00E72F70">
              <w:rPr>
                <w:b w:val="0"/>
              </w:rPr>
              <w:t xml:space="preserve">Figure </w:t>
            </w:r>
            <w:r w:rsidR="00321568" w:rsidRPr="00E72F70">
              <w:rPr>
                <w:b w:val="0"/>
              </w:rPr>
              <w:t>14.</w:t>
            </w:r>
            <w:r w:rsidR="004B691F">
              <w:rPr>
                <w:b w:val="0"/>
                <w:noProof/>
              </w:rPr>
              <w:t>9</w:t>
            </w:r>
            <w:r w:rsidRPr="00E72F70">
              <w:tab/>
              <w:t>Users of NDA respite services as a proportion of the estimated potential population for respite services</w:t>
            </w:r>
            <w:r w:rsidRPr="00E72F70">
              <w:rPr>
                <w:rStyle w:val="NoteLabel"/>
                <w:b/>
              </w:rPr>
              <w:t>a</w:t>
            </w:r>
          </w:p>
        </w:tc>
      </w:tr>
      <w:tr w:rsidR="002637E0" w:rsidRPr="00E72F70" w:rsidTr="00BB5BA4">
        <w:trPr>
          <w:trHeight w:val="4368"/>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637E0" w:rsidRPr="00E72F70" w:rsidTr="00730EA6">
              <w:trPr>
                <w:jc w:val="center"/>
              </w:trPr>
              <w:tc>
                <w:tcPr>
                  <w:tcW w:w="5000" w:type="pct"/>
                  <w:tcBorders>
                    <w:top w:val="nil"/>
                    <w:bottom w:val="nil"/>
                  </w:tcBorders>
                </w:tcPr>
                <w:p w:rsidR="002637E0" w:rsidRPr="00532D7E" w:rsidRDefault="00187FBC" w:rsidP="00406D39">
                  <w:pPr>
                    <w:pStyle w:val="Figure"/>
                    <w:tabs>
                      <w:tab w:val="left" w:pos="1344"/>
                    </w:tabs>
                  </w:pPr>
                  <w:r>
                    <w:rPr>
                      <w:noProof/>
                    </w:rPr>
                    <w:drawing>
                      <wp:inline distT="0" distB="0" distL="0" distR="0">
                        <wp:extent cx="5225415" cy="2600960"/>
                        <wp:effectExtent l="0" t="0" r="0" b="8890"/>
                        <wp:docPr id="11" name="Picture 11" descr="Figure 14.9 Users of NDA respite services as a proportion of the estimated potential population for respite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25415" cy="2600960"/>
                                </a:xfrm>
                                <a:prstGeom prst="rect">
                                  <a:avLst/>
                                </a:prstGeom>
                                <a:noFill/>
                                <a:ln>
                                  <a:noFill/>
                                </a:ln>
                              </pic:spPr>
                            </pic:pic>
                          </a:graphicData>
                        </a:graphic>
                      </wp:inline>
                    </w:drawing>
                  </w:r>
                </w:p>
              </w:tc>
            </w:tr>
          </w:tbl>
          <w:p w:rsidR="002637E0" w:rsidRPr="00E72F70" w:rsidRDefault="002637E0" w:rsidP="00406D39">
            <w:pPr>
              <w:pStyle w:val="Figure"/>
              <w:tabs>
                <w:tab w:val="left" w:pos="1344"/>
              </w:tabs>
            </w:pPr>
          </w:p>
        </w:tc>
      </w:tr>
      <w:tr w:rsidR="002637E0" w:rsidRPr="00E72F70" w:rsidTr="00730EA6">
        <w:tc>
          <w:tcPr>
            <w:tcW w:w="8771" w:type="dxa"/>
            <w:tcBorders>
              <w:top w:val="nil"/>
              <w:left w:val="nil"/>
              <w:bottom w:val="nil"/>
              <w:right w:val="nil"/>
            </w:tcBorders>
            <w:shd w:val="clear" w:color="auto" w:fill="auto"/>
          </w:tcPr>
          <w:p w:rsidR="002637E0" w:rsidRPr="00E72F70" w:rsidRDefault="002637E0" w:rsidP="00086254">
            <w:pPr>
              <w:pStyle w:val="Note"/>
              <w:tabs>
                <w:tab w:val="left" w:pos="1344"/>
              </w:tabs>
            </w:pPr>
            <w:r w:rsidRPr="00E72F70">
              <w:rPr>
                <w:rStyle w:val="NoteLabel"/>
              </w:rPr>
              <w:t>a</w:t>
            </w:r>
            <w:r w:rsidRPr="00E72F70">
              <w:t xml:space="preserve"> </w:t>
            </w:r>
            <w:r w:rsidR="00686415" w:rsidRPr="00E72F70">
              <w:t>See box</w:t>
            </w:r>
            <w:r w:rsidR="005547FD">
              <w:t> </w:t>
            </w:r>
            <w:r w:rsidR="00686415" w:rsidRPr="00E72F70">
              <w:t>14.</w:t>
            </w:r>
            <w:r w:rsidR="00E61E43">
              <w:t>6</w:t>
            </w:r>
            <w:r w:rsidR="00686415" w:rsidRPr="00E72F70">
              <w:t xml:space="preserve"> and table 14A.2</w:t>
            </w:r>
            <w:r w:rsidR="00086254">
              <w:t>2</w:t>
            </w:r>
            <w:r w:rsidR="00686415" w:rsidRPr="00E72F70">
              <w:t xml:space="preserve"> for detailed </w:t>
            </w:r>
            <w:r w:rsidR="003D7F75">
              <w:t>definitions, footnotes and caveats</w:t>
            </w:r>
            <w:r w:rsidR="00686415" w:rsidRPr="00E72F70">
              <w:t>.</w:t>
            </w:r>
          </w:p>
        </w:tc>
      </w:tr>
      <w:tr w:rsidR="002637E0" w:rsidRPr="00E72F70" w:rsidTr="00730EA6">
        <w:tc>
          <w:tcPr>
            <w:tcW w:w="8771" w:type="dxa"/>
            <w:tcBorders>
              <w:top w:val="nil"/>
              <w:left w:val="nil"/>
              <w:bottom w:val="nil"/>
              <w:right w:val="nil"/>
            </w:tcBorders>
            <w:shd w:val="clear" w:color="auto" w:fill="auto"/>
          </w:tcPr>
          <w:p w:rsidR="002637E0" w:rsidRPr="00EB36BE" w:rsidRDefault="002637E0" w:rsidP="00086254">
            <w:pPr>
              <w:pStyle w:val="Source"/>
              <w:tabs>
                <w:tab w:val="left" w:pos="1344"/>
              </w:tabs>
            </w:pPr>
            <w:r w:rsidRPr="00BB5BA4">
              <w:t>Source</w:t>
            </w:r>
            <w:r w:rsidRPr="00EB36BE">
              <w:t>: AIHW (unpubli</w:t>
            </w:r>
            <w:r w:rsidR="00670DE9" w:rsidRPr="00EB36BE">
              <w:t xml:space="preserve">shed) </w:t>
            </w:r>
            <w:r w:rsidR="00670DE9" w:rsidRPr="00BB5BA4">
              <w:t>DS NMDS</w:t>
            </w:r>
            <w:r w:rsidRPr="00EB36BE">
              <w:t xml:space="preserve">, AIHW analysis of the ABS </w:t>
            </w:r>
            <w:r w:rsidR="00EB36BE">
              <w:t>June ERP</w:t>
            </w:r>
            <w:r w:rsidRPr="00BB5BA4">
              <w:t>, ABS Census of Population and Housing</w:t>
            </w:r>
            <w:r w:rsidRPr="00EB36BE">
              <w:t xml:space="preserve"> and the ABS </w:t>
            </w:r>
            <w:r w:rsidR="00EB36BE">
              <w:t>SDAC</w:t>
            </w:r>
            <w:r w:rsidRPr="00EB36BE">
              <w:t>; table</w:t>
            </w:r>
            <w:r w:rsidR="00445BD4" w:rsidRPr="00EB36BE">
              <w:t> 14A</w:t>
            </w:r>
            <w:r w:rsidRPr="00EB36BE">
              <w:t>.</w:t>
            </w:r>
            <w:r w:rsidR="00683393" w:rsidRPr="00EB36BE">
              <w:t>2</w:t>
            </w:r>
            <w:r w:rsidR="00086254">
              <w:t>2</w:t>
            </w:r>
            <w:r w:rsidRPr="00EB36BE">
              <w:t>.</w:t>
            </w:r>
          </w:p>
        </w:tc>
      </w:tr>
      <w:tr w:rsidR="002637E0" w:rsidRPr="00E72F70" w:rsidTr="00730EA6">
        <w:tc>
          <w:tcPr>
            <w:tcW w:w="8771" w:type="dxa"/>
            <w:tcBorders>
              <w:top w:val="single" w:sz="6" w:space="0" w:color="78A22F"/>
              <w:left w:val="nil"/>
              <w:bottom w:val="nil"/>
              <w:right w:val="nil"/>
            </w:tcBorders>
          </w:tcPr>
          <w:p w:rsidR="002637E0" w:rsidRPr="00E72F70" w:rsidRDefault="002637E0" w:rsidP="00406D39">
            <w:pPr>
              <w:pStyle w:val="BoxSpaceBelow"/>
              <w:tabs>
                <w:tab w:val="left" w:pos="1344"/>
              </w:tabs>
            </w:pPr>
          </w:p>
        </w:tc>
      </w:tr>
    </w:tbl>
    <w:p w:rsidR="00EB36BE" w:rsidRDefault="00EB36BE" w:rsidP="00BB5BA4">
      <w:pPr>
        <w:pStyle w:val="BodyText"/>
      </w:pPr>
      <w:r>
        <w:lastRenderedPageBreak/>
        <w:t>Nationally in 2013</w:t>
      </w:r>
      <w:r w:rsidR="005547FD">
        <w:noBreakHyphen/>
      </w:r>
      <w:r>
        <w:t>14</w:t>
      </w:r>
      <w:r w:rsidR="002E1DB0">
        <w:t>, for people aged 15</w:t>
      </w:r>
      <w:r w:rsidR="002E1DB0" w:rsidRPr="00E72F70">
        <w:t>–64 years with disability with an employment restriction</w:t>
      </w:r>
      <w:r>
        <w:t>:</w:t>
      </w:r>
    </w:p>
    <w:p w:rsidR="00EB36BE" w:rsidRDefault="00EB36BE" w:rsidP="00BB5BA4">
      <w:pPr>
        <w:pStyle w:val="ListBullet"/>
      </w:pPr>
      <w:r w:rsidRPr="00E72F70">
        <w:t>7.5 per cent were using NDA open employment services (Employment Support Services</w:t>
      </w:r>
      <w:r w:rsidR="002E1DB0">
        <w:t xml:space="preserve"> (ESS)</w:t>
      </w:r>
      <w:r w:rsidR="001D785B">
        <w:t>) (figure 14.1</w:t>
      </w:r>
      <w:r w:rsidR="00BD41DE">
        <w:t>0</w:t>
      </w:r>
      <w:r>
        <w:t>)</w:t>
      </w:r>
    </w:p>
    <w:p w:rsidR="00EB36BE" w:rsidRDefault="00EB36BE" w:rsidP="00BB5BA4">
      <w:pPr>
        <w:pStyle w:val="ListBullet"/>
      </w:pPr>
      <w:r w:rsidRPr="00E72F70">
        <w:t>8.0 per cent were using NDA open employment services (Disability Management Services</w:t>
      </w:r>
      <w:r w:rsidR="002E1DB0">
        <w:t xml:space="preserve"> (DMS)</w:t>
      </w:r>
      <w:r w:rsidR="001D785B">
        <w:t>) (figure 14.1</w:t>
      </w:r>
      <w:r w:rsidR="00BD41DE">
        <w:t>1</w:t>
      </w:r>
      <w:r w:rsidRPr="00E72F70">
        <w:t>).</w:t>
      </w:r>
    </w:p>
    <w:p w:rsidR="002E1DB0" w:rsidRDefault="002E1DB0" w:rsidP="00BB5BA4">
      <w:pPr>
        <w:pStyle w:val="BodyText"/>
      </w:pPr>
      <w:r w:rsidRPr="00E72F70">
        <w:t>Nationally in 2013</w:t>
      </w:r>
      <w:r w:rsidR="005547FD">
        <w:noBreakHyphen/>
      </w:r>
      <w:r w:rsidRPr="00E72F70">
        <w:t>14, the number of people with disability who used NDA supported employment services as a proportion of the potential population (aged 15–64 years) was 6.9 per cent (figure 14.1</w:t>
      </w:r>
      <w:r w:rsidR="00BD41DE">
        <w:t>2</w:t>
      </w:r>
      <w:r w:rsidRPr="00E72F70">
        <w:t>).</w:t>
      </w:r>
    </w:p>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454BE" w:rsidRPr="00E72F70" w:rsidTr="00730EA6">
        <w:tc>
          <w:tcPr>
            <w:tcW w:w="8771" w:type="dxa"/>
            <w:tcBorders>
              <w:top w:val="single" w:sz="6" w:space="0" w:color="78A22F"/>
              <w:left w:val="nil"/>
              <w:bottom w:val="nil"/>
              <w:right w:val="nil"/>
            </w:tcBorders>
            <w:shd w:val="clear" w:color="auto" w:fill="auto"/>
          </w:tcPr>
          <w:p w:rsidR="003454BE" w:rsidRPr="00E72F70" w:rsidRDefault="003454BE" w:rsidP="001D785B">
            <w:pPr>
              <w:pStyle w:val="FigureTitle"/>
              <w:tabs>
                <w:tab w:val="left" w:pos="1344"/>
              </w:tabs>
            </w:pPr>
            <w:r w:rsidRPr="00E72F70">
              <w:rPr>
                <w:b w:val="0"/>
              </w:rPr>
              <w:t xml:space="preserve">Figure </w:t>
            </w:r>
            <w:r w:rsidR="00321568" w:rsidRPr="00E72F70">
              <w:rPr>
                <w:b w:val="0"/>
              </w:rPr>
              <w:t>14.</w:t>
            </w:r>
            <w:r w:rsidR="004B691F">
              <w:rPr>
                <w:b w:val="0"/>
                <w:noProof/>
              </w:rPr>
              <w:t>10</w:t>
            </w:r>
            <w:r w:rsidRPr="00E72F70">
              <w:tab/>
              <w:t>Users of NDA open employment services (Employment Support Services) aged 15</w:t>
            </w:r>
            <w:r w:rsidR="00445BD4" w:rsidRPr="00E72F70">
              <w:t>–</w:t>
            </w:r>
            <w:r w:rsidRPr="00E72F70">
              <w:t>64 years as a proportion of the estimated number of people with an employment restriction</w:t>
            </w:r>
            <w:r w:rsidR="008704B6" w:rsidRPr="00E72F70">
              <w:rPr>
                <w:rStyle w:val="NoteLabel"/>
                <w:b/>
              </w:rPr>
              <w:t>a</w:t>
            </w:r>
          </w:p>
        </w:tc>
      </w:tr>
      <w:tr w:rsidR="003454BE" w:rsidRPr="00E72F7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454BE" w:rsidRPr="00E72F70" w:rsidTr="00516C52">
              <w:trPr>
                <w:jc w:val="center"/>
              </w:trPr>
              <w:tc>
                <w:tcPr>
                  <w:tcW w:w="8504" w:type="dxa"/>
                  <w:tcBorders>
                    <w:top w:val="nil"/>
                    <w:bottom w:val="nil"/>
                  </w:tcBorders>
                </w:tcPr>
                <w:p w:rsidR="003454BE" w:rsidRPr="00532D7E" w:rsidRDefault="00187FBC" w:rsidP="00406D39">
                  <w:pPr>
                    <w:pStyle w:val="Figure"/>
                    <w:tabs>
                      <w:tab w:val="left" w:pos="1344"/>
                    </w:tabs>
                  </w:pPr>
                  <w:r>
                    <w:rPr>
                      <w:noProof/>
                    </w:rPr>
                    <w:drawing>
                      <wp:inline distT="0" distB="0" distL="0" distR="0">
                        <wp:extent cx="5225415" cy="2683510"/>
                        <wp:effectExtent l="0" t="0" r="0" b="2540"/>
                        <wp:docPr id="12" name="Picture 12" descr="Figure 14.10 Users of NDA open employment services (Employment Support Services) aged 15–64 years as a proportion of the estimated number of people with an employment restri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3454BE" w:rsidRPr="00E72F70" w:rsidRDefault="003454BE" w:rsidP="00406D39">
            <w:pPr>
              <w:pStyle w:val="Figure"/>
              <w:tabs>
                <w:tab w:val="left" w:pos="1344"/>
              </w:tabs>
            </w:pPr>
          </w:p>
        </w:tc>
      </w:tr>
      <w:tr w:rsidR="003454BE" w:rsidRPr="00E72F70" w:rsidTr="00730EA6">
        <w:tc>
          <w:tcPr>
            <w:tcW w:w="8771" w:type="dxa"/>
            <w:tcBorders>
              <w:top w:val="nil"/>
              <w:left w:val="nil"/>
              <w:bottom w:val="nil"/>
              <w:right w:val="nil"/>
            </w:tcBorders>
            <w:shd w:val="clear" w:color="auto" w:fill="auto"/>
          </w:tcPr>
          <w:p w:rsidR="003454BE" w:rsidRPr="00E72F70" w:rsidRDefault="003454BE" w:rsidP="00086254">
            <w:pPr>
              <w:pStyle w:val="Note"/>
              <w:tabs>
                <w:tab w:val="left" w:pos="1344"/>
              </w:tabs>
            </w:pPr>
            <w:r w:rsidRPr="00E72F70">
              <w:rPr>
                <w:rStyle w:val="NoteLabel"/>
              </w:rPr>
              <w:t>a</w:t>
            </w:r>
            <w:r w:rsidRPr="00E72F70">
              <w:t xml:space="preserve"> </w:t>
            </w:r>
            <w:r w:rsidR="00E61E43">
              <w:t>See box</w:t>
            </w:r>
            <w:r w:rsidR="005547FD">
              <w:t> </w:t>
            </w:r>
            <w:r w:rsidR="00E61E43">
              <w:t>14.6</w:t>
            </w:r>
            <w:r w:rsidR="00686415" w:rsidRPr="00E72F70">
              <w:t xml:space="preserve"> and table 14A.2</w:t>
            </w:r>
            <w:r w:rsidR="00086254">
              <w:t>3</w:t>
            </w:r>
            <w:r w:rsidR="00686415" w:rsidRPr="00E72F70">
              <w:t xml:space="preserve"> for detailed </w:t>
            </w:r>
            <w:r w:rsidR="003D7F75">
              <w:t>definitions, footnotes and caveats</w:t>
            </w:r>
            <w:r w:rsidR="00686415" w:rsidRPr="00E72F70">
              <w:t>.</w:t>
            </w:r>
          </w:p>
        </w:tc>
      </w:tr>
      <w:tr w:rsidR="003454BE" w:rsidRPr="00E72F70" w:rsidTr="00730EA6">
        <w:tc>
          <w:tcPr>
            <w:tcW w:w="8771" w:type="dxa"/>
            <w:tcBorders>
              <w:top w:val="nil"/>
              <w:left w:val="nil"/>
              <w:bottom w:val="nil"/>
              <w:right w:val="nil"/>
            </w:tcBorders>
            <w:shd w:val="clear" w:color="auto" w:fill="auto"/>
          </w:tcPr>
          <w:p w:rsidR="003454BE" w:rsidRPr="00E72F70" w:rsidRDefault="003454BE" w:rsidP="00086254">
            <w:pPr>
              <w:pStyle w:val="Source"/>
              <w:tabs>
                <w:tab w:val="left" w:pos="1344"/>
              </w:tabs>
            </w:pPr>
            <w:r w:rsidRPr="00E72F70">
              <w:rPr>
                <w:i/>
              </w:rPr>
              <w:t>Source</w:t>
            </w:r>
            <w:r w:rsidRPr="00E72F70">
              <w:t xml:space="preserve">: AIHW (unpublished), </w:t>
            </w:r>
            <w:r w:rsidRPr="00BB5BA4">
              <w:t>DS NMDS</w:t>
            </w:r>
            <w:r w:rsidRPr="00EB36BE">
              <w:t>, AIHW analysis of the ABS</w:t>
            </w:r>
            <w:r w:rsidR="00EB36BE">
              <w:t xml:space="preserve"> June ERP</w:t>
            </w:r>
            <w:r w:rsidRPr="00BB5BA4">
              <w:t>, ABS Census of Population and Housing</w:t>
            </w:r>
            <w:r w:rsidR="00EB36BE">
              <w:t xml:space="preserve"> a</w:t>
            </w:r>
            <w:r w:rsidRPr="00EB36BE">
              <w:t xml:space="preserve">nd the ABS </w:t>
            </w:r>
            <w:r w:rsidR="00EB36BE">
              <w:t>SDAC</w:t>
            </w:r>
            <w:r w:rsidRPr="00EB36BE">
              <w:t>; table</w:t>
            </w:r>
            <w:r w:rsidR="00445BD4" w:rsidRPr="00EB36BE">
              <w:t> </w:t>
            </w:r>
            <w:r w:rsidRPr="00EB36BE">
              <w:t>14A.</w:t>
            </w:r>
            <w:r w:rsidR="00683393" w:rsidRPr="00EB36BE">
              <w:t>2</w:t>
            </w:r>
            <w:r w:rsidR="00086254">
              <w:t>3</w:t>
            </w:r>
            <w:r w:rsidRPr="00EB36BE">
              <w:t>.</w:t>
            </w:r>
          </w:p>
        </w:tc>
      </w:tr>
      <w:tr w:rsidR="003454BE" w:rsidRPr="00E72F70" w:rsidTr="00730EA6">
        <w:tc>
          <w:tcPr>
            <w:tcW w:w="8771" w:type="dxa"/>
            <w:tcBorders>
              <w:top w:val="nil"/>
              <w:left w:val="nil"/>
              <w:bottom w:val="single" w:sz="6" w:space="0" w:color="78A22F"/>
              <w:right w:val="nil"/>
            </w:tcBorders>
            <w:shd w:val="clear" w:color="auto" w:fill="auto"/>
          </w:tcPr>
          <w:p w:rsidR="003454BE" w:rsidRPr="00E72F70" w:rsidRDefault="003454BE" w:rsidP="00406D39">
            <w:pPr>
              <w:pStyle w:val="Figurespace"/>
              <w:tabs>
                <w:tab w:val="left" w:pos="1344"/>
              </w:tabs>
            </w:pPr>
          </w:p>
        </w:tc>
      </w:tr>
      <w:tr w:rsidR="003454BE" w:rsidRPr="00E72F70" w:rsidTr="00730EA6">
        <w:tc>
          <w:tcPr>
            <w:tcW w:w="8771" w:type="dxa"/>
            <w:tcBorders>
              <w:top w:val="single" w:sz="6" w:space="0" w:color="78A22F"/>
              <w:left w:val="nil"/>
              <w:bottom w:val="nil"/>
              <w:right w:val="nil"/>
            </w:tcBorders>
          </w:tcPr>
          <w:p w:rsidR="003454BE" w:rsidRPr="00E72F70" w:rsidRDefault="003454BE" w:rsidP="00406D39">
            <w:pPr>
              <w:pStyle w:val="BoxSpaceBelow"/>
              <w:tabs>
                <w:tab w:val="left" w:pos="1344"/>
              </w:tabs>
            </w:pPr>
          </w:p>
        </w:tc>
      </w:tr>
    </w:tbl>
    <w:p w:rsidR="00406D39" w:rsidRDefault="00406D39" w:rsidP="00406D39">
      <w:pPr>
        <w:pStyle w:val="BodyText"/>
      </w:pPr>
      <w:r>
        <w:br w:type="page"/>
      </w:r>
    </w:p>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52" w:rsidRPr="00E72F70" w:rsidTr="00730EA6">
        <w:tc>
          <w:tcPr>
            <w:tcW w:w="8771" w:type="dxa"/>
            <w:tcBorders>
              <w:top w:val="single" w:sz="6" w:space="0" w:color="78A22F"/>
              <w:left w:val="nil"/>
              <w:bottom w:val="nil"/>
              <w:right w:val="nil"/>
            </w:tcBorders>
            <w:shd w:val="clear" w:color="auto" w:fill="auto"/>
          </w:tcPr>
          <w:p w:rsidR="00D12D52" w:rsidRPr="00E72F70" w:rsidRDefault="00D12D52" w:rsidP="001D785B">
            <w:pPr>
              <w:pStyle w:val="FigureTitle"/>
              <w:tabs>
                <w:tab w:val="left" w:pos="1344"/>
              </w:tabs>
            </w:pPr>
            <w:r w:rsidRPr="00E72F70">
              <w:rPr>
                <w:b w:val="0"/>
              </w:rPr>
              <w:t xml:space="preserve">Figure </w:t>
            </w:r>
            <w:r w:rsidR="00321568" w:rsidRPr="00E72F70">
              <w:rPr>
                <w:b w:val="0"/>
              </w:rPr>
              <w:t>14.</w:t>
            </w:r>
            <w:r w:rsidR="004B691F">
              <w:rPr>
                <w:b w:val="0"/>
                <w:noProof/>
              </w:rPr>
              <w:t>11</w:t>
            </w:r>
            <w:r w:rsidRPr="00E72F70">
              <w:tab/>
              <w:t>Users of NDA open employment services (Disability Management Services) aged 15</w:t>
            </w:r>
            <w:r w:rsidR="00445BD4" w:rsidRPr="00E72F70">
              <w:t>–</w:t>
            </w:r>
            <w:r w:rsidRPr="00E72F70">
              <w:t xml:space="preserve">64 years as a proportion of the estimated number of people with an employment </w:t>
            </w:r>
            <w:r w:rsidR="00C47CFB" w:rsidRPr="00E72F70">
              <w:t>restriction</w:t>
            </w:r>
            <w:r w:rsidR="00C47CFB" w:rsidRPr="00DB2B7E">
              <w:rPr>
                <w:rStyle w:val="NoteLabel"/>
                <w:b/>
              </w:rPr>
              <w:t>a</w:t>
            </w:r>
          </w:p>
        </w:tc>
      </w:tr>
      <w:tr w:rsidR="00D12D52" w:rsidRPr="00E72F7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12D52" w:rsidRPr="00E72F70" w:rsidTr="00730EA6">
              <w:trPr>
                <w:jc w:val="center"/>
              </w:trPr>
              <w:tc>
                <w:tcPr>
                  <w:tcW w:w="5000" w:type="pct"/>
                  <w:tcBorders>
                    <w:top w:val="nil"/>
                    <w:bottom w:val="nil"/>
                  </w:tcBorders>
                </w:tcPr>
                <w:p w:rsidR="00D12D52" w:rsidRPr="00E72F70" w:rsidRDefault="00187FBC" w:rsidP="00406D39">
                  <w:pPr>
                    <w:pStyle w:val="Figure"/>
                    <w:tabs>
                      <w:tab w:val="left" w:pos="1344"/>
                    </w:tabs>
                  </w:pPr>
                  <w:r>
                    <w:rPr>
                      <w:noProof/>
                    </w:rPr>
                    <w:drawing>
                      <wp:inline distT="0" distB="0" distL="0" distR="0">
                        <wp:extent cx="5248910" cy="2683510"/>
                        <wp:effectExtent l="0" t="0" r="8890" b="2540"/>
                        <wp:docPr id="13" name="Picture 13" descr="Figure 14.11 Users of NDA open employment services (Disability Management Services) aged 15–64 years as a proportion of the estimated number of people with an employment restri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48910" cy="2683510"/>
                                </a:xfrm>
                                <a:prstGeom prst="rect">
                                  <a:avLst/>
                                </a:prstGeom>
                                <a:noFill/>
                                <a:ln>
                                  <a:noFill/>
                                </a:ln>
                              </pic:spPr>
                            </pic:pic>
                          </a:graphicData>
                        </a:graphic>
                      </wp:inline>
                    </w:drawing>
                  </w:r>
                </w:p>
              </w:tc>
            </w:tr>
          </w:tbl>
          <w:p w:rsidR="00D12D52" w:rsidRPr="00E72F70" w:rsidRDefault="00D12D52" w:rsidP="00406D39">
            <w:pPr>
              <w:pStyle w:val="Figure"/>
              <w:tabs>
                <w:tab w:val="left" w:pos="1344"/>
              </w:tabs>
            </w:pPr>
          </w:p>
        </w:tc>
      </w:tr>
      <w:tr w:rsidR="00D12D52" w:rsidRPr="00E72F70" w:rsidTr="00730EA6">
        <w:tc>
          <w:tcPr>
            <w:tcW w:w="8771" w:type="dxa"/>
            <w:tcBorders>
              <w:top w:val="nil"/>
              <w:left w:val="nil"/>
              <w:bottom w:val="nil"/>
              <w:right w:val="nil"/>
            </w:tcBorders>
            <w:shd w:val="clear" w:color="auto" w:fill="auto"/>
          </w:tcPr>
          <w:p w:rsidR="00D12D52" w:rsidRPr="00E72F70" w:rsidRDefault="00516C52" w:rsidP="00086254">
            <w:pPr>
              <w:pStyle w:val="Note"/>
              <w:tabs>
                <w:tab w:val="left" w:pos="1344"/>
              </w:tabs>
            </w:pPr>
            <w:r w:rsidRPr="00E72F70">
              <w:rPr>
                <w:rStyle w:val="NoteLabel"/>
              </w:rPr>
              <w:t>a</w:t>
            </w:r>
            <w:r w:rsidRPr="00E72F70">
              <w:t xml:space="preserve"> </w:t>
            </w:r>
            <w:r w:rsidR="00E61E43">
              <w:t>See box</w:t>
            </w:r>
            <w:r w:rsidR="005547FD">
              <w:t> </w:t>
            </w:r>
            <w:r w:rsidR="00E61E43">
              <w:t>14.6</w:t>
            </w:r>
            <w:r w:rsidR="00686415" w:rsidRPr="00E72F70">
              <w:t xml:space="preserve"> and table 14A.2</w:t>
            </w:r>
            <w:r w:rsidR="00086254">
              <w:t>4</w:t>
            </w:r>
            <w:r w:rsidR="00686415" w:rsidRPr="00E72F70">
              <w:t xml:space="preserve"> for detailed </w:t>
            </w:r>
            <w:r w:rsidR="003D7F75">
              <w:t>definitions, footnotes and caveats</w:t>
            </w:r>
            <w:r w:rsidR="00686415" w:rsidRPr="00E72F70">
              <w:t>.</w:t>
            </w:r>
          </w:p>
        </w:tc>
      </w:tr>
      <w:tr w:rsidR="00D12D52" w:rsidRPr="00E72F70" w:rsidTr="00730EA6">
        <w:tc>
          <w:tcPr>
            <w:tcW w:w="8771" w:type="dxa"/>
            <w:tcBorders>
              <w:top w:val="nil"/>
              <w:left w:val="nil"/>
              <w:bottom w:val="nil"/>
              <w:right w:val="nil"/>
            </w:tcBorders>
            <w:shd w:val="clear" w:color="auto" w:fill="auto"/>
          </w:tcPr>
          <w:p w:rsidR="00D12D52" w:rsidRPr="00E72F70" w:rsidRDefault="00D12D52" w:rsidP="00086254">
            <w:pPr>
              <w:pStyle w:val="Source"/>
              <w:tabs>
                <w:tab w:val="left" w:pos="1344"/>
              </w:tabs>
            </w:pPr>
            <w:r w:rsidRPr="00E72F70">
              <w:rPr>
                <w:i/>
              </w:rPr>
              <w:t>Source</w:t>
            </w:r>
            <w:r w:rsidRPr="00E72F70">
              <w:t xml:space="preserve">: </w:t>
            </w:r>
            <w:r w:rsidR="006356CD" w:rsidRPr="002E1DB0">
              <w:t xml:space="preserve">AIHW (unpublished) </w:t>
            </w:r>
            <w:r w:rsidR="006356CD" w:rsidRPr="00BB5BA4">
              <w:t>DS NMDS</w:t>
            </w:r>
            <w:r w:rsidR="00DB2B7E" w:rsidRPr="00BB5BA4">
              <w:t>;</w:t>
            </w:r>
            <w:r w:rsidR="006356CD" w:rsidRPr="002E1DB0">
              <w:t xml:space="preserve"> DEEWR (unpublished) </w:t>
            </w:r>
            <w:r w:rsidR="006356CD" w:rsidRPr="00BB5BA4">
              <w:t>administrative IT system</w:t>
            </w:r>
            <w:r w:rsidR="00DB2B7E" w:rsidRPr="002E1DB0">
              <w:t>;</w:t>
            </w:r>
            <w:r w:rsidR="006356CD" w:rsidRPr="002E1DB0">
              <w:t xml:space="preserve"> </w:t>
            </w:r>
            <w:r w:rsidR="00F162C6" w:rsidRPr="002E1DB0">
              <w:t xml:space="preserve">DSS (unpublished) </w:t>
            </w:r>
            <w:r w:rsidR="00F162C6" w:rsidRPr="00BB5BA4">
              <w:t>administrative IT system</w:t>
            </w:r>
            <w:r w:rsidR="00DB2B7E" w:rsidRPr="002E1DB0">
              <w:t>;</w:t>
            </w:r>
            <w:r w:rsidR="00F162C6" w:rsidRPr="002E1DB0">
              <w:t xml:space="preserve"> </w:t>
            </w:r>
            <w:r w:rsidR="006356CD" w:rsidRPr="002E1DB0">
              <w:t xml:space="preserve">AIHW analysis of the ABS </w:t>
            </w:r>
            <w:r w:rsidR="002E1DB0">
              <w:t>June ERP</w:t>
            </w:r>
            <w:r w:rsidR="00DB2B7E" w:rsidRPr="00BB5BA4">
              <w:t>;</w:t>
            </w:r>
            <w:r w:rsidR="006356CD" w:rsidRPr="00BB5BA4">
              <w:t xml:space="preserve"> ABS Census of Population and Housing</w:t>
            </w:r>
            <w:r w:rsidR="006356CD" w:rsidRPr="002E1DB0">
              <w:t xml:space="preserve"> and the ABS </w:t>
            </w:r>
            <w:r w:rsidR="002E1DB0">
              <w:t>SDAC</w:t>
            </w:r>
            <w:r w:rsidR="006356CD" w:rsidRPr="002E1DB0">
              <w:t>; table</w:t>
            </w:r>
            <w:r w:rsidR="00AE3578" w:rsidRPr="002E1DB0">
              <w:t> </w:t>
            </w:r>
            <w:r w:rsidR="006356CD" w:rsidRPr="002E1DB0">
              <w:t>14A.</w:t>
            </w:r>
            <w:r w:rsidR="00683393" w:rsidRPr="002E1DB0">
              <w:t>2</w:t>
            </w:r>
            <w:r w:rsidR="00086254">
              <w:t>4</w:t>
            </w:r>
            <w:r w:rsidR="00A432DF" w:rsidRPr="002E1DB0">
              <w:t>.</w:t>
            </w:r>
          </w:p>
        </w:tc>
      </w:tr>
      <w:tr w:rsidR="00D12D52" w:rsidRPr="00E72F70" w:rsidTr="00730EA6">
        <w:tc>
          <w:tcPr>
            <w:tcW w:w="8771" w:type="dxa"/>
            <w:tcBorders>
              <w:top w:val="nil"/>
              <w:left w:val="nil"/>
              <w:bottom w:val="single" w:sz="6" w:space="0" w:color="78A22F"/>
              <w:right w:val="nil"/>
            </w:tcBorders>
            <w:shd w:val="clear" w:color="auto" w:fill="auto"/>
          </w:tcPr>
          <w:p w:rsidR="00D12D52" w:rsidRPr="00E72F70" w:rsidRDefault="00D12D52" w:rsidP="00406D39">
            <w:pPr>
              <w:pStyle w:val="Figurespace"/>
              <w:tabs>
                <w:tab w:val="left" w:pos="1344"/>
              </w:tabs>
            </w:pPr>
          </w:p>
        </w:tc>
      </w:tr>
      <w:tr w:rsidR="00D12D52" w:rsidRPr="00E72F70" w:rsidTr="00730EA6">
        <w:tc>
          <w:tcPr>
            <w:tcW w:w="8771" w:type="dxa"/>
            <w:tcBorders>
              <w:top w:val="single" w:sz="6" w:space="0" w:color="78A22F"/>
              <w:left w:val="nil"/>
              <w:bottom w:val="nil"/>
              <w:right w:val="nil"/>
            </w:tcBorders>
          </w:tcPr>
          <w:p w:rsidR="00D12D52" w:rsidRPr="00E72F70" w:rsidRDefault="00D12D52" w:rsidP="00406D39">
            <w:pPr>
              <w:pStyle w:val="BoxSpaceBelow"/>
              <w:tabs>
                <w:tab w:val="left" w:pos="1344"/>
              </w:tabs>
            </w:pPr>
          </w:p>
        </w:tc>
      </w:tr>
    </w:tbl>
    <w:p w:rsidR="00406D39" w:rsidRDefault="00406D39" w:rsidP="00406D39">
      <w:pPr>
        <w:pStyle w:val="BodyText"/>
      </w:pPr>
      <w:r>
        <w:br w:type="page"/>
      </w:r>
    </w:p>
    <w:p w:rsidR="00022DFD" w:rsidRPr="00B86C20" w:rsidRDefault="00022DF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52" w:rsidRPr="00E72F70" w:rsidTr="00730EA6">
        <w:tc>
          <w:tcPr>
            <w:tcW w:w="8771" w:type="dxa"/>
            <w:tcBorders>
              <w:top w:val="single" w:sz="6" w:space="0" w:color="78A22F"/>
              <w:left w:val="nil"/>
              <w:bottom w:val="nil"/>
              <w:right w:val="nil"/>
            </w:tcBorders>
            <w:shd w:val="clear" w:color="auto" w:fill="auto"/>
          </w:tcPr>
          <w:p w:rsidR="00D12D52" w:rsidRPr="00E72F70" w:rsidRDefault="00D12D52" w:rsidP="002E1DB0">
            <w:pPr>
              <w:pStyle w:val="FigureTitle"/>
              <w:tabs>
                <w:tab w:val="left" w:pos="1344"/>
              </w:tabs>
            </w:pPr>
            <w:r w:rsidRPr="00E72F70">
              <w:rPr>
                <w:b w:val="0"/>
              </w:rPr>
              <w:t xml:space="preserve">Figure </w:t>
            </w:r>
            <w:r w:rsidR="00321568" w:rsidRPr="00E72F70">
              <w:rPr>
                <w:b w:val="0"/>
              </w:rPr>
              <w:t>14.</w:t>
            </w:r>
            <w:r w:rsidR="004B691F">
              <w:rPr>
                <w:b w:val="0"/>
                <w:noProof/>
              </w:rPr>
              <w:t>12</w:t>
            </w:r>
            <w:r w:rsidRPr="00E72F70">
              <w:tab/>
              <w:t>Users of NDA supported employment services aged 15</w:t>
            </w:r>
            <w:r w:rsidR="00445BD4" w:rsidRPr="00E72F70">
              <w:t>–</w:t>
            </w:r>
            <w:r w:rsidRPr="00E72F70">
              <w:t>64 years as a proportion of the total estimated potential population for supported employment services</w:t>
            </w:r>
            <w:r w:rsidRPr="00E72F70">
              <w:rPr>
                <w:rStyle w:val="NoteLabel"/>
                <w:b/>
              </w:rPr>
              <w:t>a</w:t>
            </w:r>
          </w:p>
        </w:tc>
      </w:tr>
      <w:tr w:rsidR="00D12D52" w:rsidRPr="00E72F7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12D52" w:rsidRPr="00E72F70" w:rsidTr="00730EA6">
              <w:trPr>
                <w:jc w:val="center"/>
              </w:trPr>
              <w:tc>
                <w:tcPr>
                  <w:tcW w:w="5000" w:type="pct"/>
                  <w:tcBorders>
                    <w:top w:val="nil"/>
                    <w:bottom w:val="nil"/>
                  </w:tcBorders>
                </w:tcPr>
                <w:p w:rsidR="00D12D52" w:rsidRPr="00532D7E" w:rsidRDefault="00187FBC" w:rsidP="00406D39">
                  <w:pPr>
                    <w:pStyle w:val="Figure"/>
                    <w:tabs>
                      <w:tab w:val="left" w:pos="1344"/>
                    </w:tabs>
                  </w:pPr>
                  <w:r>
                    <w:rPr>
                      <w:noProof/>
                    </w:rPr>
                    <w:drawing>
                      <wp:inline distT="0" distB="0" distL="0" distR="0">
                        <wp:extent cx="5248910" cy="2695575"/>
                        <wp:effectExtent l="0" t="0" r="8890" b="9525"/>
                        <wp:docPr id="14" name="Picture 14" descr="Figure 14.12 Users of NDA supported employment services aged 15–64 years as a proportion of the total estimated potential population for supported employment servic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8910" cy="2695575"/>
                                </a:xfrm>
                                <a:prstGeom prst="rect">
                                  <a:avLst/>
                                </a:prstGeom>
                                <a:noFill/>
                                <a:ln>
                                  <a:noFill/>
                                </a:ln>
                              </pic:spPr>
                            </pic:pic>
                          </a:graphicData>
                        </a:graphic>
                      </wp:inline>
                    </w:drawing>
                  </w:r>
                </w:p>
              </w:tc>
            </w:tr>
          </w:tbl>
          <w:p w:rsidR="00D12D52" w:rsidRPr="00E72F70" w:rsidRDefault="00D12D52" w:rsidP="00406D39">
            <w:pPr>
              <w:pStyle w:val="Figure"/>
              <w:tabs>
                <w:tab w:val="left" w:pos="1344"/>
              </w:tabs>
            </w:pPr>
          </w:p>
        </w:tc>
      </w:tr>
      <w:tr w:rsidR="00D12D52" w:rsidRPr="00E72F70" w:rsidTr="00730EA6">
        <w:tc>
          <w:tcPr>
            <w:tcW w:w="8771" w:type="dxa"/>
            <w:tcBorders>
              <w:top w:val="nil"/>
              <w:left w:val="nil"/>
              <w:bottom w:val="nil"/>
              <w:right w:val="nil"/>
            </w:tcBorders>
            <w:shd w:val="clear" w:color="auto" w:fill="auto"/>
          </w:tcPr>
          <w:p w:rsidR="00D12D52" w:rsidRPr="00E72F70" w:rsidRDefault="00D12D52" w:rsidP="00086254">
            <w:pPr>
              <w:pStyle w:val="Note"/>
              <w:tabs>
                <w:tab w:val="left" w:pos="1344"/>
              </w:tabs>
            </w:pPr>
            <w:r w:rsidRPr="00E72F70">
              <w:rPr>
                <w:rStyle w:val="NoteLabel"/>
              </w:rPr>
              <w:t>a</w:t>
            </w:r>
            <w:r w:rsidRPr="00E72F70">
              <w:t xml:space="preserve"> </w:t>
            </w:r>
            <w:r w:rsidR="00E61E43">
              <w:t>See box</w:t>
            </w:r>
            <w:r w:rsidR="005547FD">
              <w:t> </w:t>
            </w:r>
            <w:r w:rsidR="00E61E43">
              <w:t>14.6 and table 14A.2</w:t>
            </w:r>
            <w:r w:rsidR="00086254">
              <w:t>5</w:t>
            </w:r>
            <w:r w:rsidR="00686415" w:rsidRPr="00E72F70">
              <w:t xml:space="preserve"> for detailed </w:t>
            </w:r>
            <w:r w:rsidR="003D7F75">
              <w:t>definitions, footnotes and caveats</w:t>
            </w:r>
            <w:r w:rsidR="00686415" w:rsidRPr="00E72F70">
              <w:t>.</w:t>
            </w:r>
          </w:p>
        </w:tc>
      </w:tr>
      <w:tr w:rsidR="00D12D52" w:rsidRPr="00E72F70" w:rsidTr="00730EA6">
        <w:tc>
          <w:tcPr>
            <w:tcW w:w="8771" w:type="dxa"/>
            <w:tcBorders>
              <w:top w:val="nil"/>
              <w:left w:val="nil"/>
              <w:bottom w:val="nil"/>
              <w:right w:val="nil"/>
            </w:tcBorders>
            <w:shd w:val="clear" w:color="auto" w:fill="auto"/>
          </w:tcPr>
          <w:p w:rsidR="00D12D52" w:rsidRPr="00E72F70" w:rsidRDefault="00D12D52" w:rsidP="00086254">
            <w:pPr>
              <w:pStyle w:val="Source"/>
              <w:tabs>
                <w:tab w:val="left" w:pos="1344"/>
              </w:tabs>
            </w:pPr>
            <w:r w:rsidRPr="00E72F70">
              <w:rPr>
                <w:i/>
              </w:rPr>
              <w:t>Source</w:t>
            </w:r>
            <w:r w:rsidRPr="00E72F70">
              <w:t>: AIHW (unpublished</w:t>
            </w:r>
            <w:r w:rsidRPr="002E1DB0">
              <w:t xml:space="preserve">), </w:t>
            </w:r>
            <w:r w:rsidRPr="00BB5BA4">
              <w:t>DS NMDS</w:t>
            </w:r>
            <w:r w:rsidR="00DB2B7E" w:rsidRPr="002E1DB0">
              <w:t>;</w:t>
            </w:r>
            <w:r w:rsidRPr="002E1DB0">
              <w:t xml:space="preserve"> AIHW analysis of the ABS </w:t>
            </w:r>
            <w:r w:rsidR="002E1DB0">
              <w:t>June ERP</w:t>
            </w:r>
            <w:r w:rsidRPr="00BB5BA4">
              <w:t>, ABS Census of Population and Housing</w:t>
            </w:r>
            <w:r w:rsidRPr="002E1DB0">
              <w:t xml:space="preserve"> and the ABS</w:t>
            </w:r>
            <w:r w:rsidR="002E1DB0">
              <w:t xml:space="preserve"> SDAC</w:t>
            </w:r>
            <w:r w:rsidRPr="002E1DB0">
              <w:t>; table</w:t>
            </w:r>
            <w:r w:rsidR="00445BD4" w:rsidRPr="002E1DB0">
              <w:t> </w:t>
            </w:r>
            <w:r w:rsidRPr="002E1DB0">
              <w:t>14A.</w:t>
            </w:r>
            <w:r w:rsidR="00683393" w:rsidRPr="002E1DB0">
              <w:t>2</w:t>
            </w:r>
            <w:r w:rsidR="00086254">
              <w:t>5</w:t>
            </w:r>
            <w:r w:rsidRPr="00E72F70">
              <w:t>.</w:t>
            </w:r>
          </w:p>
        </w:tc>
      </w:tr>
      <w:tr w:rsidR="00D12D52" w:rsidRPr="00E72F70" w:rsidTr="00730EA6">
        <w:tc>
          <w:tcPr>
            <w:tcW w:w="8771" w:type="dxa"/>
            <w:tcBorders>
              <w:top w:val="nil"/>
              <w:left w:val="nil"/>
              <w:bottom w:val="single" w:sz="6" w:space="0" w:color="78A22F"/>
              <w:right w:val="nil"/>
            </w:tcBorders>
            <w:shd w:val="clear" w:color="auto" w:fill="auto"/>
          </w:tcPr>
          <w:p w:rsidR="00D12D52" w:rsidRPr="00E72F70" w:rsidRDefault="00D12D52" w:rsidP="00406D39">
            <w:pPr>
              <w:pStyle w:val="Figurespace"/>
              <w:tabs>
                <w:tab w:val="left" w:pos="1344"/>
              </w:tabs>
            </w:pPr>
          </w:p>
        </w:tc>
      </w:tr>
      <w:tr w:rsidR="00D12D52" w:rsidRPr="00E72F70" w:rsidTr="00730EA6">
        <w:tc>
          <w:tcPr>
            <w:tcW w:w="8771" w:type="dxa"/>
            <w:tcBorders>
              <w:top w:val="single" w:sz="6" w:space="0" w:color="78A22F"/>
              <w:left w:val="nil"/>
              <w:bottom w:val="nil"/>
              <w:right w:val="nil"/>
            </w:tcBorders>
          </w:tcPr>
          <w:p w:rsidR="00D12D52" w:rsidRPr="00E72F70" w:rsidRDefault="00D12D52" w:rsidP="00406D39">
            <w:pPr>
              <w:pStyle w:val="BoxSpaceBelow"/>
              <w:tabs>
                <w:tab w:val="left" w:pos="1344"/>
              </w:tabs>
            </w:pPr>
          </w:p>
        </w:tc>
      </w:tr>
    </w:tbl>
    <w:p w:rsidR="001F39F2" w:rsidRPr="00E72F70" w:rsidRDefault="002E1DB0" w:rsidP="00BB5BA4">
      <w:pPr>
        <w:pStyle w:val="Heading4"/>
      </w:pPr>
      <w:r>
        <w:t>A</w:t>
      </w:r>
      <w:r w:rsidRPr="00133E61">
        <w:t xml:space="preserve">ccess to appropriate services on the basis of relative need </w:t>
      </w:r>
      <w:r>
        <w:t xml:space="preserve">– </w:t>
      </w:r>
      <w:r w:rsidR="001F39F2" w:rsidRPr="00E72F70">
        <w:t>Service use by severity of disability</w:t>
      </w:r>
    </w:p>
    <w:p w:rsidR="00440BB2" w:rsidRPr="00E72F70" w:rsidRDefault="00440BB2" w:rsidP="00585E2C">
      <w:pPr>
        <w:pStyle w:val="BodyText"/>
      </w:pPr>
      <w:r w:rsidRPr="00E72F70">
        <w:t xml:space="preserve">‘Service use by severity of disability’ is an indicator of governments’ objective to use available resources to provide services to people on the </w:t>
      </w:r>
      <w:r w:rsidR="00651C61">
        <w:t>basis of relative need (box</w:t>
      </w:r>
      <w:r w:rsidR="005547FD">
        <w:t> </w:t>
      </w:r>
      <w:r w:rsidR="00651C61">
        <w:t>14.7</w:t>
      </w:r>
      <w:r w:rsidRPr="00E72F70">
        <w:t>). This indicator provides additional information for interpreting the access to NDA services measures reported</w:t>
      </w:r>
      <w:r w:rsidR="001D785B">
        <w:t xml:space="preserve"> above</w:t>
      </w:r>
      <w:r w:rsidRPr="00E72F70">
        <w:t>.</w:t>
      </w:r>
    </w:p>
    <w:p w:rsidR="00440BB2" w:rsidRPr="00E72F70" w:rsidRDefault="00440BB2" w:rsidP="00022DFD">
      <w:pPr>
        <w:pStyle w:val="BodyText"/>
      </w:pPr>
      <w:r w:rsidRPr="00E72F70">
        <w:t>Data on the need for assistance (a proxy measure of relative need) are derived using information on whether support is needed in one or more of the following support areas:</w:t>
      </w:r>
    </w:p>
    <w:p w:rsidR="00440BB2" w:rsidRPr="00022DFD" w:rsidRDefault="00DB2B7E" w:rsidP="00022DFD">
      <w:pPr>
        <w:pStyle w:val="ListBullet"/>
      </w:pPr>
      <w:r>
        <w:t>activities of daily living (ADL)</w:t>
      </w:r>
      <w:r w:rsidR="00440BB2" w:rsidRPr="00022DFD">
        <w:t xml:space="preserve"> </w:t>
      </w:r>
      <w:r w:rsidR="00022DFD" w:rsidRPr="00022DFD">
        <w:t>—</w:t>
      </w:r>
      <w:r w:rsidR="00440BB2" w:rsidRPr="00022DFD">
        <w:t xml:space="preserve"> self</w:t>
      </w:r>
      <w:r w:rsidR="005547FD">
        <w:noBreakHyphen/>
      </w:r>
      <w:r w:rsidR="00440BB2" w:rsidRPr="00022DFD">
        <w:t>care, mobility, and communication (the core support areas) (conceptually similar to the core activity limitations identified in the SDAC)</w:t>
      </w:r>
    </w:p>
    <w:p w:rsidR="00440BB2" w:rsidRPr="00022DFD" w:rsidRDefault="00DB2B7E" w:rsidP="00022DFD">
      <w:pPr>
        <w:pStyle w:val="ListBullet"/>
      </w:pPr>
      <w:r>
        <w:t>a</w:t>
      </w:r>
      <w:r w:rsidRPr="00E72F70">
        <w:t xml:space="preserve">ctivities of independent living </w:t>
      </w:r>
      <w:r>
        <w:t>(</w:t>
      </w:r>
      <w:r w:rsidR="00440BB2" w:rsidRPr="00022DFD">
        <w:t>AIL</w:t>
      </w:r>
      <w:r>
        <w:t>)</w:t>
      </w:r>
      <w:r w:rsidR="00440BB2" w:rsidRPr="00022DFD">
        <w:t xml:space="preserve"> </w:t>
      </w:r>
      <w:r w:rsidR="00022DFD" w:rsidRPr="00022DFD">
        <w:t>—</w:t>
      </w:r>
      <w:r w:rsidR="00440BB2" w:rsidRPr="00022DFD">
        <w:t xml:space="preserve"> interpersonal interactions and relationships, learning, applying knowledge and general tasks and demands; and domestic life</w:t>
      </w:r>
    </w:p>
    <w:p w:rsidR="00440BB2" w:rsidRPr="00022DFD" w:rsidRDefault="00DB2B7E" w:rsidP="00022DFD">
      <w:pPr>
        <w:pStyle w:val="ListBullet"/>
      </w:pPr>
      <w:r w:rsidRPr="00E72F70">
        <w:t xml:space="preserve">or activities of work, education and community living </w:t>
      </w:r>
      <w:r>
        <w:t>(</w:t>
      </w:r>
      <w:r w:rsidR="00440BB2" w:rsidRPr="00022DFD">
        <w:t>AWEC</w:t>
      </w:r>
      <w:r>
        <w:t>)</w:t>
      </w:r>
      <w:r w:rsidR="00440BB2" w:rsidRPr="00022DFD">
        <w:t xml:space="preserve"> </w:t>
      </w:r>
      <w:r w:rsidR="00022DFD" w:rsidRPr="00022DFD">
        <w:t>—</w:t>
      </w:r>
      <w:r w:rsidR="00440BB2" w:rsidRPr="00022DFD">
        <w:t xml:space="preserve"> education, community (civic) and economic life; and work.</w:t>
      </w:r>
    </w:p>
    <w:p w:rsidR="00A5229F" w:rsidRPr="00181E58" w:rsidRDefault="00A5229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RPr="00E72F70" w:rsidTr="00C827D5">
        <w:tc>
          <w:tcPr>
            <w:tcW w:w="8771" w:type="dxa"/>
            <w:tcBorders>
              <w:top w:val="single" w:sz="6" w:space="0" w:color="78A22F"/>
              <w:left w:val="nil"/>
              <w:bottom w:val="nil"/>
              <w:right w:val="nil"/>
            </w:tcBorders>
            <w:shd w:val="clear" w:color="auto" w:fill="F2F2F2"/>
          </w:tcPr>
          <w:p w:rsidR="00A5229F" w:rsidRPr="00E72F70" w:rsidRDefault="00A5229F" w:rsidP="00A5229F">
            <w:pPr>
              <w:pStyle w:val="BoxTitle"/>
            </w:pPr>
            <w:r w:rsidRPr="00E72F70">
              <w:rPr>
                <w:b w:val="0"/>
              </w:rPr>
              <w:t xml:space="preserve">Box </w:t>
            </w:r>
            <w:r w:rsidR="00321568" w:rsidRPr="00E72F70">
              <w:rPr>
                <w:b w:val="0"/>
              </w:rPr>
              <w:t>14.</w:t>
            </w:r>
            <w:r w:rsidR="004B691F">
              <w:rPr>
                <w:b w:val="0"/>
                <w:noProof/>
              </w:rPr>
              <w:t>7</w:t>
            </w:r>
            <w:r w:rsidRPr="00E72F70">
              <w:tab/>
            </w:r>
            <w:r w:rsidRPr="00E72F70">
              <w:rPr>
                <w:iCs/>
              </w:rPr>
              <w:t>Service use by severity of disability</w:t>
            </w:r>
          </w:p>
        </w:tc>
      </w:tr>
      <w:tr w:rsidR="00A5229F" w:rsidRPr="00E72F70" w:rsidTr="00C827D5">
        <w:trPr>
          <w:cantSplit/>
        </w:trPr>
        <w:tc>
          <w:tcPr>
            <w:tcW w:w="8771" w:type="dxa"/>
            <w:tcBorders>
              <w:top w:val="nil"/>
              <w:left w:val="nil"/>
              <w:bottom w:val="nil"/>
              <w:right w:val="nil"/>
            </w:tcBorders>
            <w:shd w:val="clear" w:color="auto" w:fill="F2F2F2"/>
          </w:tcPr>
          <w:p w:rsidR="00A5229F" w:rsidRPr="00E72F70" w:rsidRDefault="00A5229F" w:rsidP="00A5229F">
            <w:pPr>
              <w:pStyle w:val="Box"/>
            </w:pPr>
            <w:r w:rsidRPr="00E72F70">
              <w:t xml:space="preserve">‘Service use by severity of disability’ is defined as the proportion of people who access </w:t>
            </w:r>
            <w:r w:rsidR="00DB2B7E">
              <w:t>NDA</w:t>
            </w:r>
            <w:r w:rsidRPr="00E72F70">
              <w:t xml:space="preserve"> specialist disability services, by need for help with </w:t>
            </w:r>
            <w:r w:rsidR="008704B6" w:rsidRPr="00E72F70">
              <w:t>ADL</w:t>
            </w:r>
            <w:r w:rsidR="00DB2B7E">
              <w:t>, AIL</w:t>
            </w:r>
            <w:r w:rsidRPr="00E72F70">
              <w:t>, AWEC</w:t>
            </w:r>
            <w:r w:rsidR="00795979" w:rsidRPr="00E72F70">
              <w:t>.</w:t>
            </w:r>
            <w:r w:rsidR="008704B6" w:rsidRPr="00E72F70">
              <w:t xml:space="preserve"> </w:t>
            </w:r>
            <w:r w:rsidRPr="00E72F70">
              <w:t xml:space="preserve">Four categories are reported: </w:t>
            </w:r>
          </w:p>
          <w:p w:rsidR="00A5229F" w:rsidRPr="00E72F70" w:rsidRDefault="00A5229F" w:rsidP="00A5229F">
            <w:pPr>
              <w:pStyle w:val="BoxListBullet"/>
            </w:pPr>
            <w:r w:rsidRPr="00E72F70">
              <w:t xml:space="preserve">need help with ADL </w:t>
            </w:r>
          </w:p>
          <w:p w:rsidR="00A5229F" w:rsidRPr="00E72F70" w:rsidRDefault="00A5229F" w:rsidP="00A5229F">
            <w:pPr>
              <w:pStyle w:val="BoxListBullet"/>
            </w:pPr>
            <w:r w:rsidRPr="00E72F70">
              <w:t>need help with AIL or AWEC</w:t>
            </w:r>
            <w:r w:rsidRPr="00E72F70">
              <w:rPr>
                <w:rFonts w:cs="Arial"/>
                <w:szCs w:val="22"/>
              </w:rPr>
              <w:t xml:space="preserve"> but not ADL</w:t>
            </w:r>
          </w:p>
          <w:p w:rsidR="00A5229F" w:rsidRPr="00E72F70" w:rsidRDefault="00A5229F" w:rsidP="00A5229F">
            <w:pPr>
              <w:pStyle w:val="BoxListBullet"/>
            </w:pPr>
            <w:r w:rsidRPr="00E72F70">
              <w:rPr>
                <w:rFonts w:cs="Arial"/>
                <w:szCs w:val="22"/>
              </w:rPr>
              <w:t xml:space="preserve">does not need assistance </w:t>
            </w:r>
            <w:r w:rsidRPr="00E72F70">
              <w:t xml:space="preserve">or information on ADL, AIL or AWEC </w:t>
            </w:r>
          </w:p>
          <w:p w:rsidR="00A5229F" w:rsidRPr="00E72F70" w:rsidRDefault="00A5229F" w:rsidP="00A5229F">
            <w:pPr>
              <w:pStyle w:val="BoxListBullet"/>
            </w:pPr>
            <w:r w:rsidRPr="00E72F70">
              <w:t xml:space="preserve">not stated/collected. </w:t>
            </w:r>
          </w:p>
          <w:p w:rsidR="00A5229F" w:rsidRPr="00E72F70" w:rsidRDefault="00A5229F" w:rsidP="00A5229F">
            <w:pPr>
              <w:pStyle w:val="Box"/>
            </w:pPr>
            <w:r w:rsidRPr="00E72F70">
              <w:t xml:space="preserve">Measures are reported for accommodation support, community support, community access, </w:t>
            </w:r>
            <w:r w:rsidR="00795979" w:rsidRPr="00E72F70">
              <w:t xml:space="preserve">respite and </w:t>
            </w:r>
            <w:r w:rsidRPr="00E72F70">
              <w:t xml:space="preserve">employment services. </w:t>
            </w:r>
          </w:p>
          <w:p w:rsidR="00A5229F" w:rsidRPr="00E72F70" w:rsidRDefault="00A5229F" w:rsidP="00A5229F">
            <w:pPr>
              <w:pStyle w:val="Box"/>
            </w:pPr>
            <w:r w:rsidRPr="00E72F70">
              <w:t xml:space="preserve">A high or increasing proportion of people using a particular service type who need help with ADL suggests greater access for those with the greatest level of need. </w:t>
            </w:r>
          </w:p>
          <w:p w:rsidR="00440BB2" w:rsidRPr="00E72F70" w:rsidRDefault="00A5229F" w:rsidP="00A5229F">
            <w:pPr>
              <w:pStyle w:val="Box"/>
              <w:spacing w:before="100"/>
            </w:pPr>
            <w:bookmarkStart w:id="26" w:name="OLE_LINK12"/>
            <w:bookmarkStart w:id="27" w:name="OLE_LINK14"/>
            <w:r w:rsidRPr="00E72F70">
              <w:t xml:space="preserve">This indicator does not provide information on whether services are appropriate for the needs of the people receiving them or appropriately targeted </w:t>
            </w:r>
            <w:r w:rsidRPr="00E72F70">
              <w:rPr>
                <w:rFonts w:cs="Arial"/>
                <w:szCs w:val="22"/>
              </w:rPr>
              <w:t xml:space="preserve">based on relative need taking into account </w:t>
            </w:r>
            <w:r w:rsidRPr="00E72F70">
              <w:t>access to other formal and informal support.</w:t>
            </w:r>
            <w:bookmarkEnd w:id="26"/>
            <w:bookmarkEnd w:id="27"/>
            <w:r w:rsidRPr="00E72F70">
              <w:t xml:space="preserve"> </w:t>
            </w:r>
          </w:p>
          <w:p w:rsidR="00440BB2" w:rsidRPr="00E72F70" w:rsidRDefault="00440BB2" w:rsidP="00440BB2">
            <w:pPr>
              <w:pStyle w:val="Box"/>
              <w:spacing w:before="100"/>
            </w:pPr>
            <w:r w:rsidRPr="00E72F70">
              <w:t>The concept of severity of disability is associated with data on whether people need help with ADL, or AIL, or AWEC, but these data only provide a proxy measure of severity.</w:t>
            </w:r>
          </w:p>
          <w:p w:rsidR="00A5229F" w:rsidRPr="00E72F70" w:rsidRDefault="00A5229F" w:rsidP="00A5229F">
            <w:pPr>
              <w:pStyle w:val="Box"/>
              <w:spacing w:before="100"/>
            </w:pPr>
            <w:r w:rsidRPr="00E72F70">
              <w:t>The need for services is assumed to vary according to the need for help with ADL, or AIL, or AWEC. Data on ADL, AIL and AWEC are self/carer identified, not based on formal clinical assessments of individual limitations. Other factors may also be important in determining relative need, such as the complexity of a service user’s needs in other activity areas.</w:t>
            </w:r>
          </w:p>
          <w:p w:rsidR="00A5229F" w:rsidRPr="00E72F70" w:rsidRDefault="00A5229F" w:rsidP="00A5229F">
            <w:pPr>
              <w:pStyle w:val="Box"/>
            </w:pPr>
            <w:r w:rsidRPr="00E72F70">
              <w:t>Data reported for this measure are:</w:t>
            </w:r>
          </w:p>
          <w:p w:rsidR="00A5229F" w:rsidRPr="00E72F70" w:rsidRDefault="00A5229F" w:rsidP="00A5229F">
            <w:pPr>
              <w:pStyle w:val="BoxListBullet"/>
              <w:keepLines/>
            </w:pPr>
            <w:r w:rsidRPr="00E72F70">
              <w:t xml:space="preserve">comparable (subject to caveats) across jurisdictions and over time </w:t>
            </w:r>
          </w:p>
          <w:p w:rsidR="00A5229F" w:rsidRPr="00E72F70" w:rsidRDefault="00A5229F" w:rsidP="00A5229F">
            <w:pPr>
              <w:pStyle w:val="BoxListBullet"/>
              <w:keepLines/>
            </w:pPr>
            <w:r w:rsidRPr="00E72F70">
              <w:t xml:space="preserve">complete (subject to caveats) for the current reporting period. All required </w:t>
            </w:r>
            <w:r w:rsidR="0041043C" w:rsidRPr="00E72F70">
              <w:t>2013</w:t>
            </w:r>
            <w:r w:rsidR="005547FD">
              <w:noBreakHyphen/>
            </w:r>
            <w:r w:rsidR="0041043C" w:rsidRPr="00E72F70">
              <w:t>14</w:t>
            </w:r>
            <w:r w:rsidRPr="00E72F70">
              <w:t xml:space="preserve"> data are available for all jurisdictions.</w:t>
            </w:r>
          </w:p>
          <w:p w:rsidR="00A5229F" w:rsidRPr="00E72F70" w:rsidRDefault="00802A7D" w:rsidP="00B86C20">
            <w:pPr>
              <w:pStyle w:val="Box"/>
            </w:pPr>
            <w:r w:rsidRPr="00E72F70">
              <w:t>Data quality information for this indicator</w:t>
            </w:r>
            <w:r w:rsidR="0028432F" w:rsidRPr="00E72F70">
              <w:t xml:space="preserve"> is at www.pc.gov.au</w:t>
            </w:r>
            <w:r w:rsidRPr="00E72F70">
              <w:t>/rogs/</w:t>
            </w:r>
            <w:r w:rsidR="00B86C20" w:rsidRPr="00E72F70">
              <w:t>2016</w:t>
            </w:r>
            <w:r w:rsidRPr="00E72F70">
              <w:t>.</w:t>
            </w:r>
          </w:p>
        </w:tc>
      </w:tr>
      <w:tr w:rsidR="00A5229F" w:rsidRPr="00E72F70" w:rsidTr="00C827D5">
        <w:trPr>
          <w:cantSplit/>
        </w:trPr>
        <w:tc>
          <w:tcPr>
            <w:tcW w:w="8771" w:type="dxa"/>
            <w:tcBorders>
              <w:top w:val="nil"/>
              <w:left w:val="nil"/>
              <w:bottom w:val="single" w:sz="6" w:space="0" w:color="78A22F"/>
              <w:right w:val="nil"/>
            </w:tcBorders>
            <w:shd w:val="clear" w:color="auto" w:fill="F2F2F2"/>
          </w:tcPr>
          <w:p w:rsidR="00A5229F" w:rsidRPr="00E72F70" w:rsidRDefault="00A5229F">
            <w:pPr>
              <w:pStyle w:val="Box"/>
              <w:spacing w:before="0" w:line="120" w:lineRule="exact"/>
            </w:pPr>
          </w:p>
        </w:tc>
      </w:tr>
      <w:tr w:rsidR="00A5229F" w:rsidRPr="00E72F70" w:rsidTr="00C827D5">
        <w:tc>
          <w:tcPr>
            <w:tcW w:w="8771" w:type="dxa"/>
            <w:tcBorders>
              <w:top w:val="single" w:sz="6" w:space="0" w:color="78A22F"/>
              <w:left w:val="nil"/>
              <w:bottom w:val="nil"/>
              <w:right w:val="nil"/>
            </w:tcBorders>
          </w:tcPr>
          <w:p w:rsidR="00A5229F" w:rsidRPr="00E72F70" w:rsidRDefault="00A5229F" w:rsidP="00C827D5">
            <w:pPr>
              <w:pStyle w:val="BoxSpaceBelow"/>
            </w:pPr>
          </w:p>
        </w:tc>
      </w:tr>
    </w:tbl>
    <w:p w:rsidR="001F39F2" w:rsidRPr="00E72F70" w:rsidRDefault="001D785B" w:rsidP="001D785B">
      <w:pPr>
        <w:pStyle w:val="BodyText"/>
      </w:pPr>
      <w:r>
        <w:t>N</w:t>
      </w:r>
      <w:r w:rsidR="001F39F2" w:rsidRPr="001D785B">
        <w:t>ationally</w:t>
      </w:r>
      <w:r w:rsidR="001F39F2" w:rsidRPr="00E72F70">
        <w:t xml:space="preserve">, in </w:t>
      </w:r>
      <w:r w:rsidR="00255466" w:rsidRPr="00E72F70">
        <w:t>2013</w:t>
      </w:r>
      <w:r w:rsidR="00B84AF2" w:rsidRPr="00E72F70">
        <w:noBreakHyphen/>
      </w:r>
      <w:r w:rsidR="00255466" w:rsidRPr="00E72F70">
        <w:t>14</w:t>
      </w:r>
      <w:r w:rsidR="001F39F2" w:rsidRPr="00E72F70">
        <w:t>:</w:t>
      </w:r>
    </w:p>
    <w:p w:rsidR="001D785B" w:rsidRDefault="001D785B" w:rsidP="00585E2C">
      <w:pPr>
        <w:pStyle w:val="ListBullet"/>
        <w:spacing w:before="80"/>
      </w:pPr>
      <w:r>
        <w:t xml:space="preserve">users of NDA services needing help with ADL was highest for accommodation services (84.3 per cent) and </w:t>
      </w:r>
      <w:r w:rsidR="00B8404B">
        <w:t>respite services (82.7 per cent), followed by community access services and community support services (73.4 per cent and 72.8 per cent respectively) and lowest for employment services (44.4 per cent)</w:t>
      </w:r>
    </w:p>
    <w:p w:rsidR="00B8404B" w:rsidRDefault="00B8404B" w:rsidP="00B8404B">
      <w:pPr>
        <w:pStyle w:val="ListBullet"/>
        <w:spacing w:before="80"/>
      </w:pPr>
      <w:r>
        <w:t>between 5</w:t>
      </w:r>
      <w:r w:rsidR="005547FD">
        <w:noBreakHyphen/>
      </w:r>
      <w:r>
        <w:t xml:space="preserve">10 per cent of users of NDA services required assistance with AIL or AWEC but not with ADL, with </w:t>
      </w:r>
      <w:r w:rsidR="00B04499">
        <w:t xml:space="preserve">the </w:t>
      </w:r>
      <w:r>
        <w:t>exception of use</w:t>
      </w:r>
      <w:r w:rsidR="007D45DE">
        <w:t>rs of employment services (32.6 </w:t>
      </w:r>
      <w:r>
        <w:t>per cent)</w:t>
      </w:r>
    </w:p>
    <w:p w:rsidR="001F39F2" w:rsidRPr="00E72F70" w:rsidRDefault="00B8404B" w:rsidP="00127E74">
      <w:pPr>
        <w:pStyle w:val="ListBullet"/>
        <w:spacing w:before="80"/>
      </w:pPr>
      <w:r>
        <w:t>less than 3 per cent of users of NDA services did not report any need for assistance in major life areas (except for employment services, with 15.3 per cent not reporting any need for assistance) (figure</w:t>
      </w:r>
      <w:r w:rsidR="005547FD">
        <w:t> </w:t>
      </w:r>
      <w:r>
        <w:t>14.1</w:t>
      </w:r>
      <w:r w:rsidR="00F61907">
        <w:t>3</w:t>
      </w:r>
      <w:r>
        <w:t>)</w:t>
      </w:r>
      <w:r w:rsidR="001F39F2" w:rsidRPr="00E72F70">
        <w:t>.</w:t>
      </w:r>
    </w:p>
    <w:p w:rsidR="00063660" w:rsidRPr="00B86C20" w:rsidRDefault="0006366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RPr="00E72F70" w:rsidTr="00730EA6">
        <w:tc>
          <w:tcPr>
            <w:tcW w:w="8771" w:type="dxa"/>
            <w:tcBorders>
              <w:top w:val="single" w:sz="6" w:space="0" w:color="78A22F"/>
              <w:left w:val="nil"/>
              <w:bottom w:val="nil"/>
              <w:right w:val="nil"/>
            </w:tcBorders>
            <w:shd w:val="clear" w:color="auto" w:fill="auto"/>
          </w:tcPr>
          <w:p w:rsidR="00063660" w:rsidRPr="00E72F70" w:rsidRDefault="00063660" w:rsidP="00B8510E">
            <w:pPr>
              <w:pStyle w:val="FigureTitle"/>
            </w:pPr>
            <w:r w:rsidRPr="00E72F70">
              <w:rPr>
                <w:b w:val="0"/>
              </w:rPr>
              <w:t xml:space="preserve">Figure </w:t>
            </w:r>
            <w:bookmarkStart w:id="28" w:name="OLE_LINK25"/>
            <w:r w:rsidR="00321568" w:rsidRPr="00E72F70">
              <w:rPr>
                <w:b w:val="0"/>
              </w:rPr>
              <w:t>14.</w:t>
            </w:r>
            <w:r w:rsidR="004B691F">
              <w:rPr>
                <w:b w:val="0"/>
                <w:noProof/>
              </w:rPr>
              <w:t>13</w:t>
            </w:r>
            <w:bookmarkEnd w:id="28"/>
            <w:r w:rsidRPr="00E72F70">
              <w:tab/>
              <w:t xml:space="preserve">Users of NDA specialist disability services, by need for help with </w:t>
            </w:r>
            <w:r w:rsidR="0096382D" w:rsidRPr="00E72F70">
              <w:t xml:space="preserve">activities </w:t>
            </w:r>
            <w:r w:rsidR="00255466" w:rsidRPr="00E72F70">
              <w:t>2013</w:t>
            </w:r>
            <w:r w:rsidR="00B8510E" w:rsidRPr="00E72F70">
              <w:noBreakHyphen/>
            </w:r>
            <w:r w:rsidR="00255466" w:rsidRPr="00E72F70">
              <w:t>14</w:t>
            </w:r>
            <w:r w:rsidR="00255466" w:rsidRPr="00E72F70">
              <w:rPr>
                <w:rStyle w:val="NoteLabel"/>
                <w:b/>
              </w:rPr>
              <w:t>a</w:t>
            </w:r>
          </w:p>
        </w:tc>
      </w:tr>
      <w:tr w:rsidR="00063660" w:rsidRPr="00E72F70"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3660" w:rsidRPr="00E72F70" w:rsidTr="00730EA6">
              <w:trPr>
                <w:jc w:val="center"/>
              </w:trPr>
              <w:tc>
                <w:tcPr>
                  <w:tcW w:w="5000" w:type="pct"/>
                  <w:tcBorders>
                    <w:top w:val="nil"/>
                    <w:bottom w:val="nil"/>
                  </w:tcBorders>
                </w:tcPr>
                <w:p w:rsidR="00601595" w:rsidRPr="00E72F70" w:rsidRDefault="00187FBC" w:rsidP="00532D7E">
                  <w:pPr>
                    <w:pStyle w:val="Figure"/>
                  </w:pPr>
                  <w:r>
                    <w:rPr>
                      <w:noProof/>
                    </w:rPr>
                    <w:drawing>
                      <wp:inline distT="0" distB="0" distL="0" distR="0">
                        <wp:extent cx="2541270" cy="1971040"/>
                        <wp:effectExtent l="0" t="0" r="0" b="0"/>
                        <wp:docPr id="15" name="Picture 15" descr="Figure 14.13 Users of NDA specialist disability services, by need for help with activities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41270" cy="1971040"/>
                                </a:xfrm>
                                <a:prstGeom prst="rect">
                                  <a:avLst/>
                                </a:prstGeom>
                                <a:noFill/>
                                <a:ln>
                                  <a:noFill/>
                                </a:ln>
                              </pic:spPr>
                            </pic:pic>
                          </a:graphicData>
                        </a:graphic>
                      </wp:inline>
                    </w:drawing>
                  </w:r>
                  <w:r>
                    <w:rPr>
                      <w:noProof/>
                    </w:rPr>
                    <w:drawing>
                      <wp:inline distT="0" distB="0" distL="0" distR="0">
                        <wp:extent cx="2505710" cy="1971040"/>
                        <wp:effectExtent l="0" t="0" r="8890" b="0"/>
                        <wp:docPr id="16" name="Picture 16" descr="Figure 14.13 Users of NDA specialist disability services, by need for help with activities 2013-14&#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05710" cy="1971040"/>
                                </a:xfrm>
                                <a:prstGeom prst="rect">
                                  <a:avLst/>
                                </a:prstGeom>
                                <a:noFill/>
                                <a:ln>
                                  <a:noFill/>
                                </a:ln>
                              </pic:spPr>
                            </pic:pic>
                          </a:graphicData>
                        </a:graphic>
                      </wp:inline>
                    </w:drawing>
                  </w:r>
                  <w:r>
                    <w:rPr>
                      <w:noProof/>
                    </w:rPr>
                    <w:drawing>
                      <wp:inline distT="0" distB="0" distL="0" distR="0">
                        <wp:extent cx="2505710" cy="1971040"/>
                        <wp:effectExtent l="0" t="0" r="8890" b="0"/>
                        <wp:docPr id="17" name="Picture 17" descr="Figure 14.13 Users of NDA specialist disability services, by need for help with activities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05710" cy="1971040"/>
                                </a:xfrm>
                                <a:prstGeom prst="rect">
                                  <a:avLst/>
                                </a:prstGeom>
                                <a:noFill/>
                                <a:ln>
                                  <a:noFill/>
                                </a:ln>
                              </pic:spPr>
                            </pic:pic>
                          </a:graphicData>
                        </a:graphic>
                      </wp:inline>
                    </w:drawing>
                  </w:r>
                  <w:r>
                    <w:rPr>
                      <w:noProof/>
                    </w:rPr>
                    <w:drawing>
                      <wp:inline distT="0" distB="0" distL="0" distR="0">
                        <wp:extent cx="2505710" cy="1971040"/>
                        <wp:effectExtent l="0" t="0" r="8890" b="0"/>
                        <wp:docPr id="18" name="Picture 18" descr="Figure 14.13 Users of NDA specialist disability services, by need for help with activities 2013-14&#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05710" cy="1971040"/>
                                </a:xfrm>
                                <a:prstGeom prst="rect">
                                  <a:avLst/>
                                </a:prstGeom>
                                <a:noFill/>
                                <a:ln>
                                  <a:noFill/>
                                </a:ln>
                              </pic:spPr>
                            </pic:pic>
                          </a:graphicData>
                        </a:graphic>
                      </wp:inline>
                    </w:drawing>
                  </w:r>
                  <w:r>
                    <w:rPr>
                      <w:noProof/>
                    </w:rPr>
                    <w:drawing>
                      <wp:inline distT="0" distB="0" distL="0" distR="0">
                        <wp:extent cx="2505710" cy="1971040"/>
                        <wp:effectExtent l="0" t="0" r="8890" b="0"/>
                        <wp:docPr id="19" name="Picture 19" descr="Figure 14.13 Users of NDA specialist disability services, by need for help with activities 2013-14&#10;&#10;(e) Employmen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05710" cy="1971040"/>
                                </a:xfrm>
                                <a:prstGeom prst="rect">
                                  <a:avLst/>
                                </a:prstGeom>
                                <a:noFill/>
                                <a:ln>
                                  <a:noFill/>
                                </a:ln>
                              </pic:spPr>
                            </pic:pic>
                          </a:graphicData>
                        </a:graphic>
                      </wp:inline>
                    </w:drawing>
                  </w:r>
                  <w:r>
                    <w:rPr>
                      <w:noProof/>
                    </w:rPr>
                    <w:drawing>
                      <wp:inline distT="0" distB="0" distL="0" distR="0">
                        <wp:extent cx="5225415" cy="368300"/>
                        <wp:effectExtent l="0" t="0" r="0" b="0"/>
                        <wp:docPr id="20" name="Picture 20" descr="Legend to Figure 14.13 Users of NDA specialist disability services, by need for help with activitie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25415" cy="368300"/>
                                </a:xfrm>
                                <a:prstGeom prst="rect">
                                  <a:avLst/>
                                </a:prstGeom>
                                <a:noFill/>
                                <a:ln>
                                  <a:noFill/>
                                </a:ln>
                              </pic:spPr>
                            </pic:pic>
                          </a:graphicData>
                        </a:graphic>
                      </wp:inline>
                    </w:drawing>
                  </w:r>
                </w:p>
              </w:tc>
            </w:tr>
          </w:tbl>
          <w:p w:rsidR="00063660" w:rsidRPr="00E72F70" w:rsidRDefault="00063660" w:rsidP="00730EA6">
            <w:pPr>
              <w:pStyle w:val="Figure"/>
            </w:pPr>
          </w:p>
        </w:tc>
      </w:tr>
      <w:tr w:rsidR="00063660" w:rsidRPr="00E72F70" w:rsidTr="00730EA6">
        <w:tc>
          <w:tcPr>
            <w:tcW w:w="8771" w:type="dxa"/>
            <w:tcBorders>
              <w:top w:val="nil"/>
              <w:left w:val="nil"/>
              <w:bottom w:val="nil"/>
              <w:right w:val="nil"/>
            </w:tcBorders>
            <w:shd w:val="clear" w:color="auto" w:fill="auto"/>
          </w:tcPr>
          <w:p w:rsidR="00063660" w:rsidRPr="00E72F70" w:rsidRDefault="00975AA0" w:rsidP="00086254">
            <w:pPr>
              <w:pStyle w:val="Note"/>
              <w:keepNext/>
            </w:pPr>
            <w:r>
              <w:rPr>
                <w:rStyle w:val="NoteLabel"/>
              </w:rPr>
              <w:t xml:space="preserve">a </w:t>
            </w:r>
            <w:r w:rsidR="00686415" w:rsidRPr="00E72F70">
              <w:t>See box</w:t>
            </w:r>
            <w:r w:rsidR="005547FD">
              <w:t> </w:t>
            </w:r>
            <w:r w:rsidR="00686415" w:rsidRPr="00E72F70">
              <w:t>14.</w:t>
            </w:r>
            <w:r w:rsidR="0057627A">
              <w:t>7</w:t>
            </w:r>
            <w:r w:rsidR="00686415" w:rsidRPr="00E72F70">
              <w:t xml:space="preserve"> and </w:t>
            </w:r>
            <w:r w:rsidR="00063660" w:rsidRPr="00E72F70">
              <w:t>tables</w:t>
            </w:r>
            <w:r w:rsidR="00AE3578" w:rsidRPr="00E72F70">
              <w:t> </w:t>
            </w:r>
            <w:r w:rsidR="00063660" w:rsidRPr="00E72F70">
              <w:t>14A.</w:t>
            </w:r>
            <w:r w:rsidR="00686415" w:rsidRPr="00E72F70">
              <w:t>27</w:t>
            </w:r>
            <w:r w:rsidR="00063660" w:rsidRPr="00E72F70">
              <w:t>, 14A.</w:t>
            </w:r>
            <w:r w:rsidR="00686415" w:rsidRPr="00E72F70">
              <w:t>2</w:t>
            </w:r>
            <w:r w:rsidR="00086254">
              <w:t>8</w:t>
            </w:r>
            <w:r w:rsidR="00063660" w:rsidRPr="00E72F70">
              <w:t>, 14A.</w:t>
            </w:r>
            <w:r w:rsidR="00086254">
              <w:t>29</w:t>
            </w:r>
            <w:r w:rsidR="00063660" w:rsidRPr="00E72F70">
              <w:t>, 14A.3</w:t>
            </w:r>
            <w:r w:rsidR="00086254">
              <w:t>0</w:t>
            </w:r>
            <w:r w:rsidR="00063660" w:rsidRPr="00E72F70">
              <w:t xml:space="preserve"> and 14A.3</w:t>
            </w:r>
            <w:r w:rsidR="00086254">
              <w:t>1</w:t>
            </w:r>
            <w:r w:rsidR="00063660" w:rsidRPr="00E72F70">
              <w:t xml:space="preserve"> for detailed </w:t>
            </w:r>
            <w:r w:rsidR="003D7F75">
              <w:t>definitions, footnotes and caveats</w:t>
            </w:r>
            <w:r w:rsidR="00DB2B7E">
              <w:t>.</w:t>
            </w:r>
          </w:p>
        </w:tc>
      </w:tr>
      <w:tr w:rsidR="00063660" w:rsidRPr="00E72F70" w:rsidTr="00730EA6">
        <w:tc>
          <w:tcPr>
            <w:tcW w:w="8771" w:type="dxa"/>
            <w:tcBorders>
              <w:top w:val="nil"/>
              <w:left w:val="nil"/>
              <w:bottom w:val="nil"/>
              <w:right w:val="nil"/>
            </w:tcBorders>
            <w:shd w:val="clear" w:color="auto" w:fill="auto"/>
          </w:tcPr>
          <w:p w:rsidR="00063660" w:rsidRPr="00E72F70" w:rsidRDefault="00063660" w:rsidP="00086254">
            <w:pPr>
              <w:pStyle w:val="Source"/>
            </w:pPr>
            <w:r w:rsidRPr="00E72F70">
              <w:rPr>
                <w:i/>
              </w:rPr>
              <w:t>Source</w:t>
            </w:r>
            <w:r w:rsidRPr="00E72F70">
              <w:t xml:space="preserve">: AIHW (unpublished) </w:t>
            </w:r>
            <w:r w:rsidR="00D221B0" w:rsidRPr="00BB5BA4">
              <w:t>DS NMDS</w:t>
            </w:r>
            <w:r w:rsidRPr="001D785B">
              <w:rPr>
                <w:szCs w:val="18"/>
              </w:rPr>
              <w:t>;</w:t>
            </w:r>
            <w:r w:rsidRPr="00E72F70">
              <w:rPr>
                <w:szCs w:val="18"/>
              </w:rPr>
              <w:t xml:space="preserve"> </w:t>
            </w:r>
            <w:r w:rsidRPr="00E72F70">
              <w:t>tables</w:t>
            </w:r>
            <w:r w:rsidR="00AE3578" w:rsidRPr="00E72F70">
              <w:t> </w:t>
            </w:r>
            <w:r w:rsidRPr="00E72F70">
              <w:t>14A.</w:t>
            </w:r>
            <w:r w:rsidR="00683393" w:rsidRPr="00E72F70">
              <w:t>2</w:t>
            </w:r>
            <w:r w:rsidR="0057627A">
              <w:t>7</w:t>
            </w:r>
            <w:r w:rsidRPr="00E72F70">
              <w:t>, 14A.</w:t>
            </w:r>
            <w:r w:rsidR="00683393" w:rsidRPr="00E72F70">
              <w:t>2</w:t>
            </w:r>
            <w:r w:rsidR="00086254">
              <w:t>8</w:t>
            </w:r>
            <w:r w:rsidRPr="00E72F70">
              <w:t>, 14A.</w:t>
            </w:r>
            <w:r w:rsidR="00086254">
              <w:t>29</w:t>
            </w:r>
            <w:r w:rsidRPr="00E72F70">
              <w:t>, 14A.</w:t>
            </w:r>
            <w:r w:rsidR="00086254">
              <w:t>30</w:t>
            </w:r>
            <w:r w:rsidR="00086254" w:rsidRPr="00E72F70">
              <w:t xml:space="preserve"> </w:t>
            </w:r>
            <w:r w:rsidRPr="00E72F70">
              <w:t>and 14A.</w:t>
            </w:r>
            <w:r w:rsidR="00086254" w:rsidRPr="00E72F70">
              <w:t>3</w:t>
            </w:r>
            <w:r w:rsidR="00086254">
              <w:t>1</w:t>
            </w:r>
            <w:r w:rsidRPr="00E72F70">
              <w:t>.</w:t>
            </w:r>
          </w:p>
        </w:tc>
      </w:tr>
      <w:tr w:rsidR="00063660" w:rsidRPr="00E72F70" w:rsidTr="00730EA6">
        <w:tc>
          <w:tcPr>
            <w:tcW w:w="8771" w:type="dxa"/>
            <w:tcBorders>
              <w:top w:val="nil"/>
              <w:left w:val="nil"/>
              <w:bottom w:val="single" w:sz="6" w:space="0" w:color="78A22F"/>
              <w:right w:val="nil"/>
            </w:tcBorders>
            <w:shd w:val="clear" w:color="auto" w:fill="auto"/>
          </w:tcPr>
          <w:p w:rsidR="00063660" w:rsidRPr="00E72F70" w:rsidRDefault="00063660" w:rsidP="00730EA6">
            <w:pPr>
              <w:pStyle w:val="Figurespace"/>
            </w:pPr>
          </w:p>
        </w:tc>
      </w:tr>
      <w:tr w:rsidR="00063660" w:rsidRPr="00E72F70" w:rsidTr="00730EA6">
        <w:tc>
          <w:tcPr>
            <w:tcW w:w="8771" w:type="dxa"/>
            <w:tcBorders>
              <w:top w:val="single" w:sz="6" w:space="0" w:color="78A22F"/>
              <w:left w:val="nil"/>
              <w:bottom w:val="nil"/>
              <w:right w:val="nil"/>
            </w:tcBorders>
          </w:tcPr>
          <w:p w:rsidR="00063660" w:rsidRPr="00E72F70" w:rsidRDefault="00063660" w:rsidP="00730EA6">
            <w:pPr>
              <w:pStyle w:val="BoxSpaceBelow"/>
            </w:pPr>
          </w:p>
        </w:tc>
      </w:tr>
    </w:tbl>
    <w:p w:rsidR="001D785B" w:rsidRDefault="001D785B" w:rsidP="00BB5BA4">
      <w:pPr>
        <w:pStyle w:val="BodyText"/>
      </w:pPr>
      <w:r w:rsidRPr="00E72F70">
        <w:t>Tables on users of NDA employment services for people aged 15–64 years as a proportion of the estimated potential population for 2007</w:t>
      </w:r>
      <w:r w:rsidRPr="00E72F70">
        <w:noBreakHyphen/>
        <w:t>08 to 2013</w:t>
      </w:r>
      <w:r w:rsidR="005547FD">
        <w:noBreakHyphen/>
      </w:r>
      <w:r w:rsidRPr="00E72F70">
        <w:t>14 are also available (14A.</w:t>
      </w:r>
      <w:r w:rsidR="00086254" w:rsidRPr="00E72F70">
        <w:t>3</w:t>
      </w:r>
      <w:r w:rsidR="00086254">
        <w:t>2</w:t>
      </w:r>
      <w:r w:rsidRPr="00E72F70">
        <w:noBreakHyphen/>
        <w:t>3</w:t>
      </w:r>
      <w:r w:rsidR="00086254">
        <w:t>3</w:t>
      </w:r>
      <w:r w:rsidRPr="00E72F70">
        <w:t>).</w:t>
      </w:r>
    </w:p>
    <w:p w:rsidR="001F39F2" w:rsidRPr="0010521E" w:rsidRDefault="00B8404B" w:rsidP="00BB5BA4">
      <w:pPr>
        <w:pStyle w:val="Heading4"/>
      </w:pPr>
      <w:r>
        <w:lastRenderedPageBreak/>
        <w:t>A</w:t>
      </w:r>
      <w:r w:rsidRPr="00133E61">
        <w:t xml:space="preserve">ccess to appropriate services on the basis of relative need </w:t>
      </w:r>
      <w:r w:rsidR="007E57E0">
        <w:t>—</w:t>
      </w:r>
      <w:r>
        <w:t xml:space="preserve"> </w:t>
      </w:r>
      <w:r w:rsidR="001F39F2" w:rsidRPr="0010521E">
        <w:t xml:space="preserve">Service use by special needs groups </w:t>
      </w:r>
    </w:p>
    <w:p w:rsidR="001F39F2" w:rsidRPr="0010521E" w:rsidRDefault="001F39F2" w:rsidP="00585E2C">
      <w:pPr>
        <w:pStyle w:val="BodyText"/>
      </w:pPr>
      <w:r w:rsidRPr="0010521E">
        <w:t>‘Service use by special needs groups’ is an indicator of governments’ objective that access to services should be equitable for all members of the community and provided on the basis of relative need (box</w:t>
      </w:r>
      <w:r w:rsidR="00AE3578" w:rsidRPr="0010521E">
        <w:t> </w:t>
      </w:r>
      <w:r w:rsidR="00B8404B">
        <w:t>14.8</w:t>
      </w:r>
      <w:r w:rsidRPr="0010521E">
        <w:t xml:space="preserve">). </w:t>
      </w:r>
      <w:r w:rsidR="00F93C35" w:rsidRPr="0010521E">
        <w:t>This indicator</w:t>
      </w:r>
      <w:r w:rsidRPr="0010521E">
        <w:t xml:space="preserve"> compares access for people from special needs groups with access for people from outside the special needs group</w:t>
      </w:r>
      <w:r w:rsidR="003D0CDC" w:rsidRPr="0010521E">
        <w:t>.</w:t>
      </w:r>
    </w:p>
    <w:p w:rsidR="00A5229F" w:rsidRPr="004E5CBA" w:rsidRDefault="00A5229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RPr="0010521E" w:rsidTr="00C827D5">
        <w:tc>
          <w:tcPr>
            <w:tcW w:w="8771" w:type="dxa"/>
            <w:tcBorders>
              <w:top w:val="single" w:sz="6" w:space="0" w:color="78A22F"/>
              <w:left w:val="nil"/>
              <w:bottom w:val="nil"/>
              <w:right w:val="nil"/>
            </w:tcBorders>
            <w:shd w:val="clear" w:color="auto" w:fill="F2F2F2"/>
          </w:tcPr>
          <w:p w:rsidR="00A5229F" w:rsidRPr="0010521E" w:rsidRDefault="00A5229F">
            <w:pPr>
              <w:pStyle w:val="BoxTitle"/>
            </w:pPr>
            <w:r w:rsidRPr="0010521E">
              <w:rPr>
                <w:b w:val="0"/>
              </w:rPr>
              <w:t xml:space="preserve">Box </w:t>
            </w:r>
            <w:bookmarkStart w:id="29" w:name="OLE_LINK26"/>
            <w:r w:rsidR="00B8404B">
              <w:rPr>
                <w:b w:val="0"/>
              </w:rPr>
              <w:t>14.</w:t>
            </w:r>
            <w:r w:rsidR="004B691F">
              <w:rPr>
                <w:b w:val="0"/>
                <w:noProof/>
              </w:rPr>
              <w:t>8</w:t>
            </w:r>
            <w:bookmarkEnd w:id="29"/>
            <w:r w:rsidRPr="0010521E">
              <w:tab/>
              <w:t>Service use by special needs groups</w:t>
            </w:r>
          </w:p>
        </w:tc>
      </w:tr>
      <w:tr w:rsidR="00A5229F" w:rsidRPr="0010521E" w:rsidTr="00C827D5">
        <w:trPr>
          <w:cantSplit/>
        </w:trPr>
        <w:tc>
          <w:tcPr>
            <w:tcW w:w="8771" w:type="dxa"/>
            <w:tcBorders>
              <w:top w:val="nil"/>
              <w:left w:val="nil"/>
              <w:bottom w:val="nil"/>
              <w:right w:val="nil"/>
            </w:tcBorders>
            <w:shd w:val="clear" w:color="auto" w:fill="F2F2F2"/>
          </w:tcPr>
          <w:p w:rsidR="00A5229F" w:rsidRPr="0010521E" w:rsidRDefault="00A5229F" w:rsidP="00A5229F">
            <w:pPr>
              <w:pStyle w:val="Box"/>
            </w:pPr>
            <w:r w:rsidRPr="0010521E">
              <w:t xml:space="preserve">‘Service use by special needs groups’ is defined by two measures: </w:t>
            </w:r>
          </w:p>
          <w:p w:rsidR="00A5229F" w:rsidRPr="0010521E" w:rsidRDefault="00A5229F" w:rsidP="00A5229F">
            <w:pPr>
              <w:pStyle w:val="BoxListBullet"/>
            </w:pPr>
            <w:r w:rsidRPr="0010521E">
              <w:t>the proportion of serv</w:t>
            </w:r>
            <w:r w:rsidR="00BB381B">
              <w:t xml:space="preserve">ice users </w:t>
            </w:r>
            <w:r w:rsidRPr="0010521E">
              <w:t xml:space="preserve">per </w:t>
            </w:r>
            <w:r w:rsidRPr="009E411B">
              <w:t>1000 population</w:t>
            </w:r>
            <w:r w:rsidR="004F6A1E" w:rsidRPr="009E411B">
              <w:t xml:space="preserve"> (people aged 0</w:t>
            </w:r>
            <w:r w:rsidR="005547FD">
              <w:noBreakHyphen/>
            </w:r>
            <w:r w:rsidR="004F6A1E" w:rsidRPr="009E411B">
              <w:t>64 years)</w:t>
            </w:r>
            <w:r w:rsidRPr="009E411B">
              <w:t xml:space="preserve"> in a particular special needs group, compared with the proportion of service users per 1000 population</w:t>
            </w:r>
            <w:r w:rsidR="004F6A1E" w:rsidRPr="009E411B">
              <w:t xml:space="preserve"> (people aged 0</w:t>
            </w:r>
            <w:r w:rsidR="005547FD">
              <w:noBreakHyphen/>
            </w:r>
            <w:r w:rsidR="004F6A1E" w:rsidRPr="009E411B">
              <w:t>64 years)</w:t>
            </w:r>
            <w:r w:rsidRPr="009E411B">
              <w:t xml:space="preserve"> </w:t>
            </w:r>
            <w:r w:rsidR="004F6A1E" w:rsidRPr="009E411B">
              <w:t>outside the special needs group</w:t>
            </w:r>
          </w:p>
          <w:p w:rsidR="00A5229F" w:rsidRPr="0010521E" w:rsidRDefault="00A5229F" w:rsidP="00A5229F">
            <w:pPr>
              <w:pStyle w:val="BoxListBullet"/>
            </w:pPr>
            <w:r w:rsidRPr="0010521E">
              <w:t>the proportion of service users per 1000 potential population in a particular special needs group, compared with the proportion of service users per 1000 potential population outside the special needs group.</w:t>
            </w:r>
          </w:p>
          <w:p w:rsidR="00A5229F" w:rsidRPr="0010521E" w:rsidRDefault="00A5229F" w:rsidP="00A5229F">
            <w:pPr>
              <w:pStyle w:val="Box"/>
            </w:pPr>
            <w:r w:rsidRPr="0010521E">
              <w:t>Data are reported for three special needs groups:</w:t>
            </w:r>
          </w:p>
          <w:p w:rsidR="00A5229F" w:rsidRPr="0010521E" w:rsidRDefault="00A5229F" w:rsidP="00A5229F">
            <w:pPr>
              <w:pStyle w:val="BoxListBullet"/>
              <w:keepLines/>
            </w:pPr>
            <w:r w:rsidRPr="0010521E">
              <w:t xml:space="preserve">people from outer regional and remote/very remote </w:t>
            </w:r>
            <w:r w:rsidR="00884B97">
              <w:t>areas</w:t>
            </w:r>
            <w:r w:rsidR="00884B97" w:rsidRPr="0010521E">
              <w:t xml:space="preserve"> </w:t>
            </w:r>
          </w:p>
          <w:p w:rsidR="00A5229F" w:rsidRPr="0010521E" w:rsidRDefault="00A5229F" w:rsidP="00A5229F">
            <w:pPr>
              <w:pStyle w:val="BoxListBullet"/>
              <w:keepLines/>
            </w:pPr>
            <w:r w:rsidRPr="0010521E">
              <w:t xml:space="preserve">people identified as Aboriginal and Torres Strait </w:t>
            </w:r>
            <w:r w:rsidR="00C21DBC" w:rsidRPr="0010521E">
              <w:t xml:space="preserve">Islander </w:t>
            </w:r>
            <w:r w:rsidR="00021B2E" w:rsidRPr="0010521E">
              <w:t>Australians</w:t>
            </w:r>
          </w:p>
          <w:p w:rsidR="00A5229F" w:rsidRPr="0010521E" w:rsidRDefault="00A5229F" w:rsidP="00A5229F">
            <w:pPr>
              <w:pStyle w:val="BoxListBullet"/>
              <w:keepLines/>
            </w:pPr>
            <w:r w:rsidRPr="0010521E">
              <w:t>people who were born in</w:t>
            </w:r>
            <w:r w:rsidR="00795979" w:rsidRPr="0010521E">
              <w:t xml:space="preserve"> a non</w:t>
            </w:r>
            <w:r w:rsidR="00B84AF2" w:rsidRPr="0010521E">
              <w:noBreakHyphen/>
            </w:r>
            <w:r w:rsidR="00795979" w:rsidRPr="0010521E">
              <w:t>English speaking country</w:t>
            </w:r>
            <w:r w:rsidR="003D0CDC" w:rsidRPr="0010521E">
              <w:t>.</w:t>
            </w:r>
          </w:p>
          <w:p w:rsidR="00884B97" w:rsidRDefault="00884B97" w:rsidP="00A5229F">
            <w:pPr>
              <w:pStyle w:val="Box"/>
            </w:pPr>
            <w:r w:rsidRPr="0010521E">
              <w:t xml:space="preserve">Both measures are reported for accommodation support, community support, community access and employment services. For respite services, data are reported </w:t>
            </w:r>
            <w:r w:rsidRPr="0010521E">
              <w:br/>
              <w:t>per 1000 population only, due to data limitations.</w:t>
            </w:r>
            <w:r w:rsidR="00BB381B">
              <w:t xml:space="preserve"> </w:t>
            </w:r>
          </w:p>
          <w:p w:rsidR="00A5229F" w:rsidRPr="0010521E" w:rsidRDefault="00A5229F" w:rsidP="00A5229F">
            <w:pPr>
              <w:pStyle w:val="Box"/>
            </w:pPr>
            <w:r w:rsidRPr="0010521E">
              <w:t xml:space="preserve">For both measures, while a lower proportion </w:t>
            </w:r>
            <w:r w:rsidR="00884B97">
              <w:t xml:space="preserve">within the special needs group relative to outside the special needs group </w:t>
            </w:r>
            <w:r w:rsidRPr="0010521E">
              <w:t xml:space="preserve">can indicate reduced access, it can also represent strong alternative informal support networks (and a consequent lower level of otherwise unmet need), or a lower tendency of people in a special needs group to choose to access NDA specialist disability services. Similarly, a higher proportion can suggest poor service targeting, the lack of alternative informal support networks or a greater tendency of people in a special needs group to choose to access NDA specialist disability services. For the measure that compares access per 1000 population, significant differences in access can also reflect the special needs group having a higher/lower prevalence of disability. </w:t>
            </w:r>
          </w:p>
          <w:p w:rsidR="00B8404B" w:rsidRPr="0010521E" w:rsidRDefault="00A5229F" w:rsidP="00A5229F">
            <w:pPr>
              <w:pStyle w:val="Box"/>
            </w:pPr>
            <w:r w:rsidRPr="0010521E">
              <w:t>This indicator does</w:t>
            </w:r>
            <w:r w:rsidRPr="0010521E" w:rsidDel="00217352">
              <w:t xml:space="preserve"> </w:t>
            </w:r>
            <w:r w:rsidRPr="0010521E">
              <w:t xml:space="preserve">not provide information on whether the services are appropriate for the needs of the people receiving them, or correctly targeted </w:t>
            </w:r>
            <w:r w:rsidRPr="0010521E">
              <w:rPr>
                <w:rFonts w:cs="Arial"/>
                <w:szCs w:val="22"/>
              </w:rPr>
              <w:t>on the basis of relative need</w:t>
            </w:r>
            <w:r w:rsidRPr="0010521E">
              <w:t xml:space="preserve">. The indicator does not take into account differences in the level of informal assistance that is available for people in special needs groups and outside the special needs groups. Results for outer regional and remote/very remote users of accommodation support services, for example, should be considered with care, </w:t>
            </w:r>
            <w:r w:rsidR="00795979" w:rsidRPr="0010521E">
              <w:t>because alternatives to government funded accommodation support services are likely to be more readily available in these areas</w:t>
            </w:r>
            <w:r w:rsidR="00905166" w:rsidRPr="0010521E">
              <w:t>.</w:t>
            </w:r>
            <w:r w:rsidR="00884B97">
              <w:t xml:space="preserve"> </w:t>
            </w:r>
            <w:r w:rsidR="00B8404B" w:rsidRPr="0010521E">
              <w:t>This is because accommodation support services in outer regional and remote/very remote areas are largely provided informally, making use of local area coordinators and local community resources.</w:t>
            </w:r>
          </w:p>
          <w:p w:rsidR="00A5229F" w:rsidRPr="0010521E" w:rsidRDefault="00A5229F" w:rsidP="00610020">
            <w:pPr>
              <w:pStyle w:val="Continued"/>
            </w:pPr>
            <w:r w:rsidRPr="0010521E">
              <w:t>(</w:t>
            </w:r>
            <w:r w:rsidR="00725EC6" w:rsidRPr="0010521E">
              <w:t>c</w:t>
            </w:r>
            <w:r w:rsidRPr="0010521E">
              <w:t>ontinued next page)</w:t>
            </w:r>
          </w:p>
        </w:tc>
      </w:tr>
      <w:tr w:rsidR="00A5229F" w:rsidRPr="0010521E" w:rsidTr="00C827D5">
        <w:trPr>
          <w:cantSplit/>
        </w:trPr>
        <w:tc>
          <w:tcPr>
            <w:tcW w:w="8771" w:type="dxa"/>
            <w:tcBorders>
              <w:top w:val="nil"/>
              <w:left w:val="nil"/>
              <w:bottom w:val="single" w:sz="6" w:space="0" w:color="78A22F"/>
              <w:right w:val="nil"/>
            </w:tcBorders>
            <w:shd w:val="clear" w:color="auto" w:fill="F2F2F2"/>
          </w:tcPr>
          <w:p w:rsidR="00A5229F" w:rsidRPr="0010521E" w:rsidRDefault="00A5229F">
            <w:pPr>
              <w:pStyle w:val="Box"/>
              <w:spacing w:before="0" w:line="120" w:lineRule="exact"/>
            </w:pPr>
          </w:p>
        </w:tc>
      </w:tr>
      <w:tr w:rsidR="00A5229F" w:rsidRPr="0010521E" w:rsidTr="00C827D5">
        <w:tc>
          <w:tcPr>
            <w:tcW w:w="8771" w:type="dxa"/>
            <w:tcBorders>
              <w:top w:val="single" w:sz="6" w:space="0" w:color="78A22F"/>
              <w:left w:val="nil"/>
              <w:bottom w:val="nil"/>
              <w:right w:val="nil"/>
            </w:tcBorders>
          </w:tcPr>
          <w:p w:rsidR="00A5229F" w:rsidRPr="0010521E" w:rsidRDefault="00A5229F" w:rsidP="00C827D5">
            <w:pPr>
              <w:pStyle w:val="BoxSpaceBelow"/>
            </w:pPr>
          </w:p>
        </w:tc>
      </w:tr>
    </w:tbl>
    <w:p w:rsidR="00A5229F" w:rsidRPr="00B86C20" w:rsidRDefault="00A5229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229F" w:rsidRPr="0010521E" w:rsidTr="00C827D5">
        <w:tc>
          <w:tcPr>
            <w:tcW w:w="8771" w:type="dxa"/>
            <w:tcBorders>
              <w:top w:val="single" w:sz="6" w:space="0" w:color="78A22F"/>
              <w:left w:val="nil"/>
              <w:bottom w:val="nil"/>
              <w:right w:val="nil"/>
            </w:tcBorders>
            <w:shd w:val="clear" w:color="auto" w:fill="F2F2F2"/>
          </w:tcPr>
          <w:p w:rsidR="00A5229F" w:rsidRPr="0010521E" w:rsidRDefault="00A5229F" w:rsidP="00532D7E">
            <w:pPr>
              <w:pStyle w:val="BoxTitle"/>
            </w:pPr>
            <w:r w:rsidRPr="0010521E">
              <w:rPr>
                <w:b w:val="0"/>
              </w:rPr>
              <w:t xml:space="preserve">Box </w:t>
            </w:r>
            <w:r w:rsidR="00321568" w:rsidRPr="0010521E">
              <w:rPr>
                <w:b w:val="0"/>
              </w:rPr>
              <w:t>14.</w:t>
            </w:r>
            <w:r w:rsidR="00532D7E">
              <w:rPr>
                <w:b w:val="0"/>
              </w:rPr>
              <w:t>8</w:t>
            </w:r>
            <w:r w:rsidRPr="0010521E">
              <w:tab/>
            </w:r>
            <w:r w:rsidR="00610020" w:rsidRPr="0010521E">
              <w:rPr>
                <w:rStyle w:val="ContinuedChar"/>
                <w:b w:val="0"/>
              </w:rPr>
              <w:t>(</w:t>
            </w:r>
            <w:r w:rsidRPr="0010521E">
              <w:rPr>
                <w:rStyle w:val="ContinuedChar"/>
                <w:b w:val="0"/>
              </w:rPr>
              <w:t>continued</w:t>
            </w:r>
            <w:r w:rsidR="00610020" w:rsidRPr="0010521E">
              <w:rPr>
                <w:rStyle w:val="ContinuedChar"/>
                <w:b w:val="0"/>
              </w:rPr>
              <w:t>)</w:t>
            </w:r>
          </w:p>
        </w:tc>
      </w:tr>
      <w:tr w:rsidR="00A5229F" w:rsidRPr="0010521E" w:rsidTr="00C827D5">
        <w:trPr>
          <w:cantSplit/>
        </w:trPr>
        <w:tc>
          <w:tcPr>
            <w:tcW w:w="8771" w:type="dxa"/>
            <w:tcBorders>
              <w:top w:val="nil"/>
              <w:left w:val="nil"/>
              <w:bottom w:val="nil"/>
              <w:right w:val="nil"/>
            </w:tcBorders>
            <w:shd w:val="clear" w:color="auto" w:fill="F2F2F2"/>
          </w:tcPr>
          <w:p w:rsidR="00A5229F" w:rsidRPr="0010521E" w:rsidRDefault="00BB381B" w:rsidP="00A5229F">
            <w:pPr>
              <w:pStyle w:val="Box"/>
            </w:pPr>
            <w:r>
              <w:t>Data reported for these</w:t>
            </w:r>
            <w:r w:rsidR="00A5229F" w:rsidRPr="0010521E">
              <w:t xml:space="preserve"> measure</w:t>
            </w:r>
            <w:r>
              <w:t>s</w:t>
            </w:r>
            <w:r w:rsidR="00A5229F" w:rsidRPr="0010521E">
              <w:t xml:space="preserve"> are:</w:t>
            </w:r>
          </w:p>
          <w:p w:rsidR="00A5229F" w:rsidRPr="0010521E" w:rsidRDefault="00A5229F" w:rsidP="00A5229F">
            <w:pPr>
              <w:pStyle w:val="BoxListBullet"/>
              <w:keepLines/>
            </w:pPr>
            <w:r w:rsidRPr="0010521E">
              <w:t xml:space="preserve">comparable (subject to caveats) across jurisdictions and over time </w:t>
            </w:r>
          </w:p>
          <w:p w:rsidR="00A5229F" w:rsidRPr="0010521E" w:rsidRDefault="00A5229F" w:rsidP="00A5229F">
            <w:pPr>
              <w:pStyle w:val="BoxListBullet"/>
              <w:keepLines/>
            </w:pPr>
            <w:r w:rsidRPr="0010521E">
              <w:t xml:space="preserve">complete (subject to caveats) for the current reporting period. All required </w:t>
            </w:r>
            <w:r w:rsidR="0041043C" w:rsidRPr="0010521E">
              <w:t>2013</w:t>
            </w:r>
            <w:r w:rsidR="005547FD">
              <w:noBreakHyphen/>
            </w:r>
            <w:r w:rsidR="0041043C" w:rsidRPr="0010521E">
              <w:t>14</w:t>
            </w:r>
            <w:r w:rsidR="001A0CA8" w:rsidRPr="0010521E">
              <w:t xml:space="preserve"> </w:t>
            </w:r>
            <w:r w:rsidRPr="0010521E">
              <w:t>data are available for all jurisdictions.</w:t>
            </w:r>
          </w:p>
          <w:p w:rsidR="00A5229F" w:rsidRPr="0010521E" w:rsidRDefault="00802A7D" w:rsidP="000D3220">
            <w:pPr>
              <w:pStyle w:val="Box"/>
            </w:pPr>
            <w:r w:rsidRPr="0010521E">
              <w:t>Data quality information for this indicator</w:t>
            </w:r>
            <w:r w:rsidR="0028432F" w:rsidRPr="0010521E">
              <w:t xml:space="preserve"> is at www.pc.gov.au</w:t>
            </w:r>
            <w:r w:rsidRPr="0010521E">
              <w:t>/rogs/</w:t>
            </w:r>
            <w:r w:rsidR="00B86C20" w:rsidRPr="0010521E">
              <w:t>2016</w:t>
            </w:r>
            <w:r w:rsidRPr="0010521E">
              <w:t>.</w:t>
            </w:r>
          </w:p>
        </w:tc>
      </w:tr>
      <w:tr w:rsidR="00A5229F" w:rsidRPr="0010521E" w:rsidTr="00C827D5">
        <w:trPr>
          <w:cantSplit/>
        </w:trPr>
        <w:tc>
          <w:tcPr>
            <w:tcW w:w="8771" w:type="dxa"/>
            <w:tcBorders>
              <w:top w:val="nil"/>
              <w:left w:val="nil"/>
              <w:bottom w:val="single" w:sz="6" w:space="0" w:color="78A22F"/>
              <w:right w:val="nil"/>
            </w:tcBorders>
            <w:shd w:val="clear" w:color="auto" w:fill="F2F2F2"/>
          </w:tcPr>
          <w:p w:rsidR="00A5229F" w:rsidRPr="0010521E" w:rsidRDefault="00A5229F">
            <w:pPr>
              <w:pStyle w:val="Box"/>
              <w:spacing w:before="0" w:line="120" w:lineRule="exact"/>
            </w:pPr>
          </w:p>
        </w:tc>
      </w:tr>
      <w:tr w:rsidR="00A5229F" w:rsidRPr="0010521E" w:rsidTr="00C827D5">
        <w:tc>
          <w:tcPr>
            <w:tcW w:w="8771" w:type="dxa"/>
            <w:tcBorders>
              <w:top w:val="single" w:sz="6" w:space="0" w:color="78A22F"/>
              <w:left w:val="nil"/>
              <w:bottom w:val="nil"/>
              <w:right w:val="nil"/>
            </w:tcBorders>
          </w:tcPr>
          <w:p w:rsidR="00A5229F" w:rsidRPr="0010521E" w:rsidRDefault="00A5229F" w:rsidP="00C827D5">
            <w:pPr>
              <w:pStyle w:val="BoxSpaceBelow"/>
            </w:pPr>
          </w:p>
        </w:tc>
      </w:tr>
    </w:tbl>
    <w:p w:rsidR="001F39F2" w:rsidRPr="0010521E" w:rsidRDefault="001F39F2" w:rsidP="00BB5BA4">
      <w:pPr>
        <w:pStyle w:val="Heading5"/>
      </w:pPr>
      <w:r w:rsidRPr="0010521E">
        <w:t>Service use by special needs groups — people in outer region</w:t>
      </w:r>
      <w:r w:rsidR="002229DE" w:rsidRPr="0010521E">
        <w:t>al and remote/very remote areas</w:t>
      </w:r>
    </w:p>
    <w:p w:rsidR="008E3618" w:rsidRPr="0010521E" w:rsidRDefault="001F39F2" w:rsidP="00585E2C">
      <w:pPr>
        <w:pStyle w:val="BodyText"/>
      </w:pPr>
      <w:r w:rsidRPr="0010521E">
        <w:t xml:space="preserve">Nationally in </w:t>
      </w:r>
      <w:r w:rsidR="00255466" w:rsidRPr="0010521E">
        <w:t>2013</w:t>
      </w:r>
      <w:r w:rsidR="00B84AF2" w:rsidRPr="0010521E">
        <w:noBreakHyphen/>
      </w:r>
      <w:r w:rsidR="00255466" w:rsidRPr="0010521E">
        <w:t>14</w:t>
      </w:r>
      <w:r w:rsidRPr="0010521E">
        <w:t>, the proportion of the outer regional and remote/very remote population who used NDA</w:t>
      </w:r>
      <w:r w:rsidR="00884B97">
        <w:t xml:space="preserve"> services was slightly lower than the proportion of the major cities/inner regional population</w:t>
      </w:r>
      <w:r w:rsidR="008E3618" w:rsidRPr="0010521E">
        <w:t>:</w:t>
      </w:r>
    </w:p>
    <w:p w:rsidR="00884B97" w:rsidRDefault="00884B97" w:rsidP="00585E2C">
      <w:pPr>
        <w:pStyle w:val="ListBullet"/>
      </w:pPr>
      <w:r>
        <w:t xml:space="preserve">for </w:t>
      </w:r>
      <w:r w:rsidR="001F39F2" w:rsidRPr="0010521E">
        <w:t>accommodation support services</w:t>
      </w:r>
      <w:r>
        <w:t xml:space="preserve">, </w:t>
      </w:r>
      <w:r w:rsidR="00FA33CF" w:rsidRPr="0010521E">
        <w:t>1.</w:t>
      </w:r>
      <w:r w:rsidR="00A67389" w:rsidRPr="0010521E">
        <w:t>7</w:t>
      </w:r>
      <w:r>
        <w:t xml:space="preserve"> compared to 1.9</w:t>
      </w:r>
      <w:r w:rsidR="00F44AA9" w:rsidRPr="0010521E">
        <w:t xml:space="preserve"> </w:t>
      </w:r>
      <w:r w:rsidR="001F39F2" w:rsidRPr="0010521E">
        <w:t xml:space="preserve">service users per 1000 </w:t>
      </w:r>
      <w:r w:rsidR="0088323A" w:rsidRPr="0010521E">
        <w:t>people</w:t>
      </w:r>
    </w:p>
    <w:p w:rsidR="00884B97" w:rsidRDefault="00884B97" w:rsidP="00585E2C">
      <w:pPr>
        <w:pStyle w:val="ListBullet"/>
      </w:pPr>
      <w:r>
        <w:t>for community support services, 7.0 compared to 7.1 service users per 1000 people</w:t>
      </w:r>
    </w:p>
    <w:p w:rsidR="00884B97" w:rsidRDefault="00884B97" w:rsidP="00585E2C">
      <w:pPr>
        <w:pStyle w:val="ListBullet"/>
      </w:pPr>
      <w:r>
        <w:t>for community access services, 2.1 compared to 2.5 service users per 1000 people</w:t>
      </w:r>
    </w:p>
    <w:p w:rsidR="00884B97" w:rsidRDefault="00884B97" w:rsidP="00585E2C">
      <w:pPr>
        <w:pStyle w:val="ListBullet"/>
      </w:pPr>
      <w:r>
        <w:t>for respite services,</w:t>
      </w:r>
      <w:r w:rsidR="009E48F0">
        <w:t xml:space="preserve"> </w:t>
      </w:r>
      <w:r>
        <w:t>1.8 compared to 1.9 service users per 1000 people (figure</w:t>
      </w:r>
      <w:r w:rsidR="005547FD">
        <w:t> </w:t>
      </w:r>
      <w:r>
        <w:t>14.1</w:t>
      </w:r>
      <w:r w:rsidR="00F61907">
        <w:t>4</w:t>
      </w:r>
      <w:r>
        <w:t>).</w:t>
      </w:r>
    </w:p>
    <w:p w:rsidR="00884B97" w:rsidRDefault="00012C77" w:rsidP="00BB5BA4">
      <w:pPr>
        <w:pStyle w:val="BodyText"/>
      </w:pPr>
      <w:r>
        <w:t xml:space="preserve">Service use as a proportion of the potential population followed a similar pattern, with the proportion of the </w:t>
      </w:r>
      <w:r w:rsidRPr="0010521E">
        <w:t>outer regional and remote/very remote potential population who used NDA services</w:t>
      </w:r>
      <w:r>
        <w:t xml:space="preserve"> lower than that of the </w:t>
      </w:r>
      <w:r w:rsidRPr="0010521E">
        <w:t>major cities and inner regional potential population who used these services</w:t>
      </w:r>
      <w:r>
        <w:t>:</w:t>
      </w:r>
    </w:p>
    <w:p w:rsidR="001F39F2" w:rsidRPr="0010521E" w:rsidRDefault="00012C77" w:rsidP="00585E2C">
      <w:pPr>
        <w:pStyle w:val="ListBullet"/>
      </w:pPr>
      <w:r>
        <w:t xml:space="preserve">for </w:t>
      </w:r>
      <w:r w:rsidR="001F39F2" w:rsidRPr="0010521E">
        <w:t>accommodation support services</w:t>
      </w:r>
      <w:r>
        <w:t xml:space="preserve">, </w:t>
      </w:r>
      <w:r w:rsidR="0010521E">
        <w:t>53.4</w:t>
      </w:r>
      <w:r>
        <w:t xml:space="preserve"> compared to 65.8</w:t>
      </w:r>
      <w:r w:rsidR="001F39F2" w:rsidRPr="0010521E">
        <w:t> service users per 1000</w:t>
      </w:r>
      <w:r w:rsidR="008E3618" w:rsidRPr="0010521E">
        <w:t> </w:t>
      </w:r>
      <w:r w:rsidR="001F39F2" w:rsidRPr="0010521E">
        <w:t>potential population</w:t>
      </w:r>
    </w:p>
    <w:p w:rsidR="001F39F2" w:rsidRPr="00295375" w:rsidRDefault="00012C77" w:rsidP="00585E2C">
      <w:pPr>
        <w:pStyle w:val="ListBullet"/>
      </w:pPr>
      <w:r>
        <w:t>for</w:t>
      </w:r>
      <w:r w:rsidR="001F39F2" w:rsidRPr="00295375">
        <w:t xml:space="preserve"> community support services</w:t>
      </w:r>
      <w:r>
        <w:t xml:space="preserve">, </w:t>
      </w:r>
      <w:r w:rsidR="00295375" w:rsidRPr="00295375">
        <w:t>218.2</w:t>
      </w:r>
      <w:r>
        <w:t xml:space="preserve"> compared to 248.9</w:t>
      </w:r>
      <w:r w:rsidR="00F44AA9" w:rsidRPr="00295375">
        <w:t> </w:t>
      </w:r>
      <w:r w:rsidR="001F39F2" w:rsidRPr="00295375">
        <w:t>service users per 1000</w:t>
      </w:r>
      <w:r w:rsidR="005B065A" w:rsidRPr="00295375">
        <w:t> </w:t>
      </w:r>
      <w:r w:rsidR="001F39F2" w:rsidRPr="00295375">
        <w:t>potential population</w:t>
      </w:r>
    </w:p>
    <w:p w:rsidR="001F39F2" w:rsidRPr="00CB13F8" w:rsidRDefault="00012C77" w:rsidP="00585E2C">
      <w:pPr>
        <w:pStyle w:val="ListBullet"/>
      </w:pPr>
      <w:r>
        <w:t>for</w:t>
      </w:r>
      <w:r w:rsidR="001F39F2" w:rsidRPr="00A9453C">
        <w:t xml:space="preserve"> community access services</w:t>
      </w:r>
      <w:r>
        <w:t xml:space="preserve">, </w:t>
      </w:r>
      <w:r w:rsidR="00A9453C" w:rsidRPr="00A9453C">
        <w:t>66.8</w:t>
      </w:r>
      <w:r w:rsidR="008E3618" w:rsidRPr="00A9453C">
        <w:t xml:space="preserve"> </w:t>
      </w:r>
      <w:r>
        <w:t xml:space="preserve">compared to 86.5 </w:t>
      </w:r>
      <w:r w:rsidR="008E3618" w:rsidRPr="00A9453C">
        <w:t>service users per 1000 </w:t>
      </w:r>
      <w:r w:rsidR="001F39F2" w:rsidRPr="00A9453C">
        <w:t>potential population</w:t>
      </w:r>
      <w:r>
        <w:t xml:space="preserve"> (figure</w:t>
      </w:r>
      <w:r w:rsidR="005547FD">
        <w:t> </w:t>
      </w:r>
      <w:r>
        <w:t>14.1</w:t>
      </w:r>
      <w:r w:rsidR="00F61907">
        <w:t>5</w:t>
      </w:r>
      <w:r>
        <w:t>).</w:t>
      </w:r>
    </w:p>
    <w:p w:rsidR="001F39F2" w:rsidRPr="00CB13F8" w:rsidRDefault="001F39F2" w:rsidP="00BB5BA4">
      <w:pPr>
        <w:pStyle w:val="BodyText"/>
      </w:pPr>
    </w:p>
    <w:p w:rsidR="00063660" w:rsidRPr="00B86C20" w:rsidRDefault="0006366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RPr="00295375" w:rsidTr="00730EA6">
        <w:tc>
          <w:tcPr>
            <w:tcW w:w="8771" w:type="dxa"/>
            <w:tcBorders>
              <w:top w:val="single" w:sz="6" w:space="0" w:color="78A22F"/>
              <w:left w:val="nil"/>
              <w:bottom w:val="nil"/>
              <w:right w:val="nil"/>
            </w:tcBorders>
            <w:shd w:val="clear" w:color="auto" w:fill="auto"/>
          </w:tcPr>
          <w:p w:rsidR="00063660" w:rsidRPr="00295375" w:rsidRDefault="00063660" w:rsidP="00884B97">
            <w:pPr>
              <w:pStyle w:val="FigureTitle"/>
            </w:pPr>
            <w:r w:rsidRPr="00295375">
              <w:rPr>
                <w:b w:val="0"/>
              </w:rPr>
              <w:t xml:space="preserve">Figure </w:t>
            </w:r>
            <w:bookmarkStart w:id="30" w:name="OLE_LINK27"/>
            <w:r w:rsidR="00321568" w:rsidRPr="00295375">
              <w:rPr>
                <w:b w:val="0"/>
              </w:rPr>
              <w:t>14.</w:t>
            </w:r>
            <w:r w:rsidR="004B691F">
              <w:rPr>
                <w:b w:val="0"/>
                <w:noProof/>
              </w:rPr>
              <w:t>14</w:t>
            </w:r>
            <w:bookmarkEnd w:id="30"/>
            <w:r w:rsidRPr="00295375">
              <w:tab/>
              <w:t xml:space="preserve">Users of NDA specialist disability services per 1000 people, by geographic location, </w:t>
            </w:r>
            <w:r w:rsidR="00255466" w:rsidRPr="00295375">
              <w:t>2013</w:t>
            </w:r>
            <w:r w:rsidR="00B84AF2" w:rsidRPr="00295375">
              <w:noBreakHyphen/>
            </w:r>
            <w:r w:rsidR="00255466" w:rsidRPr="00481A86">
              <w:t>14</w:t>
            </w:r>
            <w:r w:rsidR="00255466" w:rsidRPr="00481A86">
              <w:rPr>
                <w:rStyle w:val="NoteLabel"/>
                <w:b/>
              </w:rPr>
              <w:t>a</w:t>
            </w:r>
            <w:r w:rsidRPr="00481A86">
              <w:rPr>
                <w:rStyle w:val="NoteLabel"/>
                <w:b/>
              </w:rPr>
              <w:t>, b</w:t>
            </w:r>
          </w:p>
        </w:tc>
      </w:tr>
      <w:tr w:rsidR="00063660" w:rsidRPr="00295375"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063660" w:rsidRPr="00295375" w:rsidTr="00BD726D">
              <w:trPr>
                <w:jc w:val="center"/>
              </w:trPr>
              <w:tc>
                <w:tcPr>
                  <w:tcW w:w="8504" w:type="dxa"/>
                  <w:tcBorders>
                    <w:top w:val="nil"/>
                    <w:bottom w:val="nil"/>
                  </w:tcBorders>
                </w:tcPr>
                <w:p w:rsidR="00063660" w:rsidRPr="00295375" w:rsidRDefault="001D12B9" w:rsidP="00CB13F8">
                  <w:pPr>
                    <w:pStyle w:val="Figure"/>
                    <w:spacing w:before="60" w:after="60"/>
                  </w:pPr>
                  <w:r>
                    <w:rPr>
                      <w:noProof/>
                    </w:rPr>
                    <w:drawing>
                      <wp:inline distT="0" distB="0" distL="0" distR="0">
                        <wp:extent cx="2517775" cy="2315845"/>
                        <wp:effectExtent l="0" t="0" r="0" b="8255"/>
                        <wp:docPr id="21" name="Picture 21" descr="Figure 14.14 Users of NDA specialist disability services per 1000 people, by geographic location, 2013-14 &#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17775" cy="2315845"/>
                                </a:xfrm>
                                <a:prstGeom prst="rect">
                                  <a:avLst/>
                                </a:prstGeom>
                                <a:noFill/>
                                <a:ln>
                                  <a:noFill/>
                                </a:ln>
                              </pic:spPr>
                            </pic:pic>
                          </a:graphicData>
                        </a:graphic>
                      </wp:inline>
                    </w:drawing>
                  </w:r>
                  <w:r>
                    <w:rPr>
                      <w:noProof/>
                    </w:rPr>
                    <w:drawing>
                      <wp:inline distT="0" distB="0" distL="0" distR="0">
                        <wp:extent cx="2505710" cy="2327275"/>
                        <wp:effectExtent l="0" t="0" r="8890" b="0"/>
                        <wp:docPr id="22" name="Picture 22" descr="Figure 14.14 Users of NDA specialist disability services per 1000 people, by geographic location, 2013-14 &#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tc>
            </w:tr>
            <w:tr w:rsidR="00430D4C" w:rsidRPr="00295375" w:rsidTr="00BD726D">
              <w:tblPrEx>
                <w:tblCellMar>
                  <w:left w:w="0" w:type="dxa"/>
                  <w:right w:w="0" w:type="dxa"/>
                </w:tblCellMar>
              </w:tblPrEx>
              <w:trPr>
                <w:jc w:val="center"/>
              </w:trPr>
              <w:tc>
                <w:tcPr>
                  <w:tcW w:w="8504" w:type="dxa"/>
                  <w:tcBorders>
                    <w:top w:val="nil"/>
                    <w:bottom w:val="nil"/>
                  </w:tcBorders>
                </w:tcPr>
                <w:p w:rsidR="00430D4C" w:rsidRPr="00295375" w:rsidRDefault="001D12B9" w:rsidP="00E615A2">
                  <w:pPr>
                    <w:pStyle w:val="Figure"/>
                    <w:spacing w:before="60" w:after="60"/>
                  </w:pPr>
                  <w:r>
                    <w:rPr>
                      <w:noProof/>
                    </w:rPr>
                    <w:drawing>
                      <wp:inline distT="0" distB="0" distL="0" distR="0">
                        <wp:extent cx="2505710" cy="2315845"/>
                        <wp:effectExtent l="0" t="0" r="8890" b="8255"/>
                        <wp:docPr id="23" name="Picture 23" descr="Figure 14.14 Users of NDA specialist disability services per 1000 people, by geographic location, 2013-14 &#10;&#10;(c) Community access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05710" cy="2315845"/>
                                </a:xfrm>
                                <a:prstGeom prst="rect">
                                  <a:avLst/>
                                </a:prstGeom>
                                <a:noFill/>
                                <a:ln>
                                  <a:noFill/>
                                </a:ln>
                              </pic:spPr>
                            </pic:pic>
                          </a:graphicData>
                        </a:graphic>
                      </wp:inline>
                    </w:drawing>
                  </w:r>
                  <w:r>
                    <w:rPr>
                      <w:noProof/>
                    </w:rPr>
                    <w:drawing>
                      <wp:inline distT="0" distB="0" distL="0" distR="0">
                        <wp:extent cx="2505710" cy="2327275"/>
                        <wp:effectExtent l="0" t="0" r="8890" b="0"/>
                        <wp:docPr id="24" name="Picture 24" descr="Figure 14.14 Users of NDA specialist disability services per 1000 people, by geographic location, 2013-14 &#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tc>
            </w:tr>
            <w:tr w:rsidR="003B3976" w:rsidRPr="00295375" w:rsidTr="00BD726D">
              <w:tblPrEx>
                <w:tblCellMar>
                  <w:left w:w="0" w:type="dxa"/>
                  <w:right w:w="0" w:type="dxa"/>
                </w:tblCellMar>
              </w:tblPrEx>
              <w:trPr>
                <w:jc w:val="center"/>
              </w:trPr>
              <w:tc>
                <w:tcPr>
                  <w:tcW w:w="8504" w:type="dxa"/>
                  <w:tcBorders>
                    <w:top w:val="nil"/>
                    <w:bottom w:val="nil"/>
                  </w:tcBorders>
                </w:tcPr>
                <w:p w:rsidR="003B3976" w:rsidRPr="00295375" w:rsidRDefault="001D12B9" w:rsidP="00B841B6">
                  <w:pPr>
                    <w:pStyle w:val="Figure"/>
                    <w:spacing w:before="60" w:after="60"/>
                  </w:pPr>
                  <w:r>
                    <w:rPr>
                      <w:noProof/>
                    </w:rPr>
                    <w:drawing>
                      <wp:inline distT="0" distB="0" distL="0" distR="0">
                        <wp:extent cx="5213350" cy="368300"/>
                        <wp:effectExtent l="0" t="0" r="6350" b="0"/>
                        <wp:docPr id="25" name="Picture 25" descr="Legend to Figure 14.14 Users of NDA specialist disability services per 1000 people, by geographic location, 2013-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3350" cy="368300"/>
                                </a:xfrm>
                                <a:prstGeom prst="rect">
                                  <a:avLst/>
                                </a:prstGeom>
                                <a:noFill/>
                                <a:ln>
                                  <a:noFill/>
                                </a:ln>
                              </pic:spPr>
                            </pic:pic>
                          </a:graphicData>
                        </a:graphic>
                      </wp:inline>
                    </w:drawing>
                  </w:r>
                </w:p>
              </w:tc>
            </w:tr>
          </w:tbl>
          <w:p w:rsidR="00063660" w:rsidRPr="00295375" w:rsidRDefault="00063660" w:rsidP="00730EA6">
            <w:pPr>
              <w:pStyle w:val="Figure"/>
            </w:pPr>
          </w:p>
        </w:tc>
      </w:tr>
      <w:tr w:rsidR="00063660" w:rsidRPr="00295375" w:rsidTr="00730EA6">
        <w:tc>
          <w:tcPr>
            <w:tcW w:w="8771" w:type="dxa"/>
            <w:tcBorders>
              <w:top w:val="nil"/>
              <w:left w:val="nil"/>
              <w:bottom w:val="nil"/>
              <w:right w:val="nil"/>
            </w:tcBorders>
            <w:shd w:val="clear" w:color="auto" w:fill="auto"/>
          </w:tcPr>
          <w:p w:rsidR="00063660" w:rsidRPr="00295375" w:rsidRDefault="00063660" w:rsidP="004E5CBA">
            <w:pPr>
              <w:pStyle w:val="Note"/>
              <w:keepNext/>
            </w:pPr>
            <w:r w:rsidRPr="00A9453C">
              <w:rPr>
                <w:rStyle w:val="NoteLabel"/>
              </w:rPr>
              <w:t>a</w:t>
            </w:r>
            <w:r w:rsidRPr="00A9453C">
              <w:t xml:space="preserve"> </w:t>
            </w:r>
            <w:r w:rsidR="00995B83">
              <w:t>See box</w:t>
            </w:r>
            <w:r w:rsidR="005547FD">
              <w:t> </w:t>
            </w:r>
            <w:r w:rsidR="00995B83">
              <w:t>14.8</w:t>
            </w:r>
            <w:r w:rsidR="00D872A6" w:rsidRPr="00A9453C">
              <w:t xml:space="preserve"> and tables </w:t>
            </w:r>
            <w:r w:rsidRPr="00A9453C">
              <w:t>14A.</w:t>
            </w:r>
            <w:r w:rsidR="00683393" w:rsidRPr="00A9453C">
              <w:t>3</w:t>
            </w:r>
            <w:r w:rsidR="00086254">
              <w:t>4</w:t>
            </w:r>
            <w:r w:rsidR="00A74BA3" w:rsidRPr="00A9453C">
              <w:rPr>
                <w:rFonts w:cs="Arial"/>
              </w:rPr>
              <w:t>–</w:t>
            </w:r>
            <w:r w:rsidR="00086254">
              <w:t>37</w:t>
            </w:r>
            <w:r w:rsidR="00086254" w:rsidRPr="00A9453C">
              <w:t xml:space="preserve"> </w:t>
            </w:r>
            <w:r w:rsidRPr="00A9453C">
              <w:t xml:space="preserve">for detailed </w:t>
            </w:r>
            <w:r w:rsidR="003D7F75">
              <w:t>definitions, footnotes and caveats</w:t>
            </w:r>
            <w:r w:rsidRPr="00A9453C">
              <w:t xml:space="preserve">. </w:t>
            </w:r>
            <w:r w:rsidRPr="00A9453C">
              <w:rPr>
                <w:rStyle w:val="NoteLabel"/>
              </w:rPr>
              <w:t>b</w:t>
            </w:r>
            <w:r w:rsidRPr="00A9453C">
              <w:t xml:space="preserve"> The NT does not have major c</w:t>
            </w:r>
            <w:r w:rsidR="004E5CBA">
              <w:t>ities and inner regional areas.</w:t>
            </w:r>
            <w:r w:rsidR="00975AA0" w:rsidRPr="00A9453C">
              <w:t xml:space="preserve"> The ACT does not have outer regional or remote/very remote areas.</w:t>
            </w:r>
          </w:p>
        </w:tc>
      </w:tr>
      <w:tr w:rsidR="00B841B6" w:rsidRPr="00295375" w:rsidTr="00730EA6">
        <w:tc>
          <w:tcPr>
            <w:tcW w:w="8771" w:type="dxa"/>
            <w:tcBorders>
              <w:top w:val="nil"/>
              <w:left w:val="nil"/>
              <w:bottom w:val="nil"/>
              <w:right w:val="nil"/>
            </w:tcBorders>
            <w:shd w:val="clear" w:color="auto" w:fill="auto"/>
          </w:tcPr>
          <w:p w:rsidR="00063660" w:rsidRPr="00295375" w:rsidRDefault="00063660" w:rsidP="00086254">
            <w:pPr>
              <w:pStyle w:val="Source"/>
              <w:keepNext/>
              <w:ind w:left="-22" w:firstLine="22"/>
            </w:pPr>
            <w:r w:rsidRPr="00295375">
              <w:rPr>
                <w:i/>
              </w:rPr>
              <w:t>Source</w:t>
            </w:r>
            <w:r w:rsidRPr="00295375">
              <w:t xml:space="preserve">: </w:t>
            </w:r>
            <w:r w:rsidR="009B4B99" w:rsidRPr="00295375">
              <w:t xml:space="preserve">AIHW (unpublished) </w:t>
            </w:r>
            <w:r w:rsidR="00D221B0" w:rsidRPr="00BB5BA4">
              <w:t>DS NMDS</w:t>
            </w:r>
            <w:r w:rsidR="009B4B99" w:rsidRPr="00884B97">
              <w:t xml:space="preserve">; AIHW (unpublished), AIHW analysis of the </w:t>
            </w:r>
            <w:r w:rsidR="009B4B99" w:rsidRPr="00BB5BA4">
              <w:t xml:space="preserve">ABS </w:t>
            </w:r>
            <w:r w:rsidR="00884B97">
              <w:t>June ERP</w:t>
            </w:r>
            <w:r w:rsidR="009B4B99" w:rsidRPr="00884B97">
              <w:t>; tables</w:t>
            </w:r>
            <w:r w:rsidR="00AE3578" w:rsidRPr="00884B97">
              <w:t> </w:t>
            </w:r>
            <w:r w:rsidR="009B4B99" w:rsidRPr="00884B97">
              <w:t>14A.</w:t>
            </w:r>
            <w:r w:rsidR="00683393" w:rsidRPr="00884B97">
              <w:t>3</w:t>
            </w:r>
            <w:r w:rsidR="00086254">
              <w:t>4</w:t>
            </w:r>
            <w:r w:rsidR="003D0CDC" w:rsidRPr="00295375">
              <w:t>–</w:t>
            </w:r>
            <w:r w:rsidR="00086254">
              <w:t>37</w:t>
            </w:r>
            <w:r w:rsidR="00481A86">
              <w:t>.</w:t>
            </w:r>
          </w:p>
        </w:tc>
      </w:tr>
      <w:tr w:rsidR="00063660" w:rsidRPr="00295375" w:rsidTr="00730EA6">
        <w:tc>
          <w:tcPr>
            <w:tcW w:w="8771" w:type="dxa"/>
            <w:tcBorders>
              <w:top w:val="nil"/>
              <w:left w:val="nil"/>
              <w:bottom w:val="single" w:sz="6" w:space="0" w:color="78A22F"/>
              <w:right w:val="nil"/>
            </w:tcBorders>
            <w:shd w:val="clear" w:color="auto" w:fill="auto"/>
          </w:tcPr>
          <w:p w:rsidR="00063660" w:rsidRPr="00295375" w:rsidRDefault="00063660" w:rsidP="00730EA6">
            <w:pPr>
              <w:pStyle w:val="Figurespace"/>
            </w:pPr>
          </w:p>
        </w:tc>
      </w:tr>
      <w:tr w:rsidR="00063660" w:rsidRPr="00295375" w:rsidTr="00730EA6">
        <w:tc>
          <w:tcPr>
            <w:tcW w:w="8771" w:type="dxa"/>
            <w:tcBorders>
              <w:top w:val="single" w:sz="6" w:space="0" w:color="78A22F"/>
              <w:left w:val="nil"/>
              <w:bottom w:val="nil"/>
              <w:right w:val="nil"/>
            </w:tcBorders>
          </w:tcPr>
          <w:p w:rsidR="00063660" w:rsidRPr="00295375" w:rsidRDefault="00063660" w:rsidP="00730EA6">
            <w:pPr>
              <w:pStyle w:val="BoxSpaceBelow"/>
            </w:pPr>
          </w:p>
        </w:tc>
      </w:tr>
    </w:tbl>
    <w:p w:rsidR="00063660" w:rsidRPr="00B86C20" w:rsidRDefault="0006366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3660" w:rsidRPr="00295375" w:rsidTr="00730EA6">
        <w:tc>
          <w:tcPr>
            <w:tcW w:w="8771" w:type="dxa"/>
            <w:tcBorders>
              <w:top w:val="single" w:sz="6" w:space="0" w:color="78A22F"/>
              <w:left w:val="nil"/>
              <w:bottom w:val="nil"/>
              <w:right w:val="nil"/>
            </w:tcBorders>
            <w:shd w:val="clear" w:color="auto" w:fill="auto"/>
          </w:tcPr>
          <w:p w:rsidR="00063660" w:rsidRPr="00295375" w:rsidRDefault="00063660" w:rsidP="00012C77">
            <w:pPr>
              <w:pStyle w:val="FigureTitle"/>
            </w:pPr>
            <w:r w:rsidRPr="00295375">
              <w:rPr>
                <w:b w:val="0"/>
              </w:rPr>
              <w:t xml:space="preserve">Figure </w:t>
            </w:r>
            <w:bookmarkStart w:id="31" w:name="OLE_LINK28"/>
            <w:r w:rsidR="00321568" w:rsidRPr="00295375">
              <w:rPr>
                <w:b w:val="0"/>
              </w:rPr>
              <w:t>14.</w:t>
            </w:r>
            <w:r w:rsidR="004B691F">
              <w:rPr>
                <w:b w:val="0"/>
                <w:noProof/>
              </w:rPr>
              <w:t>15</w:t>
            </w:r>
            <w:bookmarkEnd w:id="31"/>
            <w:r w:rsidRPr="00295375">
              <w:tab/>
              <w:t xml:space="preserve">Users of NDA specialist disability services per 1000 potential population, by geographic location, </w:t>
            </w:r>
            <w:r w:rsidR="00255466" w:rsidRPr="00295375">
              <w:t>2013</w:t>
            </w:r>
            <w:r w:rsidR="00B84AF2" w:rsidRPr="00295375">
              <w:noBreakHyphen/>
            </w:r>
            <w:r w:rsidR="00255466" w:rsidRPr="00295375">
              <w:t>14</w:t>
            </w:r>
            <w:r w:rsidR="00255466" w:rsidRPr="00295375">
              <w:rPr>
                <w:rStyle w:val="NoteLabel"/>
                <w:b/>
              </w:rPr>
              <w:t>a</w:t>
            </w:r>
            <w:r w:rsidRPr="00295375">
              <w:rPr>
                <w:rStyle w:val="NoteLabel"/>
                <w:b/>
              </w:rPr>
              <w:t>, b, c</w:t>
            </w:r>
          </w:p>
        </w:tc>
      </w:tr>
      <w:tr w:rsidR="00063660" w:rsidRPr="00295375" w:rsidTr="00730EA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30D4C" w:rsidRPr="00295375" w:rsidTr="00730EA6">
              <w:trPr>
                <w:jc w:val="center"/>
              </w:trPr>
              <w:tc>
                <w:tcPr>
                  <w:tcW w:w="5000" w:type="pct"/>
                  <w:tcBorders>
                    <w:top w:val="nil"/>
                    <w:bottom w:val="nil"/>
                  </w:tcBorders>
                </w:tcPr>
                <w:p w:rsidR="00430D4C" w:rsidRPr="00295375" w:rsidRDefault="001D12B9" w:rsidP="00A84DD1">
                  <w:pPr>
                    <w:pStyle w:val="Figure"/>
                    <w:spacing w:before="60" w:after="60"/>
                  </w:pPr>
                  <w:r>
                    <w:rPr>
                      <w:noProof/>
                    </w:rPr>
                    <w:drawing>
                      <wp:inline distT="0" distB="0" distL="0" distR="0">
                        <wp:extent cx="2505710" cy="2327275"/>
                        <wp:effectExtent l="0" t="0" r="8890" b="0"/>
                        <wp:docPr id="26" name="Picture 26" descr="Figure 14.15 Users of NDA specialist disability services per 1000 potential population, by geographic location,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27" name="Picture 27" descr="Figure 14.15 Users of NDA specialist disability services per 1000 potential population, by geographic location, 2013-14&#10;&#10;(a)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28" name="Picture 28" descr="Figure 14.15 Users of NDA specialist disability services per 1000 potential population, by geographic location,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p w:rsidR="003B3976" w:rsidRPr="00295375" w:rsidRDefault="001D12B9" w:rsidP="00A84DD1">
                  <w:pPr>
                    <w:pStyle w:val="Figure"/>
                    <w:spacing w:before="60" w:after="60"/>
                  </w:pPr>
                  <w:r>
                    <w:rPr>
                      <w:noProof/>
                    </w:rPr>
                    <w:drawing>
                      <wp:inline distT="0" distB="0" distL="0" distR="0">
                        <wp:extent cx="5213350" cy="368300"/>
                        <wp:effectExtent l="0" t="0" r="6350" b="0"/>
                        <wp:docPr id="29" name="Picture 29" descr="Legend to Figure 14.15 Users of NDA specialist disability services per 1000 potential population, by geographic location,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13350" cy="368300"/>
                                </a:xfrm>
                                <a:prstGeom prst="rect">
                                  <a:avLst/>
                                </a:prstGeom>
                                <a:noFill/>
                                <a:ln>
                                  <a:noFill/>
                                </a:ln>
                              </pic:spPr>
                            </pic:pic>
                          </a:graphicData>
                        </a:graphic>
                      </wp:inline>
                    </w:drawing>
                  </w:r>
                </w:p>
              </w:tc>
            </w:tr>
          </w:tbl>
          <w:p w:rsidR="00063660" w:rsidRPr="00295375" w:rsidRDefault="00063660" w:rsidP="00730EA6">
            <w:pPr>
              <w:pStyle w:val="Figure"/>
            </w:pPr>
          </w:p>
        </w:tc>
      </w:tr>
      <w:tr w:rsidR="00063660" w:rsidRPr="00295375" w:rsidTr="00730EA6">
        <w:tc>
          <w:tcPr>
            <w:tcW w:w="8771" w:type="dxa"/>
            <w:tcBorders>
              <w:top w:val="nil"/>
              <w:left w:val="nil"/>
              <w:bottom w:val="nil"/>
              <w:right w:val="nil"/>
            </w:tcBorders>
            <w:shd w:val="clear" w:color="auto" w:fill="auto"/>
          </w:tcPr>
          <w:p w:rsidR="00063660" w:rsidRPr="00295375" w:rsidRDefault="00730EA6" w:rsidP="00086254">
            <w:pPr>
              <w:pStyle w:val="Note"/>
              <w:keepNext/>
            </w:pPr>
            <w:r w:rsidRPr="00A9453C">
              <w:rPr>
                <w:rStyle w:val="NoteLabel"/>
              </w:rPr>
              <w:t>a</w:t>
            </w:r>
            <w:r w:rsidRPr="00A9453C">
              <w:t xml:space="preserve"> </w:t>
            </w:r>
            <w:r w:rsidR="00D872A6" w:rsidRPr="00A9453C">
              <w:t>See box</w:t>
            </w:r>
            <w:r w:rsidR="005547FD">
              <w:t> </w:t>
            </w:r>
            <w:r w:rsidR="00D872A6" w:rsidRPr="00A9453C">
              <w:t>14.</w:t>
            </w:r>
            <w:r w:rsidR="00995B83">
              <w:t>8</w:t>
            </w:r>
            <w:r w:rsidR="00D872A6" w:rsidRPr="00A9453C">
              <w:t xml:space="preserve"> and tables 14A.3</w:t>
            </w:r>
            <w:r w:rsidR="00086254">
              <w:t>4</w:t>
            </w:r>
            <w:r w:rsidR="00D872A6" w:rsidRPr="00A9453C">
              <w:rPr>
                <w:rFonts w:cs="Arial"/>
              </w:rPr>
              <w:t>–</w:t>
            </w:r>
            <w:r w:rsidR="00D872A6" w:rsidRPr="00A9453C">
              <w:t>3</w:t>
            </w:r>
            <w:r w:rsidR="00086254">
              <w:t>6</w:t>
            </w:r>
            <w:r w:rsidR="00D872A6" w:rsidRPr="00A9453C">
              <w:t xml:space="preserve"> for detailed </w:t>
            </w:r>
            <w:r w:rsidR="003D7F75">
              <w:t>definitions, footnotes and caveats</w:t>
            </w:r>
            <w:r w:rsidR="00D872A6" w:rsidRPr="00A9453C">
              <w:t xml:space="preserve"> </w:t>
            </w:r>
            <w:r w:rsidR="00D872A6" w:rsidRPr="00A9453C">
              <w:rPr>
                <w:rStyle w:val="NoteLabel"/>
              </w:rPr>
              <w:t>b</w:t>
            </w:r>
            <w:r w:rsidRPr="00A9453C">
              <w:rPr>
                <w:rStyle w:val="NoteLabel"/>
              </w:rPr>
              <w:t> </w:t>
            </w:r>
            <w:r w:rsidRPr="00A9453C">
              <w:t xml:space="preserve">The ACT does not have outer regional </w:t>
            </w:r>
            <w:r w:rsidR="00655E3A" w:rsidRPr="00A9453C">
              <w:t>or</w:t>
            </w:r>
            <w:r w:rsidRPr="00A9453C">
              <w:t xml:space="preserve"> remote/very remote areas.</w:t>
            </w:r>
            <w:r w:rsidR="00975AA0">
              <w:t xml:space="preserve"> </w:t>
            </w:r>
            <w:r w:rsidR="00975AA0" w:rsidRPr="00A9453C">
              <w:t>The NT does not have major c</w:t>
            </w:r>
            <w:r w:rsidR="00975AA0">
              <w:t>ities and inner regional areas.</w:t>
            </w:r>
            <w:r w:rsidRPr="00A9453C">
              <w:t xml:space="preserve"> </w:t>
            </w:r>
            <w:r w:rsidR="00D872A6" w:rsidRPr="00A9453C">
              <w:rPr>
                <w:rStyle w:val="NoteLabel"/>
              </w:rPr>
              <w:t>c</w:t>
            </w:r>
            <w:r w:rsidR="00D872A6" w:rsidRPr="00A9453C">
              <w:t xml:space="preserve"> </w:t>
            </w:r>
            <w:r w:rsidR="003D0CDC" w:rsidRPr="00A9453C">
              <w:t xml:space="preserve">Some data for Tasmania, ACT and NT community access services are not published </w:t>
            </w:r>
            <w:r w:rsidR="00655E3A" w:rsidRPr="00A9453C">
              <w:t xml:space="preserve">due to </w:t>
            </w:r>
            <w:r w:rsidR="003D0CDC" w:rsidRPr="00A9453C">
              <w:t>privacy reasons (see table</w:t>
            </w:r>
            <w:r w:rsidR="00AE3578" w:rsidRPr="00A9453C">
              <w:t> </w:t>
            </w:r>
            <w:r w:rsidR="003D0CDC" w:rsidRPr="00A9453C">
              <w:t>14A.</w:t>
            </w:r>
            <w:r w:rsidR="00683393" w:rsidRPr="00A9453C">
              <w:t>3</w:t>
            </w:r>
            <w:r w:rsidR="00086254">
              <w:t>6</w:t>
            </w:r>
            <w:r w:rsidR="001E3BA3">
              <w:t>).</w:t>
            </w:r>
          </w:p>
        </w:tc>
      </w:tr>
      <w:tr w:rsidR="00F40546" w:rsidRPr="00295375" w:rsidTr="00730EA6">
        <w:tc>
          <w:tcPr>
            <w:tcW w:w="8771" w:type="dxa"/>
            <w:tcBorders>
              <w:top w:val="nil"/>
              <w:left w:val="nil"/>
              <w:bottom w:val="nil"/>
              <w:right w:val="nil"/>
            </w:tcBorders>
            <w:shd w:val="clear" w:color="auto" w:fill="auto"/>
          </w:tcPr>
          <w:p w:rsidR="00063660" w:rsidRPr="00295375" w:rsidRDefault="00730EA6" w:rsidP="00012C77">
            <w:pPr>
              <w:pStyle w:val="Source"/>
              <w:keepNext/>
            </w:pPr>
            <w:r w:rsidRPr="00295375">
              <w:rPr>
                <w:i/>
              </w:rPr>
              <w:t>Source</w:t>
            </w:r>
            <w:r w:rsidR="00612AF9" w:rsidRPr="00295375">
              <w:t>:</w:t>
            </w:r>
            <w:r w:rsidR="00612AF9" w:rsidRPr="00295375">
              <w:rPr>
                <w:i/>
              </w:rPr>
              <w:t xml:space="preserve"> </w:t>
            </w:r>
            <w:r w:rsidR="009B4B99" w:rsidRPr="00295375">
              <w:t xml:space="preserve">AIHW (unpublished) </w:t>
            </w:r>
            <w:r w:rsidR="00D221B0" w:rsidRPr="00BB5BA4">
              <w:t>DS NMDS</w:t>
            </w:r>
            <w:r w:rsidR="009B4B99" w:rsidRPr="00012C77">
              <w:t xml:space="preserve">; AIHW (unpublished), AIHW analysis of the </w:t>
            </w:r>
            <w:r w:rsidR="009B4B99" w:rsidRPr="00BB5BA4">
              <w:t xml:space="preserve">ABS </w:t>
            </w:r>
            <w:r w:rsidR="00012C77">
              <w:t>June ERP</w:t>
            </w:r>
            <w:r w:rsidR="009B4B99" w:rsidRPr="00012C77">
              <w:t xml:space="preserve">, </w:t>
            </w:r>
            <w:r w:rsidR="00DF1129" w:rsidRPr="00BB5BA4">
              <w:t>ABS Census of Population and Housing</w:t>
            </w:r>
            <w:r w:rsidR="00012C77">
              <w:t xml:space="preserve"> and</w:t>
            </w:r>
            <w:r w:rsidR="00DF1129" w:rsidRPr="00012C77">
              <w:t xml:space="preserve"> the ABS </w:t>
            </w:r>
            <w:r w:rsidR="00012C77">
              <w:t>SDAC</w:t>
            </w:r>
            <w:r w:rsidR="009B4B99" w:rsidRPr="00012C77">
              <w:t>;</w:t>
            </w:r>
            <w:r w:rsidRPr="00012C77">
              <w:t xml:space="preserve"> tables</w:t>
            </w:r>
            <w:r w:rsidRPr="00295375">
              <w:t> 14A.</w:t>
            </w:r>
            <w:r w:rsidR="00683393" w:rsidRPr="00295375">
              <w:t>3</w:t>
            </w:r>
            <w:r w:rsidR="00086254">
              <w:t>4</w:t>
            </w:r>
            <w:r w:rsidR="00DF1129" w:rsidRPr="00295375">
              <w:t>–</w:t>
            </w:r>
            <w:r w:rsidR="00683393" w:rsidRPr="00295375">
              <w:t>3</w:t>
            </w:r>
            <w:r w:rsidR="00086254">
              <w:t>6</w:t>
            </w:r>
            <w:r w:rsidRPr="00295375">
              <w:t>.</w:t>
            </w:r>
          </w:p>
        </w:tc>
      </w:tr>
      <w:tr w:rsidR="00063660" w:rsidRPr="00295375" w:rsidTr="00730EA6">
        <w:tc>
          <w:tcPr>
            <w:tcW w:w="8771" w:type="dxa"/>
            <w:tcBorders>
              <w:top w:val="nil"/>
              <w:left w:val="nil"/>
              <w:bottom w:val="single" w:sz="6" w:space="0" w:color="78A22F"/>
              <w:right w:val="nil"/>
            </w:tcBorders>
            <w:shd w:val="clear" w:color="auto" w:fill="auto"/>
          </w:tcPr>
          <w:p w:rsidR="00063660" w:rsidRPr="00295375" w:rsidRDefault="00063660" w:rsidP="00730EA6">
            <w:pPr>
              <w:pStyle w:val="Figurespace"/>
            </w:pPr>
          </w:p>
        </w:tc>
      </w:tr>
      <w:tr w:rsidR="00063660" w:rsidRPr="00295375" w:rsidTr="00730EA6">
        <w:tc>
          <w:tcPr>
            <w:tcW w:w="8771" w:type="dxa"/>
            <w:tcBorders>
              <w:top w:val="single" w:sz="6" w:space="0" w:color="78A22F"/>
              <w:left w:val="nil"/>
              <w:bottom w:val="nil"/>
              <w:right w:val="nil"/>
            </w:tcBorders>
          </w:tcPr>
          <w:p w:rsidR="00063660" w:rsidRPr="00295375" w:rsidRDefault="00063660" w:rsidP="00730EA6">
            <w:pPr>
              <w:pStyle w:val="BoxSpaceBelow"/>
            </w:pPr>
          </w:p>
        </w:tc>
      </w:tr>
    </w:tbl>
    <w:p w:rsidR="001F39F2" w:rsidRPr="00295375" w:rsidRDefault="001F39F2" w:rsidP="00585E2C">
      <w:pPr>
        <w:pStyle w:val="BodyText"/>
        <w:rPr>
          <w:b/>
        </w:rPr>
      </w:pPr>
      <w:r w:rsidRPr="00295375">
        <w:t xml:space="preserve">Nationally in </w:t>
      </w:r>
      <w:r w:rsidR="00B8510E" w:rsidRPr="00295375">
        <w:t>2013</w:t>
      </w:r>
      <w:r w:rsidR="005547FD">
        <w:noBreakHyphen/>
      </w:r>
      <w:r w:rsidR="00B8510E" w:rsidRPr="00295375">
        <w:t>14</w:t>
      </w:r>
      <w:r w:rsidRPr="00295375">
        <w:t>, the proportion of the outer regional and remote/very remote population who used NDA employment services (</w:t>
      </w:r>
      <w:r w:rsidR="00295375" w:rsidRPr="00295375">
        <w:t>8.7</w:t>
      </w:r>
      <w:r w:rsidR="00913967" w:rsidRPr="00295375">
        <w:t xml:space="preserve"> </w:t>
      </w:r>
      <w:r w:rsidRPr="00295375">
        <w:t>service users per 1000</w:t>
      </w:r>
      <w:r w:rsidR="00326F45" w:rsidRPr="00295375">
        <w:t> </w:t>
      </w:r>
      <w:r w:rsidRPr="00295375">
        <w:t>population) was higher than that of the major cities and inner regional population (</w:t>
      </w:r>
      <w:r w:rsidR="00A34487" w:rsidRPr="00295375">
        <w:t>8.</w:t>
      </w:r>
      <w:r w:rsidR="00295375" w:rsidRPr="00295375">
        <w:t>6</w:t>
      </w:r>
      <w:r w:rsidR="001A0CA8" w:rsidRPr="00295375">
        <w:t xml:space="preserve"> </w:t>
      </w:r>
      <w:r w:rsidR="001B3857" w:rsidRPr="00295375">
        <w:t>service users per </w:t>
      </w:r>
      <w:r w:rsidRPr="00295375">
        <w:t>1000 population) (figure</w:t>
      </w:r>
      <w:r w:rsidR="00AE3578" w:rsidRPr="00295375">
        <w:t> </w:t>
      </w:r>
      <w:r w:rsidRPr="00295375">
        <w:t>14.</w:t>
      </w:r>
      <w:r w:rsidR="00F61907">
        <w:t>16</w:t>
      </w:r>
      <w:r w:rsidRPr="00295375">
        <w:t xml:space="preserve">). </w:t>
      </w:r>
      <w:r w:rsidR="00012C77">
        <w:t>However, as a proportion of the potential population</w:t>
      </w:r>
      <w:r w:rsidR="00BB5BA4">
        <w:t>,</w:t>
      </w:r>
      <w:r w:rsidR="00012C77">
        <w:t xml:space="preserve"> the results reflected the direction for other NDA services, with t</w:t>
      </w:r>
      <w:r w:rsidRPr="00295375">
        <w:t>he proportion of the outer regional and remote/very remote potential population who used NDA employment services (</w:t>
      </w:r>
      <w:r w:rsidR="00295375" w:rsidRPr="00295375">
        <w:t>383.0</w:t>
      </w:r>
      <w:r w:rsidR="00FE382F" w:rsidRPr="00295375">
        <w:t xml:space="preserve"> </w:t>
      </w:r>
      <w:r w:rsidRPr="00295375">
        <w:t>service users per</w:t>
      </w:r>
      <w:r w:rsidR="001B3857" w:rsidRPr="00295375">
        <w:t> </w:t>
      </w:r>
      <w:r w:rsidRPr="00295375">
        <w:t xml:space="preserve">1000 potential population) lower than that of the major cities and </w:t>
      </w:r>
      <w:r w:rsidRPr="00295375">
        <w:lastRenderedPageBreak/>
        <w:t>inner regional potential population (</w:t>
      </w:r>
      <w:r w:rsidR="00295375" w:rsidRPr="00295375">
        <w:t>449.1</w:t>
      </w:r>
      <w:r w:rsidR="00FE382F" w:rsidRPr="00295375">
        <w:t xml:space="preserve"> </w:t>
      </w:r>
      <w:r w:rsidRPr="00295375">
        <w:t>service users per 1000 potential population) (figure</w:t>
      </w:r>
      <w:r w:rsidR="00AE3578" w:rsidRPr="00295375">
        <w:t> </w:t>
      </w:r>
      <w:r w:rsidR="00012C77">
        <w:t>14.1</w:t>
      </w:r>
      <w:r w:rsidR="00F61907">
        <w:t>6</w:t>
      </w:r>
      <w:r w:rsidRPr="00295375">
        <w:t>).</w:t>
      </w:r>
    </w:p>
    <w:p w:rsidR="00BD53BA" w:rsidRPr="00B86C20" w:rsidRDefault="00BD53BA"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53BA" w:rsidRPr="00295375" w:rsidTr="00DD33DF">
        <w:tc>
          <w:tcPr>
            <w:tcW w:w="8771" w:type="dxa"/>
            <w:tcBorders>
              <w:top w:val="single" w:sz="6" w:space="0" w:color="78A22F"/>
              <w:left w:val="nil"/>
              <w:bottom w:val="nil"/>
              <w:right w:val="nil"/>
            </w:tcBorders>
            <w:shd w:val="clear" w:color="auto" w:fill="auto"/>
          </w:tcPr>
          <w:p w:rsidR="00BD53BA" w:rsidRPr="00295375" w:rsidRDefault="00BD53BA" w:rsidP="00975AA0">
            <w:pPr>
              <w:pStyle w:val="FigureTitle"/>
            </w:pPr>
            <w:r w:rsidRPr="00295375">
              <w:rPr>
                <w:b w:val="0"/>
              </w:rPr>
              <w:t xml:space="preserve">Figure </w:t>
            </w:r>
            <w:bookmarkStart w:id="32" w:name="OLE_LINK29"/>
            <w:r w:rsidR="00321568" w:rsidRPr="00295375">
              <w:rPr>
                <w:b w:val="0"/>
              </w:rPr>
              <w:t>14.</w:t>
            </w:r>
            <w:r w:rsidR="004B691F">
              <w:rPr>
                <w:b w:val="0"/>
                <w:noProof/>
              </w:rPr>
              <w:t>16</w:t>
            </w:r>
            <w:bookmarkEnd w:id="32"/>
            <w:r w:rsidRPr="00295375">
              <w:tab/>
              <w:t xml:space="preserve">Users of NDA employment services, by geographic location, </w:t>
            </w:r>
            <w:r w:rsidR="00255466" w:rsidRPr="00295375">
              <w:t>2013</w:t>
            </w:r>
            <w:r w:rsidR="00B84AF2" w:rsidRPr="00295375">
              <w:noBreakHyphen/>
            </w:r>
            <w:r w:rsidR="00255466" w:rsidRPr="00295375">
              <w:t>14</w:t>
            </w:r>
            <w:r w:rsidR="00255466" w:rsidRPr="00295375">
              <w:rPr>
                <w:rStyle w:val="NoteLabel"/>
                <w:b/>
              </w:rPr>
              <w:t>a</w:t>
            </w:r>
            <w:r w:rsidR="00A64C59" w:rsidRPr="00295375">
              <w:rPr>
                <w:rStyle w:val="NoteLabel"/>
                <w:b/>
              </w:rPr>
              <w:t>, b</w:t>
            </w:r>
          </w:p>
        </w:tc>
      </w:tr>
      <w:tr w:rsidR="00BD53BA" w:rsidRPr="00295375" w:rsidTr="00DD33DF">
        <w:tc>
          <w:tcPr>
            <w:tcW w:w="8771" w:type="dxa"/>
            <w:tcBorders>
              <w:top w:val="nil"/>
              <w:left w:val="nil"/>
              <w:bottom w:val="nil"/>
              <w:right w:val="nil"/>
            </w:tcBorders>
            <w:shd w:val="clear" w:color="auto" w:fill="auto"/>
            <w:tcMar>
              <w:top w:w="28" w:type="dxa"/>
              <w:bottom w:w="28" w:type="dxa"/>
            </w:tcMar>
          </w:tcPr>
          <w:p w:rsidR="003B3976" w:rsidRPr="00295375" w:rsidRDefault="001D12B9" w:rsidP="001736E6">
            <w:pPr>
              <w:pStyle w:val="Figure"/>
              <w:spacing w:after="0"/>
            </w:pPr>
            <w:r>
              <w:rPr>
                <w:noProof/>
              </w:rPr>
              <w:drawing>
                <wp:inline distT="0" distB="0" distL="0" distR="0">
                  <wp:extent cx="2505710" cy="2327275"/>
                  <wp:effectExtent l="0" t="0" r="8890" b="0"/>
                  <wp:docPr id="30" name="Picture 30" descr="Figure 14.16 Users of NDA employment services, by geographic location, 2013-14 &#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31" name="Picture 31" descr="Figure 14.16 Users of NDA employment services, by geographic location, 2013-14 &#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5213350" cy="368300"/>
                  <wp:effectExtent l="0" t="0" r="6350" b="0"/>
                  <wp:docPr id="32" name="Picture 32" descr="Legend to Figure 14.16 Users of NDA employment services, by geographic location, 2013-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13350" cy="368300"/>
                          </a:xfrm>
                          <a:prstGeom prst="rect">
                            <a:avLst/>
                          </a:prstGeom>
                          <a:noFill/>
                          <a:ln>
                            <a:noFill/>
                          </a:ln>
                        </pic:spPr>
                      </pic:pic>
                    </a:graphicData>
                  </a:graphic>
                </wp:inline>
              </w:drawing>
            </w:r>
          </w:p>
        </w:tc>
      </w:tr>
      <w:tr w:rsidR="00BD53BA" w:rsidRPr="00295375" w:rsidTr="00DD33DF">
        <w:tc>
          <w:tcPr>
            <w:tcW w:w="8771" w:type="dxa"/>
            <w:tcBorders>
              <w:top w:val="nil"/>
              <w:left w:val="nil"/>
              <w:bottom w:val="nil"/>
              <w:right w:val="nil"/>
            </w:tcBorders>
            <w:shd w:val="clear" w:color="auto" w:fill="auto"/>
          </w:tcPr>
          <w:p w:rsidR="00BD53BA" w:rsidRPr="00295375" w:rsidRDefault="00E17301" w:rsidP="00975AA0">
            <w:pPr>
              <w:pStyle w:val="Note"/>
            </w:pPr>
            <w:r w:rsidRPr="00F03B5E">
              <w:rPr>
                <w:rStyle w:val="NoteLabel"/>
              </w:rPr>
              <w:t>a</w:t>
            </w:r>
            <w:r w:rsidRPr="00F03B5E">
              <w:t xml:space="preserve"> </w:t>
            </w:r>
            <w:r w:rsidR="00995B83">
              <w:t>See box</w:t>
            </w:r>
            <w:r w:rsidR="005547FD">
              <w:t> </w:t>
            </w:r>
            <w:r w:rsidR="00995B83">
              <w:t>14.8 and table</w:t>
            </w:r>
            <w:r w:rsidR="00D872A6" w:rsidRPr="00F03B5E">
              <w:t> 14A.</w:t>
            </w:r>
            <w:r w:rsidR="00086254">
              <w:t>38</w:t>
            </w:r>
            <w:r w:rsidR="00086254" w:rsidRPr="00F03B5E">
              <w:t xml:space="preserve"> </w:t>
            </w:r>
            <w:r w:rsidR="00D872A6" w:rsidRPr="00F03B5E">
              <w:t xml:space="preserve">for detailed </w:t>
            </w:r>
            <w:r w:rsidR="003D7F75">
              <w:t>definitions, footnotes and caveats</w:t>
            </w:r>
            <w:r w:rsidRPr="00F03B5E">
              <w:t xml:space="preserve">. </w:t>
            </w:r>
            <w:r w:rsidR="00A64C59" w:rsidRPr="00F03B5E">
              <w:rPr>
                <w:rStyle w:val="NoteLabel"/>
              </w:rPr>
              <w:t xml:space="preserve">b </w:t>
            </w:r>
            <w:r w:rsidRPr="00F03B5E">
              <w:t xml:space="preserve">The ACT does not have outer regional and remote/very remote areas. The NT does not have major cities </w:t>
            </w:r>
            <w:r w:rsidR="00B04499">
              <w:t>or</w:t>
            </w:r>
            <w:r w:rsidRPr="00F03B5E">
              <w:t xml:space="preserve"> inner regional areas.</w:t>
            </w:r>
            <w:r w:rsidRPr="00295375">
              <w:t xml:space="preserve"> </w:t>
            </w:r>
          </w:p>
        </w:tc>
      </w:tr>
      <w:tr w:rsidR="00BD53BA" w:rsidRPr="00295375" w:rsidTr="00DD33DF">
        <w:tc>
          <w:tcPr>
            <w:tcW w:w="8771" w:type="dxa"/>
            <w:tcBorders>
              <w:top w:val="nil"/>
              <w:left w:val="nil"/>
              <w:bottom w:val="nil"/>
              <w:right w:val="nil"/>
            </w:tcBorders>
            <w:shd w:val="clear" w:color="auto" w:fill="auto"/>
          </w:tcPr>
          <w:p w:rsidR="00BD53BA" w:rsidRPr="00295375" w:rsidRDefault="00E17301" w:rsidP="007109B6">
            <w:pPr>
              <w:pStyle w:val="Source"/>
            </w:pPr>
            <w:r w:rsidRPr="00295375">
              <w:rPr>
                <w:i/>
              </w:rPr>
              <w:t>Source</w:t>
            </w:r>
            <w:r w:rsidRPr="00295375">
              <w:t xml:space="preserve">: </w:t>
            </w:r>
            <w:r w:rsidR="00D221B0" w:rsidRPr="00295375">
              <w:t xml:space="preserve">AIHW (unpublished) </w:t>
            </w:r>
            <w:r w:rsidR="00D221B0" w:rsidRPr="00960B72">
              <w:t xml:space="preserve">DS NMDS </w:t>
            </w:r>
            <w:r w:rsidR="0041043C" w:rsidRPr="00960B72">
              <w:t>2013</w:t>
            </w:r>
            <w:r w:rsidR="005547FD">
              <w:noBreakHyphen/>
            </w:r>
            <w:r w:rsidR="0041043C" w:rsidRPr="00960B72">
              <w:t>14</w:t>
            </w:r>
            <w:r w:rsidR="00D221B0" w:rsidRPr="00975AA0">
              <w:t xml:space="preserve">; AIHW (unpublished), AIHW analysis of the </w:t>
            </w:r>
            <w:r w:rsidR="00D221B0" w:rsidRPr="00960B72">
              <w:t xml:space="preserve">ABS </w:t>
            </w:r>
            <w:r w:rsidR="007109B6">
              <w:t>e</w:t>
            </w:r>
            <w:r w:rsidR="00D221B0" w:rsidRPr="00960B72">
              <w:t xml:space="preserve">stimated </w:t>
            </w:r>
            <w:r w:rsidR="007109B6">
              <w:t>r</w:t>
            </w:r>
            <w:r w:rsidR="007109B6" w:rsidRPr="00960B72">
              <w:t>esident</w:t>
            </w:r>
            <w:r w:rsidR="00D221B0" w:rsidRPr="00960B72">
              <w:t xml:space="preserve"> </w:t>
            </w:r>
            <w:r w:rsidR="007109B6">
              <w:t>p</w:t>
            </w:r>
            <w:r w:rsidR="00D221B0" w:rsidRPr="00960B72">
              <w:t xml:space="preserve">opulation </w:t>
            </w:r>
            <w:r w:rsidR="007109B6">
              <w:t xml:space="preserve">(ERP) </w:t>
            </w:r>
            <w:r w:rsidR="00D221B0" w:rsidRPr="00960B72">
              <w:t>June 201</w:t>
            </w:r>
            <w:r w:rsidR="00F17581" w:rsidRPr="00960B72">
              <w:t>3</w:t>
            </w:r>
            <w:r w:rsidR="00D221B0" w:rsidRPr="00975AA0">
              <w:t xml:space="preserve">, </w:t>
            </w:r>
            <w:r w:rsidR="00DF1129" w:rsidRPr="00960B72">
              <w:t xml:space="preserve">ABS Census of Population and Housing </w:t>
            </w:r>
            <w:r w:rsidR="00DF1129" w:rsidRPr="00975AA0">
              <w:t xml:space="preserve">and the </w:t>
            </w:r>
            <w:r w:rsidR="00DF1129" w:rsidRPr="00960B72">
              <w:t>ABS</w:t>
            </w:r>
            <w:r w:rsidR="00DF1129" w:rsidRPr="00975AA0">
              <w:t xml:space="preserve"> </w:t>
            </w:r>
            <w:r w:rsidR="00975AA0">
              <w:t>SDAC</w:t>
            </w:r>
            <w:r w:rsidR="00DF1129" w:rsidRPr="00960B72">
              <w:t xml:space="preserve">; </w:t>
            </w:r>
            <w:r w:rsidRPr="00975AA0">
              <w:t>table 14A.</w:t>
            </w:r>
            <w:r w:rsidR="00086254" w:rsidRPr="00975AA0">
              <w:t>38</w:t>
            </w:r>
            <w:r w:rsidRPr="00975AA0">
              <w:t>.</w:t>
            </w:r>
          </w:p>
        </w:tc>
      </w:tr>
      <w:tr w:rsidR="00BD53BA" w:rsidRPr="00295375" w:rsidTr="00DD33DF">
        <w:tc>
          <w:tcPr>
            <w:tcW w:w="8771" w:type="dxa"/>
            <w:tcBorders>
              <w:top w:val="nil"/>
              <w:left w:val="nil"/>
              <w:bottom w:val="single" w:sz="6" w:space="0" w:color="78A22F"/>
              <w:right w:val="nil"/>
            </w:tcBorders>
            <w:shd w:val="clear" w:color="auto" w:fill="auto"/>
          </w:tcPr>
          <w:p w:rsidR="00BD53BA" w:rsidRPr="00295375" w:rsidRDefault="00BD53BA" w:rsidP="00DD33DF">
            <w:pPr>
              <w:pStyle w:val="Figurespace"/>
            </w:pPr>
          </w:p>
        </w:tc>
      </w:tr>
      <w:tr w:rsidR="00BD53BA" w:rsidRPr="00295375" w:rsidTr="00DD33DF">
        <w:tc>
          <w:tcPr>
            <w:tcW w:w="8771" w:type="dxa"/>
            <w:tcBorders>
              <w:top w:val="single" w:sz="6" w:space="0" w:color="78A22F"/>
              <w:left w:val="nil"/>
              <w:bottom w:val="nil"/>
              <w:right w:val="nil"/>
            </w:tcBorders>
          </w:tcPr>
          <w:p w:rsidR="00BD53BA" w:rsidRPr="00295375" w:rsidRDefault="00BD53BA" w:rsidP="00DD33DF">
            <w:pPr>
              <w:pStyle w:val="BoxSpaceBelow"/>
            </w:pPr>
          </w:p>
        </w:tc>
      </w:tr>
    </w:tbl>
    <w:p w:rsidR="001F39F2" w:rsidRPr="00295375" w:rsidRDefault="001F39F2" w:rsidP="00BB5BA4">
      <w:pPr>
        <w:pStyle w:val="Heading5"/>
      </w:pPr>
      <w:r w:rsidRPr="00295375">
        <w:t xml:space="preserve">Service use by special needs groups — </w:t>
      </w:r>
      <w:r w:rsidR="00904E97" w:rsidRPr="00295375">
        <w:t xml:space="preserve">Aboriginal and Torres Strait </w:t>
      </w:r>
      <w:r w:rsidR="00C21DBC" w:rsidRPr="00295375">
        <w:t>Islander people</w:t>
      </w:r>
    </w:p>
    <w:p w:rsidR="00AA70EC" w:rsidRPr="0010521E" w:rsidRDefault="00AA70EC" w:rsidP="00AA70EC">
      <w:pPr>
        <w:pStyle w:val="BodyText"/>
      </w:pPr>
      <w:r w:rsidRPr="0010521E">
        <w:t>Nationally in 2013</w:t>
      </w:r>
      <w:r w:rsidRPr="0010521E">
        <w:noBreakHyphen/>
        <w:t xml:space="preserve">14, the proportion of the </w:t>
      </w:r>
      <w:r>
        <w:t>Aboriginal and Torres Strait Islander</w:t>
      </w:r>
      <w:r w:rsidRPr="0010521E">
        <w:t xml:space="preserve"> population who used NDA</w:t>
      </w:r>
      <w:r>
        <w:t xml:space="preserve"> services was higher than the proportion of the non</w:t>
      </w:r>
      <w:r w:rsidR="005547FD">
        <w:noBreakHyphen/>
      </w:r>
      <w:r>
        <w:t>Indigenous population</w:t>
      </w:r>
      <w:r w:rsidRPr="0010521E">
        <w:t>:</w:t>
      </w:r>
    </w:p>
    <w:p w:rsidR="00AA70EC" w:rsidRDefault="00AA70EC" w:rsidP="00AA70EC">
      <w:pPr>
        <w:pStyle w:val="ListBullet"/>
      </w:pPr>
      <w:r>
        <w:t xml:space="preserve">for </w:t>
      </w:r>
      <w:r w:rsidRPr="0010521E">
        <w:t>accommodation support services</w:t>
      </w:r>
      <w:r>
        <w:t>, 3.1 compared to 1.8</w:t>
      </w:r>
      <w:r w:rsidRPr="0010521E">
        <w:t xml:space="preserve"> service users per 1000 people</w:t>
      </w:r>
    </w:p>
    <w:p w:rsidR="00AA70EC" w:rsidRDefault="00AA70EC" w:rsidP="00AA70EC">
      <w:pPr>
        <w:pStyle w:val="ListBullet"/>
      </w:pPr>
      <w:r>
        <w:t>for community support services, 14.9 compared to 6.7 service users per 1000 people</w:t>
      </w:r>
    </w:p>
    <w:p w:rsidR="00AA70EC" w:rsidRDefault="00AA70EC" w:rsidP="00BB5BA4">
      <w:pPr>
        <w:pStyle w:val="ListBullet"/>
      </w:pPr>
      <w:r>
        <w:t>for community access services, 3.4 compared to 2.3 service users per 1000 people</w:t>
      </w:r>
    </w:p>
    <w:p w:rsidR="00AA70EC" w:rsidRDefault="00BB5BA4" w:rsidP="00BB5BA4">
      <w:pPr>
        <w:pStyle w:val="ListBullet"/>
      </w:pPr>
      <w:r>
        <w:t>for respite services</w:t>
      </w:r>
      <w:r w:rsidR="00AA70EC">
        <w:t>,</w:t>
      </w:r>
      <w:r>
        <w:t xml:space="preserve"> </w:t>
      </w:r>
      <w:r w:rsidR="00AA70EC">
        <w:t>3.0 compared to 1.8 service users per 1000 people (figure</w:t>
      </w:r>
      <w:r w:rsidR="005547FD">
        <w:t> </w:t>
      </w:r>
      <w:r w:rsidR="00AA70EC">
        <w:t>14.1</w:t>
      </w:r>
      <w:r w:rsidR="00F61907">
        <w:t>7</w:t>
      </w:r>
      <w:r w:rsidR="00AA70EC">
        <w:t>).</w:t>
      </w:r>
    </w:p>
    <w:p w:rsidR="00AA70EC" w:rsidRDefault="00AA70EC" w:rsidP="00AA70EC">
      <w:pPr>
        <w:pStyle w:val="BodyText"/>
      </w:pPr>
      <w:r>
        <w:t>Service use as a proportion of the potential population showed different results, with the proportion of the Aboriginal and Torres Strait Islander</w:t>
      </w:r>
      <w:r w:rsidRPr="0010521E">
        <w:t xml:space="preserve"> potential population who used NDA services</w:t>
      </w:r>
      <w:r>
        <w:t xml:space="preserve"> lower than that of the non</w:t>
      </w:r>
      <w:r w:rsidR="005547FD">
        <w:noBreakHyphen/>
      </w:r>
      <w:r>
        <w:t>Indigenous</w:t>
      </w:r>
      <w:r w:rsidRPr="0010521E">
        <w:t xml:space="preserve"> potential population who used these services</w:t>
      </w:r>
      <w:r>
        <w:t>:</w:t>
      </w:r>
    </w:p>
    <w:p w:rsidR="00AA70EC" w:rsidRPr="0010521E" w:rsidRDefault="00AA70EC" w:rsidP="00AA70EC">
      <w:pPr>
        <w:pStyle w:val="ListBullet"/>
      </w:pPr>
      <w:r>
        <w:lastRenderedPageBreak/>
        <w:t xml:space="preserve">for </w:t>
      </w:r>
      <w:r w:rsidRPr="0010521E">
        <w:t>accommodation support services</w:t>
      </w:r>
      <w:r>
        <w:t>, 51.5 compared to 64.7</w:t>
      </w:r>
      <w:r w:rsidRPr="0010521E">
        <w:t> service users per 1000 potential population</w:t>
      </w:r>
    </w:p>
    <w:p w:rsidR="00AA70EC" w:rsidRDefault="00AA70EC" w:rsidP="00BB5BA4">
      <w:pPr>
        <w:pStyle w:val="ListBullet"/>
      </w:pPr>
      <w:r>
        <w:t>for</w:t>
      </w:r>
      <w:r w:rsidRPr="00295375">
        <w:t xml:space="preserve"> community support services</w:t>
      </w:r>
      <w:r>
        <w:t xml:space="preserve">, </w:t>
      </w:r>
      <w:r w:rsidRPr="00295375">
        <w:t>2</w:t>
      </w:r>
      <w:r>
        <w:t>50</w:t>
      </w:r>
      <w:r w:rsidRPr="00295375">
        <w:t>.2</w:t>
      </w:r>
      <w:r>
        <w:t xml:space="preserve"> compared to 239.7</w:t>
      </w:r>
      <w:r w:rsidRPr="00295375">
        <w:t> service users per 1000 potential population</w:t>
      </w:r>
    </w:p>
    <w:p w:rsidR="00AA70EC" w:rsidRDefault="00AA70EC" w:rsidP="00BB5BA4">
      <w:pPr>
        <w:pStyle w:val="ListBullet"/>
      </w:pPr>
      <w:r>
        <w:t>for</w:t>
      </w:r>
      <w:r w:rsidRPr="00A9453C">
        <w:t xml:space="preserve"> community access services</w:t>
      </w:r>
      <w:r>
        <w:t>, 57.3</w:t>
      </w:r>
      <w:r w:rsidRPr="00A9453C">
        <w:t xml:space="preserve"> </w:t>
      </w:r>
      <w:r>
        <w:t xml:space="preserve">compared to 83.5 </w:t>
      </w:r>
      <w:r w:rsidRPr="00A9453C">
        <w:t>service users per 1000 potential population</w:t>
      </w:r>
      <w:r>
        <w:t xml:space="preserve"> (figure</w:t>
      </w:r>
      <w:r w:rsidR="005547FD">
        <w:t> </w:t>
      </w:r>
      <w:r>
        <w:t>14.1</w:t>
      </w:r>
      <w:r w:rsidR="00F61907">
        <w:t>8</w:t>
      </w:r>
      <w:r>
        <w:t>).</w:t>
      </w:r>
    </w:p>
    <w:p w:rsidR="00E17301" w:rsidRPr="00B86C20" w:rsidRDefault="00E17301"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301" w:rsidRPr="00F17581" w:rsidTr="00DD33DF">
        <w:tc>
          <w:tcPr>
            <w:tcW w:w="8771" w:type="dxa"/>
            <w:tcBorders>
              <w:top w:val="single" w:sz="6" w:space="0" w:color="78A22F"/>
              <w:left w:val="nil"/>
              <w:bottom w:val="nil"/>
              <w:right w:val="nil"/>
            </w:tcBorders>
            <w:shd w:val="clear" w:color="auto" w:fill="auto"/>
          </w:tcPr>
          <w:p w:rsidR="00E17301" w:rsidRPr="00F17581" w:rsidRDefault="00E17301" w:rsidP="00AA70EC">
            <w:pPr>
              <w:pStyle w:val="FigureTitle"/>
            </w:pPr>
            <w:r w:rsidRPr="00F17581">
              <w:rPr>
                <w:b w:val="0"/>
              </w:rPr>
              <w:t xml:space="preserve">Figure </w:t>
            </w:r>
            <w:bookmarkStart w:id="33" w:name="OLE_LINK30"/>
            <w:r w:rsidR="00321568" w:rsidRPr="00F17581">
              <w:rPr>
                <w:b w:val="0"/>
              </w:rPr>
              <w:t>14.</w:t>
            </w:r>
            <w:r w:rsidR="004B691F">
              <w:rPr>
                <w:b w:val="0"/>
                <w:noProof/>
              </w:rPr>
              <w:t>17</w:t>
            </w:r>
            <w:bookmarkEnd w:id="33"/>
            <w:r w:rsidRPr="00F17581">
              <w:tab/>
              <w:t xml:space="preserve">Users of NDA specialist disability services per 1000 people, by Indigenous status, </w:t>
            </w:r>
            <w:r w:rsidR="00255466" w:rsidRPr="00F17581">
              <w:t>2013</w:t>
            </w:r>
            <w:r w:rsidR="00B84AF2" w:rsidRPr="00F17581">
              <w:noBreakHyphen/>
            </w:r>
            <w:r w:rsidR="00255466" w:rsidRPr="00F17581">
              <w:t>14</w:t>
            </w:r>
            <w:r w:rsidR="00255466" w:rsidRPr="00F17581">
              <w:rPr>
                <w:rStyle w:val="NoteLabel"/>
                <w:b/>
              </w:rPr>
              <w:t>a</w:t>
            </w:r>
          </w:p>
        </w:tc>
      </w:tr>
      <w:tr w:rsidR="00E17301" w:rsidRPr="00F17581" w:rsidTr="00DD33DF">
        <w:tc>
          <w:tcPr>
            <w:tcW w:w="8771" w:type="dxa"/>
            <w:tcBorders>
              <w:top w:val="nil"/>
              <w:left w:val="nil"/>
              <w:bottom w:val="nil"/>
              <w:right w:val="nil"/>
            </w:tcBorders>
            <w:shd w:val="clear" w:color="auto" w:fill="auto"/>
            <w:tcMar>
              <w:top w:w="28" w:type="dxa"/>
              <w:bottom w:w="28" w:type="dxa"/>
            </w:tcMar>
          </w:tcPr>
          <w:tbl>
            <w:tblPr>
              <w:tblW w:w="8379"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379"/>
            </w:tblGrid>
            <w:tr w:rsidR="00F17581" w:rsidRPr="00F17581" w:rsidTr="00F17581">
              <w:trPr>
                <w:jc w:val="center"/>
              </w:trPr>
              <w:tc>
                <w:tcPr>
                  <w:tcW w:w="5000" w:type="pct"/>
                  <w:tcBorders>
                    <w:top w:val="nil"/>
                    <w:bottom w:val="nil"/>
                  </w:tcBorders>
                </w:tcPr>
                <w:p w:rsidR="00E17301" w:rsidRPr="00F17581" w:rsidRDefault="001D12B9" w:rsidP="00932094">
                  <w:pPr>
                    <w:pStyle w:val="Figure"/>
                    <w:spacing w:before="60" w:after="60"/>
                  </w:pPr>
                  <w:r>
                    <w:rPr>
                      <w:noProof/>
                    </w:rPr>
                    <w:drawing>
                      <wp:inline distT="0" distB="0" distL="0" distR="0">
                        <wp:extent cx="2505710" cy="2327275"/>
                        <wp:effectExtent l="0" t="0" r="8890" b="0"/>
                        <wp:docPr id="33" name="Picture 33" descr="Figure 14.17 Users of NDA specialist disability services per 1000 people, by Indigenous status,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34" name="Picture 34" descr="Figure 14.17 Users of NDA specialist disability services per 1000 people, by Indigenous status, 2013-14&#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327275" cy="2327275"/>
                        <wp:effectExtent l="0" t="0" r="0" b="0"/>
                        <wp:docPr id="35" name="Picture 35" descr="Figure 14.17 Users of NDA specialist disability services per 1000 people, by Indigenous status,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27275" cy="2327275"/>
                                </a:xfrm>
                                <a:prstGeom prst="rect">
                                  <a:avLst/>
                                </a:prstGeom>
                                <a:noFill/>
                                <a:ln>
                                  <a:noFill/>
                                </a:ln>
                              </pic:spPr>
                            </pic:pic>
                          </a:graphicData>
                        </a:graphic>
                      </wp:inline>
                    </w:drawing>
                  </w:r>
                  <w:r>
                    <w:rPr>
                      <w:noProof/>
                    </w:rPr>
                    <w:drawing>
                      <wp:inline distT="0" distB="0" distL="0" distR="0">
                        <wp:extent cx="2327275" cy="2315845"/>
                        <wp:effectExtent l="0" t="0" r="0" b="8255"/>
                        <wp:docPr id="36" name="Picture 36" descr="Figure 14.17 Users of NDA specialist disability services per 1000 people, by Indigenous status, 2013-14&#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27275" cy="2315845"/>
                                </a:xfrm>
                                <a:prstGeom prst="rect">
                                  <a:avLst/>
                                </a:prstGeom>
                                <a:noFill/>
                                <a:ln>
                                  <a:noFill/>
                                </a:ln>
                              </pic:spPr>
                            </pic:pic>
                          </a:graphicData>
                        </a:graphic>
                      </wp:inline>
                    </w:drawing>
                  </w:r>
                </w:p>
              </w:tc>
            </w:tr>
            <w:tr w:rsidR="00F17581" w:rsidRPr="00F17581" w:rsidTr="00F17581">
              <w:trPr>
                <w:jc w:val="center"/>
              </w:trPr>
              <w:tc>
                <w:tcPr>
                  <w:tcW w:w="5000" w:type="pct"/>
                  <w:tcBorders>
                    <w:top w:val="nil"/>
                    <w:bottom w:val="nil"/>
                  </w:tcBorders>
                </w:tcPr>
                <w:p w:rsidR="00A75363" w:rsidRPr="00F17581" w:rsidRDefault="001D12B9" w:rsidP="008A0D83">
                  <w:pPr>
                    <w:pStyle w:val="Figure"/>
                    <w:spacing w:before="60" w:after="60"/>
                  </w:pPr>
                  <w:r>
                    <w:rPr>
                      <w:noProof/>
                    </w:rPr>
                    <w:drawing>
                      <wp:inline distT="0" distB="0" distL="0" distR="0">
                        <wp:extent cx="5225415" cy="368300"/>
                        <wp:effectExtent l="0" t="0" r="0" b="0"/>
                        <wp:docPr id="37" name="Picture 37" descr="Legend to Figure 14.17 Users of NDA specialist disability services per 1000 people, by Indigenous statu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25415" cy="368300"/>
                                </a:xfrm>
                                <a:prstGeom prst="rect">
                                  <a:avLst/>
                                </a:prstGeom>
                                <a:noFill/>
                                <a:ln>
                                  <a:noFill/>
                                </a:ln>
                              </pic:spPr>
                            </pic:pic>
                          </a:graphicData>
                        </a:graphic>
                      </wp:inline>
                    </w:drawing>
                  </w:r>
                </w:p>
              </w:tc>
            </w:tr>
          </w:tbl>
          <w:p w:rsidR="00E17301" w:rsidRPr="00F17581" w:rsidRDefault="00E17301" w:rsidP="00DD33DF">
            <w:pPr>
              <w:pStyle w:val="Figure"/>
            </w:pPr>
          </w:p>
        </w:tc>
      </w:tr>
      <w:tr w:rsidR="00E17301" w:rsidRPr="00F17581" w:rsidTr="00DD33DF">
        <w:tc>
          <w:tcPr>
            <w:tcW w:w="8771" w:type="dxa"/>
            <w:tcBorders>
              <w:top w:val="nil"/>
              <w:left w:val="nil"/>
              <w:bottom w:val="nil"/>
              <w:right w:val="nil"/>
            </w:tcBorders>
            <w:shd w:val="clear" w:color="auto" w:fill="auto"/>
          </w:tcPr>
          <w:p w:rsidR="00E17301" w:rsidRPr="00F17581" w:rsidRDefault="00947242" w:rsidP="00995B83">
            <w:pPr>
              <w:pStyle w:val="Note"/>
              <w:keepNext/>
            </w:pPr>
            <w:r w:rsidRPr="00F17581">
              <w:rPr>
                <w:rStyle w:val="NoteLabel"/>
              </w:rPr>
              <w:t>a</w:t>
            </w:r>
            <w:r w:rsidRPr="00F17581">
              <w:t xml:space="preserve"> </w:t>
            </w:r>
            <w:r w:rsidR="00D872A6" w:rsidRPr="00F17581">
              <w:t>See box</w:t>
            </w:r>
            <w:r w:rsidR="005547FD">
              <w:t> </w:t>
            </w:r>
            <w:r w:rsidR="00D872A6" w:rsidRPr="00F17581">
              <w:t>14.</w:t>
            </w:r>
            <w:r w:rsidR="00995B83">
              <w:t>8</w:t>
            </w:r>
            <w:r w:rsidR="00D872A6" w:rsidRPr="00F17581">
              <w:t xml:space="preserve"> and tables</w:t>
            </w:r>
            <w:r w:rsidR="005547FD">
              <w:t> </w:t>
            </w:r>
            <w:r w:rsidR="00A74BA3" w:rsidRPr="00F17581">
              <w:t>14A.4</w:t>
            </w:r>
            <w:r w:rsidR="00086254">
              <w:t>0</w:t>
            </w:r>
            <w:r w:rsidR="00A74BA3" w:rsidRPr="00F17581">
              <w:t>–4</w:t>
            </w:r>
            <w:r w:rsidR="00086254">
              <w:t>3</w:t>
            </w:r>
            <w:r w:rsidR="00A74BA3" w:rsidRPr="00F17581">
              <w:t xml:space="preserve"> </w:t>
            </w:r>
            <w:r w:rsidRPr="00F17581">
              <w:t xml:space="preserve">for detailed </w:t>
            </w:r>
            <w:r w:rsidR="003D7F75">
              <w:t>definitions, footnotes and caveats</w:t>
            </w:r>
            <w:r w:rsidR="00D872A6" w:rsidRPr="00F17581">
              <w:t>.</w:t>
            </w:r>
          </w:p>
        </w:tc>
      </w:tr>
      <w:tr w:rsidR="00F17581" w:rsidRPr="00F17581" w:rsidTr="00DD33DF">
        <w:tc>
          <w:tcPr>
            <w:tcW w:w="8771" w:type="dxa"/>
            <w:tcBorders>
              <w:top w:val="nil"/>
              <w:left w:val="nil"/>
              <w:bottom w:val="nil"/>
              <w:right w:val="nil"/>
            </w:tcBorders>
            <w:shd w:val="clear" w:color="auto" w:fill="auto"/>
          </w:tcPr>
          <w:p w:rsidR="00E17301" w:rsidRPr="00F17581" w:rsidRDefault="00947242" w:rsidP="00086254">
            <w:pPr>
              <w:pStyle w:val="Source"/>
              <w:keepNext/>
            </w:pPr>
            <w:r w:rsidRPr="00F17581">
              <w:rPr>
                <w:i/>
              </w:rPr>
              <w:t>Source</w:t>
            </w:r>
            <w:r w:rsidRPr="00F17581">
              <w:t xml:space="preserve">: </w:t>
            </w:r>
            <w:r w:rsidR="00D221B0" w:rsidRPr="00F17581">
              <w:t xml:space="preserve">AIHW (unpublished) </w:t>
            </w:r>
            <w:r w:rsidR="00D221B0" w:rsidRPr="00BB5BA4">
              <w:t>DS NMDS</w:t>
            </w:r>
            <w:r w:rsidR="00D221B0" w:rsidRPr="00AA70EC">
              <w:t xml:space="preserve">; AIHW (unpublished), </w:t>
            </w:r>
            <w:r w:rsidR="00DF1129" w:rsidRPr="00AA70EC">
              <w:t xml:space="preserve">AIHW analysis of the </w:t>
            </w:r>
            <w:r w:rsidR="00DF1129" w:rsidRPr="00BB5BA4">
              <w:t xml:space="preserve">ABS </w:t>
            </w:r>
            <w:r w:rsidR="00AA70EC">
              <w:t>June ERP</w:t>
            </w:r>
            <w:r w:rsidR="00DF1129" w:rsidRPr="00AA70EC">
              <w:t xml:space="preserve">, </w:t>
            </w:r>
            <w:r w:rsidR="00DF1129" w:rsidRPr="00BB5BA4">
              <w:t>ABS Census of Population and Housing</w:t>
            </w:r>
            <w:r w:rsidR="00DF1129" w:rsidRPr="00AA70EC">
              <w:t xml:space="preserve"> and the </w:t>
            </w:r>
            <w:r w:rsidR="00DF1129" w:rsidRPr="00BB5BA4">
              <w:t>ABS</w:t>
            </w:r>
            <w:r w:rsidR="00DF1129" w:rsidRPr="00AA70EC">
              <w:t xml:space="preserve"> </w:t>
            </w:r>
            <w:r w:rsidR="00AA70EC">
              <w:t>SDAC</w:t>
            </w:r>
            <w:r w:rsidR="00DF1129" w:rsidRPr="00BB5BA4">
              <w:t xml:space="preserve">; </w:t>
            </w:r>
            <w:r w:rsidR="000761F8" w:rsidRPr="00AA70EC">
              <w:t>tables 14A.</w:t>
            </w:r>
            <w:r w:rsidR="00402536" w:rsidRPr="00AA70EC">
              <w:t>4</w:t>
            </w:r>
            <w:r w:rsidR="00086254">
              <w:t>0</w:t>
            </w:r>
            <w:r w:rsidR="0045593D" w:rsidRPr="00AA70EC">
              <w:t>–</w:t>
            </w:r>
            <w:r w:rsidR="00402536" w:rsidRPr="00F17581">
              <w:t>4</w:t>
            </w:r>
            <w:r w:rsidR="00086254">
              <w:t>3</w:t>
            </w:r>
            <w:r w:rsidRPr="00F17581">
              <w:t xml:space="preserve">. </w:t>
            </w:r>
          </w:p>
        </w:tc>
      </w:tr>
      <w:tr w:rsidR="00E17301" w:rsidRPr="00F17581" w:rsidTr="00DD33DF">
        <w:tc>
          <w:tcPr>
            <w:tcW w:w="8771" w:type="dxa"/>
            <w:tcBorders>
              <w:top w:val="nil"/>
              <w:left w:val="nil"/>
              <w:bottom w:val="single" w:sz="6" w:space="0" w:color="78A22F"/>
              <w:right w:val="nil"/>
            </w:tcBorders>
            <w:shd w:val="clear" w:color="auto" w:fill="auto"/>
          </w:tcPr>
          <w:p w:rsidR="00E17301" w:rsidRPr="00F17581" w:rsidRDefault="00E17301" w:rsidP="00DD33DF">
            <w:pPr>
              <w:pStyle w:val="Figurespace"/>
            </w:pPr>
          </w:p>
        </w:tc>
      </w:tr>
      <w:tr w:rsidR="00E17301" w:rsidRPr="00F17581" w:rsidTr="00DD33DF">
        <w:tc>
          <w:tcPr>
            <w:tcW w:w="8771" w:type="dxa"/>
            <w:tcBorders>
              <w:top w:val="single" w:sz="6" w:space="0" w:color="78A22F"/>
              <w:left w:val="nil"/>
              <w:bottom w:val="nil"/>
              <w:right w:val="nil"/>
            </w:tcBorders>
          </w:tcPr>
          <w:p w:rsidR="00E17301" w:rsidRPr="00F17581" w:rsidRDefault="00E17301" w:rsidP="00DD33DF">
            <w:pPr>
              <w:pStyle w:val="BoxSpaceBelow"/>
            </w:pPr>
          </w:p>
        </w:tc>
      </w:tr>
    </w:tbl>
    <w:p w:rsidR="00947242" w:rsidRPr="00B86C20" w:rsidRDefault="00947242"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7242" w:rsidRPr="00F17581" w:rsidTr="00DD33DF">
        <w:tc>
          <w:tcPr>
            <w:tcW w:w="8771" w:type="dxa"/>
            <w:tcBorders>
              <w:top w:val="single" w:sz="6" w:space="0" w:color="78A22F"/>
              <w:left w:val="nil"/>
              <w:bottom w:val="nil"/>
              <w:right w:val="nil"/>
            </w:tcBorders>
            <w:shd w:val="clear" w:color="auto" w:fill="auto"/>
          </w:tcPr>
          <w:p w:rsidR="00947242" w:rsidRPr="00F17581" w:rsidRDefault="00947242" w:rsidP="00AA70EC">
            <w:pPr>
              <w:pStyle w:val="FigureTitle"/>
            </w:pPr>
            <w:r w:rsidRPr="00F17581">
              <w:rPr>
                <w:b w:val="0"/>
              </w:rPr>
              <w:t xml:space="preserve">Figure </w:t>
            </w:r>
            <w:bookmarkStart w:id="34" w:name="OLE_LINK31"/>
            <w:r w:rsidR="00321568" w:rsidRPr="00F17581">
              <w:rPr>
                <w:b w:val="0"/>
              </w:rPr>
              <w:t>14.</w:t>
            </w:r>
            <w:r w:rsidR="004B691F">
              <w:rPr>
                <w:b w:val="0"/>
                <w:noProof/>
              </w:rPr>
              <w:t>18</w:t>
            </w:r>
            <w:bookmarkEnd w:id="34"/>
            <w:r w:rsidRPr="00F17581">
              <w:tab/>
              <w:t xml:space="preserve">Users of NDA specialist disability services per 1000 potential population, by Indigenous status, </w:t>
            </w:r>
            <w:r w:rsidR="00255466" w:rsidRPr="00F17581">
              <w:t>2013</w:t>
            </w:r>
            <w:r w:rsidR="00B84AF2" w:rsidRPr="00F17581">
              <w:noBreakHyphen/>
            </w:r>
            <w:r w:rsidR="00255466" w:rsidRPr="00F17581">
              <w:t>14</w:t>
            </w:r>
            <w:r w:rsidR="00255466" w:rsidRPr="00F17581">
              <w:rPr>
                <w:rStyle w:val="NoteLabel"/>
                <w:b/>
              </w:rPr>
              <w:t>a</w:t>
            </w:r>
          </w:p>
        </w:tc>
      </w:tr>
      <w:tr w:rsidR="00947242" w:rsidRPr="00F17581"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7242" w:rsidRPr="00F17581" w:rsidTr="00DD33DF">
              <w:trPr>
                <w:jc w:val="center"/>
              </w:trPr>
              <w:tc>
                <w:tcPr>
                  <w:tcW w:w="5000" w:type="pct"/>
                  <w:tcBorders>
                    <w:top w:val="nil"/>
                    <w:bottom w:val="nil"/>
                  </w:tcBorders>
                </w:tcPr>
                <w:p w:rsidR="00947242" w:rsidRPr="00F17581" w:rsidRDefault="001D12B9" w:rsidP="00FE382F">
                  <w:pPr>
                    <w:pStyle w:val="Figure"/>
                    <w:spacing w:before="60" w:after="60"/>
                  </w:pPr>
                  <w:r>
                    <w:rPr>
                      <w:noProof/>
                    </w:rPr>
                    <w:drawing>
                      <wp:inline distT="0" distB="0" distL="0" distR="0">
                        <wp:extent cx="2505710" cy="2327275"/>
                        <wp:effectExtent l="0" t="0" r="8890" b="0"/>
                        <wp:docPr id="38" name="Picture 38" descr="Figure 14.18 Users of NDA specialist disability services per 1000 potential population, by Indigenous status,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39" name="Picture 39" descr="Figure 14.18 Users of NDA specialist disability services per 1000 potential population, by Indigenous status, 2013-14&#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327275" cy="2327275"/>
                        <wp:effectExtent l="0" t="0" r="0" b="0"/>
                        <wp:docPr id="40" name="Picture 40" descr="Figure 14.18 Users of NDA specialist disability services per 1000 potential population, by Indigenous status,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327275" cy="2327275"/>
                                </a:xfrm>
                                <a:prstGeom prst="rect">
                                  <a:avLst/>
                                </a:prstGeom>
                                <a:noFill/>
                                <a:ln>
                                  <a:noFill/>
                                </a:ln>
                              </pic:spPr>
                            </pic:pic>
                          </a:graphicData>
                        </a:graphic>
                      </wp:inline>
                    </w:drawing>
                  </w:r>
                </w:p>
              </w:tc>
            </w:tr>
            <w:tr w:rsidR="00A75363" w:rsidRPr="00F17581" w:rsidTr="00DD33DF">
              <w:trPr>
                <w:jc w:val="center"/>
              </w:trPr>
              <w:tc>
                <w:tcPr>
                  <w:tcW w:w="5000" w:type="pct"/>
                  <w:tcBorders>
                    <w:top w:val="nil"/>
                    <w:bottom w:val="nil"/>
                  </w:tcBorders>
                </w:tcPr>
                <w:p w:rsidR="00A75363" w:rsidRPr="00F17581" w:rsidRDefault="001D12B9" w:rsidP="00F46BB7">
                  <w:pPr>
                    <w:pStyle w:val="Figure"/>
                    <w:spacing w:before="60" w:after="60"/>
                  </w:pPr>
                  <w:r>
                    <w:rPr>
                      <w:noProof/>
                    </w:rPr>
                    <w:drawing>
                      <wp:inline distT="0" distB="0" distL="0" distR="0">
                        <wp:extent cx="5225415" cy="368300"/>
                        <wp:effectExtent l="0" t="0" r="0" b="0"/>
                        <wp:docPr id="41" name="Picture 41" descr="Legend to Figure 14.18 Users of NDA specialist disability services per 1000 potential population, by Indigenous statu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225415" cy="368300"/>
                                </a:xfrm>
                                <a:prstGeom prst="rect">
                                  <a:avLst/>
                                </a:prstGeom>
                                <a:noFill/>
                                <a:ln>
                                  <a:noFill/>
                                </a:ln>
                              </pic:spPr>
                            </pic:pic>
                          </a:graphicData>
                        </a:graphic>
                      </wp:inline>
                    </w:drawing>
                  </w:r>
                </w:p>
              </w:tc>
            </w:tr>
          </w:tbl>
          <w:p w:rsidR="00947242" w:rsidRPr="00F17581" w:rsidRDefault="00947242" w:rsidP="00DD33DF">
            <w:pPr>
              <w:pStyle w:val="Figure"/>
            </w:pPr>
          </w:p>
        </w:tc>
      </w:tr>
      <w:tr w:rsidR="00947242" w:rsidRPr="00F17581" w:rsidTr="00DD33DF">
        <w:tc>
          <w:tcPr>
            <w:tcW w:w="8771" w:type="dxa"/>
            <w:tcBorders>
              <w:top w:val="nil"/>
              <w:left w:val="nil"/>
              <w:bottom w:val="nil"/>
              <w:right w:val="nil"/>
            </w:tcBorders>
            <w:shd w:val="clear" w:color="auto" w:fill="auto"/>
          </w:tcPr>
          <w:p w:rsidR="00947242" w:rsidRPr="00F17581" w:rsidRDefault="00200978" w:rsidP="00086254">
            <w:pPr>
              <w:pStyle w:val="Note"/>
              <w:keepNext/>
            </w:pPr>
            <w:r w:rsidRPr="00F17581">
              <w:rPr>
                <w:rStyle w:val="NoteLabel"/>
              </w:rPr>
              <w:t>a</w:t>
            </w:r>
            <w:r w:rsidRPr="00F17581">
              <w:t xml:space="preserve"> </w:t>
            </w:r>
            <w:r w:rsidR="00D872A6" w:rsidRPr="00F17581">
              <w:t>See box</w:t>
            </w:r>
            <w:r w:rsidR="005547FD">
              <w:t> </w:t>
            </w:r>
            <w:r w:rsidR="00D872A6" w:rsidRPr="00F17581">
              <w:t>14.</w:t>
            </w:r>
            <w:r w:rsidR="00651C61">
              <w:t>8</w:t>
            </w:r>
            <w:r w:rsidR="00D872A6" w:rsidRPr="00F17581">
              <w:t xml:space="preserve"> and tables</w:t>
            </w:r>
            <w:r w:rsidR="005547FD">
              <w:t> </w:t>
            </w:r>
            <w:r w:rsidR="00D872A6" w:rsidRPr="00F17581">
              <w:t>14A.</w:t>
            </w:r>
            <w:r w:rsidR="00086254" w:rsidRPr="00F17581">
              <w:t>4</w:t>
            </w:r>
            <w:r w:rsidR="00086254">
              <w:t>0</w:t>
            </w:r>
            <w:r w:rsidR="00D872A6" w:rsidRPr="00F17581">
              <w:t>–4</w:t>
            </w:r>
            <w:r w:rsidR="00086254">
              <w:t>2</w:t>
            </w:r>
            <w:r w:rsidR="00D872A6" w:rsidRPr="00F17581">
              <w:t xml:space="preserve"> for detailed </w:t>
            </w:r>
            <w:r w:rsidR="003D7F75">
              <w:t>definitions, footnotes and caveats</w:t>
            </w:r>
            <w:r w:rsidR="00D872A6" w:rsidRPr="00F17581">
              <w:t>.</w:t>
            </w:r>
          </w:p>
        </w:tc>
      </w:tr>
      <w:tr w:rsidR="00A45158" w:rsidRPr="00F17581" w:rsidTr="00DD33DF">
        <w:tc>
          <w:tcPr>
            <w:tcW w:w="8771" w:type="dxa"/>
            <w:tcBorders>
              <w:top w:val="nil"/>
              <w:left w:val="nil"/>
              <w:bottom w:val="nil"/>
              <w:right w:val="nil"/>
            </w:tcBorders>
            <w:shd w:val="clear" w:color="auto" w:fill="auto"/>
          </w:tcPr>
          <w:p w:rsidR="00947242" w:rsidRPr="00576908" w:rsidRDefault="00200978" w:rsidP="00086254">
            <w:pPr>
              <w:pStyle w:val="Source"/>
              <w:keepNext/>
              <w:rPr>
                <w:i/>
              </w:rPr>
            </w:pPr>
            <w:r w:rsidRPr="00F17581">
              <w:rPr>
                <w:i/>
              </w:rPr>
              <w:t>Source</w:t>
            </w:r>
            <w:r w:rsidRPr="00F17581">
              <w:t xml:space="preserve">: AIHW (unpublished) </w:t>
            </w:r>
            <w:r w:rsidRPr="00BB5BA4">
              <w:t>DS NMDS</w:t>
            </w:r>
            <w:r w:rsidRPr="00BF3533">
              <w:t xml:space="preserve">; AIHW (unpublished), </w:t>
            </w:r>
            <w:r w:rsidR="00DF1129" w:rsidRPr="00BF3533">
              <w:t xml:space="preserve">AIHW analysis of the </w:t>
            </w:r>
            <w:r w:rsidR="00DF1129" w:rsidRPr="00BB5BA4">
              <w:t xml:space="preserve">ABS </w:t>
            </w:r>
            <w:r w:rsidR="00BF3533">
              <w:t>June ERP</w:t>
            </w:r>
            <w:r w:rsidR="00DF1129" w:rsidRPr="00BF3533">
              <w:t xml:space="preserve">, </w:t>
            </w:r>
            <w:r w:rsidR="00DF1129" w:rsidRPr="00BB5BA4">
              <w:t>ABS Census of Population and Housing</w:t>
            </w:r>
            <w:r w:rsidR="00DF1129" w:rsidRPr="00BF3533">
              <w:t xml:space="preserve"> and the </w:t>
            </w:r>
            <w:r w:rsidR="00DF1129" w:rsidRPr="00BB5BA4">
              <w:t>ABS</w:t>
            </w:r>
            <w:r w:rsidR="00DF1129" w:rsidRPr="00BF3533">
              <w:t xml:space="preserve"> </w:t>
            </w:r>
            <w:r w:rsidR="00BF3533">
              <w:t>SDAC</w:t>
            </w:r>
            <w:r w:rsidR="00DF1129" w:rsidRPr="00BB5BA4">
              <w:t xml:space="preserve">; </w:t>
            </w:r>
            <w:r w:rsidR="00DF1129" w:rsidRPr="00BF3533">
              <w:t>tables</w:t>
            </w:r>
            <w:r w:rsidR="00AE3578" w:rsidRPr="00BB5BA4">
              <w:t> </w:t>
            </w:r>
            <w:r w:rsidRPr="00BF3533">
              <w:t>14A.</w:t>
            </w:r>
            <w:r w:rsidR="00086254" w:rsidRPr="00BF3533">
              <w:t>4</w:t>
            </w:r>
            <w:r w:rsidR="00086254">
              <w:t>0</w:t>
            </w:r>
            <w:r w:rsidR="00D221B0" w:rsidRPr="00BF3533">
              <w:t>–</w:t>
            </w:r>
            <w:r w:rsidR="00402536" w:rsidRPr="00BF3533">
              <w:t>4</w:t>
            </w:r>
            <w:r w:rsidR="00086254">
              <w:t>2</w:t>
            </w:r>
            <w:r w:rsidRPr="00BF3533">
              <w:t>.</w:t>
            </w:r>
          </w:p>
        </w:tc>
      </w:tr>
      <w:tr w:rsidR="00947242" w:rsidRPr="00F17581" w:rsidTr="00DD33DF">
        <w:tc>
          <w:tcPr>
            <w:tcW w:w="8771" w:type="dxa"/>
            <w:tcBorders>
              <w:top w:val="nil"/>
              <w:left w:val="nil"/>
              <w:bottom w:val="single" w:sz="6" w:space="0" w:color="78A22F"/>
              <w:right w:val="nil"/>
            </w:tcBorders>
            <w:shd w:val="clear" w:color="auto" w:fill="auto"/>
          </w:tcPr>
          <w:p w:rsidR="00947242" w:rsidRPr="00F17581" w:rsidRDefault="00947242" w:rsidP="00DD33DF">
            <w:pPr>
              <w:pStyle w:val="Figurespace"/>
            </w:pPr>
          </w:p>
        </w:tc>
      </w:tr>
      <w:tr w:rsidR="00947242" w:rsidRPr="00F17581" w:rsidTr="00DD33DF">
        <w:tc>
          <w:tcPr>
            <w:tcW w:w="8771" w:type="dxa"/>
            <w:tcBorders>
              <w:top w:val="single" w:sz="6" w:space="0" w:color="78A22F"/>
              <w:left w:val="nil"/>
              <w:bottom w:val="nil"/>
              <w:right w:val="nil"/>
            </w:tcBorders>
          </w:tcPr>
          <w:p w:rsidR="00947242" w:rsidRPr="00F17581" w:rsidRDefault="00947242" w:rsidP="00DD33DF">
            <w:pPr>
              <w:pStyle w:val="BoxSpaceBelow"/>
            </w:pPr>
          </w:p>
        </w:tc>
      </w:tr>
    </w:tbl>
    <w:p w:rsidR="00AA70EC" w:rsidRDefault="00AA70EC" w:rsidP="00585E2C">
      <w:pPr>
        <w:pStyle w:val="BodyText"/>
      </w:pPr>
      <w:r w:rsidRPr="00F7248C">
        <w:t>Data on users of NDA specialist disability support services as a proportion of the Aboriginal and Torres Strait Islander estimated potential population for 2008</w:t>
      </w:r>
      <w:r w:rsidRPr="00F7248C">
        <w:noBreakHyphen/>
        <w:t xml:space="preserve">09 to </w:t>
      </w:r>
      <w:r w:rsidRPr="00F7248C">
        <w:br/>
        <w:t>2013</w:t>
      </w:r>
      <w:r w:rsidRPr="00F7248C">
        <w:noBreakHyphen/>
        <w:t>14 are also available (table</w:t>
      </w:r>
      <w:r w:rsidR="005547FD">
        <w:t> </w:t>
      </w:r>
      <w:r w:rsidRPr="00F7248C">
        <w:t>14A.</w:t>
      </w:r>
      <w:r w:rsidR="00086254">
        <w:t>39</w:t>
      </w:r>
      <w:r w:rsidRPr="00F7248C">
        <w:t xml:space="preserve">). </w:t>
      </w:r>
    </w:p>
    <w:p w:rsidR="001F39F2" w:rsidRPr="008E2173" w:rsidRDefault="001F39F2" w:rsidP="00585E2C">
      <w:pPr>
        <w:pStyle w:val="BodyText"/>
      </w:pPr>
      <w:r w:rsidRPr="00E1061B">
        <w:t xml:space="preserve">Nationally in </w:t>
      </w:r>
      <w:r w:rsidR="00255466" w:rsidRPr="00E1061B">
        <w:t>2013</w:t>
      </w:r>
      <w:r w:rsidR="00B84AF2" w:rsidRPr="00E1061B">
        <w:noBreakHyphen/>
      </w:r>
      <w:r w:rsidR="00255466" w:rsidRPr="00E1061B">
        <w:t>14</w:t>
      </w:r>
      <w:r w:rsidRPr="00E1061B">
        <w:t xml:space="preserve">, the proportion of the </w:t>
      </w:r>
      <w:r w:rsidR="00904E97" w:rsidRPr="00E1061B">
        <w:t>Aboriginal and Torres Strait Islander</w:t>
      </w:r>
      <w:r w:rsidRPr="00E1061B">
        <w:t xml:space="preserve"> population who used NDA employment services (</w:t>
      </w:r>
      <w:r w:rsidR="00E1061B" w:rsidRPr="00E1061B">
        <w:t>13.9</w:t>
      </w:r>
      <w:r w:rsidR="0019455A" w:rsidRPr="00E1061B">
        <w:t xml:space="preserve"> </w:t>
      </w:r>
      <w:r w:rsidRPr="00E1061B">
        <w:t>service users per 1000 population) was higher than that of the non</w:t>
      </w:r>
      <w:r w:rsidR="00B84AF2" w:rsidRPr="00E1061B">
        <w:noBreakHyphen/>
      </w:r>
      <w:r w:rsidRPr="00E1061B">
        <w:t>Indigenous population (</w:t>
      </w:r>
      <w:r w:rsidR="00E1061B" w:rsidRPr="00E1061B">
        <w:t>8.4</w:t>
      </w:r>
      <w:r w:rsidR="0019455A" w:rsidRPr="00E1061B">
        <w:t xml:space="preserve"> </w:t>
      </w:r>
      <w:r w:rsidR="001B3857" w:rsidRPr="00E1061B">
        <w:t>service users per </w:t>
      </w:r>
      <w:r w:rsidR="000761F8" w:rsidRPr="00E1061B">
        <w:t>1000 </w:t>
      </w:r>
      <w:r w:rsidRPr="00E1061B">
        <w:t>population) (figure</w:t>
      </w:r>
      <w:r w:rsidR="00DA0DAF" w:rsidRPr="00E1061B">
        <w:t> </w:t>
      </w:r>
      <w:r w:rsidRPr="00E1061B">
        <w:t>14.</w:t>
      </w:r>
      <w:r w:rsidR="00F61907">
        <w:t>19</w:t>
      </w:r>
      <w:r w:rsidRPr="00E1061B">
        <w:t xml:space="preserve">). The proportion of the </w:t>
      </w:r>
      <w:r w:rsidR="00904E97" w:rsidRPr="00E1061B">
        <w:t>Aboriginal and Torres Strait Islander</w:t>
      </w:r>
      <w:r w:rsidRPr="00E1061B">
        <w:t xml:space="preserve"> potential population who used NDA employment services (</w:t>
      </w:r>
      <w:r w:rsidR="00E1061B" w:rsidRPr="00E1061B">
        <w:t>304.7</w:t>
      </w:r>
      <w:r w:rsidR="000761F8" w:rsidRPr="00E1061B">
        <w:t xml:space="preserve"> service users per </w:t>
      </w:r>
      <w:r w:rsidRPr="00E1061B">
        <w:t>1000 potential population) was lower than that of the non</w:t>
      </w:r>
      <w:r w:rsidR="00B84AF2" w:rsidRPr="00E1061B">
        <w:noBreakHyphen/>
      </w:r>
      <w:r w:rsidRPr="00E1061B">
        <w:t xml:space="preserve">Indigenous potential </w:t>
      </w:r>
      <w:r w:rsidRPr="00E1061B">
        <w:lastRenderedPageBreak/>
        <w:t>population (</w:t>
      </w:r>
      <w:r w:rsidR="00E1061B" w:rsidRPr="00E1061B">
        <w:t>448.7</w:t>
      </w:r>
      <w:r w:rsidR="0019455A" w:rsidRPr="00E1061B">
        <w:t xml:space="preserve"> </w:t>
      </w:r>
      <w:r w:rsidRPr="00E1061B">
        <w:t>service users per 1000 potential population) (figure </w:t>
      </w:r>
      <w:r w:rsidR="00BF3533">
        <w:t>14.</w:t>
      </w:r>
      <w:r w:rsidR="00F61907">
        <w:t>19</w:t>
      </w:r>
      <w:r w:rsidRPr="00E1061B">
        <w:t>).</w:t>
      </w:r>
      <w:r w:rsidR="004B42C1">
        <w:t xml:space="preserve"> D</w:t>
      </w:r>
      <w:r w:rsidRPr="008E2173">
        <w:t xml:space="preserve">ata on users of NDA open </w:t>
      </w:r>
      <w:r w:rsidR="00DA0DAF" w:rsidRPr="008E2173">
        <w:t xml:space="preserve">and supported </w:t>
      </w:r>
      <w:r w:rsidRPr="008E2173">
        <w:t xml:space="preserve">employment services as a proportion of the </w:t>
      </w:r>
      <w:r w:rsidR="00904E97" w:rsidRPr="008E2173">
        <w:t>Aboriginal and Torres Strait Islander</w:t>
      </w:r>
      <w:r w:rsidRPr="008E2173">
        <w:t xml:space="preserve"> potential population are also available disaggregated by age (table</w:t>
      </w:r>
      <w:r w:rsidR="0067540D" w:rsidRPr="008E2173">
        <w:t>s</w:t>
      </w:r>
      <w:r w:rsidR="00AE3578" w:rsidRPr="008E2173">
        <w:t> </w:t>
      </w:r>
      <w:r w:rsidRPr="008E2173">
        <w:t>14A.</w:t>
      </w:r>
      <w:r w:rsidR="00086254" w:rsidRPr="008E2173">
        <w:t>4</w:t>
      </w:r>
      <w:r w:rsidR="00086254">
        <w:t>5</w:t>
      </w:r>
      <w:r w:rsidR="00BF453C" w:rsidRPr="008E2173">
        <w:t>−</w:t>
      </w:r>
      <w:r w:rsidR="00086254">
        <w:t>47</w:t>
      </w:r>
      <w:r w:rsidRPr="008E2173">
        <w:t>)</w:t>
      </w:r>
      <w:r w:rsidR="00F50665" w:rsidRPr="008E2173">
        <w:t>, from 200</w:t>
      </w:r>
      <w:r w:rsidR="00331E22" w:rsidRPr="008E2173">
        <w:t>8</w:t>
      </w:r>
      <w:r w:rsidR="00B84AF2" w:rsidRPr="008E2173">
        <w:noBreakHyphen/>
      </w:r>
      <w:r w:rsidR="00331E22" w:rsidRPr="008E2173">
        <w:t>09</w:t>
      </w:r>
      <w:r w:rsidR="00F50665" w:rsidRPr="008E2173">
        <w:t xml:space="preserve"> to </w:t>
      </w:r>
      <w:r w:rsidR="00255466" w:rsidRPr="008E2173">
        <w:t>2013</w:t>
      </w:r>
      <w:r w:rsidR="00B84AF2" w:rsidRPr="008E2173">
        <w:noBreakHyphen/>
      </w:r>
      <w:r w:rsidR="00255466" w:rsidRPr="008E2173">
        <w:t xml:space="preserve">14 </w:t>
      </w:r>
      <w:r w:rsidR="00F50665" w:rsidRPr="008E2173">
        <w:t xml:space="preserve">for open (ESS) and supported services and </w:t>
      </w:r>
      <w:r w:rsidR="00331E22" w:rsidRPr="008E2173">
        <w:t>from</w:t>
      </w:r>
      <w:r w:rsidR="00F50665" w:rsidRPr="008E2173">
        <w:t xml:space="preserve"> </w:t>
      </w:r>
      <w:r w:rsidR="00331E22" w:rsidRPr="008E2173">
        <w:t>2010</w:t>
      </w:r>
      <w:r w:rsidR="00B84AF2" w:rsidRPr="008E2173">
        <w:noBreakHyphen/>
      </w:r>
      <w:r w:rsidR="00331E22" w:rsidRPr="008E2173">
        <w:t xml:space="preserve">11 to </w:t>
      </w:r>
      <w:r w:rsidR="008E2173" w:rsidRPr="008E2173">
        <w:t>2014</w:t>
      </w:r>
      <w:r w:rsidR="005547FD">
        <w:noBreakHyphen/>
      </w:r>
      <w:r w:rsidR="008E2173" w:rsidRPr="008E2173">
        <w:t>15</w:t>
      </w:r>
      <w:r w:rsidR="00255466" w:rsidRPr="008E2173">
        <w:t xml:space="preserve"> </w:t>
      </w:r>
      <w:r w:rsidR="00F50665" w:rsidRPr="008E2173">
        <w:t>for open (DMS) employment services</w:t>
      </w:r>
      <w:r w:rsidRPr="008E2173">
        <w:t>.</w:t>
      </w:r>
      <w:r w:rsidR="00911A66" w:rsidRPr="008E2173">
        <w:t xml:space="preserve"> </w:t>
      </w:r>
    </w:p>
    <w:p w:rsidR="003E73FF" w:rsidRPr="00E1061B" w:rsidRDefault="003E73F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061B" w:rsidRPr="00E1061B" w:rsidTr="00DD33DF">
        <w:tc>
          <w:tcPr>
            <w:tcW w:w="8771" w:type="dxa"/>
            <w:tcBorders>
              <w:top w:val="single" w:sz="6" w:space="0" w:color="78A22F"/>
              <w:left w:val="nil"/>
              <w:bottom w:val="nil"/>
              <w:right w:val="nil"/>
            </w:tcBorders>
            <w:shd w:val="clear" w:color="auto" w:fill="auto"/>
          </w:tcPr>
          <w:p w:rsidR="003E73FF" w:rsidRPr="00E1061B" w:rsidRDefault="003E73FF" w:rsidP="00B8510E">
            <w:pPr>
              <w:pStyle w:val="FigureTitle"/>
            </w:pPr>
            <w:r w:rsidRPr="00E1061B">
              <w:rPr>
                <w:b w:val="0"/>
              </w:rPr>
              <w:t xml:space="preserve">Figure </w:t>
            </w:r>
            <w:bookmarkStart w:id="35" w:name="OLE_LINK32"/>
            <w:r w:rsidR="00321568" w:rsidRPr="00E1061B">
              <w:rPr>
                <w:b w:val="0"/>
              </w:rPr>
              <w:t>14.</w:t>
            </w:r>
            <w:r w:rsidR="004B691F">
              <w:rPr>
                <w:b w:val="0"/>
                <w:noProof/>
              </w:rPr>
              <w:t>19</w:t>
            </w:r>
            <w:bookmarkEnd w:id="35"/>
            <w:r w:rsidRPr="00E1061B">
              <w:tab/>
              <w:t xml:space="preserve">Users of NDA employment services, by Indigenous status, </w:t>
            </w:r>
            <w:r w:rsidR="00255466" w:rsidRPr="00E1061B">
              <w:t>2013</w:t>
            </w:r>
            <w:r w:rsidR="00B84AF2" w:rsidRPr="00E1061B">
              <w:noBreakHyphen/>
            </w:r>
            <w:r w:rsidR="00255466" w:rsidRPr="00E1061B">
              <w:t>14</w:t>
            </w:r>
            <w:r w:rsidR="00255466" w:rsidRPr="00E1061B">
              <w:rPr>
                <w:rStyle w:val="NoteLabel"/>
                <w:b/>
              </w:rPr>
              <w:t>a</w:t>
            </w:r>
          </w:p>
        </w:tc>
      </w:tr>
      <w:tr w:rsidR="00E1061B" w:rsidRPr="00E1061B" w:rsidTr="00DD33DF">
        <w:tc>
          <w:tcPr>
            <w:tcW w:w="8771" w:type="dxa"/>
            <w:tcBorders>
              <w:top w:val="nil"/>
              <w:left w:val="nil"/>
              <w:bottom w:val="nil"/>
              <w:right w:val="nil"/>
            </w:tcBorders>
            <w:shd w:val="clear" w:color="auto" w:fill="auto"/>
            <w:tcMar>
              <w:top w:w="28" w:type="dxa"/>
              <w:bottom w:w="28" w:type="dxa"/>
            </w:tcMar>
          </w:tcPr>
          <w:p w:rsidR="00A75363" w:rsidRPr="00E1061B" w:rsidRDefault="001D12B9" w:rsidP="00932094">
            <w:pPr>
              <w:pStyle w:val="Figure"/>
              <w:spacing w:before="60" w:after="60"/>
            </w:pPr>
            <w:r>
              <w:rPr>
                <w:noProof/>
              </w:rPr>
              <w:drawing>
                <wp:inline distT="0" distB="0" distL="0" distR="0">
                  <wp:extent cx="2505710" cy="2327275"/>
                  <wp:effectExtent l="0" t="0" r="8890" b="0"/>
                  <wp:docPr id="42" name="Picture 42" descr="Figure 14.19 Users of NDA employment services, by Indigenous status, 2013-14&#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15845"/>
                  <wp:effectExtent l="0" t="0" r="8890" b="8255"/>
                  <wp:docPr id="43" name="Picture 43" descr="Figure 14.19 Users of NDA employment services, by Indigenous status, 2013-14&#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505710" cy="2315845"/>
                          </a:xfrm>
                          <a:prstGeom prst="rect">
                            <a:avLst/>
                          </a:prstGeom>
                          <a:noFill/>
                          <a:ln>
                            <a:noFill/>
                          </a:ln>
                        </pic:spPr>
                      </pic:pic>
                    </a:graphicData>
                  </a:graphic>
                </wp:inline>
              </w:drawing>
            </w:r>
            <w:r>
              <w:rPr>
                <w:noProof/>
              </w:rPr>
              <w:drawing>
                <wp:inline distT="0" distB="0" distL="0" distR="0">
                  <wp:extent cx="5225415" cy="368300"/>
                  <wp:effectExtent l="0" t="0" r="0" b="0"/>
                  <wp:docPr id="44" name="Picture 44" descr="Legend to Figure 14.19 Users of NDA employment services, by Indigenous statu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25415" cy="368300"/>
                          </a:xfrm>
                          <a:prstGeom prst="rect">
                            <a:avLst/>
                          </a:prstGeom>
                          <a:noFill/>
                          <a:ln>
                            <a:noFill/>
                          </a:ln>
                        </pic:spPr>
                      </pic:pic>
                    </a:graphicData>
                  </a:graphic>
                </wp:inline>
              </w:drawing>
            </w:r>
          </w:p>
        </w:tc>
      </w:tr>
      <w:tr w:rsidR="00E1061B" w:rsidRPr="00E1061B" w:rsidTr="00DD33DF">
        <w:tc>
          <w:tcPr>
            <w:tcW w:w="8771" w:type="dxa"/>
            <w:tcBorders>
              <w:top w:val="nil"/>
              <w:left w:val="nil"/>
              <w:bottom w:val="nil"/>
              <w:right w:val="nil"/>
            </w:tcBorders>
            <w:shd w:val="clear" w:color="auto" w:fill="auto"/>
          </w:tcPr>
          <w:p w:rsidR="003E73FF" w:rsidRPr="00E1061B" w:rsidRDefault="003E73FF" w:rsidP="00995B83">
            <w:pPr>
              <w:pStyle w:val="Note"/>
            </w:pPr>
            <w:r w:rsidRPr="00E1061B">
              <w:rPr>
                <w:rStyle w:val="NoteLabel"/>
              </w:rPr>
              <w:t>a</w:t>
            </w:r>
            <w:r w:rsidRPr="00E1061B">
              <w:t xml:space="preserve"> </w:t>
            </w:r>
            <w:r w:rsidR="00D872A6" w:rsidRPr="00E1061B">
              <w:t>See box</w:t>
            </w:r>
            <w:r w:rsidR="005547FD">
              <w:t> </w:t>
            </w:r>
            <w:r w:rsidR="00D872A6" w:rsidRPr="00E1061B">
              <w:t>14.</w:t>
            </w:r>
            <w:r w:rsidR="00995B83">
              <w:t>8</w:t>
            </w:r>
            <w:r w:rsidR="00D872A6" w:rsidRPr="00E1061B">
              <w:t xml:space="preserve"> and table</w:t>
            </w:r>
            <w:r w:rsidR="005547FD">
              <w:t> </w:t>
            </w:r>
            <w:r w:rsidR="00D872A6" w:rsidRPr="00E1061B">
              <w:t>14A.4</w:t>
            </w:r>
            <w:r w:rsidR="00086254">
              <w:t>4</w:t>
            </w:r>
            <w:r w:rsidR="00D872A6" w:rsidRPr="00E1061B">
              <w:t xml:space="preserve"> for detailed </w:t>
            </w:r>
            <w:r w:rsidR="003D7F75">
              <w:t>definitions, footnotes and caveats</w:t>
            </w:r>
            <w:r w:rsidR="00D872A6" w:rsidRPr="00E1061B">
              <w:t>.</w:t>
            </w:r>
          </w:p>
        </w:tc>
      </w:tr>
      <w:tr w:rsidR="00E1061B" w:rsidRPr="00E1061B" w:rsidTr="00DD33DF">
        <w:tc>
          <w:tcPr>
            <w:tcW w:w="8771" w:type="dxa"/>
            <w:tcBorders>
              <w:top w:val="nil"/>
              <w:left w:val="nil"/>
              <w:bottom w:val="nil"/>
              <w:right w:val="nil"/>
            </w:tcBorders>
            <w:shd w:val="clear" w:color="auto" w:fill="auto"/>
          </w:tcPr>
          <w:p w:rsidR="003E73FF" w:rsidRPr="00E1061B" w:rsidRDefault="003E73FF" w:rsidP="00BF3533">
            <w:pPr>
              <w:pStyle w:val="Source"/>
            </w:pPr>
            <w:r w:rsidRPr="00E1061B">
              <w:rPr>
                <w:i/>
              </w:rPr>
              <w:t>Source</w:t>
            </w:r>
            <w:r w:rsidRPr="00E1061B">
              <w:t xml:space="preserve">: </w:t>
            </w:r>
            <w:r w:rsidR="00D221B0" w:rsidRPr="00E1061B">
              <w:t xml:space="preserve">AIHW (unpublished) </w:t>
            </w:r>
            <w:r w:rsidR="00D221B0" w:rsidRPr="00BB5BA4">
              <w:t>DS NMDS</w:t>
            </w:r>
            <w:r w:rsidR="00D221B0" w:rsidRPr="00BF3533">
              <w:t xml:space="preserve">; </w:t>
            </w:r>
            <w:r w:rsidR="00DF1129" w:rsidRPr="00BF3533">
              <w:t xml:space="preserve">AIHW (unpublished), AIHW analysis of the </w:t>
            </w:r>
            <w:r w:rsidR="00DF1129" w:rsidRPr="00BB5BA4">
              <w:t xml:space="preserve">ABS </w:t>
            </w:r>
            <w:r w:rsidR="00BF3533">
              <w:t>June ERP</w:t>
            </w:r>
            <w:r w:rsidR="00DF1129" w:rsidRPr="00BF3533">
              <w:t xml:space="preserve">, </w:t>
            </w:r>
            <w:r w:rsidR="00DF1129" w:rsidRPr="00BB5BA4">
              <w:t>ABS Census of Population and Housing</w:t>
            </w:r>
            <w:r w:rsidR="00DF1129" w:rsidRPr="00BF3533">
              <w:t xml:space="preserve"> and the </w:t>
            </w:r>
            <w:r w:rsidR="00DF1129" w:rsidRPr="00BB5BA4">
              <w:t>ABS</w:t>
            </w:r>
            <w:r w:rsidR="00BF3533">
              <w:t xml:space="preserve"> SDAC</w:t>
            </w:r>
            <w:r w:rsidR="00D221B0" w:rsidRPr="00BF3533">
              <w:t xml:space="preserve">; </w:t>
            </w:r>
            <w:r w:rsidRPr="00BF3533">
              <w:t>table</w:t>
            </w:r>
            <w:r w:rsidRPr="00E1061B">
              <w:t> 14A.</w:t>
            </w:r>
            <w:r w:rsidR="00402536" w:rsidRPr="00E1061B">
              <w:t>4</w:t>
            </w:r>
            <w:r w:rsidR="00086254">
              <w:t>4</w:t>
            </w:r>
            <w:r w:rsidRPr="00E1061B">
              <w:t>.</w:t>
            </w:r>
            <w:r w:rsidRPr="00E1061B">
              <w:rPr>
                <w:b/>
              </w:rPr>
              <w:t xml:space="preserve"> </w:t>
            </w:r>
          </w:p>
        </w:tc>
      </w:tr>
      <w:tr w:rsidR="00E1061B" w:rsidRPr="00E1061B" w:rsidTr="00DD33DF">
        <w:tc>
          <w:tcPr>
            <w:tcW w:w="8771" w:type="dxa"/>
            <w:tcBorders>
              <w:top w:val="nil"/>
              <w:left w:val="nil"/>
              <w:bottom w:val="single" w:sz="6" w:space="0" w:color="78A22F"/>
              <w:right w:val="nil"/>
            </w:tcBorders>
            <w:shd w:val="clear" w:color="auto" w:fill="auto"/>
          </w:tcPr>
          <w:p w:rsidR="003E73FF" w:rsidRPr="00E1061B" w:rsidRDefault="003E73FF" w:rsidP="00DD33DF">
            <w:pPr>
              <w:pStyle w:val="Figurespace"/>
            </w:pPr>
          </w:p>
        </w:tc>
      </w:tr>
      <w:tr w:rsidR="00E1061B" w:rsidRPr="00E1061B" w:rsidTr="00DD33DF">
        <w:tc>
          <w:tcPr>
            <w:tcW w:w="8771" w:type="dxa"/>
            <w:tcBorders>
              <w:top w:val="single" w:sz="6" w:space="0" w:color="78A22F"/>
              <w:left w:val="nil"/>
              <w:bottom w:val="nil"/>
              <w:right w:val="nil"/>
            </w:tcBorders>
          </w:tcPr>
          <w:p w:rsidR="003E73FF" w:rsidRPr="00E1061B" w:rsidRDefault="003E73FF" w:rsidP="00DD33DF">
            <w:pPr>
              <w:pStyle w:val="BoxSpaceBelow"/>
            </w:pPr>
          </w:p>
        </w:tc>
      </w:tr>
    </w:tbl>
    <w:p w:rsidR="001F39F2" w:rsidRPr="00E1061B" w:rsidRDefault="001F39F2" w:rsidP="00BB5BA4">
      <w:pPr>
        <w:pStyle w:val="Heading5"/>
      </w:pPr>
      <w:r w:rsidRPr="00E1061B">
        <w:t>Service use by special needs groups — people born in a non</w:t>
      </w:r>
      <w:r w:rsidR="00B84AF2" w:rsidRPr="00E1061B">
        <w:noBreakHyphen/>
      </w:r>
      <w:r w:rsidRPr="00E1061B">
        <w:t xml:space="preserve">English speaking country </w:t>
      </w:r>
    </w:p>
    <w:p w:rsidR="00BF3533" w:rsidRPr="0010521E" w:rsidRDefault="00BF3533" w:rsidP="00BF3533">
      <w:pPr>
        <w:pStyle w:val="BodyText"/>
      </w:pPr>
      <w:r w:rsidRPr="0010521E">
        <w:t>Nationally in 2013</w:t>
      </w:r>
      <w:r w:rsidRPr="0010521E">
        <w:noBreakHyphen/>
        <w:t xml:space="preserve">14, the proportion of </w:t>
      </w:r>
      <w:r>
        <w:t>people born in a non</w:t>
      </w:r>
      <w:r w:rsidR="005547FD">
        <w:noBreakHyphen/>
      </w:r>
      <w:r>
        <w:t>English speaking country</w:t>
      </w:r>
      <w:r w:rsidRPr="0010521E">
        <w:t xml:space="preserve"> who used NDA</w:t>
      </w:r>
      <w:r>
        <w:t xml:space="preserve"> services was lower than the proportion born in an English speaking country</w:t>
      </w:r>
      <w:r w:rsidRPr="0010521E">
        <w:t>:</w:t>
      </w:r>
    </w:p>
    <w:p w:rsidR="00BF3533" w:rsidRDefault="00BF3533" w:rsidP="00BF3533">
      <w:pPr>
        <w:pStyle w:val="ListBullet"/>
      </w:pPr>
      <w:r>
        <w:t xml:space="preserve">for </w:t>
      </w:r>
      <w:r w:rsidRPr="0010521E">
        <w:t>accommodation support services</w:t>
      </w:r>
      <w:r>
        <w:t>, 0.5 compared to 2.1</w:t>
      </w:r>
      <w:r w:rsidRPr="0010521E">
        <w:t xml:space="preserve"> service users per 1000 people</w:t>
      </w:r>
    </w:p>
    <w:p w:rsidR="00BF3533" w:rsidRDefault="00BF3533" w:rsidP="00BF3533">
      <w:pPr>
        <w:pStyle w:val="ListBullet"/>
      </w:pPr>
      <w:r>
        <w:t>for community support services, 2.1 compared to 7.8 service users per 1000 people</w:t>
      </w:r>
    </w:p>
    <w:p w:rsidR="00BF3533" w:rsidRDefault="00BF3533" w:rsidP="00BB5BA4">
      <w:pPr>
        <w:pStyle w:val="ListBullet"/>
      </w:pPr>
      <w:r>
        <w:t>for community access services, 1.0 compared to 2.6 service users per 1000 people</w:t>
      </w:r>
    </w:p>
    <w:p w:rsidR="00BF3533" w:rsidRDefault="00BF3533" w:rsidP="00BB5BA4">
      <w:pPr>
        <w:pStyle w:val="ListBullet"/>
      </w:pPr>
      <w:r>
        <w:t>for respite services, 0.5 compared to 2.1 service users per 1000 people (figure</w:t>
      </w:r>
      <w:r w:rsidR="005547FD">
        <w:t> </w:t>
      </w:r>
      <w:r>
        <w:t>14.</w:t>
      </w:r>
      <w:r w:rsidR="00F61907">
        <w:t>20</w:t>
      </w:r>
      <w:r>
        <w:t>).</w:t>
      </w:r>
    </w:p>
    <w:p w:rsidR="00BF3533" w:rsidRDefault="00BF3533" w:rsidP="00BF3533">
      <w:pPr>
        <w:pStyle w:val="BodyText"/>
      </w:pPr>
      <w:r>
        <w:t xml:space="preserve">Service use as a proportion of the potential population followed a similar pattern, with the proportion of the </w:t>
      </w:r>
      <w:r w:rsidRPr="0010521E">
        <w:t xml:space="preserve">potential population </w:t>
      </w:r>
      <w:r>
        <w:t>born in a non</w:t>
      </w:r>
      <w:r w:rsidR="005547FD">
        <w:noBreakHyphen/>
      </w:r>
      <w:r>
        <w:t xml:space="preserve">English speaking country </w:t>
      </w:r>
      <w:r w:rsidRPr="0010521E">
        <w:t>who used NDA services</w:t>
      </w:r>
      <w:r>
        <w:t xml:space="preserve"> lower than that of the </w:t>
      </w:r>
      <w:r w:rsidRPr="0010521E">
        <w:t xml:space="preserve">potential population </w:t>
      </w:r>
      <w:r>
        <w:t>born in an English speaking country:</w:t>
      </w:r>
    </w:p>
    <w:p w:rsidR="00BF3533" w:rsidRPr="0010521E" w:rsidRDefault="00BF3533" w:rsidP="00BF3533">
      <w:pPr>
        <w:pStyle w:val="ListBullet"/>
      </w:pPr>
      <w:r>
        <w:lastRenderedPageBreak/>
        <w:t xml:space="preserve">for </w:t>
      </w:r>
      <w:r w:rsidRPr="0010521E">
        <w:t>accommodation support services</w:t>
      </w:r>
      <w:r>
        <w:t>, 25.8 compared to 68.3</w:t>
      </w:r>
      <w:r w:rsidRPr="0010521E">
        <w:t> service users per 1000 potential population</w:t>
      </w:r>
    </w:p>
    <w:p w:rsidR="00BF3533" w:rsidRDefault="00BF3533" w:rsidP="00927A21">
      <w:pPr>
        <w:pStyle w:val="ListBullet"/>
      </w:pPr>
      <w:r>
        <w:t>for</w:t>
      </w:r>
      <w:r w:rsidRPr="00295375">
        <w:t xml:space="preserve"> community support services</w:t>
      </w:r>
      <w:r>
        <w:t>, 113.3 compared to 253.0</w:t>
      </w:r>
      <w:r w:rsidRPr="00295375">
        <w:t> service users per 1000 potential population</w:t>
      </w:r>
    </w:p>
    <w:p w:rsidR="00BF3533" w:rsidRDefault="00BF3533" w:rsidP="00927A21">
      <w:pPr>
        <w:pStyle w:val="ListBullet"/>
      </w:pPr>
      <w:r>
        <w:t>for</w:t>
      </w:r>
      <w:r w:rsidRPr="00A9453C">
        <w:t xml:space="preserve"> community access services</w:t>
      </w:r>
      <w:r>
        <w:t>, 51.5</w:t>
      </w:r>
      <w:r w:rsidRPr="00A9453C">
        <w:t xml:space="preserve"> </w:t>
      </w:r>
      <w:r>
        <w:t xml:space="preserve">compared to 83.9 </w:t>
      </w:r>
      <w:r w:rsidRPr="00A9453C">
        <w:t>service users per 1000 potential population</w:t>
      </w:r>
      <w:r>
        <w:t xml:space="preserve"> (figure</w:t>
      </w:r>
      <w:r w:rsidR="005547FD">
        <w:t> </w:t>
      </w:r>
      <w:r>
        <w:t>14.</w:t>
      </w:r>
      <w:r w:rsidR="00F61907">
        <w:t>21</w:t>
      </w:r>
      <w:r>
        <w:t>).</w:t>
      </w:r>
    </w:p>
    <w:p w:rsidR="00AC6C42" w:rsidRPr="00B86C20" w:rsidRDefault="00AC6C42"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51F0" w:rsidRPr="006F51F0" w:rsidTr="00DD33DF">
        <w:tc>
          <w:tcPr>
            <w:tcW w:w="8771" w:type="dxa"/>
            <w:tcBorders>
              <w:top w:val="single" w:sz="6" w:space="0" w:color="78A22F"/>
              <w:left w:val="nil"/>
              <w:bottom w:val="nil"/>
              <w:right w:val="nil"/>
            </w:tcBorders>
            <w:shd w:val="clear" w:color="auto" w:fill="auto"/>
          </w:tcPr>
          <w:p w:rsidR="00AC6C42" w:rsidRPr="006F51F0" w:rsidRDefault="00AC6C42" w:rsidP="00912E2B">
            <w:pPr>
              <w:pStyle w:val="FigureTitle"/>
            </w:pPr>
            <w:r w:rsidRPr="006F51F0">
              <w:rPr>
                <w:b w:val="0"/>
              </w:rPr>
              <w:t xml:space="preserve">Figure </w:t>
            </w:r>
            <w:bookmarkStart w:id="36" w:name="OLE_LINK33"/>
            <w:r w:rsidR="00321568" w:rsidRPr="006F51F0">
              <w:rPr>
                <w:b w:val="0"/>
              </w:rPr>
              <w:t>14.</w:t>
            </w:r>
            <w:r w:rsidR="004B691F">
              <w:rPr>
                <w:b w:val="0"/>
                <w:noProof/>
              </w:rPr>
              <w:t>20</w:t>
            </w:r>
            <w:bookmarkEnd w:id="36"/>
            <w:r w:rsidRPr="006F51F0">
              <w:tab/>
              <w:t>Users of NDA specialist disa</w:t>
            </w:r>
            <w:r w:rsidR="00912E2B">
              <w:t xml:space="preserve">bility services per 1000 people, </w:t>
            </w:r>
            <w:r w:rsidRPr="006F51F0">
              <w:t xml:space="preserve">by country of birth, </w:t>
            </w:r>
            <w:r w:rsidR="00255466" w:rsidRPr="006F51F0">
              <w:t>2013</w:t>
            </w:r>
            <w:r w:rsidR="00B84AF2" w:rsidRPr="006F51F0">
              <w:noBreakHyphen/>
            </w:r>
            <w:r w:rsidR="00255466" w:rsidRPr="006F51F0">
              <w:t>14</w:t>
            </w:r>
            <w:r w:rsidR="00255466" w:rsidRPr="006F51F0">
              <w:rPr>
                <w:rStyle w:val="NoteLabel"/>
                <w:b/>
              </w:rPr>
              <w:t>a</w:t>
            </w:r>
          </w:p>
        </w:tc>
      </w:tr>
      <w:tr w:rsidR="00AC6C42" w:rsidRPr="00B86C20" w:rsidTr="00927A21">
        <w:trPr>
          <w:trHeight w:val="8535"/>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6C42" w:rsidRPr="00B86C20" w:rsidTr="00DD33DF">
              <w:trPr>
                <w:jc w:val="center"/>
              </w:trPr>
              <w:tc>
                <w:tcPr>
                  <w:tcW w:w="5000" w:type="pct"/>
                  <w:tcBorders>
                    <w:top w:val="nil"/>
                    <w:bottom w:val="nil"/>
                  </w:tcBorders>
                </w:tcPr>
                <w:p w:rsidR="00AC6C42" w:rsidRPr="00B86C20" w:rsidRDefault="00AB345E" w:rsidP="00932094">
                  <w:pPr>
                    <w:pStyle w:val="Figure"/>
                    <w:spacing w:before="60" w:after="60"/>
                    <w:rPr>
                      <w:color w:val="808080" w:themeColor="background1" w:themeShade="80"/>
                    </w:rPr>
                  </w:pPr>
                  <w:r>
                    <w:rPr>
                      <w:noProof/>
                      <w:color w:val="808080" w:themeColor="background1" w:themeShade="80"/>
                    </w:rPr>
                    <w:drawing>
                      <wp:inline distT="0" distB="0" distL="0" distR="0">
                        <wp:extent cx="2505710" cy="2327275"/>
                        <wp:effectExtent l="0" t="0" r="8890" b="0"/>
                        <wp:docPr id="45" name="Picture 45" descr="Figure 14.20 Users of NDA specialist disability services per 1000 people, by country of birth,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color w:val="808080" w:themeColor="background1" w:themeShade="80"/>
                    </w:rPr>
                    <w:drawing>
                      <wp:inline distT="0" distB="0" distL="0" distR="0">
                        <wp:extent cx="2505710" cy="2315845"/>
                        <wp:effectExtent l="0" t="0" r="8890" b="8255"/>
                        <wp:docPr id="46" name="Picture 46" descr="Figure 14.20 Users of NDA specialist disability services per 1000 people, by country of birth, 2013-14&#10;&#10;(b)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505710" cy="2315845"/>
                                </a:xfrm>
                                <a:prstGeom prst="rect">
                                  <a:avLst/>
                                </a:prstGeom>
                                <a:noFill/>
                                <a:ln>
                                  <a:noFill/>
                                </a:ln>
                              </pic:spPr>
                            </pic:pic>
                          </a:graphicData>
                        </a:graphic>
                      </wp:inline>
                    </w:drawing>
                  </w:r>
                </w:p>
              </w:tc>
            </w:tr>
            <w:tr w:rsidR="00E15ABB" w:rsidRPr="00B86C20" w:rsidTr="00927A21">
              <w:trPr>
                <w:trHeight w:val="3686"/>
                <w:jc w:val="center"/>
              </w:trPr>
              <w:tc>
                <w:tcPr>
                  <w:tcW w:w="5000" w:type="pct"/>
                  <w:tcBorders>
                    <w:top w:val="nil"/>
                    <w:bottom w:val="nil"/>
                  </w:tcBorders>
                </w:tcPr>
                <w:p w:rsidR="00E15ABB" w:rsidRPr="00B86C20" w:rsidRDefault="00AB345E" w:rsidP="00932094">
                  <w:pPr>
                    <w:pStyle w:val="Figure"/>
                    <w:spacing w:before="60" w:after="60"/>
                    <w:rPr>
                      <w:color w:val="808080" w:themeColor="background1" w:themeShade="80"/>
                    </w:rPr>
                  </w:pPr>
                  <w:r>
                    <w:rPr>
                      <w:noProof/>
                      <w:color w:val="808080" w:themeColor="background1" w:themeShade="80"/>
                    </w:rPr>
                    <w:drawing>
                      <wp:inline distT="0" distB="0" distL="0" distR="0">
                        <wp:extent cx="2505710" cy="2315845"/>
                        <wp:effectExtent l="0" t="0" r="8890" b="8255"/>
                        <wp:docPr id="47" name="Picture 47" descr="Figure 14.20 Users of NDA specialist disability services per 1000 people, by country of birth,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505710" cy="2315845"/>
                                </a:xfrm>
                                <a:prstGeom prst="rect">
                                  <a:avLst/>
                                </a:prstGeom>
                                <a:noFill/>
                                <a:ln>
                                  <a:noFill/>
                                </a:ln>
                              </pic:spPr>
                            </pic:pic>
                          </a:graphicData>
                        </a:graphic>
                      </wp:inline>
                    </w:drawing>
                  </w:r>
                  <w:r>
                    <w:rPr>
                      <w:noProof/>
                      <w:color w:val="808080" w:themeColor="background1" w:themeShade="80"/>
                    </w:rPr>
                    <w:drawing>
                      <wp:inline distT="0" distB="0" distL="0" distR="0">
                        <wp:extent cx="2505710" cy="2327275"/>
                        <wp:effectExtent l="0" t="0" r="8890" b="0"/>
                        <wp:docPr id="48" name="Picture 48" descr="Figure 14.20 Users of NDA specialist disability services per 1000 people, by country of birth, 2013-14&#10;&#10;(d) Respi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tc>
            </w:tr>
          </w:tbl>
          <w:p w:rsidR="00AC6C42" w:rsidRPr="00B86C20" w:rsidRDefault="00AB345E" w:rsidP="00F61E05">
            <w:pPr>
              <w:pStyle w:val="Figure"/>
              <w:rPr>
                <w:color w:val="808080" w:themeColor="background1" w:themeShade="80"/>
              </w:rPr>
            </w:pPr>
            <w:r>
              <w:rPr>
                <w:noProof/>
                <w:color w:val="808080" w:themeColor="background1" w:themeShade="80"/>
              </w:rPr>
              <w:drawing>
                <wp:inline distT="0" distB="0" distL="0" distR="0">
                  <wp:extent cx="5225415" cy="546100"/>
                  <wp:effectExtent l="0" t="0" r="0" b="6350"/>
                  <wp:docPr id="49" name="Picture 49" descr="Legend to Figure 14.20 Users of NDA specialist disability services per 1000 people, by country of birth,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25415" cy="546100"/>
                          </a:xfrm>
                          <a:prstGeom prst="rect">
                            <a:avLst/>
                          </a:prstGeom>
                          <a:noFill/>
                          <a:ln>
                            <a:noFill/>
                          </a:ln>
                        </pic:spPr>
                      </pic:pic>
                    </a:graphicData>
                  </a:graphic>
                </wp:inline>
              </w:drawing>
            </w:r>
          </w:p>
        </w:tc>
      </w:tr>
      <w:tr w:rsidR="006F51F0" w:rsidRPr="006F51F0" w:rsidTr="00DD33DF">
        <w:tc>
          <w:tcPr>
            <w:tcW w:w="8771" w:type="dxa"/>
            <w:tcBorders>
              <w:top w:val="nil"/>
              <w:left w:val="nil"/>
              <w:bottom w:val="nil"/>
              <w:right w:val="nil"/>
            </w:tcBorders>
            <w:shd w:val="clear" w:color="auto" w:fill="auto"/>
          </w:tcPr>
          <w:p w:rsidR="00AC6C42" w:rsidRPr="006F51F0" w:rsidRDefault="00AC6C42" w:rsidP="00086254">
            <w:pPr>
              <w:pStyle w:val="Note"/>
            </w:pPr>
            <w:r w:rsidRPr="006F51F0">
              <w:rPr>
                <w:rStyle w:val="NoteLabel"/>
              </w:rPr>
              <w:t>a</w:t>
            </w:r>
            <w:r w:rsidRPr="006F51F0">
              <w:t xml:space="preserve"> </w:t>
            </w:r>
            <w:r w:rsidR="00995B83">
              <w:t>See box</w:t>
            </w:r>
            <w:r w:rsidR="005547FD">
              <w:t> </w:t>
            </w:r>
            <w:r w:rsidR="00995B83">
              <w:t>14.8</w:t>
            </w:r>
            <w:r w:rsidR="00D872A6" w:rsidRPr="006F51F0">
              <w:t xml:space="preserve"> and tables</w:t>
            </w:r>
            <w:r w:rsidR="005547FD">
              <w:t> </w:t>
            </w:r>
            <w:r w:rsidR="00D872A6" w:rsidRPr="006F51F0">
              <w:t>14A.</w:t>
            </w:r>
            <w:r w:rsidR="00086254">
              <w:t>48</w:t>
            </w:r>
            <w:r w:rsidR="00D872A6" w:rsidRPr="006F51F0">
              <w:t>–5</w:t>
            </w:r>
            <w:r w:rsidR="00086254">
              <w:t>1</w:t>
            </w:r>
            <w:r w:rsidR="00D872A6" w:rsidRPr="006F51F0">
              <w:t xml:space="preserve"> for detailed </w:t>
            </w:r>
            <w:r w:rsidR="003D7F75">
              <w:t>definitions, footnotes and caveats</w:t>
            </w:r>
            <w:r w:rsidR="00D872A6" w:rsidRPr="006F51F0">
              <w:t>.</w:t>
            </w:r>
          </w:p>
        </w:tc>
      </w:tr>
      <w:tr w:rsidR="006F51F0" w:rsidRPr="006F51F0" w:rsidTr="00DD33DF">
        <w:tc>
          <w:tcPr>
            <w:tcW w:w="8771" w:type="dxa"/>
            <w:tcBorders>
              <w:top w:val="nil"/>
              <w:left w:val="nil"/>
              <w:bottom w:val="nil"/>
              <w:right w:val="nil"/>
            </w:tcBorders>
            <w:shd w:val="clear" w:color="auto" w:fill="auto"/>
          </w:tcPr>
          <w:p w:rsidR="00AC6C42" w:rsidRPr="006F51F0" w:rsidRDefault="00AC6C42" w:rsidP="00086254">
            <w:pPr>
              <w:pStyle w:val="Source"/>
              <w:rPr>
                <w:i/>
              </w:rPr>
            </w:pPr>
            <w:r w:rsidRPr="006F51F0">
              <w:rPr>
                <w:i/>
              </w:rPr>
              <w:t>Source</w:t>
            </w:r>
            <w:r w:rsidRPr="006F51F0">
              <w:t xml:space="preserve">: </w:t>
            </w:r>
            <w:r w:rsidR="00E15ABB" w:rsidRPr="004B42C1">
              <w:t xml:space="preserve">AIHW (unpublished), </w:t>
            </w:r>
            <w:r w:rsidR="00E15ABB" w:rsidRPr="00927A21">
              <w:t>DS NMDS</w:t>
            </w:r>
            <w:r w:rsidR="001736E6" w:rsidRPr="004B42C1">
              <w:t>;</w:t>
            </w:r>
            <w:r w:rsidR="00E15ABB" w:rsidRPr="004B42C1">
              <w:t xml:space="preserve"> </w:t>
            </w:r>
            <w:r w:rsidR="00DF1129" w:rsidRPr="004B42C1">
              <w:t xml:space="preserve">AIHW (unpublished), AIHW analysis of the </w:t>
            </w:r>
            <w:r w:rsidR="00DF1129" w:rsidRPr="00927A21">
              <w:t xml:space="preserve">ABS </w:t>
            </w:r>
            <w:r w:rsidR="004B42C1">
              <w:t>June ERP</w:t>
            </w:r>
            <w:r w:rsidR="001736E6" w:rsidRPr="004B42C1">
              <w:t>;</w:t>
            </w:r>
            <w:r w:rsidR="00DF1129" w:rsidRPr="004B42C1">
              <w:t xml:space="preserve"> </w:t>
            </w:r>
            <w:r w:rsidR="00DF1129" w:rsidRPr="00927A21">
              <w:t>ABS Census of Population and Housing</w:t>
            </w:r>
            <w:r w:rsidR="00DF1129" w:rsidRPr="004B42C1">
              <w:t xml:space="preserve"> and the </w:t>
            </w:r>
            <w:r w:rsidR="00DF1129" w:rsidRPr="00927A21">
              <w:t>ABS</w:t>
            </w:r>
            <w:r w:rsidR="00DF1129" w:rsidRPr="004B42C1">
              <w:t xml:space="preserve"> </w:t>
            </w:r>
            <w:r w:rsidR="004B42C1">
              <w:t>SDAC</w:t>
            </w:r>
            <w:r w:rsidRPr="004B42C1">
              <w:t>; tables 14A.</w:t>
            </w:r>
            <w:r w:rsidR="00086254">
              <w:t>48</w:t>
            </w:r>
            <w:r w:rsidR="00DF1129" w:rsidRPr="004B42C1">
              <w:t>–</w:t>
            </w:r>
            <w:r w:rsidR="00402536" w:rsidRPr="004B42C1">
              <w:t>5</w:t>
            </w:r>
            <w:r w:rsidR="00086254">
              <w:t>1</w:t>
            </w:r>
            <w:r w:rsidRPr="004B42C1">
              <w:t>.</w:t>
            </w:r>
          </w:p>
        </w:tc>
      </w:tr>
      <w:tr w:rsidR="006F51F0" w:rsidRPr="006F51F0" w:rsidTr="00DD33DF">
        <w:tc>
          <w:tcPr>
            <w:tcW w:w="8771" w:type="dxa"/>
            <w:tcBorders>
              <w:top w:val="nil"/>
              <w:left w:val="nil"/>
              <w:bottom w:val="single" w:sz="6" w:space="0" w:color="78A22F"/>
              <w:right w:val="nil"/>
            </w:tcBorders>
            <w:shd w:val="clear" w:color="auto" w:fill="auto"/>
          </w:tcPr>
          <w:p w:rsidR="00AC6C42" w:rsidRPr="006F51F0" w:rsidRDefault="00AC6C42" w:rsidP="00DD33DF">
            <w:pPr>
              <w:pStyle w:val="Figurespace"/>
            </w:pPr>
          </w:p>
        </w:tc>
      </w:tr>
      <w:tr w:rsidR="006F51F0" w:rsidRPr="006F51F0" w:rsidTr="00DD33DF">
        <w:tc>
          <w:tcPr>
            <w:tcW w:w="8771" w:type="dxa"/>
            <w:tcBorders>
              <w:top w:val="single" w:sz="6" w:space="0" w:color="78A22F"/>
              <w:left w:val="nil"/>
              <w:bottom w:val="nil"/>
              <w:right w:val="nil"/>
            </w:tcBorders>
          </w:tcPr>
          <w:p w:rsidR="00AC6C42" w:rsidRPr="006F51F0" w:rsidRDefault="00AC6C42" w:rsidP="00DD33DF">
            <w:pPr>
              <w:pStyle w:val="BoxSpaceBelow"/>
            </w:pPr>
          </w:p>
        </w:tc>
      </w:tr>
    </w:tbl>
    <w:p w:rsidR="00F0465F" w:rsidRPr="00B86C20" w:rsidRDefault="00F0465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51F0" w:rsidRPr="006F51F0" w:rsidTr="00DD33DF">
        <w:tc>
          <w:tcPr>
            <w:tcW w:w="8771" w:type="dxa"/>
            <w:tcBorders>
              <w:top w:val="single" w:sz="6" w:space="0" w:color="78A22F"/>
              <w:left w:val="nil"/>
              <w:bottom w:val="nil"/>
              <w:right w:val="nil"/>
            </w:tcBorders>
            <w:shd w:val="clear" w:color="auto" w:fill="auto"/>
          </w:tcPr>
          <w:p w:rsidR="00F0465F" w:rsidRPr="006F51F0" w:rsidRDefault="00F0465F" w:rsidP="00B8510E">
            <w:pPr>
              <w:pStyle w:val="FigureTitle"/>
            </w:pPr>
            <w:r w:rsidRPr="006F51F0">
              <w:rPr>
                <w:b w:val="0"/>
              </w:rPr>
              <w:t xml:space="preserve">Figure </w:t>
            </w:r>
            <w:bookmarkStart w:id="37" w:name="OLE_LINK34"/>
            <w:r w:rsidR="00321568" w:rsidRPr="006F51F0">
              <w:rPr>
                <w:b w:val="0"/>
              </w:rPr>
              <w:t>14.</w:t>
            </w:r>
            <w:r w:rsidR="004B691F">
              <w:rPr>
                <w:b w:val="0"/>
                <w:noProof/>
              </w:rPr>
              <w:t>21</w:t>
            </w:r>
            <w:bookmarkEnd w:id="37"/>
            <w:r w:rsidRPr="006F51F0">
              <w:tab/>
              <w:t xml:space="preserve">Users of State and Territory administered NDA specialist disability services per 1000 potential population, by country of birth, </w:t>
            </w:r>
            <w:r w:rsidR="00255466" w:rsidRPr="006F51F0">
              <w:t>2013</w:t>
            </w:r>
            <w:r w:rsidR="00B84AF2" w:rsidRPr="006F51F0">
              <w:noBreakHyphen/>
            </w:r>
            <w:r w:rsidR="00255466" w:rsidRPr="006F51F0">
              <w:t>14</w:t>
            </w:r>
            <w:r w:rsidR="00255466" w:rsidRPr="006F51F0">
              <w:rPr>
                <w:rStyle w:val="NoteLabel"/>
                <w:b/>
              </w:rPr>
              <w:t>a</w:t>
            </w:r>
          </w:p>
        </w:tc>
      </w:tr>
      <w:tr w:rsidR="006F51F0" w:rsidRPr="006F51F0"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F51F0" w:rsidRPr="006F51F0" w:rsidTr="00DD33DF">
              <w:trPr>
                <w:jc w:val="center"/>
              </w:trPr>
              <w:tc>
                <w:tcPr>
                  <w:tcW w:w="5000" w:type="pct"/>
                  <w:tcBorders>
                    <w:top w:val="nil"/>
                    <w:bottom w:val="nil"/>
                  </w:tcBorders>
                </w:tcPr>
                <w:p w:rsidR="00F0465F" w:rsidRPr="006F51F0" w:rsidRDefault="00AB345E" w:rsidP="00932094">
                  <w:pPr>
                    <w:pStyle w:val="Figure"/>
                  </w:pPr>
                  <w:r>
                    <w:rPr>
                      <w:noProof/>
                    </w:rPr>
                    <w:drawing>
                      <wp:inline distT="0" distB="0" distL="0" distR="0">
                        <wp:extent cx="2505710" cy="2327275"/>
                        <wp:effectExtent l="0" t="0" r="8890" b="0"/>
                        <wp:docPr id="50" name="Picture 50" descr="Figure 14.21 Users of State and Territory administered NDA specialist disability services per 1000 potential population, by country of birth, 2013-14&#10;&#10;(a) Accommodation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51" name="Picture 51" descr="Figure 14.21 Users of State and Territory administered NDA specialist disability services per 1000 potential population, by country of birth, 2013-14&#10;&#10;(b) Community supp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tc>
            </w:tr>
            <w:tr w:rsidR="006F51F0" w:rsidRPr="006F51F0" w:rsidTr="00DD33DF">
              <w:trPr>
                <w:jc w:val="center"/>
              </w:trPr>
              <w:tc>
                <w:tcPr>
                  <w:tcW w:w="5000" w:type="pct"/>
                  <w:tcBorders>
                    <w:top w:val="nil"/>
                    <w:bottom w:val="nil"/>
                  </w:tcBorders>
                </w:tcPr>
                <w:p w:rsidR="00E15ABB" w:rsidRPr="006F51F0" w:rsidRDefault="00AB345E" w:rsidP="00127366">
                  <w:pPr>
                    <w:pStyle w:val="Figure"/>
                  </w:pPr>
                  <w:r>
                    <w:rPr>
                      <w:noProof/>
                    </w:rPr>
                    <w:drawing>
                      <wp:inline distT="0" distB="0" distL="0" distR="0">
                        <wp:extent cx="2505710" cy="2327275"/>
                        <wp:effectExtent l="0" t="0" r="8890" b="0"/>
                        <wp:docPr id="52" name="Picture 52" descr="Figure 14.21 Users of State and Territory administered NDA specialist disability services per 1000 potential population, by country of birth, 2013-14&#10;&#10;(c) Community acces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p>
              </w:tc>
            </w:tr>
            <w:tr w:rsidR="006F51F0" w:rsidRPr="006F51F0" w:rsidTr="00DD33DF">
              <w:trPr>
                <w:jc w:val="center"/>
              </w:trPr>
              <w:tc>
                <w:tcPr>
                  <w:tcW w:w="5000" w:type="pct"/>
                  <w:tcBorders>
                    <w:top w:val="nil"/>
                    <w:bottom w:val="nil"/>
                  </w:tcBorders>
                </w:tcPr>
                <w:p w:rsidR="00C60675" w:rsidRPr="006F51F0" w:rsidRDefault="00EC4290" w:rsidP="00127366">
                  <w:pPr>
                    <w:pStyle w:val="Figure"/>
                  </w:pPr>
                  <w:r>
                    <w:rPr>
                      <w:noProof/>
                    </w:rPr>
                    <w:drawing>
                      <wp:inline distT="0" distB="0" distL="0" distR="0" wp14:anchorId="2957AE0D" wp14:editId="23BCF826">
                        <wp:extent cx="5225415" cy="546100"/>
                        <wp:effectExtent l="0" t="0" r="0" b="6350"/>
                        <wp:docPr id="2" name="Picture 2" descr="Legend to Figure 14.21 Users of State and Territory administered NDA specialist disability services per 1000 potential population, by country of birth,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25415" cy="546100"/>
                                </a:xfrm>
                                <a:prstGeom prst="rect">
                                  <a:avLst/>
                                </a:prstGeom>
                                <a:noFill/>
                                <a:ln>
                                  <a:noFill/>
                                </a:ln>
                              </pic:spPr>
                            </pic:pic>
                          </a:graphicData>
                        </a:graphic>
                      </wp:inline>
                    </w:drawing>
                  </w:r>
                </w:p>
              </w:tc>
            </w:tr>
          </w:tbl>
          <w:p w:rsidR="00F0465F" w:rsidRPr="006F51F0" w:rsidRDefault="00F0465F" w:rsidP="00DD33DF">
            <w:pPr>
              <w:pStyle w:val="Figure"/>
            </w:pPr>
          </w:p>
        </w:tc>
      </w:tr>
      <w:tr w:rsidR="006F51F0" w:rsidRPr="006F51F0" w:rsidTr="00DD33DF">
        <w:tc>
          <w:tcPr>
            <w:tcW w:w="8771" w:type="dxa"/>
            <w:tcBorders>
              <w:top w:val="nil"/>
              <w:left w:val="nil"/>
              <w:bottom w:val="nil"/>
              <w:right w:val="nil"/>
            </w:tcBorders>
            <w:shd w:val="clear" w:color="auto" w:fill="auto"/>
          </w:tcPr>
          <w:p w:rsidR="00F0465F" w:rsidRPr="006F51F0" w:rsidRDefault="00FB6B6C" w:rsidP="00086254">
            <w:pPr>
              <w:pStyle w:val="Note"/>
            </w:pPr>
            <w:r w:rsidRPr="006F51F0">
              <w:rPr>
                <w:rStyle w:val="NoteLabel"/>
              </w:rPr>
              <w:t>a</w:t>
            </w:r>
            <w:r w:rsidRPr="006F51F0">
              <w:t xml:space="preserve"> </w:t>
            </w:r>
            <w:r w:rsidR="00D872A6" w:rsidRPr="006F51F0">
              <w:t>See box</w:t>
            </w:r>
            <w:r w:rsidR="005547FD">
              <w:t> </w:t>
            </w:r>
            <w:r w:rsidR="00D872A6" w:rsidRPr="006F51F0">
              <w:t>14.</w:t>
            </w:r>
            <w:r w:rsidR="00995B83">
              <w:t>8</w:t>
            </w:r>
            <w:r w:rsidR="00D872A6" w:rsidRPr="006F51F0">
              <w:t xml:space="preserve"> and tables</w:t>
            </w:r>
            <w:r w:rsidR="005547FD">
              <w:t> </w:t>
            </w:r>
            <w:r w:rsidR="00D872A6" w:rsidRPr="006F51F0">
              <w:t>14A.</w:t>
            </w:r>
            <w:r w:rsidR="00086254">
              <w:t>48</w:t>
            </w:r>
            <w:r w:rsidR="00D872A6" w:rsidRPr="006F51F0">
              <w:t>–</w:t>
            </w:r>
            <w:r w:rsidR="00086254">
              <w:t>50</w:t>
            </w:r>
            <w:r w:rsidR="00086254" w:rsidRPr="006F51F0">
              <w:t xml:space="preserve"> </w:t>
            </w:r>
            <w:r w:rsidR="00D872A6" w:rsidRPr="006F51F0">
              <w:t xml:space="preserve">for detailed </w:t>
            </w:r>
            <w:r w:rsidR="003D7F75">
              <w:t>definitions, footnotes and caveats</w:t>
            </w:r>
            <w:r w:rsidR="00D872A6" w:rsidRPr="006F51F0">
              <w:t>.</w:t>
            </w:r>
          </w:p>
        </w:tc>
      </w:tr>
      <w:tr w:rsidR="006F51F0" w:rsidRPr="006F51F0" w:rsidTr="00DD33DF">
        <w:tc>
          <w:tcPr>
            <w:tcW w:w="8771" w:type="dxa"/>
            <w:tcBorders>
              <w:top w:val="nil"/>
              <w:left w:val="nil"/>
              <w:bottom w:val="nil"/>
              <w:right w:val="nil"/>
            </w:tcBorders>
            <w:shd w:val="clear" w:color="auto" w:fill="auto"/>
          </w:tcPr>
          <w:p w:rsidR="00F0465F" w:rsidRPr="006F51F0" w:rsidRDefault="00FB6B6C" w:rsidP="0044315A">
            <w:pPr>
              <w:pStyle w:val="Source"/>
            </w:pPr>
            <w:r w:rsidRPr="006F51F0">
              <w:rPr>
                <w:i/>
              </w:rPr>
              <w:t>Source</w:t>
            </w:r>
            <w:r w:rsidRPr="006F51F0">
              <w:t xml:space="preserve">: </w:t>
            </w:r>
            <w:r w:rsidRPr="00975AA0">
              <w:t xml:space="preserve">AIHW (unpublished) </w:t>
            </w:r>
            <w:r w:rsidRPr="00960B72">
              <w:t>DS NMDS</w:t>
            </w:r>
            <w:r w:rsidR="00DF1129" w:rsidRPr="00960B72">
              <w:t xml:space="preserve"> </w:t>
            </w:r>
            <w:r w:rsidR="0041043C" w:rsidRPr="00960B72">
              <w:t>2013</w:t>
            </w:r>
            <w:r w:rsidR="005547FD">
              <w:noBreakHyphen/>
            </w:r>
            <w:r w:rsidR="0041043C" w:rsidRPr="00960B72">
              <w:t>14</w:t>
            </w:r>
            <w:r w:rsidRPr="00975AA0">
              <w:t xml:space="preserve">; </w:t>
            </w:r>
            <w:r w:rsidR="00DF1129" w:rsidRPr="00975AA0">
              <w:t xml:space="preserve">AIHW (unpublished), AIHW analysis of the </w:t>
            </w:r>
            <w:r w:rsidR="00DF1129" w:rsidRPr="00960B72">
              <w:t xml:space="preserve">ABS </w:t>
            </w:r>
            <w:r w:rsidR="00975AA0">
              <w:t>June ERP</w:t>
            </w:r>
            <w:r w:rsidR="00DF1129" w:rsidRPr="00975AA0">
              <w:t xml:space="preserve">, </w:t>
            </w:r>
            <w:r w:rsidR="00DF1129" w:rsidRPr="00960B72">
              <w:t xml:space="preserve">ABS Census of Population and Housing </w:t>
            </w:r>
            <w:r w:rsidR="00DF1129" w:rsidRPr="00975AA0">
              <w:t xml:space="preserve">and the </w:t>
            </w:r>
            <w:r w:rsidR="00DF1129" w:rsidRPr="00960B72">
              <w:t>ABS</w:t>
            </w:r>
            <w:r w:rsidR="00DF1129" w:rsidRPr="00975AA0">
              <w:t xml:space="preserve"> </w:t>
            </w:r>
            <w:r w:rsidR="00975AA0">
              <w:t>SDAC</w:t>
            </w:r>
            <w:r w:rsidR="00DF1129" w:rsidRPr="00960B72">
              <w:t xml:space="preserve"> </w:t>
            </w:r>
            <w:r w:rsidR="00DF1129" w:rsidRPr="00975AA0">
              <w:t>;</w:t>
            </w:r>
            <w:r w:rsidRPr="00975AA0">
              <w:t xml:space="preserve"> tables 14A.</w:t>
            </w:r>
            <w:r w:rsidR="00AF3774" w:rsidRPr="00975AA0">
              <w:t>48</w:t>
            </w:r>
            <w:r w:rsidR="00F46BB7" w:rsidRPr="00975AA0">
              <w:t>–</w:t>
            </w:r>
            <w:r w:rsidR="00AF3774" w:rsidRPr="00975AA0">
              <w:t>50</w:t>
            </w:r>
            <w:r w:rsidRPr="00975AA0">
              <w:t>.</w:t>
            </w:r>
            <w:r w:rsidRPr="00975AA0">
              <w:rPr>
                <w:b/>
              </w:rPr>
              <w:t xml:space="preserve"> </w:t>
            </w:r>
          </w:p>
        </w:tc>
      </w:tr>
      <w:tr w:rsidR="006F51F0" w:rsidRPr="006F51F0" w:rsidTr="00DD33DF">
        <w:tc>
          <w:tcPr>
            <w:tcW w:w="8771" w:type="dxa"/>
            <w:tcBorders>
              <w:top w:val="nil"/>
              <w:left w:val="nil"/>
              <w:bottom w:val="single" w:sz="6" w:space="0" w:color="78A22F"/>
              <w:right w:val="nil"/>
            </w:tcBorders>
            <w:shd w:val="clear" w:color="auto" w:fill="auto"/>
          </w:tcPr>
          <w:p w:rsidR="00F0465F" w:rsidRPr="006F51F0" w:rsidRDefault="00F0465F" w:rsidP="00DD33DF">
            <w:pPr>
              <w:pStyle w:val="Figurespace"/>
            </w:pPr>
          </w:p>
        </w:tc>
      </w:tr>
      <w:tr w:rsidR="006F51F0" w:rsidRPr="006F51F0" w:rsidTr="00DD33DF">
        <w:tc>
          <w:tcPr>
            <w:tcW w:w="8771" w:type="dxa"/>
            <w:tcBorders>
              <w:top w:val="single" w:sz="6" w:space="0" w:color="78A22F"/>
              <w:left w:val="nil"/>
              <w:bottom w:val="nil"/>
              <w:right w:val="nil"/>
            </w:tcBorders>
          </w:tcPr>
          <w:p w:rsidR="00F0465F" w:rsidRPr="006F51F0" w:rsidRDefault="00F0465F" w:rsidP="00DD33DF">
            <w:pPr>
              <w:pStyle w:val="BoxSpaceBelow"/>
            </w:pPr>
          </w:p>
        </w:tc>
      </w:tr>
    </w:tbl>
    <w:p w:rsidR="001F39F2" w:rsidRPr="00AB7604" w:rsidRDefault="001F39F2" w:rsidP="00585E2C">
      <w:pPr>
        <w:pStyle w:val="BodyText"/>
      </w:pPr>
      <w:r w:rsidRPr="00AB7604">
        <w:t xml:space="preserve">Nationally in </w:t>
      </w:r>
      <w:r w:rsidR="00141970" w:rsidRPr="00AB7604">
        <w:t>2013</w:t>
      </w:r>
      <w:r w:rsidR="00B84AF2" w:rsidRPr="00AB7604">
        <w:noBreakHyphen/>
      </w:r>
      <w:r w:rsidR="00141970" w:rsidRPr="00AB7604">
        <w:t>14</w:t>
      </w:r>
      <w:r w:rsidRPr="00AB7604">
        <w:t>, the proportion of people born in a non</w:t>
      </w:r>
      <w:r w:rsidR="00B84AF2" w:rsidRPr="00AB7604">
        <w:noBreakHyphen/>
      </w:r>
      <w:r w:rsidRPr="00AB7604">
        <w:t>English speaking country who used NDA employment services (</w:t>
      </w:r>
      <w:r w:rsidR="003D7ED5">
        <w:t>6.1</w:t>
      </w:r>
      <w:r w:rsidRPr="00AB7604">
        <w:t xml:space="preserve"> service users per 1000 population) was lower than that of people born in an English speaking country (</w:t>
      </w:r>
      <w:r w:rsidR="00AB7604" w:rsidRPr="00AB7604">
        <w:t>9.1</w:t>
      </w:r>
      <w:r w:rsidRPr="00AB7604">
        <w:t xml:space="preserve"> service users </w:t>
      </w:r>
      <w:r w:rsidR="005B7885" w:rsidRPr="00AB7604">
        <w:t>per </w:t>
      </w:r>
      <w:r w:rsidRPr="00AB7604">
        <w:t>1000</w:t>
      </w:r>
      <w:r w:rsidR="005B7885" w:rsidRPr="00AB7604">
        <w:t> </w:t>
      </w:r>
      <w:r w:rsidRPr="00AB7604">
        <w:t>population) (figure</w:t>
      </w:r>
      <w:r w:rsidR="00AE3578" w:rsidRPr="00AB7604">
        <w:t> </w:t>
      </w:r>
      <w:r w:rsidRPr="00AB7604">
        <w:t>14.</w:t>
      </w:r>
      <w:r w:rsidR="00F61907">
        <w:t>22</w:t>
      </w:r>
      <w:r w:rsidRPr="00AB7604">
        <w:t>). The proportion of the potential population of people born in a non</w:t>
      </w:r>
      <w:r w:rsidR="00B84AF2" w:rsidRPr="00AB7604">
        <w:noBreakHyphen/>
      </w:r>
      <w:r w:rsidRPr="00AB7604">
        <w:t>English speaking country who used NDA employment services (</w:t>
      </w:r>
      <w:r w:rsidR="00AB7604" w:rsidRPr="00AB7604">
        <w:t>441.6</w:t>
      </w:r>
      <w:r w:rsidRPr="00AB7604">
        <w:t xml:space="preserve"> service users per 1000 potential population) was lower than that of the potential </w:t>
      </w:r>
      <w:r w:rsidRPr="00AB7604">
        <w:lastRenderedPageBreak/>
        <w:t>population of people born in an English speaking country (</w:t>
      </w:r>
      <w:r w:rsidR="00AB7604" w:rsidRPr="00AB7604">
        <w:t>438.8</w:t>
      </w:r>
      <w:r w:rsidR="0040202F" w:rsidRPr="00AB7604">
        <w:t xml:space="preserve"> </w:t>
      </w:r>
      <w:r w:rsidR="005B7885" w:rsidRPr="00AB7604">
        <w:t>service users per 1000 </w:t>
      </w:r>
      <w:r w:rsidRPr="00AB7604">
        <w:t>potential population) (figure</w:t>
      </w:r>
      <w:r w:rsidR="00AE3578" w:rsidRPr="00AB7604">
        <w:t> </w:t>
      </w:r>
      <w:r w:rsidRPr="00AB7604">
        <w:t>14.</w:t>
      </w:r>
      <w:r w:rsidR="00F61907">
        <w:t>22</w:t>
      </w:r>
      <w:r w:rsidRPr="00AB7604">
        <w:t>).</w:t>
      </w:r>
    </w:p>
    <w:p w:rsidR="00706F92" w:rsidRPr="00B86C20" w:rsidRDefault="00706F92"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6F92" w:rsidRPr="00AB7604" w:rsidTr="00DD33DF">
        <w:tc>
          <w:tcPr>
            <w:tcW w:w="8771" w:type="dxa"/>
            <w:tcBorders>
              <w:top w:val="single" w:sz="6" w:space="0" w:color="78A22F"/>
              <w:left w:val="nil"/>
              <w:bottom w:val="nil"/>
              <w:right w:val="nil"/>
            </w:tcBorders>
            <w:shd w:val="clear" w:color="auto" w:fill="auto"/>
          </w:tcPr>
          <w:p w:rsidR="00706F92" w:rsidRPr="00AB7604" w:rsidRDefault="00706F92" w:rsidP="00B8510E">
            <w:pPr>
              <w:pStyle w:val="FigureTitle"/>
            </w:pPr>
            <w:r w:rsidRPr="00AB7604">
              <w:rPr>
                <w:b w:val="0"/>
              </w:rPr>
              <w:t xml:space="preserve">Figure </w:t>
            </w:r>
            <w:r w:rsidR="00321568" w:rsidRPr="00AB7604">
              <w:rPr>
                <w:b w:val="0"/>
              </w:rPr>
              <w:t>14.</w:t>
            </w:r>
            <w:r w:rsidR="004B691F">
              <w:rPr>
                <w:b w:val="0"/>
                <w:noProof/>
              </w:rPr>
              <w:t>22</w:t>
            </w:r>
            <w:r w:rsidRPr="00AB7604">
              <w:tab/>
              <w:t>Users of NDA employment service</w:t>
            </w:r>
            <w:r w:rsidR="0040202F" w:rsidRPr="00AB7604">
              <w:t xml:space="preserve">s, by country of birth, </w:t>
            </w:r>
            <w:r w:rsidR="0040202F" w:rsidRPr="00AB7604">
              <w:br/>
            </w:r>
            <w:r w:rsidR="00E20BB6" w:rsidRPr="00AB7604">
              <w:t>2013</w:t>
            </w:r>
            <w:r w:rsidR="00B84AF2" w:rsidRPr="00AB7604">
              <w:noBreakHyphen/>
            </w:r>
            <w:r w:rsidR="00E20BB6" w:rsidRPr="00AB7604">
              <w:t>14</w:t>
            </w:r>
            <w:r w:rsidR="00E20BB6" w:rsidRPr="00AB7604">
              <w:rPr>
                <w:rStyle w:val="NoteLabel"/>
                <w:b/>
              </w:rPr>
              <w:t>a</w:t>
            </w:r>
          </w:p>
        </w:tc>
      </w:tr>
      <w:tr w:rsidR="00706F92" w:rsidRPr="00AB7604" w:rsidTr="00DD33DF">
        <w:tc>
          <w:tcPr>
            <w:tcW w:w="8771" w:type="dxa"/>
            <w:tcBorders>
              <w:top w:val="nil"/>
              <w:left w:val="nil"/>
              <w:bottom w:val="nil"/>
              <w:right w:val="nil"/>
            </w:tcBorders>
            <w:shd w:val="clear" w:color="auto" w:fill="auto"/>
            <w:tcMar>
              <w:top w:w="28" w:type="dxa"/>
              <w:bottom w:w="28" w:type="dxa"/>
            </w:tcMar>
          </w:tcPr>
          <w:p w:rsidR="00DE0ECB" w:rsidRPr="00AB7604" w:rsidRDefault="00AB345E" w:rsidP="00932094">
            <w:pPr>
              <w:pStyle w:val="Figure"/>
            </w:pPr>
            <w:r>
              <w:rPr>
                <w:noProof/>
              </w:rPr>
              <w:drawing>
                <wp:inline distT="0" distB="0" distL="0" distR="0">
                  <wp:extent cx="2505710" cy="2327275"/>
                  <wp:effectExtent l="0" t="0" r="8890" b="0"/>
                  <wp:docPr id="53" name="Picture 53" descr="Figure 14.22 Users of NDA employment services, by country of birth, 2013-14&#10;&#10;Users/1000 peop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2505710" cy="2327275"/>
                  <wp:effectExtent l="0" t="0" r="8890" b="0"/>
                  <wp:docPr id="54" name="Picture 54" descr="Figure 14.22 Users of NDA employment services, by country of birth, 2013-14&#10;&#10;Users/1000 potential popula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05710" cy="2327275"/>
                          </a:xfrm>
                          <a:prstGeom prst="rect">
                            <a:avLst/>
                          </a:prstGeom>
                          <a:noFill/>
                          <a:ln>
                            <a:noFill/>
                          </a:ln>
                        </pic:spPr>
                      </pic:pic>
                    </a:graphicData>
                  </a:graphic>
                </wp:inline>
              </w:drawing>
            </w:r>
            <w:r>
              <w:rPr>
                <w:noProof/>
              </w:rPr>
              <w:drawing>
                <wp:inline distT="0" distB="0" distL="0" distR="0">
                  <wp:extent cx="5225415" cy="546100"/>
                  <wp:effectExtent l="0" t="0" r="0" b="6350"/>
                  <wp:docPr id="55" name="Picture 55" descr="Legend to Figure 14.22 Users of NDA employment services, by country of birth,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25415" cy="546100"/>
                          </a:xfrm>
                          <a:prstGeom prst="rect">
                            <a:avLst/>
                          </a:prstGeom>
                          <a:noFill/>
                          <a:ln>
                            <a:noFill/>
                          </a:ln>
                        </pic:spPr>
                      </pic:pic>
                    </a:graphicData>
                  </a:graphic>
                </wp:inline>
              </w:drawing>
            </w:r>
          </w:p>
        </w:tc>
      </w:tr>
      <w:tr w:rsidR="00706F92" w:rsidRPr="00AB7604" w:rsidTr="00DD33DF">
        <w:tc>
          <w:tcPr>
            <w:tcW w:w="8771" w:type="dxa"/>
            <w:tcBorders>
              <w:top w:val="nil"/>
              <w:left w:val="nil"/>
              <w:bottom w:val="nil"/>
              <w:right w:val="nil"/>
            </w:tcBorders>
            <w:shd w:val="clear" w:color="auto" w:fill="auto"/>
          </w:tcPr>
          <w:p w:rsidR="00706F92" w:rsidRPr="00AB7604" w:rsidRDefault="00706F92" w:rsidP="00AF3774">
            <w:pPr>
              <w:pStyle w:val="Note"/>
              <w:keepNext/>
            </w:pPr>
            <w:r w:rsidRPr="00AB7604">
              <w:rPr>
                <w:rStyle w:val="NoteLabel"/>
              </w:rPr>
              <w:t>a</w:t>
            </w:r>
            <w:r w:rsidRPr="00AB7604">
              <w:t xml:space="preserve"> </w:t>
            </w:r>
            <w:r w:rsidR="00995B83">
              <w:t>See box</w:t>
            </w:r>
            <w:r w:rsidR="005547FD">
              <w:t> </w:t>
            </w:r>
            <w:r w:rsidR="00995B83">
              <w:t>14.8</w:t>
            </w:r>
            <w:r w:rsidR="00D872A6" w:rsidRPr="00AB7604">
              <w:t xml:space="preserve"> and table</w:t>
            </w:r>
            <w:r w:rsidR="005547FD">
              <w:t> </w:t>
            </w:r>
            <w:r w:rsidR="00D872A6" w:rsidRPr="00AB7604">
              <w:t>14A.5</w:t>
            </w:r>
            <w:r w:rsidR="00AF3774">
              <w:t>2</w:t>
            </w:r>
            <w:r w:rsidR="00D872A6" w:rsidRPr="00AB7604">
              <w:t xml:space="preserve"> for detailed </w:t>
            </w:r>
            <w:r w:rsidR="003D7F75">
              <w:t>definitions, footnotes and caveats</w:t>
            </w:r>
            <w:r w:rsidR="00D872A6" w:rsidRPr="00AB7604">
              <w:t>.</w:t>
            </w:r>
          </w:p>
        </w:tc>
      </w:tr>
      <w:tr w:rsidR="00706F92" w:rsidRPr="00AB7604" w:rsidTr="00DD33DF">
        <w:tc>
          <w:tcPr>
            <w:tcW w:w="8771" w:type="dxa"/>
            <w:tcBorders>
              <w:top w:val="nil"/>
              <w:left w:val="nil"/>
              <w:bottom w:val="nil"/>
              <w:right w:val="nil"/>
            </w:tcBorders>
            <w:shd w:val="clear" w:color="auto" w:fill="auto"/>
          </w:tcPr>
          <w:p w:rsidR="00706F92" w:rsidRPr="00AB7604" w:rsidRDefault="00706F92" w:rsidP="0044315A">
            <w:pPr>
              <w:pStyle w:val="Source"/>
              <w:keepNext/>
            </w:pPr>
            <w:r w:rsidRPr="00AB7604">
              <w:rPr>
                <w:i/>
              </w:rPr>
              <w:t>Source</w:t>
            </w:r>
            <w:r w:rsidRPr="00AB7604">
              <w:t xml:space="preserve">: AIHW (unpublished) </w:t>
            </w:r>
            <w:r w:rsidRPr="00960B72">
              <w:t>DS NMDS</w:t>
            </w:r>
            <w:r w:rsidRPr="0044315A">
              <w:t xml:space="preserve">; </w:t>
            </w:r>
            <w:r w:rsidR="00DF1129" w:rsidRPr="0044315A">
              <w:t xml:space="preserve">AIHW (unpublished), AIHW analysis of the </w:t>
            </w:r>
            <w:r w:rsidR="00DF1129" w:rsidRPr="00960B72">
              <w:t xml:space="preserve">ABS </w:t>
            </w:r>
            <w:r w:rsidR="0044315A">
              <w:t>June ERP</w:t>
            </w:r>
            <w:r w:rsidR="00DF1129" w:rsidRPr="0044315A">
              <w:t xml:space="preserve">, </w:t>
            </w:r>
            <w:r w:rsidR="00DF1129" w:rsidRPr="00960B72">
              <w:t xml:space="preserve">ABS Census of Population and Housing </w:t>
            </w:r>
            <w:r w:rsidR="00DF1129" w:rsidRPr="0044315A">
              <w:t xml:space="preserve">and the </w:t>
            </w:r>
            <w:r w:rsidR="00DF1129" w:rsidRPr="00960B72">
              <w:t>ABS</w:t>
            </w:r>
            <w:r w:rsidR="00DF1129" w:rsidRPr="0044315A">
              <w:t xml:space="preserve"> </w:t>
            </w:r>
            <w:r w:rsidR="0044315A">
              <w:t>SDAC</w:t>
            </w:r>
            <w:r w:rsidR="00DF1129" w:rsidRPr="0044315A">
              <w:t>;</w:t>
            </w:r>
            <w:r w:rsidRPr="0044315A">
              <w:t xml:space="preserve"> table 14A.</w:t>
            </w:r>
            <w:r w:rsidR="00402536" w:rsidRPr="0044315A">
              <w:t>5</w:t>
            </w:r>
            <w:r w:rsidR="00AF3774" w:rsidRPr="0044315A">
              <w:t>2</w:t>
            </w:r>
            <w:r w:rsidRPr="00AB7604">
              <w:t xml:space="preserve">. </w:t>
            </w:r>
          </w:p>
        </w:tc>
      </w:tr>
      <w:tr w:rsidR="00706F92" w:rsidRPr="00AB7604" w:rsidTr="00DD33DF">
        <w:tc>
          <w:tcPr>
            <w:tcW w:w="8771" w:type="dxa"/>
            <w:tcBorders>
              <w:top w:val="nil"/>
              <w:left w:val="nil"/>
              <w:bottom w:val="single" w:sz="6" w:space="0" w:color="78A22F"/>
              <w:right w:val="nil"/>
            </w:tcBorders>
            <w:shd w:val="clear" w:color="auto" w:fill="auto"/>
          </w:tcPr>
          <w:p w:rsidR="00706F92" w:rsidRPr="00AB7604" w:rsidRDefault="00706F92" w:rsidP="00DD33DF">
            <w:pPr>
              <w:pStyle w:val="Figurespace"/>
            </w:pPr>
          </w:p>
        </w:tc>
      </w:tr>
      <w:tr w:rsidR="00706F92" w:rsidRPr="00AB7604" w:rsidTr="00DD33DF">
        <w:tc>
          <w:tcPr>
            <w:tcW w:w="8771" w:type="dxa"/>
            <w:tcBorders>
              <w:top w:val="single" w:sz="6" w:space="0" w:color="78A22F"/>
              <w:left w:val="nil"/>
              <w:bottom w:val="nil"/>
              <w:right w:val="nil"/>
            </w:tcBorders>
          </w:tcPr>
          <w:p w:rsidR="00706F92" w:rsidRPr="00AB7604" w:rsidRDefault="00706F92" w:rsidP="00DD33DF">
            <w:pPr>
              <w:pStyle w:val="BoxSpaceBelow"/>
            </w:pPr>
          </w:p>
        </w:tc>
      </w:tr>
    </w:tbl>
    <w:p w:rsidR="001F39F2" w:rsidRPr="00AB7604" w:rsidRDefault="004B42C1" w:rsidP="00927A21">
      <w:pPr>
        <w:pStyle w:val="Heading4"/>
      </w:pPr>
      <w:r>
        <w:t>A</w:t>
      </w:r>
      <w:r w:rsidRPr="00133E61">
        <w:t xml:space="preserve">ccess to appropriate services on the basis of relative need </w:t>
      </w:r>
      <w:r>
        <w:t xml:space="preserve">– </w:t>
      </w:r>
      <w:r w:rsidR="001F39F2" w:rsidRPr="00AB7604">
        <w:t>Access to community accommodation and care services</w:t>
      </w:r>
    </w:p>
    <w:p w:rsidR="001F39F2" w:rsidRPr="00AB7604" w:rsidRDefault="001F39F2" w:rsidP="004B42C1">
      <w:pPr>
        <w:pStyle w:val="BodyText"/>
      </w:pPr>
      <w:r w:rsidRPr="00AB7604">
        <w:t>‘Access to community accommodation and care services’ is an indicator of governments’ objective to assist people with disability to live as valued and participating members of the community (box</w:t>
      </w:r>
      <w:r w:rsidR="00AE3578" w:rsidRPr="00AB7604">
        <w:t> </w:t>
      </w:r>
      <w:r w:rsidRPr="00AB7604">
        <w:t>14.</w:t>
      </w:r>
      <w:r w:rsidR="00651C61">
        <w:t>9</w:t>
      </w:r>
      <w:r w:rsidRPr="00AB7604">
        <w:t>). Governments provide or fund accommodation support services to people with disability in institutional/residential settings and through community accommodation and care services. Institutional or residential accommodation support services are provided in both institutions and hostels. Community accommodation and care services are provided in group homes and other community settings. The services provided in other community settings are attendant care/personal care, in home accommodation support, alternative family placement and other accommodation support.</w:t>
      </w:r>
    </w:p>
    <w:p w:rsidR="00F4787F" w:rsidRPr="00B86C20" w:rsidRDefault="00F4787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787F" w:rsidRPr="00AB7604" w:rsidTr="00C827D5">
        <w:tc>
          <w:tcPr>
            <w:tcW w:w="8771" w:type="dxa"/>
            <w:tcBorders>
              <w:top w:val="single" w:sz="6" w:space="0" w:color="78A22F"/>
              <w:left w:val="nil"/>
              <w:bottom w:val="nil"/>
              <w:right w:val="nil"/>
            </w:tcBorders>
            <w:shd w:val="clear" w:color="auto" w:fill="F2F2F2"/>
          </w:tcPr>
          <w:p w:rsidR="00F4787F" w:rsidRPr="00AB7604" w:rsidRDefault="00F4787F" w:rsidP="00F4787F">
            <w:pPr>
              <w:pStyle w:val="BoxTitle"/>
            </w:pPr>
            <w:r w:rsidRPr="00AB7604">
              <w:rPr>
                <w:b w:val="0"/>
              </w:rPr>
              <w:t xml:space="preserve">Box </w:t>
            </w:r>
            <w:r w:rsidR="00321568" w:rsidRPr="00AB7604">
              <w:rPr>
                <w:b w:val="0"/>
              </w:rPr>
              <w:t>14.</w:t>
            </w:r>
            <w:r w:rsidR="004B691F">
              <w:rPr>
                <w:b w:val="0"/>
                <w:noProof/>
              </w:rPr>
              <w:t>9</w:t>
            </w:r>
            <w:r w:rsidRPr="00AB7604">
              <w:tab/>
              <w:t>Access to community accommodation and care services</w:t>
            </w:r>
          </w:p>
        </w:tc>
      </w:tr>
      <w:tr w:rsidR="00F4787F" w:rsidRPr="00AB7604" w:rsidTr="00C827D5">
        <w:trPr>
          <w:cantSplit/>
        </w:trPr>
        <w:tc>
          <w:tcPr>
            <w:tcW w:w="8771" w:type="dxa"/>
            <w:tcBorders>
              <w:top w:val="nil"/>
              <w:left w:val="nil"/>
              <w:bottom w:val="nil"/>
              <w:right w:val="nil"/>
            </w:tcBorders>
            <w:shd w:val="clear" w:color="auto" w:fill="F2F2F2"/>
          </w:tcPr>
          <w:p w:rsidR="00F4787F" w:rsidRPr="00AB7604" w:rsidRDefault="00F4787F" w:rsidP="00F4787F">
            <w:pPr>
              <w:pStyle w:val="Box"/>
            </w:pPr>
            <w:r w:rsidRPr="00AB7604">
              <w:t xml:space="preserve">‘Access to community accommodation and care services’ is defined as the number of people using a NDA community accommodation and care service divided by the total number of people using NDA accommodation support services (excluding people who use specialist psychiatric disability services only). </w:t>
            </w:r>
          </w:p>
          <w:p w:rsidR="00F4787F" w:rsidRPr="00AB7604" w:rsidRDefault="00F4787F" w:rsidP="00F4787F">
            <w:pPr>
              <w:pStyle w:val="Box"/>
            </w:pPr>
            <w:r w:rsidRPr="00AB7604">
              <w:t xml:space="preserve">A higher or increasing proportion of people accessing NDA community accommodation and care services might provide better opportunities for people with disability (who need accommodation support) to be involved in their community. </w:t>
            </w:r>
          </w:p>
          <w:p w:rsidR="00F4787F" w:rsidRPr="00AB7604" w:rsidRDefault="00F4787F" w:rsidP="00F4787F">
            <w:pPr>
              <w:pStyle w:val="Box"/>
            </w:pPr>
            <w:r w:rsidRPr="00AB7604">
              <w:t xml:space="preserve">NDA specialist disability services are provided on the basis of need and available resources. This indicator does not provide information on whether the services are appropriate for the needs of the people receiving them or correctly targeted </w:t>
            </w:r>
            <w:r w:rsidRPr="00AB7604">
              <w:rPr>
                <w:rFonts w:cs="Arial"/>
                <w:szCs w:val="22"/>
              </w:rPr>
              <w:t>on the basis of relative need</w:t>
            </w:r>
            <w:r w:rsidRPr="00AB7604">
              <w:t>.</w:t>
            </w:r>
          </w:p>
          <w:p w:rsidR="00F4787F" w:rsidRPr="00AB7604" w:rsidRDefault="00F4787F" w:rsidP="00F4787F">
            <w:pPr>
              <w:pStyle w:val="Box"/>
            </w:pPr>
            <w:r w:rsidRPr="00AB7604">
              <w:t>Data reported for this measure are:</w:t>
            </w:r>
          </w:p>
          <w:p w:rsidR="00F4787F" w:rsidRPr="00AB7604" w:rsidRDefault="00F4787F" w:rsidP="00F4787F">
            <w:pPr>
              <w:pStyle w:val="BoxListBullet"/>
              <w:keepLines/>
            </w:pPr>
            <w:r w:rsidRPr="00AB7604">
              <w:t xml:space="preserve">comparable (subject to caveats) across jurisdictions and over time </w:t>
            </w:r>
          </w:p>
          <w:p w:rsidR="00F4787F" w:rsidRPr="00AB7604" w:rsidRDefault="00F4787F" w:rsidP="00F4787F">
            <w:pPr>
              <w:pStyle w:val="BoxListBullet"/>
              <w:keepLines/>
            </w:pPr>
            <w:r w:rsidRPr="00AB7604">
              <w:t xml:space="preserve">complete (subject to caveats) for the current reporting period. All required </w:t>
            </w:r>
            <w:r w:rsidR="00A658F7" w:rsidRPr="00AB7604">
              <w:t>201</w:t>
            </w:r>
            <w:r w:rsidR="001736E6">
              <w:t>3</w:t>
            </w:r>
            <w:r w:rsidR="00B84AF2" w:rsidRPr="00AB7604">
              <w:noBreakHyphen/>
            </w:r>
            <w:r w:rsidR="00A658F7" w:rsidRPr="00AB7604">
              <w:t>1</w:t>
            </w:r>
            <w:r w:rsidR="001736E6">
              <w:t>4</w:t>
            </w:r>
            <w:r w:rsidR="00A658F7" w:rsidRPr="00AB7604">
              <w:t xml:space="preserve"> </w:t>
            </w:r>
            <w:r w:rsidRPr="00AB7604">
              <w:t>data are available for all jurisdictions.</w:t>
            </w:r>
          </w:p>
          <w:p w:rsidR="00F4787F" w:rsidRPr="00AB7604" w:rsidRDefault="00802A7D" w:rsidP="00AB7604">
            <w:pPr>
              <w:pStyle w:val="Box"/>
            </w:pPr>
            <w:r w:rsidRPr="00AB7604">
              <w:t>Data quality information for this indicator</w:t>
            </w:r>
            <w:r w:rsidR="0028432F" w:rsidRPr="00AB7604">
              <w:t xml:space="preserve"> is at www.pc.gov.au</w:t>
            </w:r>
            <w:r w:rsidRPr="00AB7604">
              <w:t>/rogs/201</w:t>
            </w:r>
            <w:r w:rsidR="00AB7604">
              <w:t>6</w:t>
            </w:r>
          </w:p>
        </w:tc>
      </w:tr>
      <w:tr w:rsidR="00F4787F" w:rsidRPr="00AB7604" w:rsidTr="00C827D5">
        <w:trPr>
          <w:cantSplit/>
        </w:trPr>
        <w:tc>
          <w:tcPr>
            <w:tcW w:w="8771" w:type="dxa"/>
            <w:tcBorders>
              <w:top w:val="nil"/>
              <w:left w:val="nil"/>
              <w:bottom w:val="single" w:sz="6" w:space="0" w:color="78A22F"/>
              <w:right w:val="nil"/>
            </w:tcBorders>
            <w:shd w:val="clear" w:color="auto" w:fill="F2F2F2"/>
          </w:tcPr>
          <w:p w:rsidR="00F4787F" w:rsidRPr="00AB7604" w:rsidRDefault="00F4787F">
            <w:pPr>
              <w:pStyle w:val="Box"/>
              <w:spacing w:before="0" w:line="120" w:lineRule="exact"/>
            </w:pPr>
          </w:p>
        </w:tc>
      </w:tr>
      <w:tr w:rsidR="00F4787F" w:rsidRPr="00AB7604" w:rsidTr="00C827D5">
        <w:tc>
          <w:tcPr>
            <w:tcW w:w="8771" w:type="dxa"/>
            <w:tcBorders>
              <w:top w:val="single" w:sz="6" w:space="0" w:color="78A22F"/>
              <w:left w:val="nil"/>
              <w:bottom w:val="nil"/>
              <w:right w:val="nil"/>
            </w:tcBorders>
          </w:tcPr>
          <w:p w:rsidR="00F4787F" w:rsidRPr="00AB7604" w:rsidRDefault="00F4787F" w:rsidP="00C827D5">
            <w:pPr>
              <w:pStyle w:val="BoxSpaceBelow"/>
            </w:pPr>
          </w:p>
        </w:tc>
      </w:tr>
    </w:tbl>
    <w:p w:rsidR="001F39F2" w:rsidRPr="00AB7604" w:rsidRDefault="001F39F2" w:rsidP="00585E2C">
      <w:pPr>
        <w:pStyle w:val="BodyText"/>
        <w:rPr>
          <w:szCs w:val="26"/>
        </w:rPr>
      </w:pPr>
      <w:r w:rsidRPr="00AB7604">
        <w:rPr>
          <w:szCs w:val="26"/>
        </w:rPr>
        <w:t>Nationally</w:t>
      </w:r>
      <w:r w:rsidR="004B42C1">
        <w:rPr>
          <w:szCs w:val="26"/>
        </w:rPr>
        <w:t xml:space="preserve"> in 2013</w:t>
      </w:r>
      <w:r w:rsidR="005547FD">
        <w:rPr>
          <w:szCs w:val="26"/>
        </w:rPr>
        <w:noBreakHyphen/>
      </w:r>
      <w:r w:rsidR="004B42C1">
        <w:rPr>
          <w:szCs w:val="26"/>
        </w:rPr>
        <w:t>14</w:t>
      </w:r>
      <w:r w:rsidRPr="00AB7604">
        <w:rPr>
          <w:szCs w:val="26"/>
        </w:rPr>
        <w:t xml:space="preserve">, </w:t>
      </w:r>
      <w:r w:rsidR="00AB7604" w:rsidRPr="00AB7604">
        <w:rPr>
          <w:szCs w:val="26"/>
        </w:rPr>
        <w:t>92.3</w:t>
      </w:r>
      <w:r w:rsidR="0019455A" w:rsidRPr="00AB7604">
        <w:rPr>
          <w:szCs w:val="26"/>
        </w:rPr>
        <w:t xml:space="preserve"> </w:t>
      </w:r>
      <w:r w:rsidRPr="00AB7604">
        <w:rPr>
          <w:szCs w:val="26"/>
        </w:rPr>
        <w:t>per cent of users of NDA accommodation support services received community accommodation and care services</w:t>
      </w:r>
      <w:r w:rsidR="004B42C1">
        <w:rPr>
          <w:szCs w:val="26"/>
        </w:rPr>
        <w:t>, an increase from 88.4 per cent in</w:t>
      </w:r>
      <w:r w:rsidRPr="00AB7604">
        <w:rPr>
          <w:szCs w:val="26"/>
        </w:rPr>
        <w:t xml:space="preserve"> </w:t>
      </w:r>
      <w:r w:rsidR="00A658F7" w:rsidRPr="00AB7604">
        <w:rPr>
          <w:szCs w:val="26"/>
        </w:rPr>
        <w:t>20</w:t>
      </w:r>
      <w:r w:rsidR="004B42C1">
        <w:rPr>
          <w:szCs w:val="26"/>
        </w:rPr>
        <w:t>09</w:t>
      </w:r>
      <w:r w:rsidR="00B84AF2" w:rsidRPr="00AB7604">
        <w:rPr>
          <w:szCs w:val="26"/>
        </w:rPr>
        <w:noBreakHyphen/>
      </w:r>
      <w:r w:rsidR="00A658F7" w:rsidRPr="00AB7604">
        <w:rPr>
          <w:szCs w:val="26"/>
        </w:rPr>
        <w:t>1</w:t>
      </w:r>
      <w:r w:rsidR="007E6C6A">
        <w:rPr>
          <w:szCs w:val="26"/>
        </w:rPr>
        <w:t>0</w:t>
      </w:r>
      <w:r w:rsidR="00A658F7" w:rsidRPr="00AB7604">
        <w:rPr>
          <w:szCs w:val="26"/>
        </w:rPr>
        <w:t xml:space="preserve"> </w:t>
      </w:r>
      <w:r w:rsidRPr="00AB7604">
        <w:rPr>
          <w:szCs w:val="26"/>
        </w:rPr>
        <w:t>(figure</w:t>
      </w:r>
      <w:r w:rsidR="00AE3578" w:rsidRPr="00AB7604">
        <w:rPr>
          <w:szCs w:val="26"/>
        </w:rPr>
        <w:t> </w:t>
      </w:r>
      <w:r w:rsidR="004B42C1">
        <w:t>14.2</w:t>
      </w:r>
      <w:r w:rsidR="00F61907">
        <w:t>3</w:t>
      </w:r>
      <w:r w:rsidRPr="00AB7604">
        <w:rPr>
          <w:szCs w:val="26"/>
        </w:rPr>
        <w:t>)</w:t>
      </w:r>
      <w:r w:rsidR="007E6C6A">
        <w:rPr>
          <w:szCs w:val="26"/>
        </w:rPr>
        <w:t xml:space="preserve"> and 83.2 per cent since 2004</w:t>
      </w:r>
      <w:r w:rsidR="005547FD">
        <w:rPr>
          <w:szCs w:val="26"/>
        </w:rPr>
        <w:noBreakHyphen/>
      </w:r>
      <w:r w:rsidR="007E6C6A">
        <w:rPr>
          <w:szCs w:val="26"/>
        </w:rPr>
        <w:t>05 (table</w:t>
      </w:r>
      <w:r w:rsidR="005547FD">
        <w:rPr>
          <w:szCs w:val="26"/>
        </w:rPr>
        <w:t> </w:t>
      </w:r>
      <w:r w:rsidR="007E6C6A">
        <w:rPr>
          <w:szCs w:val="26"/>
        </w:rPr>
        <w:t>14A.</w:t>
      </w:r>
      <w:r w:rsidR="00AF3774">
        <w:rPr>
          <w:szCs w:val="26"/>
        </w:rPr>
        <w:t>56</w:t>
      </w:r>
      <w:r w:rsidR="007E6C6A">
        <w:rPr>
          <w:szCs w:val="26"/>
        </w:rPr>
        <w:t>)</w:t>
      </w:r>
      <w:r w:rsidRPr="00AB7604">
        <w:rPr>
          <w:szCs w:val="26"/>
        </w:rPr>
        <w:t>.</w:t>
      </w:r>
    </w:p>
    <w:p w:rsidR="005538E6" w:rsidRPr="00B86C20" w:rsidRDefault="005538E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38E6" w:rsidRPr="00AB7604" w:rsidTr="00DD33DF">
        <w:tc>
          <w:tcPr>
            <w:tcW w:w="8771" w:type="dxa"/>
            <w:tcBorders>
              <w:top w:val="single" w:sz="6" w:space="0" w:color="78A22F"/>
              <w:left w:val="nil"/>
              <w:bottom w:val="nil"/>
              <w:right w:val="nil"/>
            </w:tcBorders>
            <w:shd w:val="clear" w:color="auto" w:fill="auto"/>
          </w:tcPr>
          <w:p w:rsidR="005538E6" w:rsidRPr="00AB7604" w:rsidRDefault="005538E6" w:rsidP="00BD41DE">
            <w:pPr>
              <w:pStyle w:val="FigureTitle"/>
            </w:pPr>
            <w:r w:rsidRPr="00AB7604">
              <w:rPr>
                <w:b w:val="0"/>
              </w:rPr>
              <w:t xml:space="preserve">Figure </w:t>
            </w:r>
            <w:bookmarkStart w:id="38" w:name="OLE_LINK35"/>
            <w:r w:rsidR="00321568" w:rsidRPr="00AB7604">
              <w:rPr>
                <w:b w:val="0"/>
              </w:rPr>
              <w:t>14.</w:t>
            </w:r>
            <w:r w:rsidR="004B691F">
              <w:rPr>
                <w:b w:val="0"/>
                <w:noProof/>
              </w:rPr>
              <w:t>23</w:t>
            </w:r>
            <w:bookmarkEnd w:id="38"/>
            <w:r w:rsidRPr="00AB7604">
              <w:tab/>
              <w:t>Users of community accommodation and care services as a proportion of all NDA accommodation support service users</w:t>
            </w:r>
            <w:r w:rsidRPr="00AB7604">
              <w:rPr>
                <w:rStyle w:val="NoteLabel"/>
                <w:b/>
              </w:rPr>
              <w:t>a</w:t>
            </w:r>
          </w:p>
        </w:tc>
      </w:tr>
      <w:tr w:rsidR="005538E6" w:rsidRPr="00AB7604"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538E6" w:rsidRPr="00AB7604" w:rsidTr="00DD33DF">
              <w:trPr>
                <w:jc w:val="center"/>
              </w:trPr>
              <w:tc>
                <w:tcPr>
                  <w:tcW w:w="5000" w:type="pct"/>
                  <w:tcBorders>
                    <w:top w:val="nil"/>
                    <w:bottom w:val="nil"/>
                  </w:tcBorders>
                </w:tcPr>
                <w:p w:rsidR="005538E6" w:rsidRPr="001736E6" w:rsidRDefault="00AB345E" w:rsidP="00BD41DE">
                  <w:pPr>
                    <w:pStyle w:val="Figure"/>
                  </w:pPr>
                  <w:r>
                    <w:rPr>
                      <w:noProof/>
                    </w:rPr>
                    <w:drawing>
                      <wp:inline distT="0" distB="0" distL="0" distR="0">
                        <wp:extent cx="5474335" cy="2683510"/>
                        <wp:effectExtent l="0" t="0" r="0" b="2540"/>
                        <wp:docPr id="56" name="Picture 56" descr="Figure 14.23 Users of community accommodation and care services as a proportion of all NDA accommodation support service users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474335" cy="2683510"/>
                                </a:xfrm>
                                <a:prstGeom prst="rect">
                                  <a:avLst/>
                                </a:prstGeom>
                                <a:noFill/>
                                <a:ln>
                                  <a:noFill/>
                                </a:ln>
                              </pic:spPr>
                            </pic:pic>
                          </a:graphicData>
                        </a:graphic>
                      </wp:inline>
                    </w:drawing>
                  </w:r>
                </w:p>
              </w:tc>
            </w:tr>
          </w:tbl>
          <w:p w:rsidR="005538E6" w:rsidRPr="00AB7604" w:rsidRDefault="005538E6" w:rsidP="00BD41DE">
            <w:pPr>
              <w:pStyle w:val="Figure"/>
            </w:pPr>
          </w:p>
        </w:tc>
      </w:tr>
      <w:tr w:rsidR="005538E6" w:rsidRPr="00AB7604" w:rsidTr="00DD33DF">
        <w:tc>
          <w:tcPr>
            <w:tcW w:w="8771" w:type="dxa"/>
            <w:tcBorders>
              <w:top w:val="nil"/>
              <w:left w:val="nil"/>
              <w:bottom w:val="nil"/>
              <w:right w:val="nil"/>
            </w:tcBorders>
            <w:shd w:val="clear" w:color="auto" w:fill="auto"/>
          </w:tcPr>
          <w:p w:rsidR="005538E6" w:rsidRPr="00AB7604" w:rsidRDefault="005538E6" w:rsidP="00BD41DE">
            <w:pPr>
              <w:pStyle w:val="Note"/>
              <w:keepNext/>
            </w:pPr>
            <w:r w:rsidRPr="00AB7604">
              <w:rPr>
                <w:rStyle w:val="NoteLabel"/>
              </w:rPr>
              <w:t>a</w:t>
            </w:r>
            <w:r w:rsidRPr="00AB7604">
              <w:t xml:space="preserve"> </w:t>
            </w:r>
            <w:r w:rsidR="00D872A6" w:rsidRPr="00AB7604">
              <w:t>See box</w:t>
            </w:r>
            <w:r w:rsidR="005547FD">
              <w:t> </w:t>
            </w:r>
            <w:r w:rsidR="00D872A6" w:rsidRPr="00AB7604">
              <w:t>14.</w:t>
            </w:r>
            <w:r w:rsidR="00995B83">
              <w:t>9</w:t>
            </w:r>
            <w:r w:rsidR="00D872A6" w:rsidRPr="00AB7604">
              <w:t xml:space="preserve"> and table14A.</w:t>
            </w:r>
            <w:r w:rsidR="00AF3774" w:rsidRPr="00AB7604">
              <w:t>5</w:t>
            </w:r>
            <w:r w:rsidR="00AF3774">
              <w:t>6</w:t>
            </w:r>
            <w:r w:rsidR="00AF3774" w:rsidRPr="00AB7604">
              <w:t xml:space="preserve"> </w:t>
            </w:r>
            <w:r w:rsidR="00D872A6" w:rsidRPr="00AB7604">
              <w:t xml:space="preserve">for </w:t>
            </w:r>
            <w:r w:rsidR="001736E6" w:rsidRPr="00AB7604">
              <w:t xml:space="preserve">detailed </w:t>
            </w:r>
            <w:r w:rsidR="001736E6">
              <w:t>definitions, footnotes and caveats</w:t>
            </w:r>
            <w:r w:rsidR="001736E6" w:rsidRPr="00AB7604">
              <w:t>.</w:t>
            </w:r>
          </w:p>
        </w:tc>
      </w:tr>
      <w:tr w:rsidR="005538E6" w:rsidRPr="00AB7604" w:rsidTr="00DD33DF">
        <w:tc>
          <w:tcPr>
            <w:tcW w:w="8771" w:type="dxa"/>
            <w:tcBorders>
              <w:top w:val="nil"/>
              <w:left w:val="nil"/>
              <w:bottom w:val="nil"/>
              <w:right w:val="nil"/>
            </w:tcBorders>
            <w:shd w:val="clear" w:color="auto" w:fill="auto"/>
          </w:tcPr>
          <w:p w:rsidR="005538E6" w:rsidRPr="00AB7604" w:rsidRDefault="005538E6" w:rsidP="00BD41DE">
            <w:pPr>
              <w:pStyle w:val="Source"/>
              <w:keepNext/>
            </w:pPr>
            <w:r w:rsidRPr="00AB7604">
              <w:rPr>
                <w:i/>
              </w:rPr>
              <w:t>Source</w:t>
            </w:r>
            <w:r w:rsidRPr="00AB7604">
              <w:t xml:space="preserve">: AIHW (unpublished) </w:t>
            </w:r>
            <w:r w:rsidRPr="00927A21">
              <w:t>DS NMDS</w:t>
            </w:r>
            <w:r w:rsidRPr="00AB7604">
              <w:t>; table</w:t>
            </w:r>
            <w:r w:rsidR="00AE3578" w:rsidRPr="00AB7604">
              <w:t> </w:t>
            </w:r>
            <w:r w:rsidRPr="00AB7604">
              <w:t>14A.</w:t>
            </w:r>
            <w:r w:rsidR="00AF3774" w:rsidRPr="00AB7604">
              <w:t>5</w:t>
            </w:r>
            <w:r w:rsidR="00AF3774">
              <w:t>6</w:t>
            </w:r>
            <w:r w:rsidRPr="00AB7604">
              <w:t>.</w:t>
            </w:r>
          </w:p>
        </w:tc>
      </w:tr>
      <w:tr w:rsidR="005538E6" w:rsidRPr="00AB7604" w:rsidTr="00DD33DF">
        <w:tc>
          <w:tcPr>
            <w:tcW w:w="8771" w:type="dxa"/>
            <w:tcBorders>
              <w:top w:val="nil"/>
              <w:left w:val="nil"/>
              <w:bottom w:val="single" w:sz="6" w:space="0" w:color="78A22F"/>
              <w:right w:val="nil"/>
            </w:tcBorders>
            <w:shd w:val="clear" w:color="auto" w:fill="auto"/>
          </w:tcPr>
          <w:p w:rsidR="005538E6" w:rsidRPr="00AB7604" w:rsidRDefault="005538E6" w:rsidP="00BD41DE">
            <w:pPr>
              <w:pStyle w:val="Figurespace"/>
            </w:pPr>
          </w:p>
        </w:tc>
      </w:tr>
      <w:tr w:rsidR="005538E6" w:rsidRPr="00AB7604" w:rsidTr="00DD33DF">
        <w:tc>
          <w:tcPr>
            <w:tcW w:w="8771" w:type="dxa"/>
            <w:tcBorders>
              <w:top w:val="single" w:sz="6" w:space="0" w:color="78A22F"/>
              <w:left w:val="nil"/>
              <w:bottom w:val="nil"/>
              <w:right w:val="nil"/>
            </w:tcBorders>
          </w:tcPr>
          <w:p w:rsidR="005538E6" w:rsidRPr="00AB7604" w:rsidRDefault="005538E6" w:rsidP="00BD41DE">
            <w:pPr>
              <w:pStyle w:val="BoxSpaceBelow"/>
              <w:keepNext/>
            </w:pPr>
          </w:p>
        </w:tc>
      </w:tr>
    </w:tbl>
    <w:p w:rsidR="001F39F2" w:rsidRPr="009C4DBE" w:rsidRDefault="004B42C1" w:rsidP="00927A21">
      <w:pPr>
        <w:pStyle w:val="Heading4"/>
      </w:pPr>
      <w:r>
        <w:t>A</w:t>
      </w:r>
      <w:r w:rsidRPr="00133E61">
        <w:t xml:space="preserve">ccess to appropriate services on the basis of relative need </w:t>
      </w:r>
      <w:r>
        <w:t xml:space="preserve">– </w:t>
      </w:r>
      <w:r w:rsidR="001F39F2" w:rsidRPr="009C4DBE">
        <w:t>Assistance for younger people with disability in</w:t>
      </w:r>
      <w:r w:rsidR="00A3361B" w:rsidRPr="009C4DBE">
        <w:t>, or at risk of entering</w:t>
      </w:r>
      <w:r w:rsidR="00483F99" w:rsidRPr="009C4DBE">
        <w:t>,</w:t>
      </w:r>
      <w:r w:rsidR="001F39F2" w:rsidRPr="009C4DBE">
        <w:t xml:space="preserve"> residential aged care</w:t>
      </w:r>
    </w:p>
    <w:p w:rsidR="001F39F2" w:rsidRPr="009C4DBE" w:rsidRDefault="001F39F2" w:rsidP="00585E2C">
      <w:pPr>
        <w:pStyle w:val="BodyText"/>
      </w:pPr>
      <w:r w:rsidRPr="009C4DBE">
        <w:t>‘Assistance for younger people with disability in</w:t>
      </w:r>
      <w:r w:rsidR="00A3361B" w:rsidRPr="009C4DBE">
        <w:t>, or at risk of entering</w:t>
      </w:r>
      <w:r w:rsidR="00483F99" w:rsidRPr="009C4DBE">
        <w:t>,</w:t>
      </w:r>
      <w:r w:rsidRPr="009C4DBE">
        <w:t xml:space="preserve"> residential aged care’ is an indicator of governments’ objective to provide access to services to people with disability that are appropriate to their needs (box 14.</w:t>
      </w:r>
      <w:r w:rsidR="00525A0A" w:rsidRPr="009C4DBE">
        <w:t>1</w:t>
      </w:r>
      <w:r w:rsidR="00651C61">
        <w:t>0</w:t>
      </w:r>
      <w:r w:rsidR="00F4787F" w:rsidRPr="009C4DBE">
        <w:t>).</w:t>
      </w:r>
    </w:p>
    <w:p w:rsidR="00F4787F" w:rsidRPr="00B86C20" w:rsidRDefault="00F4787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787F" w:rsidRPr="009C4DBE" w:rsidTr="00C827D5">
        <w:tc>
          <w:tcPr>
            <w:tcW w:w="8771" w:type="dxa"/>
            <w:tcBorders>
              <w:top w:val="single" w:sz="6" w:space="0" w:color="78A22F"/>
              <w:left w:val="nil"/>
              <w:bottom w:val="nil"/>
              <w:right w:val="nil"/>
            </w:tcBorders>
            <w:shd w:val="clear" w:color="auto" w:fill="F2F2F2"/>
          </w:tcPr>
          <w:p w:rsidR="00F4787F" w:rsidRPr="009C4DBE" w:rsidRDefault="00F4787F" w:rsidP="00F4787F">
            <w:pPr>
              <w:pStyle w:val="BoxTitle"/>
            </w:pPr>
            <w:r w:rsidRPr="009C4DBE">
              <w:rPr>
                <w:b w:val="0"/>
              </w:rPr>
              <w:t xml:space="preserve">Box </w:t>
            </w:r>
            <w:r w:rsidR="00321568" w:rsidRPr="009C4DBE">
              <w:rPr>
                <w:b w:val="0"/>
              </w:rPr>
              <w:t>14.</w:t>
            </w:r>
            <w:r w:rsidR="004B691F">
              <w:rPr>
                <w:b w:val="0"/>
                <w:noProof/>
              </w:rPr>
              <w:t>10</w:t>
            </w:r>
            <w:r w:rsidRPr="009C4DBE">
              <w:tab/>
              <w:t>Assistance for younger people with disability in, or at risk of entering, residential aged care</w:t>
            </w:r>
          </w:p>
        </w:tc>
      </w:tr>
      <w:tr w:rsidR="00F4787F" w:rsidRPr="009C4DBE" w:rsidTr="00C827D5">
        <w:trPr>
          <w:cantSplit/>
        </w:trPr>
        <w:tc>
          <w:tcPr>
            <w:tcW w:w="8771" w:type="dxa"/>
            <w:tcBorders>
              <w:top w:val="nil"/>
              <w:left w:val="nil"/>
              <w:bottom w:val="nil"/>
              <w:right w:val="nil"/>
            </w:tcBorders>
            <w:shd w:val="clear" w:color="auto" w:fill="F2F2F2"/>
          </w:tcPr>
          <w:p w:rsidR="00F4787F" w:rsidRPr="009C4DBE" w:rsidRDefault="00F4787F" w:rsidP="00F4787F">
            <w:pPr>
              <w:pStyle w:val="Box"/>
            </w:pPr>
            <w:r w:rsidRPr="009C4DBE">
              <w:t>‘Assistance for younger people in, or at risk of entering, residential aged care’ is defined by two measures:</w:t>
            </w:r>
          </w:p>
          <w:p w:rsidR="00F4787F" w:rsidRPr="009C4DBE" w:rsidRDefault="00F4787F" w:rsidP="00F4787F">
            <w:pPr>
              <w:pStyle w:val="BoxListBullet"/>
            </w:pPr>
            <w:r w:rsidRPr="009C4DBE">
              <w:t>the percentage change in numbers of younger people in residential aged care</w:t>
            </w:r>
          </w:p>
          <w:p w:rsidR="00F4787F" w:rsidRPr="009C4DBE" w:rsidRDefault="00F4787F" w:rsidP="00F4787F">
            <w:pPr>
              <w:pStyle w:val="BoxListBullet"/>
            </w:pPr>
            <w:r w:rsidRPr="009C4DBE">
              <w:t>the percentage change in numbers of younger people admitted to residential aged care.</w:t>
            </w:r>
          </w:p>
          <w:p w:rsidR="00F4787F" w:rsidRPr="009C4DBE" w:rsidRDefault="00F4787F" w:rsidP="00F4787F">
            <w:pPr>
              <w:pStyle w:val="Box"/>
            </w:pPr>
            <w:r w:rsidRPr="009C4DBE">
              <w:t>This indicator is considered relevant to disability service provision because, under the NDA, all governments have agreed to maintain innovative and flexible support models for people with high and complex needs</w:t>
            </w:r>
            <w:r w:rsidR="000761F8" w:rsidRPr="009C4DBE">
              <w:t>,</w:t>
            </w:r>
            <w:r w:rsidRPr="009C4DBE">
              <w:t xml:space="preserve"> including options for younger people in, or at risk of entry to, residential aged care. </w:t>
            </w:r>
          </w:p>
          <w:p w:rsidR="009020DB" w:rsidRPr="009C4DBE" w:rsidRDefault="00F4787F" w:rsidP="00F4787F">
            <w:pPr>
              <w:pStyle w:val="Box"/>
            </w:pPr>
            <w:r w:rsidRPr="009C4DBE">
              <w:t>In 2006, all governments jointly funded a five</w:t>
            </w:r>
            <w:r w:rsidR="00B84AF2" w:rsidRPr="009C4DBE">
              <w:noBreakHyphen/>
            </w:r>
            <w:r w:rsidRPr="009C4DBE">
              <w:t xml:space="preserve">year Younger People in Residential Aged Care (YPIRAC) initiative to reduce the number of younger people with disability living in or at risk of entering residential aged care. The proportion of service users in the YPIRAC </w:t>
            </w:r>
            <w:r w:rsidR="009020DB" w:rsidRPr="009C4DBE">
              <w:t>initiative,</w:t>
            </w:r>
            <w:r w:rsidRPr="009C4DBE">
              <w:t xml:space="preserve"> who achieved program objective</w:t>
            </w:r>
            <w:r w:rsidR="00B04499">
              <w:t>s</w:t>
            </w:r>
            <w:r w:rsidRPr="009C4DBE">
              <w:t xml:space="preserve">, was included in the 2013 Report and earlier editions. </w:t>
            </w:r>
          </w:p>
          <w:p w:rsidR="00E20851" w:rsidRPr="009C4DBE" w:rsidRDefault="009020DB" w:rsidP="008C3F77">
            <w:pPr>
              <w:pStyle w:val="Box"/>
            </w:pPr>
            <w:r w:rsidRPr="009C4DBE">
              <w:t xml:space="preserve">In 2011, the Australian Government funding for </w:t>
            </w:r>
            <w:r w:rsidR="000761F8" w:rsidRPr="009C4DBE">
              <w:t>the YPIRAC</w:t>
            </w:r>
            <w:r w:rsidRPr="009C4DBE">
              <w:t xml:space="preserve"> program was </w:t>
            </w:r>
            <w:r w:rsidR="0066321D">
              <w:t xml:space="preserve">added </w:t>
            </w:r>
            <w:r w:rsidRPr="009C4DBE">
              <w:t xml:space="preserve">to the base National Disability Specific Purpose Payment funding provided to the State and Territory governments for specialist disability services for the NDA. </w:t>
            </w:r>
            <w:r w:rsidR="008C3F77" w:rsidRPr="009C4DBE">
              <w:t>The</w:t>
            </w:r>
            <w:r w:rsidR="000761F8" w:rsidRPr="009C4DBE">
              <w:t xml:space="preserve"> YPIRAC initiative ended</w:t>
            </w:r>
            <w:r w:rsidR="008C3F77" w:rsidRPr="009C4DBE">
              <w:t xml:space="preserve"> on 30</w:t>
            </w:r>
            <w:r w:rsidR="00B84AF2" w:rsidRPr="009C4DBE">
              <w:t> </w:t>
            </w:r>
            <w:r w:rsidR="008C3F77" w:rsidRPr="009C4DBE">
              <w:t xml:space="preserve">June 2011 and </w:t>
            </w:r>
            <w:r w:rsidR="000761F8" w:rsidRPr="009C4DBE">
              <w:t xml:space="preserve">data for the program are no longer collected. </w:t>
            </w:r>
            <w:r w:rsidRPr="009C4DBE">
              <w:t>However, the</w:t>
            </w:r>
            <w:r w:rsidR="008C3F77" w:rsidRPr="009C4DBE">
              <w:t>re are still</w:t>
            </w:r>
            <w:r w:rsidRPr="009C4DBE">
              <w:t xml:space="preserve"> </w:t>
            </w:r>
            <w:r w:rsidR="008C3F77" w:rsidRPr="009C4DBE">
              <w:t xml:space="preserve">younger people living in residential aged care and the </w:t>
            </w:r>
            <w:r w:rsidRPr="009C4DBE">
              <w:t>YPIRAC initiative objectives remain as agreed in the previous bilateral agreements.</w:t>
            </w:r>
            <w:r w:rsidR="008C3F77" w:rsidRPr="009C4DBE">
              <w:t xml:space="preserve"> D</w:t>
            </w:r>
            <w:r w:rsidR="00E532D6" w:rsidRPr="009C4DBE">
              <w:t xml:space="preserve">ata on these </w:t>
            </w:r>
            <w:r w:rsidR="008C3F77" w:rsidRPr="009C4DBE">
              <w:t>younger people</w:t>
            </w:r>
            <w:r w:rsidR="00E532D6" w:rsidRPr="009C4DBE">
              <w:t xml:space="preserve"> are reported against this indicator. </w:t>
            </w:r>
          </w:p>
          <w:p w:rsidR="00F4787F" w:rsidRPr="009C4DBE" w:rsidRDefault="00F4787F" w:rsidP="00F4787F">
            <w:pPr>
              <w:pStyle w:val="Box"/>
            </w:pPr>
            <w:r w:rsidRPr="009C4DBE">
              <w:t xml:space="preserve">Data reported for </w:t>
            </w:r>
            <w:r w:rsidR="00E532D6" w:rsidRPr="009C4DBE">
              <w:t>these</w:t>
            </w:r>
            <w:r w:rsidRPr="009C4DBE">
              <w:t xml:space="preserve"> measure</w:t>
            </w:r>
            <w:r w:rsidR="00E532D6" w:rsidRPr="009C4DBE">
              <w:t>s</w:t>
            </w:r>
            <w:r w:rsidRPr="009C4DBE">
              <w:t xml:space="preserve"> are:</w:t>
            </w:r>
          </w:p>
          <w:p w:rsidR="00F4787F" w:rsidRPr="009C4DBE" w:rsidRDefault="00F4787F" w:rsidP="00B12613">
            <w:pPr>
              <w:pStyle w:val="BoxListBullet"/>
            </w:pPr>
            <w:r w:rsidRPr="009C4DBE">
              <w:t xml:space="preserve">comparable (subject to caveats) across jurisdictions and over time </w:t>
            </w:r>
          </w:p>
          <w:p w:rsidR="00F4787F" w:rsidRPr="009C4DBE" w:rsidRDefault="00F4787F" w:rsidP="00B12613">
            <w:pPr>
              <w:pStyle w:val="BoxListBullet"/>
            </w:pPr>
            <w:r w:rsidRPr="009C4DBE">
              <w:t>complete (subject to caveats) for the current reporting period. All required 201</w:t>
            </w:r>
            <w:r w:rsidR="001736E6">
              <w:t>4</w:t>
            </w:r>
            <w:r w:rsidR="00B84AF2" w:rsidRPr="009C4DBE">
              <w:noBreakHyphen/>
            </w:r>
            <w:r w:rsidRPr="009C4DBE">
              <w:t>1</w:t>
            </w:r>
            <w:r w:rsidR="001736E6">
              <w:t>5</w:t>
            </w:r>
            <w:r w:rsidRPr="009C4DBE">
              <w:t xml:space="preserve"> data are available for all jurisdictions.</w:t>
            </w:r>
          </w:p>
          <w:p w:rsidR="00F4787F" w:rsidRPr="009C4DBE" w:rsidRDefault="00802A7D" w:rsidP="00B8510E">
            <w:pPr>
              <w:pStyle w:val="Box"/>
              <w:rPr>
                <w:rStyle w:val="DraftingNote"/>
                <w:b w:val="0"/>
                <w:color w:val="auto"/>
                <w:sz w:val="20"/>
                <w:u w:val="none"/>
              </w:rPr>
            </w:pPr>
            <w:r w:rsidRPr="009C4DBE">
              <w:t>Data quality information for this indicator</w:t>
            </w:r>
            <w:r w:rsidR="0028432F" w:rsidRPr="009C4DBE">
              <w:t xml:space="preserve"> is at www.pc.gov.au</w:t>
            </w:r>
            <w:r w:rsidRPr="009C4DBE">
              <w:t>/rogs/</w:t>
            </w:r>
            <w:r w:rsidR="00B8510E" w:rsidRPr="009C4DBE">
              <w:t>2016</w:t>
            </w:r>
            <w:r w:rsidRPr="009C4DBE">
              <w:t>.</w:t>
            </w:r>
          </w:p>
        </w:tc>
      </w:tr>
      <w:tr w:rsidR="00F4787F" w:rsidRPr="009C4DBE" w:rsidTr="00C827D5">
        <w:trPr>
          <w:cantSplit/>
        </w:trPr>
        <w:tc>
          <w:tcPr>
            <w:tcW w:w="8771" w:type="dxa"/>
            <w:tcBorders>
              <w:top w:val="nil"/>
              <w:left w:val="nil"/>
              <w:bottom w:val="single" w:sz="6" w:space="0" w:color="78A22F"/>
              <w:right w:val="nil"/>
            </w:tcBorders>
            <w:shd w:val="clear" w:color="auto" w:fill="F2F2F2"/>
          </w:tcPr>
          <w:p w:rsidR="00F4787F" w:rsidRPr="009C4DBE" w:rsidRDefault="00F4787F">
            <w:pPr>
              <w:pStyle w:val="Box"/>
              <w:spacing w:before="0" w:line="120" w:lineRule="exact"/>
            </w:pPr>
          </w:p>
        </w:tc>
      </w:tr>
      <w:tr w:rsidR="00F4787F" w:rsidRPr="009C4DBE" w:rsidTr="00C827D5">
        <w:tc>
          <w:tcPr>
            <w:tcW w:w="8771" w:type="dxa"/>
            <w:tcBorders>
              <w:top w:val="single" w:sz="6" w:space="0" w:color="78A22F"/>
              <w:left w:val="nil"/>
              <w:bottom w:val="nil"/>
              <w:right w:val="nil"/>
            </w:tcBorders>
          </w:tcPr>
          <w:p w:rsidR="00F4787F" w:rsidRPr="009C4DBE" w:rsidRDefault="00F4787F" w:rsidP="00C827D5">
            <w:pPr>
              <w:pStyle w:val="BoxSpaceBelow"/>
            </w:pPr>
          </w:p>
        </w:tc>
      </w:tr>
    </w:tbl>
    <w:p w:rsidR="00AC43A4" w:rsidRPr="009C259D" w:rsidRDefault="0076678A" w:rsidP="0071133E">
      <w:pPr>
        <w:pStyle w:val="BodyText"/>
      </w:pPr>
      <w:r w:rsidRPr="009C259D">
        <w:t>Nationally o</w:t>
      </w:r>
      <w:r w:rsidR="001F39F2" w:rsidRPr="009C259D">
        <w:t>n 30</w:t>
      </w:r>
      <w:r w:rsidR="00B84AF2" w:rsidRPr="009C259D">
        <w:t> </w:t>
      </w:r>
      <w:r w:rsidR="001F39F2" w:rsidRPr="009C259D">
        <w:t xml:space="preserve">June </w:t>
      </w:r>
      <w:r w:rsidR="007A1F4F" w:rsidRPr="009C259D">
        <w:t>2015</w:t>
      </w:r>
      <w:r w:rsidR="001F39F2" w:rsidRPr="009C259D">
        <w:t xml:space="preserve">, there were </w:t>
      </w:r>
      <w:r w:rsidR="009C259D" w:rsidRPr="009C259D">
        <w:t>555</w:t>
      </w:r>
      <w:r w:rsidR="009C259D">
        <w:t xml:space="preserve"> </w:t>
      </w:r>
      <w:r w:rsidR="001F39F2" w:rsidRPr="009C259D">
        <w:t xml:space="preserve">people </w:t>
      </w:r>
      <w:r w:rsidR="007F5716" w:rsidRPr="009C259D">
        <w:t>under the age of</w:t>
      </w:r>
      <w:r w:rsidR="001F39F2" w:rsidRPr="009C259D">
        <w:t xml:space="preserve"> 50 years living in permanent residential aged care (table</w:t>
      </w:r>
      <w:r w:rsidR="00AE3578" w:rsidRPr="009C259D">
        <w:t> </w:t>
      </w:r>
      <w:r w:rsidR="001F39F2" w:rsidRPr="009C259D">
        <w:t>14A.</w:t>
      </w:r>
      <w:r w:rsidR="00AF3774">
        <w:t>57</w:t>
      </w:r>
      <w:r w:rsidR="001F39F2" w:rsidRPr="009C259D">
        <w:t xml:space="preserve">). This is a </w:t>
      </w:r>
      <w:r w:rsidR="009C259D" w:rsidRPr="009C259D">
        <w:t>44.9</w:t>
      </w:r>
      <w:r w:rsidR="0094263C" w:rsidRPr="009C259D">
        <w:t> </w:t>
      </w:r>
      <w:r w:rsidR="001F39F2" w:rsidRPr="009C259D">
        <w:t>per</w:t>
      </w:r>
      <w:r w:rsidR="004234DB" w:rsidRPr="009C259D">
        <w:t> </w:t>
      </w:r>
      <w:r w:rsidR="001F39F2" w:rsidRPr="009C259D">
        <w:t xml:space="preserve">cent decrease on the number of people </w:t>
      </w:r>
      <w:r w:rsidR="007F5716" w:rsidRPr="009C259D">
        <w:t>under the age of</w:t>
      </w:r>
      <w:r w:rsidR="001F39F2" w:rsidRPr="009C259D">
        <w:t xml:space="preserve"> 50 years living in perman</w:t>
      </w:r>
      <w:r w:rsidR="0045593D" w:rsidRPr="009C259D">
        <w:t>ent residential aged care on 30 </w:t>
      </w:r>
      <w:r w:rsidR="001F39F2" w:rsidRPr="009C259D">
        <w:t>June 200</w:t>
      </w:r>
      <w:r w:rsidR="00B56DBF" w:rsidRPr="009C259D">
        <w:t>6</w:t>
      </w:r>
      <w:r w:rsidR="001F39F2" w:rsidRPr="009C259D">
        <w:t xml:space="preserve"> (figure</w:t>
      </w:r>
      <w:r w:rsidR="00AE3578" w:rsidRPr="009C259D">
        <w:t> </w:t>
      </w:r>
      <w:r w:rsidR="007E6C6A">
        <w:t>14.</w:t>
      </w:r>
      <w:r w:rsidR="00F61907">
        <w:t>24</w:t>
      </w:r>
      <w:r w:rsidR="001F39F2" w:rsidRPr="009C259D">
        <w:t xml:space="preserve">). </w:t>
      </w:r>
    </w:p>
    <w:p w:rsidR="005538E6" w:rsidRPr="00824DB2" w:rsidRDefault="005538E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4DBE" w:rsidRPr="00824DB2" w:rsidTr="00DD33DF">
        <w:tc>
          <w:tcPr>
            <w:tcW w:w="8771" w:type="dxa"/>
            <w:tcBorders>
              <w:top w:val="single" w:sz="6" w:space="0" w:color="78A22F"/>
              <w:left w:val="nil"/>
              <w:bottom w:val="nil"/>
              <w:right w:val="nil"/>
            </w:tcBorders>
            <w:shd w:val="clear" w:color="auto" w:fill="auto"/>
          </w:tcPr>
          <w:p w:rsidR="005538E6" w:rsidRPr="00824DB2" w:rsidRDefault="005538E6" w:rsidP="007E6C6A">
            <w:pPr>
              <w:pStyle w:val="FigureTitle"/>
            </w:pPr>
            <w:r w:rsidRPr="00824DB2">
              <w:rPr>
                <w:b w:val="0"/>
              </w:rPr>
              <w:t xml:space="preserve">Figure </w:t>
            </w:r>
            <w:bookmarkStart w:id="39" w:name="OLE_LINK36"/>
            <w:r w:rsidR="00321568" w:rsidRPr="00824DB2">
              <w:rPr>
                <w:b w:val="0"/>
              </w:rPr>
              <w:t>14.</w:t>
            </w:r>
            <w:r w:rsidR="004B691F">
              <w:rPr>
                <w:b w:val="0"/>
                <w:noProof/>
              </w:rPr>
              <w:t>24</w:t>
            </w:r>
            <w:bookmarkEnd w:id="39"/>
            <w:r w:rsidRPr="00824DB2">
              <w:tab/>
            </w:r>
            <w:r w:rsidR="007E6C6A">
              <w:t>Percentage change in numbers of y</w:t>
            </w:r>
            <w:r w:rsidRPr="00824DB2">
              <w:t>ounger people in residential aged care</w:t>
            </w:r>
            <w:r w:rsidR="007E6C6A">
              <w:t xml:space="preserve"> b</w:t>
            </w:r>
            <w:r w:rsidRPr="00824DB2">
              <w:t>etween 2006 and</w:t>
            </w:r>
            <w:r w:rsidRPr="00824DB2">
              <w:rPr>
                <w:rFonts w:cs="Arial"/>
              </w:rPr>
              <w:t xml:space="preserve"> </w:t>
            </w:r>
            <w:r w:rsidR="00A658F7" w:rsidRPr="00824DB2">
              <w:t>2015</w:t>
            </w:r>
            <w:r w:rsidRPr="00824DB2">
              <w:t>, by age group</w:t>
            </w:r>
            <w:r w:rsidRPr="00824DB2">
              <w:rPr>
                <w:rStyle w:val="NoteLabel"/>
                <w:b/>
              </w:rPr>
              <w:t>a</w:t>
            </w:r>
          </w:p>
        </w:tc>
      </w:tr>
      <w:tr w:rsidR="009C4DBE" w:rsidRPr="00C1206E"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C4DBE" w:rsidRPr="00BD41DE" w:rsidTr="00DD33DF">
              <w:trPr>
                <w:jc w:val="center"/>
              </w:trPr>
              <w:tc>
                <w:tcPr>
                  <w:tcW w:w="5000" w:type="pct"/>
                  <w:tcBorders>
                    <w:top w:val="nil"/>
                    <w:bottom w:val="nil"/>
                  </w:tcBorders>
                </w:tcPr>
                <w:p w:rsidR="005538E6" w:rsidRPr="00BD41DE" w:rsidRDefault="00AB345E" w:rsidP="00F21474">
                  <w:pPr>
                    <w:pStyle w:val="Figure"/>
                    <w:rPr>
                      <w:rStyle w:val="DraftingNote"/>
                      <w:b w:val="0"/>
                      <w:color w:val="auto"/>
                      <w:u w:val="none"/>
                    </w:rPr>
                  </w:pPr>
                  <w:r>
                    <w:rPr>
                      <w:noProof/>
                    </w:rPr>
                    <w:drawing>
                      <wp:inline distT="0" distB="0" distL="0" distR="0">
                        <wp:extent cx="5498465" cy="2564765"/>
                        <wp:effectExtent l="0" t="0" r="6985" b="6985"/>
                        <wp:docPr id="57" name="Picture 57" descr="Figure 14.24 Percentage change in numbers of younger people in residential aged care between 2006 and 2015, by age group&#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498465" cy="2564765"/>
                                </a:xfrm>
                                <a:prstGeom prst="rect">
                                  <a:avLst/>
                                </a:prstGeom>
                                <a:noFill/>
                                <a:ln>
                                  <a:noFill/>
                                </a:ln>
                              </pic:spPr>
                            </pic:pic>
                          </a:graphicData>
                        </a:graphic>
                      </wp:inline>
                    </w:drawing>
                  </w:r>
                </w:p>
              </w:tc>
            </w:tr>
          </w:tbl>
          <w:p w:rsidR="005538E6" w:rsidRPr="00BD41DE" w:rsidRDefault="005538E6" w:rsidP="0040202F">
            <w:pPr>
              <w:pStyle w:val="Figure"/>
            </w:pPr>
          </w:p>
        </w:tc>
      </w:tr>
      <w:tr w:rsidR="009C4DBE" w:rsidRPr="00824DB2" w:rsidTr="00DD33DF">
        <w:tc>
          <w:tcPr>
            <w:tcW w:w="8771" w:type="dxa"/>
            <w:tcBorders>
              <w:top w:val="nil"/>
              <w:left w:val="nil"/>
              <w:bottom w:val="nil"/>
              <w:right w:val="nil"/>
            </w:tcBorders>
            <w:shd w:val="clear" w:color="auto" w:fill="auto"/>
          </w:tcPr>
          <w:p w:rsidR="005538E6" w:rsidRPr="00824DB2" w:rsidRDefault="005538E6" w:rsidP="00AF3774">
            <w:pPr>
              <w:pStyle w:val="Note"/>
            </w:pPr>
            <w:r w:rsidRPr="00824DB2">
              <w:rPr>
                <w:rStyle w:val="NoteLabel"/>
              </w:rPr>
              <w:t>a</w:t>
            </w:r>
            <w:r w:rsidRPr="00824DB2">
              <w:t xml:space="preserve"> </w:t>
            </w:r>
            <w:r w:rsidR="00D872A6" w:rsidRPr="00824DB2">
              <w:t>See box</w:t>
            </w:r>
            <w:r w:rsidR="005547FD">
              <w:t> </w:t>
            </w:r>
            <w:r w:rsidR="00D872A6" w:rsidRPr="00824DB2">
              <w:t>14.1</w:t>
            </w:r>
            <w:r w:rsidR="00651C61" w:rsidRPr="00824DB2">
              <w:t>0</w:t>
            </w:r>
            <w:r w:rsidR="00D872A6" w:rsidRPr="00824DB2">
              <w:t xml:space="preserve"> and table</w:t>
            </w:r>
            <w:r w:rsidR="005547FD">
              <w:t> </w:t>
            </w:r>
            <w:r w:rsidR="00D872A6" w:rsidRPr="00824DB2">
              <w:t>14A.</w:t>
            </w:r>
            <w:r w:rsidR="00AF3774">
              <w:t>57</w:t>
            </w:r>
            <w:r w:rsidR="00AF3774" w:rsidRPr="00824DB2">
              <w:t xml:space="preserve"> </w:t>
            </w:r>
            <w:r w:rsidR="00D872A6" w:rsidRPr="00824DB2">
              <w:t xml:space="preserve">for detailed </w:t>
            </w:r>
            <w:r w:rsidR="003D7F75" w:rsidRPr="00824DB2">
              <w:t>definitions, footnotes and caveats</w:t>
            </w:r>
            <w:r w:rsidR="00CC48AD" w:rsidRPr="00824DB2">
              <w:t>.</w:t>
            </w:r>
          </w:p>
        </w:tc>
      </w:tr>
      <w:tr w:rsidR="009C4DBE" w:rsidRPr="00824DB2" w:rsidTr="00DD33DF">
        <w:tc>
          <w:tcPr>
            <w:tcW w:w="8771" w:type="dxa"/>
            <w:tcBorders>
              <w:top w:val="nil"/>
              <w:left w:val="nil"/>
              <w:bottom w:val="nil"/>
              <w:right w:val="nil"/>
            </w:tcBorders>
            <w:shd w:val="clear" w:color="auto" w:fill="auto"/>
          </w:tcPr>
          <w:p w:rsidR="005538E6" w:rsidRPr="00824DB2" w:rsidRDefault="005538E6" w:rsidP="00AF3774">
            <w:pPr>
              <w:pStyle w:val="Note"/>
            </w:pPr>
            <w:r w:rsidRPr="00824DB2">
              <w:rPr>
                <w:rStyle w:val="SourceChar"/>
                <w:i/>
              </w:rPr>
              <w:t>Source:</w:t>
            </w:r>
            <w:r w:rsidR="0040202F" w:rsidRPr="00824DB2">
              <w:t xml:space="preserve"> </w:t>
            </w:r>
            <w:r w:rsidR="005B01E2" w:rsidRPr="00824DB2">
              <w:t xml:space="preserve">DSS </w:t>
            </w:r>
            <w:r w:rsidR="007B05C6" w:rsidRPr="00824DB2">
              <w:t xml:space="preserve">(unpublished) </w:t>
            </w:r>
            <w:r w:rsidR="007B05C6" w:rsidRPr="00927A21">
              <w:t>Aged care data warehouse</w:t>
            </w:r>
            <w:r w:rsidR="009532FD" w:rsidRPr="00824DB2">
              <w:t>, table</w:t>
            </w:r>
            <w:r w:rsidR="00AE3578" w:rsidRPr="00824DB2">
              <w:t> </w:t>
            </w:r>
            <w:r w:rsidR="009532FD" w:rsidRPr="00824DB2">
              <w:t>14A.</w:t>
            </w:r>
            <w:r w:rsidR="00AF3774">
              <w:t>57</w:t>
            </w:r>
            <w:r w:rsidR="009532FD" w:rsidRPr="00824DB2">
              <w:t>.</w:t>
            </w:r>
          </w:p>
        </w:tc>
      </w:tr>
      <w:tr w:rsidR="009C4DBE" w:rsidRPr="00824DB2" w:rsidTr="00DD33DF">
        <w:tc>
          <w:tcPr>
            <w:tcW w:w="8771" w:type="dxa"/>
            <w:tcBorders>
              <w:top w:val="nil"/>
              <w:left w:val="nil"/>
              <w:bottom w:val="single" w:sz="6" w:space="0" w:color="78A22F"/>
              <w:right w:val="nil"/>
            </w:tcBorders>
            <w:shd w:val="clear" w:color="auto" w:fill="auto"/>
          </w:tcPr>
          <w:p w:rsidR="005538E6" w:rsidRPr="00824DB2" w:rsidRDefault="005538E6" w:rsidP="00DD33DF">
            <w:pPr>
              <w:pStyle w:val="Figurespace"/>
            </w:pPr>
          </w:p>
        </w:tc>
      </w:tr>
      <w:tr w:rsidR="001736E6" w:rsidRPr="00824DB2" w:rsidTr="004D3B73">
        <w:tc>
          <w:tcPr>
            <w:tcW w:w="8771" w:type="dxa"/>
            <w:tcBorders>
              <w:top w:val="single" w:sz="6" w:space="0" w:color="78A22F"/>
              <w:left w:val="nil"/>
              <w:bottom w:val="nil"/>
              <w:right w:val="nil"/>
            </w:tcBorders>
          </w:tcPr>
          <w:p w:rsidR="001736E6" w:rsidRPr="00824DB2" w:rsidRDefault="001736E6" w:rsidP="004D3B73">
            <w:pPr>
              <w:pStyle w:val="BoxSpaceBelow"/>
            </w:pPr>
          </w:p>
        </w:tc>
      </w:tr>
    </w:tbl>
    <w:p w:rsidR="00AC43A4" w:rsidRDefault="00AC43A4" w:rsidP="009C259D">
      <w:pPr>
        <w:pStyle w:val="BodyText"/>
      </w:pPr>
      <w:r w:rsidRPr="009C259D">
        <w:t xml:space="preserve">Nationally in </w:t>
      </w:r>
      <w:r w:rsidR="007A1F4F" w:rsidRPr="009C259D">
        <w:t>2014</w:t>
      </w:r>
      <w:r w:rsidR="00B84AF2" w:rsidRPr="009C259D">
        <w:noBreakHyphen/>
      </w:r>
      <w:r w:rsidR="007A1F4F" w:rsidRPr="009C259D">
        <w:t>15</w:t>
      </w:r>
      <w:r w:rsidRPr="009C259D">
        <w:t xml:space="preserve">, the number of people </w:t>
      </w:r>
      <w:r w:rsidR="007F5716" w:rsidRPr="009C259D">
        <w:t>under the age of</w:t>
      </w:r>
      <w:r w:rsidRPr="009C259D">
        <w:t xml:space="preserve"> 50 years admitted to permanent residential aged care was </w:t>
      </w:r>
      <w:r w:rsidR="009C259D" w:rsidRPr="005547FD">
        <w:t>196</w:t>
      </w:r>
      <w:r w:rsidR="007A1F4F" w:rsidRPr="009C259D">
        <w:t xml:space="preserve"> </w:t>
      </w:r>
      <w:r w:rsidR="00CB2022" w:rsidRPr="009C259D">
        <w:t>(table</w:t>
      </w:r>
      <w:r w:rsidR="00AE3578" w:rsidRPr="009C259D">
        <w:t> </w:t>
      </w:r>
      <w:r w:rsidR="00CB2022" w:rsidRPr="009C259D">
        <w:t>14A.</w:t>
      </w:r>
      <w:r w:rsidR="00AF3774">
        <w:t>58</w:t>
      </w:r>
      <w:r w:rsidR="00CB2022" w:rsidRPr="009C259D">
        <w:t>)</w:t>
      </w:r>
      <w:r w:rsidRPr="009C259D">
        <w:t xml:space="preserve">. This is </w:t>
      </w:r>
      <w:r w:rsidR="009C259D" w:rsidRPr="005547FD">
        <w:t>16.2</w:t>
      </w:r>
      <w:r w:rsidR="005B6471" w:rsidRPr="009C259D">
        <w:t> </w:t>
      </w:r>
      <w:r w:rsidRPr="009C259D">
        <w:t xml:space="preserve">per cent </w:t>
      </w:r>
      <w:r w:rsidR="00EF559A" w:rsidRPr="009C259D">
        <w:t xml:space="preserve">lower </w:t>
      </w:r>
      <w:r w:rsidRPr="009C259D">
        <w:t xml:space="preserve">than the number of people </w:t>
      </w:r>
      <w:r w:rsidR="007F5716" w:rsidRPr="009C259D">
        <w:t>under the age of</w:t>
      </w:r>
      <w:r w:rsidRPr="009C259D">
        <w:t xml:space="preserve"> 50 years admitted to permanent resident aged care in 2006</w:t>
      </w:r>
      <w:r w:rsidR="00B84AF2" w:rsidRPr="009C259D">
        <w:noBreakHyphen/>
      </w:r>
      <w:r w:rsidRPr="009C259D">
        <w:t xml:space="preserve">07 </w:t>
      </w:r>
      <w:r w:rsidR="00CB2022" w:rsidRPr="009C259D">
        <w:t>(figure</w:t>
      </w:r>
      <w:r w:rsidR="00AE3578" w:rsidRPr="009C259D">
        <w:t> </w:t>
      </w:r>
      <w:r w:rsidR="007E6C6A">
        <w:t>14.</w:t>
      </w:r>
      <w:r w:rsidR="00F61907">
        <w:t>25</w:t>
      </w:r>
      <w:r w:rsidR="00CB2022" w:rsidRPr="009C259D">
        <w:t>).</w:t>
      </w:r>
    </w:p>
    <w:p w:rsidR="007E6C6A" w:rsidRPr="009C4DBE" w:rsidRDefault="007E6C6A" w:rsidP="007E6C6A">
      <w:pPr>
        <w:pStyle w:val="BodyText"/>
      </w:pPr>
      <w:r w:rsidRPr="00F21474">
        <w:t>Nationally in 2014</w:t>
      </w:r>
      <w:r w:rsidRPr="00F21474">
        <w:noBreakHyphen/>
        <w:t>15, the number of younger people under the age of 50 years who separated from permanent residential aged care to return to home or family was</w:t>
      </w:r>
      <w:r w:rsidRPr="005547FD">
        <w:t xml:space="preserve"> 32.</w:t>
      </w:r>
      <w:r w:rsidRPr="00F21474">
        <w:t xml:space="preserve"> This is 28 per cent higher than in 2007</w:t>
      </w:r>
      <w:r w:rsidRPr="00F21474">
        <w:noBreakHyphen/>
        <w:t>08 (table 14A.</w:t>
      </w:r>
      <w:r w:rsidR="00AF3774">
        <w:t>59</w:t>
      </w:r>
      <w:r w:rsidRPr="00F21474">
        <w:t xml:space="preserve">). </w:t>
      </w:r>
      <w:r w:rsidRPr="009C4DBE">
        <w:t>These data should be interpreted with care, as some younger people choose to remain in residential aged care for a variety of reasons, such as:</w:t>
      </w:r>
    </w:p>
    <w:p w:rsidR="007E6C6A" w:rsidRPr="009C4DBE" w:rsidRDefault="007E6C6A" w:rsidP="007E6C6A">
      <w:pPr>
        <w:pStyle w:val="ListBullet"/>
      </w:pPr>
      <w:r w:rsidRPr="009C4DBE">
        <w:t>their physical and nursing needs can be best met in residential aged care</w:t>
      </w:r>
    </w:p>
    <w:p w:rsidR="007E6C6A" w:rsidRPr="009C4DBE" w:rsidRDefault="007E6C6A" w:rsidP="007E6C6A">
      <w:pPr>
        <w:pStyle w:val="ListBullet"/>
      </w:pPr>
      <w:r w:rsidRPr="009C4DBE">
        <w:t>they are satisfied with their current living situation (that is, it is their preferred facility)</w:t>
      </w:r>
    </w:p>
    <w:p w:rsidR="007E6C6A" w:rsidRPr="009C4DBE" w:rsidRDefault="007E6C6A" w:rsidP="007E6C6A">
      <w:pPr>
        <w:pStyle w:val="ListBullet"/>
      </w:pPr>
      <w:r w:rsidRPr="009C4DBE">
        <w:t>the facility is located close to family and friends</w:t>
      </w:r>
    </w:p>
    <w:p w:rsidR="007E6C6A" w:rsidRPr="009C4DBE" w:rsidRDefault="007E6C6A" w:rsidP="007E6C6A">
      <w:pPr>
        <w:pStyle w:val="ListBullet"/>
      </w:pPr>
      <w:r w:rsidRPr="009C4DBE">
        <w:t>it is a familiar home environment.</w:t>
      </w:r>
    </w:p>
    <w:p w:rsidR="007E6C6A" w:rsidRPr="009C259D" w:rsidRDefault="007E6C6A" w:rsidP="007E6C6A">
      <w:pPr>
        <w:pStyle w:val="BodyText"/>
      </w:pPr>
      <w:r w:rsidRPr="009C4DBE">
        <w:t>Additional information on younger people in residential aged care, including the number of people receiving residential aged care, the rate of admission to and the separation from residential aged care, from 2006</w:t>
      </w:r>
      <w:r w:rsidRPr="009C4DBE">
        <w:noBreakHyphen/>
        <w:t>07 to 2014</w:t>
      </w:r>
      <w:r w:rsidRPr="009C4DBE">
        <w:noBreakHyphen/>
        <w:t>15, are available in the attachment tables (see tables 14A.</w:t>
      </w:r>
      <w:r w:rsidR="00AF3774" w:rsidRPr="009C4DBE">
        <w:t>6</w:t>
      </w:r>
      <w:r w:rsidR="00AF3774">
        <w:t>0</w:t>
      </w:r>
      <w:r w:rsidRPr="009C4DBE">
        <w:t>–</w:t>
      </w:r>
      <w:r w:rsidR="00AF3774" w:rsidRPr="009C4DBE">
        <w:t>6</w:t>
      </w:r>
      <w:r w:rsidR="00AF3774">
        <w:t>5</w:t>
      </w:r>
      <w:r w:rsidRPr="009C4DBE">
        <w:t>).</w:t>
      </w:r>
    </w:p>
    <w:p w:rsidR="005538E6" w:rsidRPr="00F21474" w:rsidRDefault="005538E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C4DBE" w:rsidRPr="00F21474" w:rsidTr="00DD33DF">
        <w:tc>
          <w:tcPr>
            <w:tcW w:w="8771" w:type="dxa"/>
            <w:tcBorders>
              <w:top w:val="single" w:sz="6" w:space="0" w:color="78A22F"/>
              <w:left w:val="nil"/>
              <w:bottom w:val="nil"/>
              <w:right w:val="nil"/>
            </w:tcBorders>
            <w:shd w:val="clear" w:color="auto" w:fill="auto"/>
          </w:tcPr>
          <w:p w:rsidR="005538E6" w:rsidRPr="00F21474" w:rsidRDefault="005538E6" w:rsidP="007E6C6A">
            <w:pPr>
              <w:pStyle w:val="FigureTitle"/>
            </w:pPr>
            <w:r w:rsidRPr="00F21474">
              <w:rPr>
                <w:b w:val="0"/>
              </w:rPr>
              <w:t xml:space="preserve">Figure </w:t>
            </w:r>
            <w:bookmarkStart w:id="40" w:name="OLE_LINK37"/>
            <w:r w:rsidR="00321568" w:rsidRPr="00F21474">
              <w:rPr>
                <w:b w:val="0"/>
              </w:rPr>
              <w:t>14.</w:t>
            </w:r>
            <w:r w:rsidR="004B691F">
              <w:rPr>
                <w:b w:val="0"/>
                <w:noProof/>
              </w:rPr>
              <w:t>25</w:t>
            </w:r>
            <w:bookmarkEnd w:id="40"/>
            <w:r w:rsidRPr="00F21474">
              <w:tab/>
            </w:r>
            <w:r w:rsidR="007E6C6A">
              <w:t xml:space="preserve">Percentage change in numbers of </w:t>
            </w:r>
            <w:r w:rsidR="007E6C6A">
              <w:rPr>
                <w:shd w:val="clear" w:color="auto" w:fill="FFFFFF" w:themeFill="background1"/>
              </w:rPr>
              <w:t>y</w:t>
            </w:r>
            <w:r w:rsidRPr="00F21474">
              <w:rPr>
                <w:shd w:val="clear" w:color="auto" w:fill="FFFFFF" w:themeFill="background1"/>
              </w:rPr>
              <w:t>ounger people admitted to permanent residential aged care between 2006</w:t>
            </w:r>
            <w:r w:rsidR="00B84AF2" w:rsidRPr="00F21474">
              <w:rPr>
                <w:shd w:val="clear" w:color="auto" w:fill="FFFFFF" w:themeFill="background1"/>
              </w:rPr>
              <w:noBreakHyphen/>
            </w:r>
            <w:r w:rsidRPr="00F21474">
              <w:rPr>
                <w:shd w:val="clear" w:color="auto" w:fill="FFFFFF" w:themeFill="background1"/>
              </w:rPr>
              <w:t>07 and</w:t>
            </w:r>
            <w:r w:rsidRPr="00F21474">
              <w:rPr>
                <w:rFonts w:cs="Arial"/>
                <w:shd w:val="clear" w:color="auto" w:fill="FFFFFF" w:themeFill="background1"/>
              </w:rPr>
              <w:t xml:space="preserve"> </w:t>
            </w:r>
            <w:r w:rsidR="0040202F" w:rsidRPr="00F21474">
              <w:rPr>
                <w:rFonts w:cs="Arial"/>
                <w:shd w:val="clear" w:color="auto" w:fill="FFFFFF" w:themeFill="background1"/>
              </w:rPr>
              <w:br/>
            </w:r>
            <w:r w:rsidR="00A658F7" w:rsidRPr="00F21474">
              <w:rPr>
                <w:shd w:val="clear" w:color="auto" w:fill="FFFFFF" w:themeFill="background1"/>
              </w:rPr>
              <w:t>2014</w:t>
            </w:r>
            <w:r w:rsidR="00B84AF2" w:rsidRPr="00F21474">
              <w:rPr>
                <w:shd w:val="clear" w:color="auto" w:fill="FFFFFF" w:themeFill="background1"/>
              </w:rPr>
              <w:noBreakHyphen/>
            </w:r>
            <w:r w:rsidR="00A658F7" w:rsidRPr="00F21474">
              <w:rPr>
                <w:shd w:val="clear" w:color="auto" w:fill="FFFFFF" w:themeFill="background1"/>
              </w:rPr>
              <w:t>15</w:t>
            </w:r>
            <w:r w:rsidRPr="00F21474">
              <w:rPr>
                <w:shd w:val="clear" w:color="auto" w:fill="FFFFFF" w:themeFill="background1"/>
              </w:rPr>
              <w:t>, by age group</w:t>
            </w:r>
            <w:r w:rsidRPr="00F21474">
              <w:rPr>
                <w:rStyle w:val="NoteLabel"/>
                <w:b/>
                <w:shd w:val="clear" w:color="auto" w:fill="FFFFFF" w:themeFill="background1"/>
              </w:rPr>
              <w:t>a</w:t>
            </w:r>
          </w:p>
        </w:tc>
      </w:tr>
      <w:tr w:rsidR="009C4DBE" w:rsidRPr="00C1206E"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C4DBE" w:rsidRPr="00927A21" w:rsidTr="00DD33DF">
              <w:trPr>
                <w:jc w:val="center"/>
              </w:trPr>
              <w:tc>
                <w:tcPr>
                  <w:tcW w:w="5000" w:type="pct"/>
                  <w:tcBorders>
                    <w:top w:val="nil"/>
                    <w:bottom w:val="nil"/>
                  </w:tcBorders>
                </w:tcPr>
                <w:p w:rsidR="005538E6" w:rsidRPr="00927A21" w:rsidRDefault="00AB345E" w:rsidP="00F21474">
                  <w:pPr>
                    <w:pStyle w:val="Figure"/>
                  </w:pPr>
                  <w:r>
                    <w:rPr>
                      <w:noProof/>
                    </w:rPr>
                    <w:drawing>
                      <wp:inline distT="0" distB="0" distL="0" distR="0">
                        <wp:extent cx="4999355" cy="2564765"/>
                        <wp:effectExtent l="0" t="0" r="0" b="6985"/>
                        <wp:docPr id="58" name="Picture 58" descr="Figure 14.25 Percentage change in numbers of younger people admitted to permanent residential aged care between 2006-07 and 2014-15, by age group&#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999355" cy="2564765"/>
                                </a:xfrm>
                                <a:prstGeom prst="rect">
                                  <a:avLst/>
                                </a:prstGeom>
                                <a:noFill/>
                                <a:ln>
                                  <a:noFill/>
                                </a:ln>
                              </pic:spPr>
                            </pic:pic>
                          </a:graphicData>
                        </a:graphic>
                      </wp:inline>
                    </w:drawing>
                  </w:r>
                </w:p>
              </w:tc>
            </w:tr>
          </w:tbl>
          <w:p w:rsidR="005538E6" w:rsidRPr="00927A21" w:rsidRDefault="005538E6" w:rsidP="00DD33DF">
            <w:pPr>
              <w:pStyle w:val="Figure"/>
            </w:pPr>
          </w:p>
        </w:tc>
      </w:tr>
      <w:tr w:rsidR="009C4DBE" w:rsidRPr="00F21474" w:rsidTr="00F21474">
        <w:tc>
          <w:tcPr>
            <w:tcW w:w="8771" w:type="dxa"/>
            <w:tcBorders>
              <w:top w:val="nil"/>
              <w:left w:val="nil"/>
              <w:bottom w:val="nil"/>
              <w:right w:val="nil"/>
            </w:tcBorders>
            <w:shd w:val="clear" w:color="auto" w:fill="FFFFFF" w:themeFill="background1"/>
          </w:tcPr>
          <w:p w:rsidR="005538E6" w:rsidRPr="00F21474" w:rsidRDefault="005538E6" w:rsidP="00AF3774">
            <w:pPr>
              <w:pStyle w:val="Note"/>
            </w:pPr>
            <w:r w:rsidRPr="00F21474">
              <w:rPr>
                <w:rStyle w:val="NoteLabel"/>
              </w:rPr>
              <w:t>a</w:t>
            </w:r>
            <w:r w:rsidRPr="00F21474">
              <w:t xml:space="preserve"> </w:t>
            </w:r>
            <w:r w:rsidR="00CC48AD" w:rsidRPr="00F21474">
              <w:t>See box</w:t>
            </w:r>
            <w:r w:rsidR="005547FD">
              <w:t> </w:t>
            </w:r>
            <w:r w:rsidR="00CC48AD" w:rsidRPr="00F21474">
              <w:t>14.1</w:t>
            </w:r>
            <w:r w:rsidR="006025BC" w:rsidRPr="00F21474">
              <w:t>0</w:t>
            </w:r>
            <w:r w:rsidR="00CC48AD" w:rsidRPr="00F21474">
              <w:t xml:space="preserve"> and table</w:t>
            </w:r>
            <w:r w:rsidR="005547FD">
              <w:t> </w:t>
            </w:r>
            <w:r w:rsidR="00CC48AD" w:rsidRPr="00F21474">
              <w:t>14A.</w:t>
            </w:r>
            <w:r w:rsidR="00AF3774">
              <w:t>58</w:t>
            </w:r>
            <w:r w:rsidR="00AF3774" w:rsidRPr="00F21474">
              <w:t xml:space="preserve"> </w:t>
            </w:r>
            <w:r w:rsidR="00CC48AD" w:rsidRPr="00F21474">
              <w:t xml:space="preserve">for detailed </w:t>
            </w:r>
            <w:r w:rsidR="003D7F75" w:rsidRPr="00F21474">
              <w:t>definitions, footnotes and caveats</w:t>
            </w:r>
            <w:r w:rsidR="00CC48AD" w:rsidRPr="00F21474">
              <w:t>.</w:t>
            </w:r>
          </w:p>
        </w:tc>
      </w:tr>
      <w:tr w:rsidR="009C4DBE" w:rsidRPr="00F21474" w:rsidTr="00F21474">
        <w:tc>
          <w:tcPr>
            <w:tcW w:w="8771" w:type="dxa"/>
            <w:tcBorders>
              <w:top w:val="nil"/>
              <w:left w:val="nil"/>
              <w:bottom w:val="nil"/>
              <w:right w:val="nil"/>
            </w:tcBorders>
            <w:shd w:val="clear" w:color="auto" w:fill="FFFFFF" w:themeFill="background1"/>
          </w:tcPr>
          <w:p w:rsidR="005538E6" w:rsidRPr="00F21474" w:rsidRDefault="005538E6" w:rsidP="00AF3774">
            <w:pPr>
              <w:pStyle w:val="Note"/>
            </w:pPr>
            <w:r w:rsidRPr="00F21474">
              <w:rPr>
                <w:i/>
              </w:rPr>
              <w:t>Source</w:t>
            </w:r>
            <w:r w:rsidRPr="00F21474">
              <w:t xml:space="preserve">: </w:t>
            </w:r>
            <w:r w:rsidR="00BD1F59" w:rsidRPr="00F21474">
              <w:t xml:space="preserve">DSS </w:t>
            </w:r>
            <w:r w:rsidR="00EF559A" w:rsidRPr="00F21474">
              <w:t xml:space="preserve">(unpublished) </w:t>
            </w:r>
            <w:r w:rsidR="00EF559A" w:rsidRPr="00927A21">
              <w:t>Aged care data warehouse</w:t>
            </w:r>
            <w:r w:rsidR="00EF559A" w:rsidRPr="00F21474">
              <w:t>, table</w:t>
            </w:r>
            <w:r w:rsidR="00AE3578" w:rsidRPr="00F21474">
              <w:t> </w:t>
            </w:r>
            <w:r w:rsidR="00EF559A" w:rsidRPr="00F21474">
              <w:t>14A.</w:t>
            </w:r>
            <w:r w:rsidR="00AF3774">
              <w:t>58</w:t>
            </w:r>
            <w:r w:rsidR="00EF559A" w:rsidRPr="00F21474">
              <w:t>.</w:t>
            </w:r>
          </w:p>
        </w:tc>
      </w:tr>
      <w:tr w:rsidR="009C4DBE" w:rsidRPr="00F21474" w:rsidTr="00F21474">
        <w:tc>
          <w:tcPr>
            <w:tcW w:w="8771" w:type="dxa"/>
            <w:tcBorders>
              <w:top w:val="nil"/>
              <w:left w:val="nil"/>
              <w:bottom w:val="single" w:sz="6" w:space="0" w:color="78A22F"/>
              <w:right w:val="nil"/>
            </w:tcBorders>
            <w:shd w:val="clear" w:color="auto" w:fill="FFFFFF" w:themeFill="background1"/>
          </w:tcPr>
          <w:p w:rsidR="005538E6" w:rsidRPr="00F21474" w:rsidRDefault="005538E6" w:rsidP="00DD33DF">
            <w:pPr>
              <w:pStyle w:val="Figurespace"/>
            </w:pPr>
          </w:p>
        </w:tc>
      </w:tr>
      <w:tr w:rsidR="001736E6" w:rsidRPr="00F21474" w:rsidTr="00F21474">
        <w:tc>
          <w:tcPr>
            <w:tcW w:w="8771" w:type="dxa"/>
            <w:tcBorders>
              <w:top w:val="single" w:sz="6" w:space="0" w:color="78A22F"/>
              <w:left w:val="nil"/>
              <w:bottom w:val="nil"/>
              <w:right w:val="nil"/>
            </w:tcBorders>
            <w:shd w:val="clear" w:color="auto" w:fill="FFFFFF" w:themeFill="background1"/>
          </w:tcPr>
          <w:p w:rsidR="001736E6" w:rsidRPr="00F21474" w:rsidRDefault="001736E6" w:rsidP="004D3B73">
            <w:pPr>
              <w:pStyle w:val="BoxSpaceBelow"/>
            </w:pPr>
          </w:p>
        </w:tc>
      </w:tr>
    </w:tbl>
    <w:p w:rsidR="001F39F2" w:rsidRPr="009C4DBE" w:rsidRDefault="007E6C6A" w:rsidP="00927A21">
      <w:pPr>
        <w:pStyle w:val="Heading4"/>
      </w:pPr>
      <w:r>
        <w:t xml:space="preserve">Quality of services </w:t>
      </w:r>
      <w:r w:rsidR="00927A21">
        <w:rPr>
          <w:rFonts w:cs="Arial"/>
        </w:rPr>
        <w:t>―</w:t>
      </w:r>
      <w:r>
        <w:t xml:space="preserve"> </w:t>
      </w:r>
      <w:r w:rsidR="001F39F2" w:rsidRPr="009C4DBE">
        <w:t>Quality assurance processes</w:t>
      </w:r>
    </w:p>
    <w:p w:rsidR="001F39F2" w:rsidRDefault="001F39F2" w:rsidP="00585E2C">
      <w:pPr>
        <w:pStyle w:val="BodyText"/>
      </w:pPr>
      <w:r w:rsidRPr="009C4DBE">
        <w:t xml:space="preserve">‘Quality assurance processes’ </w:t>
      </w:r>
      <w:r w:rsidR="00DA5D20" w:rsidRPr="009C4DBE">
        <w:t>is</w:t>
      </w:r>
      <w:r w:rsidRPr="009C4DBE">
        <w:t xml:space="preserve"> related to governments’ objective to deliver and fund </w:t>
      </w:r>
      <w:r w:rsidR="00DA5D20" w:rsidRPr="009C4DBE">
        <w:t xml:space="preserve">disability </w:t>
      </w:r>
      <w:r w:rsidRPr="009C4DBE">
        <w:t>services that meet a particular standard of quality (box</w:t>
      </w:r>
      <w:r w:rsidR="00AE3578" w:rsidRPr="009C4DBE">
        <w:t> </w:t>
      </w:r>
      <w:r w:rsidRPr="009C4DBE">
        <w:t>14.</w:t>
      </w:r>
      <w:r w:rsidR="00525A0A" w:rsidRPr="009C4DBE">
        <w:t>1</w:t>
      </w:r>
      <w:r w:rsidR="00651C61">
        <w:t>1</w:t>
      </w:r>
      <w:r w:rsidR="00626455" w:rsidRPr="009C4DBE">
        <w:t>).</w:t>
      </w:r>
    </w:p>
    <w:p w:rsidR="007E6C6A" w:rsidRDefault="007E6C6A" w:rsidP="00585E2C">
      <w:pPr>
        <w:pStyle w:val="BodyText"/>
      </w:pPr>
      <w:r w:rsidRPr="006C61C3">
        <w:t>A revised set of six National Standards for Disability Services (National Standards) were endorsed by the Australian Government and all State and Territory governments in December 2013 (box 14.</w:t>
      </w:r>
      <w:r>
        <w:t>12</w:t>
      </w:r>
      <w:r w:rsidRPr="006C61C3">
        <w:t>). The Australian Government and all State and Territory governments agreed to implement these minimum standards</w:t>
      </w:r>
      <w:r>
        <w:t xml:space="preserve"> </w:t>
      </w:r>
      <w:r w:rsidRPr="002D073B">
        <w:t>or to map jurisdictional standards to them</w:t>
      </w:r>
      <w:r w:rsidRPr="006C61C3">
        <w:t>. All State and Territory governments have developed, or are in the process of developing or re</w:t>
      </w:r>
      <w:r w:rsidRPr="006C61C3">
        <w:noBreakHyphen/>
        <w:t>developing, mechanisms for assessing compliance with the standards (tables 14A.</w:t>
      </w:r>
      <w:r w:rsidR="00AF3774" w:rsidRPr="006C61C3">
        <w:t>6</w:t>
      </w:r>
      <w:r w:rsidR="00AF3774">
        <w:t>6</w:t>
      </w:r>
      <w:r w:rsidRPr="006C61C3">
        <w:t>–</w:t>
      </w:r>
      <w:r w:rsidR="00AF3774" w:rsidRPr="006C61C3">
        <w:t>7</w:t>
      </w:r>
      <w:r w:rsidR="004E5CBA">
        <w:t>4</w:t>
      </w:r>
      <w:r w:rsidRPr="006C61C3">
        <w:t xml:space="preserve">). </w:t>
      </w:r>
    </w:p>
    <w:p w:rsidR="007E6C6A" w:rsidRPr="006C61C3" w:rsidRDefault="007E6C6A" w:rsidP="007E6C6A">
      <w:pPr>
        <w:pStyle w:val="BodyText"/>
      </w:pPr>
      <w:r w:rsidRPr="002A682B">
        <w:t>Quality assurance processes differ across jurisdictions. Most processes include some form of self</w:t>
      </w:r>
      <w:r w:rsidRPr="002A682B">
        <w:noBreakHyphen/>
        <w:t>assessment. Many include, or are working toward implementing, an external third party audit/certification process. Data on quality assurance processes in 2014</w:t>
      </w:r>
      <w:r w:rsidRPr="002A682B">
        <w:noBreakHyphen/>
        <w:t xml:space="preserve">15 are reported </w:t>
      </w:r>
      <w:r>
        <w:t>in box</w:t>
      </w:r>
      <w:r w:rsidR="005547FD">
        <w:t> </w:t>
      </w:r>
      <w:r>
        <w:t>14.13</w:t>
      </w:r>
      <w:r w:rsidRPr="002A682B">
        <w:t>. These results should be inter</w:t>
      </w:r>
      <w:r w:rsidR="00C20C63">
        <w:t xml:space="preserve">preted with reference to tables </w:t>
      </w:r>
      <w:r w:rsidR="00C20C63">
        <w:br/>
      </w:r>
      <w:r w:rsidRPr="002A682B">
        <w:t>14A.</w:t>
      </w:r>
      <w:r w:rsidR="00AF3774" w:rsidRPr="002A682B">
        <w:t>6</w:t>
      </w:r>
      <w:r w:rsidR="00AF3774">
        <w:t>6</w:t>
      </w:r>
      <w:r w:rsidRPr="002A682B">
        <w:t>–7</w:t>
      </w:r>
      <w:r w:rsidR="004E5CBA">
        <w:t>4</w:t>
      </w:r>
      <w:r w:rsidRPr="002A682B">
        <w:t>, which contain information on the legislation under which jurisdictions implement standards, the relevant disability service standards and how quality is monitored.</w:t>
      </w:r>
    </w:p>
    <w:p w:rsidR="00626455" w:rsidRPr="00B86C20" w:rsidRDefault="0062645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RPr="009C4DBE" w:rsidTr="00C827D5">
        <w:tc>
          <w:tcPr>
            <w:tcW w:w="8771" w:type="dxa"/>
            <w:tcBorders>
              <w:top w:val="single" w:sz="6" w:space="0" w:color="78A22F"/>
              <w:left w:val="nil"/>
              <w:bottom w:val="nil"/>
              <w:right w:val="nil"/>
            </w:tcBorders>
            <w:shd w:val="clear" w:color="auto" w:fill="F2F2F2"/>
          </w:tcPr>
          <w:p w:rsidR="00626455" w:rsidRPr="009C4DBE" w:rsidRDefault="00626455" w:rsidP="00626455">
            <w:pPr>
              <w:pStyle w:val="BoxTitle"/>
            </w:pPr>
            <w:r w:rsidRPr="009C4DBE">
              <w:rPr>
                <w:b w:val="0"/>
              </w:rPr>
              <w:t xml:space="preserve">Box </w:t>
            </w:r>
            <w:r w:rsidR="00321568" w:rsidRPr="009C4DBE">
              <w:rPr>
                <w:b w:val="0"/>
              </w:rPr>
              <w:t>14.</w:t>
            </w:r>
            <w:r w:rsidR="004B691F">
              <w:rPr>
                <w:b w:val="0"/>
                <w:noProof/>
              </w:rPr>
              <w:t>11</w:t>
            </w:r>
            <w:r w:rsidRPr="009C4DBE">
              <w:tab/>
              <w:t>Quality assurance processes</w:t>
            </w:r>
          </w:p>
        </w:tc>
      </w:tr>
      <w:tr w:rsidR="00626455" w:rsidRPr="009C4DBE" w:rsidTr="00C827D5">
        <w:trPr>
          <w:cantSplit/>
        </w:trPr>
        <w:tc>
          <w:tcPr>
            <w:tcW w:w="8771" w:type="dxa"/>
            <w:tcBorders>
              <w:top w:val="nil"/>
              <w:left w:val="nil"/>
              <w:bottom w:val="nil"/>
              <w:right w:val="nil"/>
            </w:tcBorders>
            <w:shd w:val="clear" w:color="auto" w:fill="F2F2F2"/>
          </w:tcPr>
          <w:p w:rsidR="00626455" w:rsidRPr="009C4DBE" w:rsidRDefault="00626455" w:rsidP="00626455">
            <w:pPr>
              <w:pStyle w:val="Box"/>
            </w:pPr>
            <w:r w:rsidRPr="009C4DBE">
              <w:t xml:space="preserve">‘Quality assurance processes’ is defined as the proportion of NDA </w:t>
            </w:r>
            <w:r w:rsidRPr="009C4DBE">
              <w:br/>
              <w:t>disability service outlets that have been assessed (either by an external agency or through a self</w:t>
            </w:r>
            <w:r w:rsidR="00B84AF2" w:rsidRPr="009C4DBE">
              <w:noBreakHyphen/>
            </w:r>
            <w:r w:rsidRPr="009C4DBE">
              <w:t xml:space="preserve">assessment process) against service standards. </w:t>
            </w:r>
          </w:p>
          <w:p w:rsidR="00626455" w:rsidRPr="009C4DBE" w:rsidRDefault="00626455" w:rsidP="00626455">
            <w:pPr>
              <w:pStyle w:val="Box"/>
            </w:pPr>
            <w:r w:rsidRPr="009C4DBE">
              <w:t xml:space="preserve">A high or increasing proportion of disability service outlets that have been assessed against the standards (and are found to be compliant) suggests an improvement in the quality of government delivered or funded specialist disability services. </w:t>
            </w:r>
          </w:p>
          <w:p w:rsidR="00626455" w:rsidRPr="009C4DBE" w:rsidRDefault="00626455" w:rsidP="00626455">
            <w:pPr>
              <w:pStyle w:val="Box"/>
            </w:pPr>
            <w:r w:rsidRPr="009C4DBE">
              <w:t xml:space="preserve">This indicator does not provide information on whether the standards or the quality assurance processes are appropriate. In addition, service outlets that are not quality assessed do not necessarily deliver services of lower quality. </w:t>
            </w:r>
          </w:p>
          <w:p w:rsidR="00626455" w:rsidRPr="009C4DBE" w:rsidRDefault="00626455" w:rsidP="00626455">
            <w:pPr>
              <w:pStyle w:val="Box"/>
            </w:pPr>
            <w:r w:rsidRPr="009C4DBE">
              <w:t>Data reported for this measure are:</w:t>
            </w:r>
          </w:p>
          <w:p w:rsidR="00626455" w:rsidRPr="009C4DBE" w:rsidRDefault="00626455" w:rsidP="00FA16C2">
            <w:pPr>
              <w:pStyle w:val="BoxListBullet"/>
              <w:rPr>
                <w:lang w:eastAsia="en-US"/>
              </w:rPr>
            </w:pPr>
            <w:r w:rsidRPr="009C4DBE">
              <w:rPr>
                <w:lang w:eastAsia="en-US"/>
              </w:rPr>
              <w:t xml:space="preserve">comparable (subject to caveats) within jurisdictions over time but are not comparable across jurisdictions </w:t>
            </w:r>
          </w:p>
          <w:p w:rsidR="00626455" w:rsidRPr="009C4DBE" w:rsidRDefault="00626455" w:rsidP="00FA16C2">
            <w:pPr>
              <w:pStyle w:val="BoxListBullet"/>
              <w:rPr>
                <w:lang w:eastAsia="en-US"/>
              </w:rPr>
            </w:pPr>
            <w:r w:rsidRPr="009C4DBE">
              <w:rPr>
                <w:lang w:eastAsia="en-US"/>
              </w:rPr>
              <w:t xml:space="preserve">complete (subject to caveats) for the current reporting period. All required </w:t>
            </w:r>
            <w:r w:rsidR="006C61C3">
              <w:rPr>
                <w:lang w:eastAsia="en-US"/>
              </w:rPr>
              <w:t>2014</w:t>
            </w:r>
            <w:r w:rsidR="00B84AF2" w:rsidRPr="009C4DBE">
              <w:rPr>
                <w:lang w:eastAsia="en-US"/>
              </w:rPr>
              <w:noBreakHyphen/>
            </w:r>
            <w:r w:rsidR="0078212A" w:rsidRPr="009C4DBE">
              <w:rPr>
                <w:lang w:eastAsia="en-US"/>
              </w:rPr>
              <w:t>1</w:t>
            </w:r>
            <w:r w:rsidR="006C61C3">
              <w:rPr>
                <w:lang w:eastAsia="en-US"/>
              </w:rPr>
              <w:t>5</w:t>
            </w:r>
            <w:r w:rsidRPr="009C4DBE">
              <w:rPr>
                <w:lang w:eastAsia="en-US"/>
              </w:rPr>
              <w:t xml:space="preserve"> data are available for all jurisdictions.</w:t>
            </w:r>
          </w:p>
          <w:p w:rsidR="00626455" w:rsidRPr="009C4DBE" w:rsidRDefault="00626455" w:rsidP="00626455">
            <w:pPr>
              <w:pStyle w:val="Box"/>
            </w:pPr>
            <w:r w:rsidRPr="009C4DBE">
              <w:t>Data quality information for this indicator is under development.</w:t>
            </w:r>
          </w:p>
        </w:tc>
      </w:tr>
      <w:tr w:rsidR="00626455" w:rsidRPr="009C4DBE" w:rsidTr="00C827D5">
        <w:trPr>
          <w:cantSplit/>
        </w:trPr>
        <w:tc>
          <w:tcPr>
            <w:tcW w:w="8771" w:type="dxa"/>
            <w:tcBorders>
              <w:top w:val="nil"/>
              <w:left w:val="nil"/>
              <w:bottom w:val="single" w:sz="6" w:space="0" w:color="78A22F"/>
              <w:right w:val="nil"/>
            </w:tcBorders>
            <w:shd w:val="clear" w:color="auto" w:fill="F2F2F2"/>
          </w:tcPr>
          <w:p w:rsidR="00626455" w:rsidRPr="009C4DBE" w:rsidRDefault="00626455">
            <w:pPr>
              <w:pStyle w:val="Box"/>
              <w:spacing w:before="0" w:line="120" w:lineRule="exact"/>
            </w:pPr>
          </w:p>
        </w:tc>
      </w:tr>
      <w:tr w:rsidR="00626455" w:rsidRPr="009C4DBE" w:rsidTr="00C827D5">
        <w:tc>
          <w:tcPr>
            <w:tcW w:w="8771" w:type="dxa"/>
            <w:tcBorders>
              <w:top w:val="single" w:sz="6" w:space="0" w:color="78A22F"/>
              <w:left w:val="nil"/>
              <w:bottom w:val="nil"/>
              <w:right w:val="nil"/>
            </w:tcBorders>
          </w:tcPr>
          <w:p w:rsidR="00626455" w:rsidRPr="009C4DBE" w:rsidRDefault="00626455" w:rsidP="00C827D5">
            <w:pPr>
              <w:pStyle w:val="BoxSpaceBelow"/>
            </w:pPr>
          </w:p>
        </w:tc>
      </w:tr>
    </w:tbl>
    <w:p w:rsidR="00626455" w:rsidRPr="00B86C20" w:rsidRDefault="0062645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RPr="006C61C3" w:rsidTr="00C827D5">
        <w:tc>
          <w:tcPr>
            <w:tcW w:w="8771" w:type="dxa"/>
            <w:tcBorders>
              <w:top w:val="single" w:sz="6" w:space="0" w:color="78A22F"/>
              <w:left w:val="nil"/>
              <w:bottom w:val="nil"/>
              <w:right w:val="nil"/>
            </w:tcBorders>
            <w:shd w:val="clear" w:color="auto" w:fill="F2F2F2"/>
          </w:tcPr>
          <w:p w:rsidR="00626455" w:rsidRPr="006C61C3" w:rsidRDefault="00626455">
            <w:pPr>
              <w:pStyle w:val="BoxTitle"/>
            </w:pPr>
            <w:r w:rsidRPr="006C61C3">
              <w:rPr>
                <w:b w:val="0"/>
              </w:rPr>
              <w:t xml:space="preserve">Box </w:t>
            </w:r>
            <w:r w:rsidR="00321568" w:rsidRPr="006C61C3">
              <w:rPr>
                <w:b w:val="0"/>
              </w:rPr>
              <w:t>14.</w:t>
            </w:r>
            <w:r w:rsidR="004B691F">
              <w:rPr>
                <w:b w:val="0"/>
                <w:noProof/>
              </w:rPr>
              <w:t>12</w:t>
            </w:r>
            <w:r w:rsidRPr="006C61C3">
              <w:tab/>
              <w:t>National Disability Service Standards</w:t>
            </w:r>
          </w:p>
        </w:tc>
      </w:tr>
      <w:tr w:rsidR="00626455" w:rsidRPr="006C61C3" w:rsidTr="00C827D5">
        <w:trPr>
          <w:cantSplit/>
        </w:trPr>
        <w:tc>
          <w:tcPr>
            <w:tcW w:w="8771" w:type="dxa"/>
            <w:tcBorders>
              <w:top w:val="nil"/>
              <w:left w:val="nil"/>
              <w:bottom w:val="nil"/>
              <w:right w:val="nil"/>
            </w:tcBorders>
            <w:shd w:val="clear" w:color="auto" w:fill="F2F2F2"/>
          </w:tcPr>
          <w:p w:rsidR="00626455" w:rsidRPr="006C61C3" w:rsidRDefault="00626455" w:rsidP="00626455">
            <w:pPr>
              <w:pStyle w:val="Box"/>
              <w:rPr>
                <w:b/>
              </w:rPr>
            </w:pPr>
            <w:r w:rsidRPr="006C61C3">
              <w:rPr>
                <w:b/>
              </w:rPr>
              <w:t>Standard One — Rights</w:t>
            </w:r>
          </w:p>
          <w:p w:rsidR="00626455" w:rsidRPr="006C61C3" w:rsidRDefault="00626455" w:rsidP="00626455">
            <w:pPr>
              <w:pStyle w:val="Box"/>
            </w:pPr>
            <w:r w:rsidRPr="006C61C3">
              <w:t>The service promotes individual rights to freedom of expression, self</w:t>
            </w:r>
            <w:r w:rsidR="00B84AF2" w:rsidRPr="006C61C3">
              <w:noBreakHyphen/>
            </w:r>
            <w:r w:rsidRPr="006C61C3">
              <w:t>determination and decision</w:t>
            </w:r>
            <w:r w:rsidR="00B84AF2" w:rsidRPr="006C61C3">
              <w:noBreakHyphen/>
            </w:r>
            <w:r w:rsidRPr="006C61C3">
              <w:t>making and actively prevents abuse, harm, neglect and violence.</w:t>
            </w:r>
          </w:p>
          <w:p w:rsidR="00626455" w:rsidRPr="006C61C3" w:rsidRDefault="00626455" w:rsidP="00626455">
            <w:pPr>
              <w:pStyle w:val="Box"/>
              <w:rPr>
                <w:b/>
              </w:rPr>
            </w:pPr>
            <w:r w:rsidRPr="006C61C3">
              <w:rPr>
                <w:b/>
              </w:rPr>
              <w:t>Standard Two — Participation and Inclusion</w:t>
            </w:r>
          </w:p>
          <w:p w:rsidR="00626455" w:rsidRPr="006C61C3" w:rsidRDefault="00626455" w:rsidP="00626455">
            <w:pPr>
              <w:pStyle w:val="Box"/>
            </w:pPr>
            <w:r w:rsidRPr="006C61C3">
              <w:t>The service works with individuals and families, friends and carers to promote opportunities for meaningful participation and active inclusion in society.</w:t>
            </w:r>
          </w:p>
          <w:p w:rsidR="00626455" w:rsidRPr="006C61C3" w:rsidRDefault="00626455" w:rsidP="00626455">
            <w:pPr>
              <w:pStyle w:val="Box"/>
              <w:rPr>
                <w:b/>
              </w:rPr>
            </w:pPr>
            <w:r w:rsidRPr="006C61C3">
              <w:rPr>
                <w:b/>
              </w:rPr>
              <w:t>Standard Three — Individual Outcomes</w:t>
            </w:r>
          </w:p>
          <w:p w:rsidR="00626455" w:rsidRPr="006C61C3" w:rsidRDefault="00626455" w:rsidP="00626455">
            <w:pPr>
              <w:pStyle w:val="Box"/>
            </w:pPr>
            <w:r w:rsidRPr="006C61C3">
              <w:t>Services and supports are assessed, planned, delivered and reviewed to build on individual strengths and enable individuals to reach their goals.</w:t>
            </w:r>
          </w:p>
          <w:p w:rsidR="00626455" w:rsidRPr="006C61C3" w:rsidRDefault="00626455" w:rsidP="00626455">
            <w:pPr>
              <w:pStyle w:val="Box"/>
              <w:rPr>
                <w:b/>
              </w:rPr>
            </w:pPr>
            <w:r w:rsidRPr="006C61C3">
              <w:rPr>
                <w:b/>
              </w:rPr>
              <w:t>Standard Four — Feedback and Complaints</w:t>
            </w:r>
          </w:p>
          <w:p w:rsidR="00626455" w:rsidRPr="006C61C3" w:rsidRDefault="00626455" w:rsidP="00626455">
            <w:pPr>
              <w:pStyle w:val="Box"/>
            </w:pPr>
            <w:r w:rsidRPr="006C61C3">
              <w:t>Regular feedback is sought and used to inform individual and organisation</w:t>
            </w:r>
            <w:r w:rsidR="00B84AF2" w:rsidRPr="006C61C3">
              <w:noBreakHyphen/>
            </w:r>
            <w:r w:rsidRPr="006C61C3">
              <w:t>wide service reviews and improvement.</w:t>
            </w:r>
          </w:p>
          <w:p w:rsidR="00626455" w:rsidRPr="006C61C3" w:rsidRDefault="00626455" w:rsidP="00626455">
            <w:pPr>
              <w:pStyle w:val="Box"/>
              <w:rPr>
                <w:b/>
              </w:rPr>
            </w:pPr>
            <w:r w:rsidRPr="006C61C3">
              <w:rPr>
                <w:b/>
              </w:rPr>
              <w:t>Standard Five — Service Access</w:t>
            </w:r>
          </w:p>
          <w:p w:rsidR="00626455" w:rsidRPr="006C61C3" w:rsidRDefault="00626455" w:rsidP="00626455">
            <w:pPr>
              <w:pStyle w:val="Box"/>
            </w:pPr>
            <w:r w:rsidRPr="006C61C3">
              <w:t>The service manages access, commencement and leaving a service in a transparent, fair, equal and responsive way.</w:t>
            </w:r>
          </w:p>
          <w:p w:rsidR="00626455" w:rsidRPr="006C61C3" w:rsidRDefault="00626455" w:rsidP="00626455">
            <w:pPr>
              <w:pStyle w:val="Box"/>
              <w:rPr>
                <w:b/>
              </w:rPr>
            </w:pPr>
            <w:r w:rsidRPr="006C61C3">
              <w:rPr>
                <w:b/>
              </w:rPr>
              <w:t>Standard Six — Service Management</w:t>
            </w:r>
          </w:p>
          <w:p w:rsidR="00626455" w:rsidRPr="006C61C3" w:rsidRDefault="00626455" w:rsidP="00626455">
            <w:pPr>
              <w:pStyle w:val="Box"/>
            </w:pPr>
            <w:r w:rsidRPr="006C61C3">
              <w:t>The service has effective and accountable service</w:t>
            </w:r>
            <w:r w:rsidR="007D611F" w:rsidRPr="006C61C3">
              <w:t xml:space="preserve"> management and leadership to maximise outcomes for individuals.</w:t>
            </w:r>
          </w:p>
        </w:tc>
      </w:tr>
      <w:tr w:rsidR="00626455" w:rsidRPr="006C61C3" w:rsidTr="00C827D5">
        <w:trPr>
          <w:cantSplit/>
        </w:trPr>
        <w:tc>
          <w:tcPr>
            <w:tcW w:w="8771" w:type="dxa"/>
            <w:tcBorders>
              <w:top w:val="nil"/>
              <w:left w:val="nil"/>
              <w:bottom w:val="nil"/>
              <w:right w:val="nil"/>
            </w:tcBorders>
            <w:shd w:val="clear" w:color="auto" w:fill="F2F2F2"/>
          </w:tcPr>
          <w:p w:rsidR="00626455" w:rsidRPr="006C61C3" w:rsidRDefault="00626455" w:rsidP="00417B0B">
            <w:pPr>
              <w:pStyle w:val="BoxSource"/>
            </w:pPr>
            <w:r w:rsidRPr="006C61C3">
              <w:rPr>
                <w:i/>
              </w:rPr>
              <w:t>Source</w:t>
            </w:r>
            <w:r w:rsidRPr="006C61C3">
              <w:t xml:space="preserve">: </w:t>
            </w:r>
            <w:r w:rsidR="00894BE1" w:rsidRPr="006C61C3">
              <w:t>DSS</w:t>
            </w:r>
            <w:r w:rsidR="00184F38" w:rsidRPr="006C61C3">
              <w:t xml:space="preserve"> (2013) </w:t>
            </w:r>
            <w:r w:rsidR="00184F38" w:rsidRPr="00927A21">
              <w:t>National Standards for Disability Services.</w:t>
            </w:r>
          </w:p>
        </w:tc>
      </w:tr>
      <w:tr w:rsidR="00626455" w:rsidRPr="006C61C3" w:rsidTr="00C827D5">
        <w:trPr>
          <w:cantSplit/>
        </w:trPr>
        <w:tc>
          <w:tcPr>
            <w:tcW w:w="8771" w:type="dxa"/>
            <w:tcBorders>
              <w:top w:val="nil"/>
              <w:left w:val="nil"/>
              <w:bottom w:val="single" w:sz="6" w:space="0" w:color="78A22F"/>
              <w:right w:val="nil"/>
            </w:tcBorders>
            <w:shd w:val="clear" w:color="auto" w:fill="F2F2F2"/>
          </w:tcPr>
          <w:p w:rsidR="00626455" w:rsidRPr="006C61C3" w:rsidRDefault="00626455">
            <w:pPr>
              <w:pStyle w:val="Box"/>
              <w:spacing w:before="0" w:line="120" w:lineRule="exact"/>
            </w:pPr>
          </w:p>
        </w:tc>
      </w:tr>
      <w:tr w:rsidR="00626455" w:rsidRPr="006C61C3" w:rsidTr="00C827D5">
        <w:tc>
          <w:tcPr>
            <w:tcW w:w="8771" w:type="dxa"/>
            <w:tcBorders>
              <w:top w:val="single" w:sz="6" w:space="0" w:color="78A22F"/>
              <w:left w:val="nil"/>
              <w:bottom w:val="nil"/>
              <w:right w:val="nil"/>
            </w:tcBorders>
          </w:tcPr>
          <w:p w:rsidR="00626455" w:rsidRPr="006C61C3" w:rsidRDefault="00626455" w:rsidP="00C827D5">
            <w:pPr>
              <w:pStyle w:val="BoxSpaceBelow"/>
            </w:pPr>
          </w:p>
        </w:tc>
      </w:tr>
    </w:tbl>
    <w:p w:rsidR="00626455" w:rsidRPr="00B86C20" w:rsidRDefault="0062645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RPr="00DB16D0" w:rsidTr="00C827D5">
        <w:tc>
          <w:tcPr>
            <w:tcW w:w="8771" w:type="dxa"/>
            <w:tcBorders>
              <w:top w:val="single" w:sz="6" w:space="0" w:color="78A22F"/>
              <w:left w:val="nil"/>
              <w:bottom w:val="nil"/>
              <w:right w:val="nil"/>
            </w:tcBorders>
            <w:shd w:val="clear" w:color="auto" w:fill="F2F2F2"/>
          </w:tcPr>
          <w:p w:rsidR="00626455" w:rsidRPr="00DB16D0" w:rsidRDefault="00626455" w:rsidP="004D737D">
            <w:pPr>
              <w:pStyle w:val="BoxTitle"/>
            </w:pPr>
            <w:r w:rsidRPr="00DB16D0">
              <w:rPr>
                <w:b w:val="0"/>
              </w:rPr>
              <w:t xml:space="preserve">Box </w:t>
            </w:r>
            <w:r w:rsidR="00321568" w:rsidRPr="00DB16D0">
              <w:rPr>
                <w:b w:val="0"/>
              </w:rPr>
              <w:t>14.</w:t>
            </w:r>
            <w:r w:rsidR="004B691F">
              <w:rPr>
                <w:b w:val="0"/>
                <w:noProof/>
              </w:rPr>
              <w:t>13</w:t>
            </w:r>
            <w:r w:rsidRPr="00DB16D0">
              <w:tab/>
              <w:t xml:space="preserve">Quality assurance processes for NDA specialist disability services </w:t>
            </w:r>
            <w:r w:rsidR="00694B3B" w:rsidRPr="00DB16D0">
              <w:t>2014</w:t>
            </w:r>
            <w:r w:rsidR="004D737D">
              <w:t>–</w:t>
            </w:r>
            <w:r w:rsidR="00694B3B" w:rsidRPr="00DB16D0">
              <w:t>15</w:t>
            </w:r>
          </w:p>
        </w:tc>
      </w:tr>
      <w:tr w:rsidR="00626455" w:rsidRPr="002D073B" w:rsidTr="00C827D5">
        <w:trPr>
          <w:cantSplit/>
        </w:trPr>
        <w:tc>
          <w:tcPr>
            <w:tcW w:w="8771" w:type="dxa"/>
            <w:tcBorders>
              <w:top w:val="nil"/>
              <w:left w:val="nil"/>
              <w:bottom w:val="nil"/>
              <w:right w:val="nil"/>
            </w:tcBorders>
            <w:shd w:val="clear" w:color="auto" w:fill="F2F2F2"/>
          </w:tcPr>
          <w:p w:rsidR="00626455" w:rsidRPr="002D073B" w:rsidRDefault="00626455" w:rsidP="00626455">
            <w:pPr>
              <w:pStyle w:val="BoxHeading1"/>
              <w:keepNext w:val="0"/>
              <w:spacing w:line="260" w:lineRule="atLeast"/>
            </w:pPr>
            <w:r w:rsidRPr="002D073B">
              <w:t>Australian Government</w:t>
            </w:r>
          </w:p>
          <w:p w:rsidR="002D073B" w:rsidRPr="002D073B" w:rsidRDefault="002D073B" w:rsidP="002D073B">
            <w:pPr>
              <w:pStyle w:val="Box"/>
            </w:pPr>
            <w:r w:rsidRPr="002D073B">
              <w:t>At 30</w:t>
            </w:r>
            <w:r w:rsidR="005547FD">
              <w:t> </w:t>
            </w:r>
            <w:r w:rsidRPr="002D073B">
              <w:t>June 2015, the Australian Government funded a total of 325 disability employment organisations comprising a total of 3371 outlets across Australia. Of these:</w:t>
            </w:r>
          </w:p>
          <w:p w:rsidR="002D073B" w:rsidRPr="002D073B" w:rsidRDefault="002D073B" w:rsidP="002D073B">
            <w:pPr>
              <w:pStyle w:val="BoxListBullet"/>
            </w:pPr>
            <w:r w:rsidRPr="002D073B">
              <w:t>Disability Employment Services (DES) made up 139 (43 per cent) of the organisations</w:t>
            </w:r>
            <w:r w:rsidR="00DB16D0">
              <w:t>,</w:t>
            </w:r>
            <w:r w:rsidRPr="002D073B">
              <w:t xml:space="preserve"> </w:t>
            </w:r>
            <w:r w:rsidR="00DB16D0" w:rsidRPr="002D073B">
              <w:t xml:space="preserve">with </w:t>
            </w:r>
            <w:r w:rsidRPr="002D073B">
              <w:t>3076 (91 per cent) of total outlets</w:t>
            </w:r>
          </w:p>
          <w:p w:rsidR="002D073B" w:rsidRPr="002D073B" w:rsidRDefault="002D073B" w:rsidP="002D073B">
            <w:pPr>
              <w:pStyle w:val="BoxListBullet"/>
            </w:pPr>
            <w:r w:rsidRPr="002D073B">
              <w:t>Australian Disability Enterprises (ADE) made up 186 (57 per cent) of the organisations, with 295 (9 per cent) of total outlets</w:t>
            </w:r>
          </w:p>
          <w:p w:rsidR="002D073B" w:rsidRPr="002D073B" w:rsidRDefault="002D073B" w:rsidP="002D073B">
            <w:pPr>
              <w:pStyle w:val="BoxListBullet"/>
            </w:pPr>
            <w:r w:rsidRPr="002D073B">
              <w:t xml:space="preserve">44 (14 per cent) </w:t>
            </w:r>
            <w:r w:rsidR="00D85093">
              <w:t xml:space="preserve">of the </w:t>
            </w:r>
            <w:r w:rsidRPr="002D073B">
              <w:t>organisations operated as dual funded (both DES and ADE) employment services.</w:t>
            </w:r>
          </w:p>
          <w:p w:rsidR="002D073B" w:rsidRPr="002D073B" w:rsidRDefault="002D073B" w:rsidP="002D073B">
            <w:pPr>
              <w:pStyle w:val="Box"/>
            </w:pPr>
            <w:r w:rsidRPr="002D073B">
              <w:t>In 2014</w:t>
            </w:r>
            <w:r w:rsidR="005547FD">
              <w:noBreakHyphen/>
            </w:r>
            <w:r w:rsidRPr="002D073B">
              <w:t>15:</w:t>
            </w:r>
          </w:p>
          <w:p w:rsidR="002D073B" w:rsidRPr="002D073B" w:rsidRDefault="002D073B" w:rsidP="002D073B">
            <w:pPr>
              <w:pStyle w:val="BoxListBullet"/>
            </w:pPr>
            <w:r w:rsidRPr="002D073B">
              <w:t>a total of 258 quality assurance audits were performed at 80 DES organisations, 138 ADE organisations and 40 dual funded organisations</w:t>
            </w:r>
          </w:p>
          <w:p w:rsidR="002D073B" w:rsidRPr="002D073B" w:rsidRDefault="002D073B" w:rsidP="002D073B">
            <w:pPr>
              <w:pStyle w:val="BoxListBullet"/>
            </w:pPr>
            <w:r w:rsidRPr="002D073B">
              <w:t>the Department of Social Services (DSS) paid a total of $1.7 million towards the cost of these quality assurance audits</w:t>
            </w:r>
          </w:p>
          <w:p w:rsidR="002D073B" w:rsidRPr="002D073B" w:rsidRDefault="002D073B" w:rsidP="002D073B">
            <w:pPr>
              <w:pStyle w:val="BoxListBullet"/>
            </w:pPr>
            <w:r w:rsidRPr="002D073B">
              <w:t>of the 80 audits performed at DES organisations, 23 were certification audits and 57 were surveillance audits</w:t>
            </w:r>
          </w:p>
          <w:p w:rsidR="002D073B" w:rsidRPr="002D073B" w:rsidRDefault="002D073B" w:rsidP="002D073B">
            <w:pPr>
              <w:pStyle w:val="BoxListBullet"/>
            </w:pPr>
            <w:r w:rsidRPr="002D073B">
              <w:t>of the 138 audits performed at ADE organisations, 17 were certification audits and 121 were surveillance audits</w:t>
            </w:r>
          </w:p>
          <w:p w:rsidR="002D073B" w:rsidRPr="002D073B" w:rsidRDefault="002D073B" w:rsidP="002D073B">
            <w:pPr>
              <w:pStyle w:val="BoxListBullet"/>
            </w:pPr>
            <w:r w:rsidRPr="002D073B">
              <w:t>of the 40 audits performed at dual organisations</w:t>
            </w:r>
            <w:r w:rsidR="00D85093">
              <w:t xml:space="preserve">, </w:t>
            </w:r>
            <w:r w:rsidRPr="002D073B">
              <w:t>7 were certification audits and 33 were surveillance audits.</w:t>
            </w:r>
          </w:p>
          <w:p w:rsidR="00626455" w:rsidRPr="002D073B" w:rsidRDefault="00626455" w:rsidP="00626455">
            <w:pPr>
              <w:pStyle w:val="BoxHeading1"/>
              <w:keepNext w:val="0"/>
              <w:spacing w:line="260" w:lineRule="atLeast"/>
            </w:pPr>
            <w:r w:rsidRPr="002D073B">
              <w:t>State and Territory governments</w:t>
            </w:r>
          </w:p>
          <w:p w:rsidR="00626455" w:rsidRPr="002D073B" w:rsidRDefault="00626455" w:rsidP="00626455">
            <w:pPr>
              <w:pStyle w:val="Box"/>
              <w:keepNext w:val="0"/>
            </w:pPr>
            <w:r w:rsidRPr="002D073B">
              <w:t xml:space="preserve">Different quality assurance processes were in place in </w:t>
            </w:r>
            <w:r w:rsidR="00824DB2">
              <w:t>states and territories</w:t>
            </w:r>
            <w:r w:rsidRPr="002D073B">
              <w:t xml:space="preserve"> </w:t>
            </w:r>
            <w:r w:rsidR="0041043C" w:rsidRPr="002D073B">
              <w:t>2014</w:t>
            </w:r>
            <w:r w:rsidR="005547FD">
              <w:noBreakHyphen/>
            </w:r>
            <w:r w:rsidR="0041043C" w:rsidRPr="002D073B">
              <w:t>15</w:t>
            </w:r>
            <w:r w:rsidRPr="002D073B">
              <w:t>. The evaluation processes related to both government</w:t>
            </w:r>
            <w:r w:rsidR="0019455A" w:rsidRPr="002D073B">
              <w:t xml:space="preserve"> </w:t>
            </w:r>
            <w:r w:rsidRPr="002D073B">
              <w:t>and</w:t>
            </w:r>
            <w:r w:rsidR="0019455A" w:rsidRPr="002D073B">
              <w:t xml:space="preserve"> </w:t>
            </w:r>
            <w:r w:rsidRPr="002D073B">
              <w:t>non</w:t>
            </w:r>
            <w:r w:rsidR="00B84AF2" w:rsidRPr="002D073B">
              <w:noBreakHyphen/>
            </w:r>
            <w:r w:rsidRPr="002D073B">
              <w:t>government service outlets, although</w:t>
            </w:r>
            <w:r w:rsidR="008C3F77" w:rsidRPr="002D073B">
              <w:t>,</w:t>
            </w:r>
            <w:r w:rsidRPr="002D073B">
              <w:t xml:space="preserve"> in some jurisdictions</w:t>
            </w:r>
            <w:r w:rsidR="008C3F77" w:rsidRPr="002D073B">
              <w:t>,</w:t>
            </w:r>
            <w:r w:rsidRPr="002D073B">
              <w:t xml:space="preserve"> the requirements </w:t>
            </w:r>
            <w:r w:rsidR="008C3F77" w:rsidRPr="002D073B">
              <w:t>were</w:t>
            </w:r>
            <w:r w:rsidRPr="002D073B">
              <w:t xml:space="preserve"> different across service sectors. </w:t>
            </w:r>
          </w:p>
          <w:p w:rsidR="008C3F77" w:rsidRDefault="008C3F77" w:rsidP="008C3F77">
            <w:pPr>
              <w:pStyle w:val="BoxHeading2"/>
            </w:pPr>
            <w:r w:rsidRPr="002D073B">
              <w:t>NSW</w:t>
            </w:r>
          </w:p>
          <w:p w:rsidR="00DB16D0" w:rsidRDefault="00DB16D0" w:rsidP="00DB16D0">
            <w:pPr>
              <w:pStyle w:val="Box"/>
            </w:pPr>
            <w:r>
              <w:t>From 1</w:t>
            </w:r>
            <w:r w:rsidR="005547FD">
              <w:t> </w:t>
            </w:r>
            <w:r>
              <w:t xml:space="preserve">July 2012, Ageing, Disability and Home Care (ADHC) within the Department of Family </w:t>
            </w:r>
            <w:r w:rsidR="00D85093">
              <w:t>and</w:t>
            </w:r>
            <w:r>
              <w:t xml:space="preserve"> Community Services has implemented a Quality Framework which requires funded service providers to implement</w:t>
            </w:r>
            <w:r w:rsidR="00D85093">
              <w:t xml:space="preserve"> a range of</w:t>
            </w:r>
            <w:r>
              <w:t xml:space="preserve"> quality requirements, including:</w:t>
            </w:r>
          </w:p>
          <w:p w:rsidR="00DB16D0" w:rsidRDefault="00DB16D0" w:rsidP="00DB16D0">
            <w:pPr>
              <w:pStyle w:val="BoxListBullet"/>
            </w:pPr>
            <w:r>
              <w:t xml:space="preserve">implementing a quality management system </w:t>
            </w:r>
          </w:p>
          <w:p w:rsidR="00DB16D0" w:rsidRDefault="00DB16D0" w:rsidP="00DB16D0">
            <w:pPr>
              <w:pStyle w:val="BoxListBullet"/>
            </w:pPr>
            <w:r>
              <w:t>undertaking third party verification to demonstrate compliance against the NSW Disability Service Standards (NSW DSS).</w:t>
            </w:r>
          </w:p>
          <w:p w:rsidR="00DB16D0" w:rsidRDefault="00DB16D0" w:rsidP="00DB16D0">
            <w:pPr>
              <w:pStyle w:val="Box"/>
            </w:pPr>
            <w:r>
              <w:t>At 30</w:t>
            </w:r>
            <w:r w:rsidR="005547FD">
              <w:t> </w:t>
            </w:r>
            <w:r>
              <w:t xml:space="preserve">June 2015, 98 per cent of disability funded service providers had achieved third party verification against the NSW DSS. Service providers are required to report on progress in achieving the milestones which are fundamental to the implementation of </w:t>
            </w:r>
            <w:r w:rsidR="00D85093">
              <w:t xml:space="preserve">the </w:t>
            </w:r>
            <w:r>
              <w:t xml:space="preserve">quality requirements of ADHC. </w:t>
            </w:r>
          </w:p>
          <w:p w:rsidR="00D90D1B" w:rsidRPr="002D073B" w:rsidRDefault="00774D3B" w:rsidP="00725EC6">
            <w:pPr>
              <w:pStyle w:val="Continued"/>
            </w:pPr>
            <w:r w:rsidRPr="002D073B">
              <w:t xml:space="preserve"> </w:t>
            </w:r>
            <w:r w:rsidR="00D90D1B" w:rsidRPr="002D073B">
              <w:t>(</w:t>
            </w:r>
            <w:r w:rsidR="00725EC6" w:rsidRPr="002D073B">
              <w:t>c</w:t>
            </w:r>
            <w:r w:rsidR="00D90D1B" w:rsidRPr="002D073B">
              <w:t>ontinued next page)</w:t>
            </w:r>
          </w:p>
        </w:tc>
      </w:tr>
      <w:tr w:rsidR="00626455" w:rsidRPr="00B86C20" w:rsidTr="00C827D5">
        <w:trPr>
          <w:cantSplit/>
        </w:trPr>
        <w:tc>
          <w:tcPr>
            <w:tcW w:w="8771" w:type="dxa"/>
            <w:tcBorders>
              <w:top w:val="nil"/>
              <w:left w:val="nil"/>
              <w:bottom w:val="single" w:sz="6" w:space="0" w:color="78A22F"/>
              <w:right w:val="nil"/>
            </w:tcBorders>
            <w:shd w:val="clear" w:color="auto" w:fill="F2F2F2"/>
          </w:tcPr>
          <w:p w:rsidR="00626455" w:rsidRPr="00B86C20" w:rsidRDefault="00626455">
            <w:pPr>
              <w:pStyle w:val="Box"/>
              <w:spacing w:before="0" w:line="120" w:lineRule="exact"/>
              <w:rPr>
                <w:color w:val="808080" w:themeColor="background1" w:themeShade="80"/>
              </w:rPr>
            </w:pPr>
          </w:p>
        </w:tc>
      </w:tr>
      <w:tr w:rsidR="00626455" w:rsidRPr="00B86C20" w:rsidTr="00C827D5">
        <w:tc>
          <w:tcPr>
            <w:tcW w:w="8771" w:type="dxa"/>
            <w:tcBorders>
              <w:top w:val="single" w:sz="6" w:space="0" w:color="78A22F"/>
              <w:left w:val="nil"/>
              <w:bottom w:val="nil"/>
              <w:right w:val="nil"/>
            </w:tcBorders>
          </w:tcPr>
          <w:p w:rsidR="00626455" w:rsidRPr="00B86C20" w:rsidRDefault="00626455" w:rsidP="00C827D5">
            <w:pPr>
              <w:pStyle w:val="BoxSpaceBelow"/>
              <w:rPr>
                <w:color w:val="808080" w:themeColor="background1" w:themeShade="80"/>
              </w:rPr>
            </w:pPr>
          </w:p>
        </w:tc>
      </w:tr>
    </w:tbl>
    <w:p w:rsidR="00626455" w:rsidRPr="00B86C20" w:rsidRDefault="0062645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6455" w:rsidRPr="002D073B" w:rsidTr="00C827D5">
        <w:tc>
          <w:tcPr>
            <w:tcW w:w="8771" w:type="dxa"/>
            <w:tcBorders>
              <w:top w:val="single" w:sz="6" w:space="0" w:color="78A22F"/>
              <w:left w:val="nil"/>
              <w:bottom w:val="nil"/>
              <w:right w:val="nil"/>
            </w:tcBorders>
            <w:shd w:val="clear" w:color="auto" w:fill="F2F2F2"/>
          </w:tcPr>
          <w:p w:rsidR="00626455" w:rsidRPr="002D073B" w:rsidRDefault="00626455" w:rsidP="00657898">
            <w:pPr>
              <w:pStyle w:val="BoxTitle"/>
            </w:pPr>
            <w:r w:rsidRPr="002D073B">
              <w:rPr>
                <w:b w:val="0"/>
              </w:rPr>
              <w:t xml:space="preserve">Box </w:t>
            </w:r>
            <w:r w:rsidR="00321568" w:rsidRPr="002D073B">
              <w:rPr>
                <w:b w:val="0"/>
              </w:rPr>
              <w:t>14.</w:t>
            </w:r>
            <w:r w:rsidR="004C7F59" w:rsidRPr="002D073B">
              <w:rPr>
                <w:b w:val="0"/>
              </w:rPr>
              <w:t>1</w:t>
            </w:r>
            <w:r w:rsidR="00651C61">
              <w:rPr>
                <w:b w:val="0"/>
              </w:rPr>
              <w:t>3</w:t>
            </w:r>
            <w:r w:rsidRPr="002D073B">
              <w:tab/>
            </w:r>
            <w:r w:rsidR="00D90D1B" w:rsidRPr="002D073B">
              <w:rPr>
                <w:rStyle w:val="ContinuedChar"/>
                <w:b w:val="0"/>
              </w:rPr>
              <w:t>(</w:t>
            </w:r>
            <w:r w:rsidRPr="002D073B">
              <w:rPr>
                <w:rStyle w:val="ContinuedChar"/>
                <w:b w:val="0"/>
              </w:rPr>
              <w:t>continued</w:t>
            </w:r>
            <w:r w:rsidR="00D90D1B" w:rsidRPr="002D073B">
              <w:rPr>
                <w:rStyle w:val="ContinuedChar"/>
                <w:b w:val="0"/>
              </w:rPr>
              <w:t>)</w:t>
            </w:r>
          </w:p>
        </w:tc>
      </w:tr>
      <w:tr w:rsidR="00626455" w:rsidRPr="002D073B" w:rsidTr="00C827D5">
        <w:trPr>
          <w:cantSplit/>
        </w:trPr>
        <w:tc>
          <w:tcPr>
            <w:tcW w:w="8771" w:type="dxa"/>
            <w:tcBorders>
              <w:top w:val="nil"/>
              <w:left w:val="nil"/>
              <w:bottom w:val="nil"/>
              <w:right w:val="nil"/>
            </w:tcBorders>
            <w:shd w:val="clear" w:color="auto" w:fill="F2F2F2"/>
          </w:tcPr>
          <w:p w:rsidR="00774D3B" w:rsidRPr="00DB16D0" w:rsidRDefault="00774D3B" w:rsidP="00774D3B">
            <w:pPr>
              <w:pStyle w:val="Box"/>
              <w:tabs>
                <w:tab w:val="left" w:pos="709"/>
              </w:tabs>
            </w:pPr>
            <w:r>
              <w:t xml:space="preserve">To reduce the administrative burden faced by providers in submitting reporting requirements, an online form has been developed for the submission of Quality Framework reporting. In </w:t>
            </w:r>
            <w:r w:rsidR="003D7ED5">
              <w:br/>
            </w:r>
            <w:r>
              <w:t>2014</w:t>
            </w:r>
            <w:r w:rsidR="005547FD">
              <w:noBreakHyphen/>
            </w:r>
            <w:r>
              <w:t>15</w:t>
            </w:r>
            <w:r w:rsidR="003D7ED5">
              <w:t> </w:t>
            </w:r>
            <w:r>
              <w:t>100 per cent of disability funded service providers had reported on their progress to meet the quality requirements.</w:t>
            </w:r>
          </w:p>
          <w:p w:rsidR="00774D3B" w:rsidRDefault="00774D3B" w:rsidP="00774D3B">
            <w:pPr>
              <w:pStyle w:val="Box"/>
              <w:tabs>
                <w:tab w:val="left" w:pos="709"/>
              </w:tabs>
            </w:pPr>
            <w:r>
              <w:t>NSW continues the implementation of the Quality Framework with funded service providers through the terms and conditions of the 2015</w:t>
            </w:r>
            <w:r w:rsidR="003D7ED5">
              <w:t>–</w:t>
            </w:r>
            <w:r>
              <w:t>18 Funding Agreement and the ADHC Quality Policy. All disability funded service providers are required to again achieve third party verification against the NSW DSS during the term of the new funding agreement, by 30</w:t>
            </w:r>
            <w:r w:rsidR="005547FD">
              <w:t> </w:t>
            </w:r>
            <w:r>
              <w:t>June 2018. Community Care Support Program (CCSP) funded providers were required to meet the Home Care Standards until 30</w:t>
            </w:r>
            <w:r w:rsidR="005547FD">
              <w:t> </w:t>
            </w:r>
            <w:r>
              <w:t>June 2015. From 1</w:t>
            </w:r>
            <w:r w:rsidR="005547FD">
              <w:t> </w:t>
            </w:r>
            <w:r>
              <w:t>July 2015, CCSP funded providers will need to achieve third party verification against the NSW DSS once during the term of their 2015</w:t>
            </w:r>
            <w:r w:rsidR="005547FD">
              <w:t>–</w:t>
            </w:r>
            <w:r>
              <w:t>18 Funding Agreement, by 30</w:t>
            </w:r>
            <w:r w:rsidR="005547FD">
              <w:t> </w:t>
            </w:r>
            <w:r>
              <w:t>June 2018.</w:t>
            </w:r>
          </w:p>
          <w:p w:rsidR="00774D3B" w:rsidRDefault="00774D3B" w:rsidP="00774D3B">
            <w:pPr>
              <w:pStyle w:val="Box"/>
              <w:tabs>
                <w:tab w:val="left" w:pos="709"/>
              </w:tabs>
            </w:pPr>
            <w:r>
              <w:t>ADHC continues to support the sector’s readiness for the NDIS transition through a range of initiatives, including:</w:t>
            </w:r>
          </w:p>
          <w:p w:rsidR="00774D3B" w:rsidRDefault="00774D3B" w:rsidP="00774D3B">
            <w:pPr>
              <w:pStyle w:val="BoxListBullet"/>
              <w:tabs>
                <w:tab w:val="left" w:pos="709"/>
              </w:tabs>
            </w:pPr>
            <w:r>
              <w:t>training for service providers on the NSW DSS</w:t>
            </w:r>
            <w:r w:rsidR="00824DB2">
              <w:t xml:space="preserve"> </w:t>
            </w:r>
            <w:r>
              <w:t xml:space="preserve">Standards in action manual and safeguard policy obligations in the NDIS trial site, including tailored training </w:t>
            </w:r>
            <w:r w:rsidR="004D737D">
              <w:t xml:space="preserve">of </w:t>
            </w:r>
            <w:r>
              <w:t>Aboriginal providers</w:t>
            </w:r>
          </w:p>
          <w:p w:rsidR="00774D3B" w:rsidRDefault="00774D3B" w:rsidP="00774D3B">
            <w:pPr>
              <w:pStyle w:val="BoxListBullet"/>
              <w:tabs>
                <w:tab w:val="left" w:pos="709"/>
              </w:tabs>
            </w:pPr>
            <w:r>
              <w:t>implementation of the Feedback and Complaints Management Log to drive organisational policy development and continuous improvement by supporting providers to record and analyse complaints</w:t>
            </w:r>
          </w:p>
          <w:p w:rsidR="00774D3B" w:rsidRDefault="00774D3B" w:rsidP="00774D3B">
            <w:pPr>
              <w:pStyle w:val="BoxListBullet"/>
              <w:tabs>
                <w:tab w:val="left" w:pos="709"/>
              </w:tabs>
            </w:pPr>
            <w:r>
              <w:t>implementation of the Quality Framework Report to assist organisations to review service performance and progress in implementing quality requirements</w:t>
            </w:r>
          </w:p>
          <w:p w:rsidR="00774D3B" w:rsidRDefault="00774D3B" w:rsidP="00774D3B">
            <w:pPr>
              <w:pStyle w:val="BoxListBullet"/>
              <w:tabs>
                <w:tab w:val="left" w:pos="709"/>
              </w:tabs>
            </w:pPr>
            <w:r>
              <w:t>implementation of Quality Assurance and Safeguards Working Arrangements for the trial of the NDIS in NSW as agreed between the NSW and Australian governments including complaints management and serious incident reporting protocol</w:t>
            </w:r>
          </w:p>
          <w:p w:rsidR="00774D3B" w:rsidRDefault="00774D3B" w:rsidP="00774D3B">
            <w:pPr>
              <w:pStyle w:val="BoxListBullet"/>
              <w:tabs>
                <w:tab w:val="left" w:pos="709"/>
              </w:tabs>
            </w:pPr>
            <w:r>
              <w:t>extension of the Quality Assurance and Safeguards Working Arrangements for early transition to the NDIS for Children and Young People in the Nepean Blue Mountains Area of NSW.</w:t>
            </w:r>
          </w:p>
          <w:p w:rsidR="00774D3B" w:rsidRDefault="00774D3B" w:rsidP="00774D3B">
            <w:pPr>
              <w:pStyle w:val="Box"/>
              <w:tabs>
                <w:tab w:val="left" w:pos="709"/>
              </w:tabs>
            </w:pPr>
            <w:r w:rsidRPr="002D073B">
              <w:rPr>
                <w:i/>
                <w:sz w:val="22"/>
              </w:rPr>
              <w:t>Victoria</w:t>
            </w:r>
            <w:r>
              <w:t xml:space="preserve"> </w:t>
            </w:r>
          </w:p>
          <w:p w:rsidR="00774D3B" w:rsidRDefault="00774D3B" w:rsidP="00774D3B">
            <w:pPr>
              <w:pStyle w:val="Box"/>
              <w:tabs>
                <w:tab w:val="left" w:pos="709"/>
              </w:tabs>
            </w:pPr>
            <w:r>
              <w:t>On 1</w:t>
            </w:r>
            <w:r w:rsidR="005547FD">
              <w:t> </w:t>
            </w:r>
            <w:r>
              <w:t>July 2012, the Department of Human Services Standards (the Standards) were implemented. The Standards were developed to support quality services and</w:t>
            </w:r>
            <w:r w:rsidR="00824DB2">
              <w:t>,</w:t>
            </w:r>
            <w:r>
              <w:t xml:space="preserve"> in response to the assessment by service providers</w:t>
            </w:r>
            <w:r w:rsidR="00824DB2">
              <w:t>,</w:t>
            </w:r>
            <w:r>
              <w:t xml:space="preserve"> </w:t>
            </w:r>
            <w:r w:rsidR="004D737D">
              <w:t xml:space="preserve">so </w:t>
            </w:r>
            <w:r>
              <w:t>that the department’s previous approach of using program based standards affects the amount of time staff could work with clients and that the approach to standards and quality reviews could be improved. The standards are summarised as:</w:t>
            </w:r>
          </w:p>
          <w:p w:rsidR="00774D3B" w:rsidRDefault="00774D3B" w:rsidP="00774D3B">
            <w:pPr>
              <w:pStyle w:val="BoxListBullet"/>
              <w:tabs>
                <w:tab w:val="left" w:pos="709"/>
              </w:tabs>
            </w:pPr>
            <w:r>
              <w:t xml:space="preserve">empowerment — people’s rights are promoted and upheld </w:t>
            </w:r>
          </w:p>
          <w:p w:rsidR="00774D3B" w:rsidRDefault="00774D3B" w:rsidP="00774D3B">
            <w:pPr>
              <w:pStyle w:val="BoxListBullet"/>
              <w:tabs>
                <w:tab w:val="left" w:pos="709"/>
              </w:tabs>
            </w:pPr>
            <w:r>
              <w:t>access and engagement — people’s right to access transparent, equitable and integrated services is promoted and upheld</w:t>
            </w:r>
          </w:p>
          <w:p w:rsidR="00774D3B" w:rsidRDefault="00774D3B" w:rsidP="00774D3B">
            <w:pPr>
              <w:pStyle w:val="BoxListBullet"/>
              <w:tabs>
                <w:tab w:val="left" w:pos="709"/>
              </w:tabs>
            </w:pPr>
            <w:r>
              <w:t>wellbeing — people’s right to wellbeing and safety is promoted and upheld</w:t>
            </w:r>
          </w:p>
          <w:p w:rsidR="00626455" w:rsidRPr="002D073B" w:rsidRDefault="00824DB2" w:rsidP="00774D3B">
            <w:pPr>
              <w:pStyle w:val="Continued"/>
              <w:tabs>
                <w:tab w:val="left" w:pos="709"/>
              </w:tabs>
            </w:pPr>
            <w:r>
              <w:t xml:space="preserve"> (continued </w:t>
            </w:r>
            <w:r w:rsidR="00D90D1B" w:rsidRPr="002D073B">
              <w:t>next page)</w:t>
            </w:r>
          </w:p>
        </w:tc>
      </w:tr>
      <w:tr w:rsidR="00626455" w:rsidRPr="00B86C20" w:rsidTr="00C827D5">
        <w:trPr>
          <w:cantSplit/>
        </w:trPr>
        <w:tc>
          <w:tcPr>
            <w:tcW w:w="8771" w:type="dxa"/>
            <w:tcBorders>
              <w:top w:val="nil"/>
              <w:left w:val="nil"/>
              <w:bottom w:val="single" w:sz="6" w:space="0" w:color="78A22F"/>
              <w:right w:val="nil"/>
            </w:tcBorders>
            <w:shd w:val="clear" w:color="auto" w:fill="F2F2F2"/>
          </w:tcPr>
          <w:p w:rsidR="00626455" w:rsidRPr="00B86C20" w:rsidRDefault="00626455" w:rsidP="00774D3B">
            <w:pPr>
              <w:pStyle w:val="Box"/>
              <w:tabs>
                <w:tab w:val="left" w:pos="709"/>
              </w:tabs>
              <w:spacing w:before="0" w:line="120" w:lineRule="exact"/>
              <w:rPr>
                <w:color w:val="808080" w:themeColor="background1" w:themeShade="80"/>
              </w:rPr>
            </w:pPr>
          </w:p>
        </w:tc>
      </w:tr>
      <w:tr w:rsidR="00626455" w:rsidRPr="00B86C20" w:rsidTr="00C827D5">
        <w:tc>
          <w:tcPr>
            <w:tcW w:w="8771" w:type="dxa"/>
            <w:tcBorders>
              <w:top w:val="single" w:sz="6" w:space="0" w:color="78A22F"/>
              <w:left w:val="nil"/>
              <w:bottom w:val="nil"/>
              <w:right w:val="nil"/>
            </w:tcBorders>
          </w:tcPr>
          <w:p w:rsidR="00626455" w:rsidRPr="00B86C20" w:rsidRDefault="00626455" w:rsidP="00774D3B">
            <w:pPr>
              <w:pStyle w:val="BoxSpaceBelow"/>
              <w:tabs>
                <w:tab w:val="left" w:pos="709"/>
              </w:tabs>
              <w:rPr>
                <w:color w:val="808080" w:themeColor="background1" w:themeShade="80"/>
              </w:rPr>
            </w:pPr>
          </w:p>
        </w:tc>
      </w:tr>
    </w:tbl>
    <w:p w:rsidR="00D90D1B" w:rsidRPr="00B86C20" w:rsidRDefault="00D90D1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RPr="00774D3B" w:rsidTr="00C827D5">
        <w:tc>
          <w:tcPr>
            <w:tcW w:w="8771" w:type="dxa"/>
            <w:tcBorders>
              <w:top w:val="single" w:sz="6" w:space="0" w:color="78A22F"/>
              <w:left w:val="nil"/>
              <w:bottom w:val="nil"/>
              <w:right w:val="nil"/>
            </w:tcBorders>
            <w:shd w:val="clear" w:color="auto" w:fill="F2F2F2"/>
          </w:tcPr>
          <w:p w:rsidR="00D90D1B" w:rsidRPr="00774D3B" w:rsidRDefault="00D90D1B" w:rsidP="00651C61">
            <w:pPr>
              <w:pStyle w:val="BoxTitle"/>
              <w:tabs>
                <w:tab w:val="left" w:pos="709"/>
              </w:tabs>
            </w:pPr>
            <w:r w:rsidRPr="00774D3B">
              <w:rPr>
                <w:b w:val="0"/>
              </w:rPr>
              <w:t xml:space="preserve">Box </w:t>
            </w:r>
            <w:r w:rsidR="00321568" w:rsidRPr="00774D3B">
              <w:rPr>
                <w:b w:val="0"/>
              </w:rPr>
              <w:t>14.</w:t>
            </w:r>
            <w:r w:rsidR="004C7F59" w:rsidRPr="00774D3B">
              <w:rPr>
                <w:b w:val="0"/>
              </w:rPr>
              <w:t>1</w:t>
            </w:r>
            <w:r w:rsidR="00651C61">
              <w:rPr>
                <w:b w:val="0"/>
              </w:rPr>
              <w:t>3</w:t>
            </w:r>
            <w:r w:rsidRPr="00774D3B">
              <w:tab/>
            </w:r>
            <w:r w:rsidRPr="00774D3B">
              <w:rPr>
                <w:rStyle w:val="ContinuedChar"/>
                <w:b w:val="0"/>
              </w:rPr>
              <w:t>(continued)</w:t>
            </w:r>
          </w:p>
        </w:tc>
      </w:tr>
      <w:tr w:rsidR="00D90D1B" w:rsidRPr="00774D3B" w:rsidTr="00C827D5">
        <w:trPr>
          <w:cantSplit/>
        </w:trPr>
        <w:tc>
          <w:tcPr>
            <w:tcW w:w="8771" w:type="dxa"/>
            <w:tcBorders>
              <w:top w:val="nil"/>
              <w:left w:val="nil"/>
              <w:bottom w:val="nil"/>
              <w:right w:val="nil"/>
            </w:tcBorders>
            <w:shd w:val="clear" w:color="auto" w:fill="F2F2F2"/>
          </w:tcPr>
          <w:p w:rsidR="00824DB2" w:rsidRDefault="00824DB2" w:rsidP="00824DB2">
            <w:pPr>
              <w:pStyle w:val="BoxListBullet"/>
              <w:tabs>
                <w:tab w:val="left" w:pos="709"/>
              </w:tabs>
            </w:pPr>
            <w:r>
              <w:t>participation — people’s right to choice, decision making and to actively participate as a valued member of their chosen community is promoted and upheld service provider’s governance and management systems will also be reviewed using the standards of the independent review body.</w:t>
            </w:r>
          </w:p>
          <w:p w:rsidR="00774D3B" w:rsidRPr="00774D3B" w:rsidRDefault="00774D3B" w:rsidP="00774D3B">
            <w:pPr>
              <w:pStyle w:val="Box"/>
              <w:tabs>
                <w:tab w:val="left" w:pos="709"/>
              </w:tabs>
            </w:pPr>
            <w:r w:rsidRPr="00774D3B">
              <w:t xml:space="preserve">The Standards and the associated review processes replaced the Homelessness Assistance Service Standards, Standards for Disability Services in Victoria (which incorporated the National Disability Service Standards) and the Registration Standards for Community Service Organisations. </w:t>
            </w:r>
          </w:p>
          <w:p w:rsidR="00774D3B" w:rsidRPr="00774D3B" w:rsidRDefault="00774D3B" w:rsidP="00774D3B">
            <w:pPr>
              <w:pStyle w:val="Box"/>
              <w:tabs>
                <w:tab w:val="left" w:pos="709"/>
              </w:tabs>
            </w:pPr>
            <w:r w:rsidRPr="00774D3B">
              <w:t>The Standards help to ensure a consistent quality of service no matter which departmentally funded service people access. Compliance with the Standards is an obligation of the Service Agreement, as well as a requirement of registration for those agencies registered either under the Children, Youth and Families Act 2005 or the Disability Act 2006. The Standards and independent review requirements apply to both internally and externally delivered services.</w:t>
            </w:r>
          </w:p>
          <w:p w:rsidR="00774D3B" w:rsidRPr="00AD20B7" w:rsidRDefault="00774D3B" w:rsidP="00774D3B">
            <w:pPr>
              <w:pStyle w:val="Box"/>
              <w:tabs>
                <w:tab w:val="left" w:pos="709"/>
              </w:tabs>
            </w:pPr>
            <w:r w:rsidRPr="00AE6CDC">
              <w:t>The first full three year cycle of implementation has just been completed. Almost all registered disability service providers have now undertaken an independent accreditation process against the Standards. Across the three year accreditation period, 99 per cent of the disability service providers successfully achieved</w:t>
            </w:r>
            <w:r w:rsidRPr="00AD20B7">
              <w:t xml:space="preserve"> accreditation against the Standards. Only 1 per cent failed to achieve or maintain their accreditation.</w:t>
            </w:r>
          </w:p>
          <w:p w:rsidR="00774D3B" w:rsidRPr="00774D3B" w:rsidRDefault="00774D3B" w:rsidP="00774D3B">
            <w:pPr>
              <w:pStyle w:val="Box"/>
              <w:tabs>
                <w:tab w:val="left" w:pos="709"/>
              </w:tabs>
            </w:pPr>
            <w:r w:rsidRPr="00AD20B7">
              <w:t>A small number of providers were exempt from independent review due to funding thresholds. Those organisations are re</w:t>
            </w:r>
            <w:r w:rsidRPr="00774D3B">
              <w:t>quired to complete regular self</w:t>
            </w:r>
            <w:r w:rsidR="004D737D">
              <w:t>–</w:t>
            </w:r>
            <w:r w:rsidRPr="00774D3B">
              <w:t>assessments against the Standards in order to demonstrate their compliance.</w:t>
            </w:r>
          </w:p>
          <w:p w:rsidR="0081279E" w:rsidRPr="00774D3B" w:rsidRDefault="00556562" w:rsidP="00774D3B">
            <w:pPr>
              <w:pStyle w:val="BoxHeading2"/>
              <w:tabs>
                <w:tab w:val="left" w:pos="709"/>
              </w:tabs>
            </w:pPr>
            <w:r w:rsidRPr="00774D3B">
              <w:t>Queensland</w:t>
            </w:r>
          </w:p>
          <w:p w:rsidR="00774D3B" w:rsidRPr="00AE6CDC" w:rsidRDefault="00774D3B" w:rsidP="00774D3B">
            <w:pPr>
              <w:pStyle w:val="Box"/>
              <w:tabs>
                <w:tab w:val="left" w:pos="709"/>
              </w:tabs>
            </w:pPr>
            <w:r w:rsidRPr="00774D3B">
              <w:t>Queensland has a robust quality assurance and safeguarding framework requiring organisations funded by the Department of Communities, Child Safety and Disability services to comply with the</w:t>
            </w:r>
            <w:r w:rsidRPr="00AE6CDC">
              <w:t xml:space="preserve"> Human Services Quality Standards (standards). The standards address the core elements of human services such as governance and management; service access, responding to individual need; safety, wellbeing and rights; feedback, complaints and appeals; and human resources. </w:t>
            </w:r>
          </w:p>
          <w:p w:rsidR="00774D3B" w:rsidRPr="00AD20B7" w:rsidRDefault="00774D3B" w:rsidP="00774D3B">
            <w:pPr>
              <w:pStyle w:val="Box"/>
              <w:tabs>
                <w:tab w:val="left" w:pos="709"/>
              </w:tabs>
            </w:pPr>
            <w:r w:rsidRPr="00AE6CDC">
              <w:t xml:space="preserve">Disability service providers are assessed for compliance with the standards and evidence requirements by </w:t>
            </w:r>
            <w:r w:rsidR="00824DB2" w:rsidRPr="00824DB2">
              <w:t xml:space="preserve">Joint Accreditation System of Australia/New Zealand </w:t>
            </w:r>
            <w:r w:rsidRPr="00AE6CDC">
              <w:t>accredited certification bodies over a three year certification cycle. This includes a mid</w:t>
            </w:r>
            <w:r w:rsidR="005547FD">
              <w:noBreakHyphen/>
            </w:r>
            <w:r w:rsidRPr="00AE6CDC">
              <w:t>cycle maintenance audit at 18</w:t>
            </w:r>
            <w:r w:rsidR="007D45DE">
              <w:t> </w:t>
            </w:r>
            <w:r w:rsidRPr="00AE6CDC">
              <w:t>month</w:t>
            </w:r>
            <w:r w:rsidRPr="00AD20B7">
              <w:t xml:space="preserve">s to ensure continued compliance with the standards. The framework’s goal is to provide consistency in service quality and enable continuous improvement of human services through a streamlined client focused approach. </w:t>
            </w:r>
          </w:p>
          <w:p w:rsidR="00774D3B" w:rsidRPr="00996330" w:rsidRDefault="00774D3B" w:rsidP="00774D3B">
            <w:pPr>
              <w:pStyle w:val="Box"/>
              <w:tabs>
                <w:tab w:val="left" w:pos="709"/>
              </w:tabs>
            </w:pPr>
            <w:r w:rsidRPr="00AD20B7">
              <w:t>In 2014</w:t>
            </w:r>
            <w:r w:rsidR="005547FD">
              <w:noBreakHyphen/>
            </w:r>
            <w:r w:rsidRPr="00AD20B7">
              <w:t>15, 265 recurrently funded disability service providers met their obligations to achieve and maintain certification against the standards. Of these, 37 (13.9 per cent) were required to develop and implement improvement actions to ensure ongoing compliance with the standards. One organisation had their certification temporarily suspended to enable improvement actions to be implemented and embedded. All other providers addressed the required improvement actions within appropriate timeframes.</w:t>
            </w:r>
          </w:p>
          <w:p w:rsidR="00D90D1B" w:rsidRPr="00774D3B" w:rsidRDefault="00657898" w:rsidP="00774D3B">
            <w:pPr>
              <w:pStyle w:val="Continued"/>
              <w:tabs>
                <w:tab w:val="left" w:pos="709"/>
              </w:tabs>
              <w:rPr>
                <w:szCs w:val="24"/>
              </w:rPr>
            </w:pPr>
            <w:r w:rsidRPr="00774D3B">
              <w:t>(</w:t>
            </w:r>
            <w:r w:rsidR="00725EC6" w:rsidRPr="00774D3B">
              <w:t>c</w:t>
            </w:r>
            <w:r w:rsidRPr="00774D3B">
              <w:t>ontinued next page)</w:t>
            </w:r>
          </w:p>
        </w:tc>
      </w:tr>
      <w:tr w:rsidR="00D90D1B" w:rsidRPr="00B86C20" w:rsidTr="00C827D5">
        <w:trPr>
          <w:cantSplit/>
        </w:trPr>
        <w:tc>
          <w:tcPr>
            <w:tcW w:w="8771" w:type="dxa"/>
            <w:tcBorders>
              <w:top w:val="nil"/>
              <w:left w:val="nil"/>
              <w:bottom w:val="single" w:sz="6" w:space="0" w:color="78A22F"/>
              <w:right w:val="nil"/>
            </w:tcBorders>
            <w:shd w:val="clear" w:color="auto" w:fill="F2F2F2"/>
          </w:tcPr>
          <w:p w:rsidR="00D90D1B" w:rsidRPr="00B86C20" w:rsidRDefault="00D90D1B">
            <w:pPr>
              <w:pStyle w:val="Box"/>
              <w:spacing w:before="0" w:line="120" w:lineRule="exact"/>
              <w:rPr>
                <w:color w:val="808080" w:themeColor="background1" w:themeShade="80"/>
              </w:rPr>
            </w:pPr>
          </w:p>
        </w:tc>
      </w:tr>
      <w:tr w:rsidR="00D90D1B" w:rsidRPr="00B86C20" w:rsidTr="00C827D5">
        <w:tc>
          <w:tcPr>
            <w:tcW w:w="8771" w:type="dxa"/>
            <w:tcBorders>
              <w:top w:val="single" w:sz="6" w:space="0" w:color="78A22F"/>
              <w:left w:val="nil"/>
              <w:bottom w:val="nil"/>
              <w:right w:val="nil"/>
            </w:tcBorders>
          </w:tcPr>
          <w:p w:rsidR="00D90D1B" w:rsidRPr="00B86C20" w:rsidRDefault="00D90D1B" w:rsidP="00C827D5">
            <w:pPr>
              <w:pStyle w:val="BoxSpaceBelow"/>
              <w:rPr>
                <w:color w:val="808080" w:themeColor="background1" w:themeShade="80"/>
              </w:rPr>
            </w:pPr>
          </w:p>
        </w:tc>
      </w:tr>
    </w:tbl>
    <w:p w:rsidR="001F39F2" w:rsidRPr="00B86C20" w:rsidRDefault="001F39F2" w:rsidP="003C3BBB">
      <w:pPr>
        <w:pStyle w:val="BoxSpace"/>
        <w:keepNext w:val="0"/>
        <w:rPr>
          <w:color w:val="808080" w:themeColor="background1" w:themeShade="80"/>
        </w:rPr>
      </w:pPr>
    </w:p>
    <w:p w:rsidR="00D90D1B" w:rsidRPr="00B86C20" w:rsidRDefault="00D90D1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RPr="00AE6CDC" w:rsidTr="00C827D5">
        <w:tc>
          <w:tcPr>
            <w:tcW w:w="8771" w:type="dxa"/>
            <w:tcBorders>
              <w:top w:val="single" w:sz="6" w:space="0" w:color="78A22F"/>
              <w:left w:val="nil"/>
              <w:bottom w:val="nil"/>
              <w:right w:val="nil"/>
            </w:tcBorders>
            <w:shd w:val="clear" w:color="auto" w:fill="F2F2F2"/>
          </w:tcPr>
          <w:p w:rsidR="00D90D1B" w:rsidRPr="00AE6CDC" w:rsidRDefault="00D90D1B" w:rsidP="00651C61">
            <w:pPr>
              <w:pStyle w:val="BoxTitle"/>
            </w:pPr>
            <w:r w:rsidRPr="00AE6CDC">
              <w:rPr>
                <w:b w:val="0"/>
              </w:rPr>
              <w:t xml:space="preserve">Box </w:t>
            </w:r>
            <w:r w:rsidR="00321568" w:rsidRPr="00AE6CDC">
              <w:rPr>
                <w:b w:val="0"/>
              </w:rPr>
              <w:t>14.</w:t>
            </w:r>
            <w:r w:rsidR="004C7F59" w:rsidRPr="00AE6CDC">
              <w:rPr>
                <w:b w:val="0"/>
              </w:rPr>
              <w:t>1</w:t>
            </w:r>
            <w:r w:rsidR="00651C61">
              <w:rPr>
                <w:b w:val="0"/>
              </w:rPr>
              <w:t>3</w:t>
            </w:r>
            <w:r w:rsidRPr="00AE6CDC">
              <w:tab/>
            </w:r>
            <w:r w:rsidRPr="00AE6CDC">
              <w:rPr>
                <w:rStyle w:val="ContinuedChar"/>
                <w:b w:val="0"/>
              </w:rPr>
              <w:t>(continued)</w:t>
            </w:r>
          </w:p>
        </w:tc>
      </w:tr>
      <w:tr w:rsidR="00D90D1B" w:rsidRPr="00AE6CDC" w:rsidTr="00C827D5">
        <w:trPr>
          <w:cantSplit/>
        </w:trPr>
        <w:tc>
          <w:tcPr>
            <w:tcW w:w="8771" w:type="dxa"/>
            <w:tcBorders>
              <w:top w:val="nil"/>
              <w:left w:val="nil"/>
              <w:bottom w:val="nil"/>
              <w:right w:val="nil"/>
            </w:tcBorders>
            <w:shd w:val="clear" w:color="auto" w:fill="F2F2F2"/>
          </w:tcPr>
          <w:p w:rsidR="00824DB2" w:rsidRPr="00774D3B" w:rsidRDefault="00824DB2" w:rsidP="00824DB2">
            <w:pPr>
              <w:pStyle w:val="Box"/>
              <w:tabs>
                <w:tab w:val="left" w:pos="709"/>
              </w:tabs>
            </w:pPr>
            <w:r w:rsidRPr="00774D3B">
              <w:rPr>
                <w:i/>
              </w:rPr>
              <w:t>WA</w:t>
            </w:r>
            <w:r w:rsidRPr="00774D3B">
              <w:t xml:space="preserve"> </w:t>
            </w:r>
          </w:p>
          <w:p w:rsidR="00774D3B" w:rsidRPr="00AD20B7" w:rsidRDefault="00824DB2" w:rsidP="00774D3B">
            <w:pPr>
              <w:pStyle w:val="Box"/>
            </w:pPr>
            <w:r>
              <w:t>The Disability Services Commission’s enhanced Quality System commenced on 1</w:t>
            </w:r>
            <w:r w:rsidR="005547FD">
              <w:t> </w:t>
            </w:r>
            <w:r>
              <w:t xml:space="preserve">July 2014, replacing the Quality Management Framework. The Quality System applies to all services delivered or funded by the Commission and is underpinned by the updated National Standards for Disability Services. </w:t>
            </w:r>
            <w:r w:rsidR="00774D3B" w:rsidRPr="00AE6CDC">
              <w:t>Through</w:t>
            </w:r>
            <w:r w:rsidR="00774D3B" w:rsidRPr="00AE6CDC">
              <w:rPr>
                <w:rStyle w:val="BoxChar"/>
              </w:rPr>
              <w:t xml:space="preserve"> </w:t>
            </w:r>
            <w:r w:rsidR="00774D3B" w:rsidRPr="00AE6CDC">
              <w:t xml:space="preserve">the Quality System, the Commission evaluates service quality to ensure supports and services </w:t>
            </w:r>
            <w:r w:rsidR="00774D3B" w:rsidRPr="00AD20B7">
              <w:t>make a difference to the lives of service users</w:t>
            </w:r>
            <w:r>
              <w:t>, and</w:t>
            </w:r>
            <w:r w:rsidR="005547FD">
              <w:t>:</w:t>
            </w:r>
          </w:p>
          <w:p w:rsidR="00774D3B" w:rsidRPr="00AD20B7" w:rsidRDefault="00774D3B" w:rsidP="00774D3B">
            <w:pPr>
              <w:pStyle w:val="BoxListBullet"/>
            </w:pPr>
            <w:r w:rsidRPr="00AD20B7">
              <w:t xml:space="preserve">support individuals’ stated goals </w:t>
            </w:r>
          </w:p>
          <w:p w:rsidR="00774D3B" w:rsidRPr="00AE6CDC" w:rsidRDefault="00774D3B" w:rsidP="00774D3B">
            <w:pPr>
              <w:pStyle w:val="BoxListBullet"/>
            </w:pPr>
            <w:r w:rsidRPr="00AD20B7">
              <w:t>comply with the Na</w:t>
            </w:r>
            <w:r w:rsidRPr="00AE6CDC">
              <w:t>tional Standards for Disability Services.</w:t>
            </w:r>
          </w:p>
          <w:p w:rsidR="00774D3B" w:rsidRPr="00996330" w:rsidRDefault="00774D3B" w:rsidP="00774D3B">
            <w:pPr>
              <w:pStyle w:val="Box"/>
            </w:pPr>
            <w:r w:rsidRPr="00AE6CDC">
              <w:t xml:space="preserve">The Quality System evaluates service quality through annual </w:t>
            </w:r>
            <w:r w:rsidR="00824DB2">
              <w:t>s</w:t>
            </w:r>
            <w:r w:rsidRPr="00AE6CDC">
              <w:t>elf</w:t>
            </w:r>
            <w:r w:rsidR="005547FD">
              <w:noBreakHyphen/>
            </w:r>
            <w:r w:rsidR="00824DB2">
              <w:t>a</w:t>
            </w:r>
            <w:r w:rsidRPr="00AE6CDC">
              <w:t xml:space="preserve">ssessment and external </w:t>
            </w:r>
            <w:r w:rsidR="00824DB2">
              <w:t>q</w:t>
            </w:r>
            <w:r w:rsidR="00824DB2" w:rsidRPr="00AE6CDC">
              <w:t>uality</w:t>
            </w:r>
            <w:r w:rsidR="00824DB2">
              <w:t xml:space="preserve"> </w:t>
            </w:r>
            <w:r w:rsidR="00824DB2" w:rsidRPr="00AE6CDC">
              <w:t>evaluation</w:t>
            </w:r>
            <w:r w:rsidRPr="00AE6CDC">
              <w:t xml:space="preserve">. The </w:t>
            </w:r>
            <w:r w:rsidR="00824DB2">
              <w:t>s</w:t>
            </w:r>
            <w:r w:rsidRPr="00AE6CDC">
              <w:t>elf</w:t>
            </w:r>
            <w:r w:rsidR="005547FD">
              <w:noBreakHyphen/>
            </w:r>
            <w:r w:rsidR="00824DB2">
              <w:t>a</w:t>
            </w:r>
            <w:r w:rsidRPr="00AE6CDC">
              <w:t xml:space="preserve">ssessment enables organisations to review their policies and procedures and report on progress towards implementing the National Standards for Disability Services. The </w:t>
            </w:r>
            <w:r w:rsidR="00824DB2">
              <w:t>s</w:t>
            </w:r>
            <w:r w:rsidRPr="00AE6CDC">
              <w:t>elf</w:t>
            </w:r>
            <w:r w:rsidR="005547FD">
              <w:noBreakHyphen/>
            </w:r>
            <w:r w:rsidR="00824DB2">
              <w:t>a</w:t>
            </w:r>
            <w:r w:rsidRPr="00AE6CDC">
              <w:t xml:space="preserve">ssessment is undertaken every April (commenced 2015). Quality </w:t>
            </w:r>
            <w:r w:rsidR="00824DB2">
              <w:t>e</w:t>
            </w:r>
            <w:r w:rsidR="00824DB2" w:rsidRPr="00AE6CDC">
              <w:t>valuations</w:t>
            </w:r>
            <w:r w:rsidRPr="00AE6CDC">
              <w:t xml:space="preserve"> incorporate external evaluation of organisations’ compliance with the National Standards for Disability Services.</w:t>
            </w:r>
          </w:p>
          <w:p w:rsidR="00774D3B" w:rsidRPr="00996330" w:rsidRDefault="00774D3B" w:rsidP="00774D3B">
            <w:pPr>
              <w:pStyle w:val="Box"/>
            </w:pPr>
            <w:r w:rsidRPr="00AE6CDC">
              <w:t>National Disability Services (WA) was contracted by the Commission to provide training to organisations on the revised National Standards for Disability Services and the WA Quality System. Training was delivered across the State from January 2015 to May 2015 and included information sessions and full day group training sessions.</w:t>
            </w:r>
          </w:p>
          <w:p w:rsidR="0081279E" w:rsidRPr="00996330" w:rsidRDefault="0081279E" w:rsidP="00BD41DE">
            <w:pPr>
              <w:pStyle w:val="BoxHeading2"/>
              <w:spacing w:before="180"/>
            </w:pPr>
            <w:r w:rsidRPr="00AE6CDC">
              <w:t>SA</w:t>
            </w:r>
          </w:p>
          <w:p w:rsidR="00C25ED6" w:rsidRPr="00996330" w:rsidRDefault="00C25ED6" w:rsidP="00C25ED6">
            <w:pPr>
              <w:pStyle w:val="Box"/>
            </w:pPr>
            <w:r w:rsidRPr="00AE6CDC">
              <w:t>There are currently 154 organisations registered on the Disability Services Provider Panel, however only 131 received funding to provide NDA specialist services from Disability SA.</w:t>
            </w:r>
            <w:r w:rsidR="00BD41DE">
              <w:t xml:space="preserve"> </w:t>
            </w:r>
            <w:r w:rsidRPr="00AE6CDC">
              <w:t>Of the 131 organisations required to be engaged with an approved quality improvement program 127 (97 per cent) have completed accreditation with 4 engaged with a quality improvement program working towards accreditation.</w:t>
            </w:r>
          </w:p>
          <w:p w:rsidR="00AE6CDC" w:rsidRPr="00AE6CDC" w:rsidRDefault="00562ABE" w:rsidP="00BD41DE">
            <w:pPr>
              <w:pStyle w:val="BoxHeading2"/>
              <w:spacing w:before="180"/>
            </w:pPr>
            <w:r w:rsidRPr="00AE6CDC">
              <w:t>Tasmania</w:t>
            </w:r>
          </w:p>
          <w:p w:rsidR="00AE6CDC" w:rsidRPr="00AD20B7" w:rsidRDefault="00AE6CDC" w:rsidP="00AE6CDC">
            <w:pPr>
              <w:pStyle w:val="Box"/>
            </w:pPr>
            <w:r w:rsidRPr="00AE6CDC">
              <w:t>The Quality and Safety Framework for Tasmania’s Department of Health and Human Services (DHHS) Funded Community Sector (the Framework) requires funded community sector organisations to undertake quality and safety activities against recognised standards</w:t>
            </w:r>
            <w:r w:rsidRPr="00AD20B7">
              <w:t xml:space="preserve">, have systems and processes in place to record and monitor improvement activities, and to ensure that feedback and learnings from incidents contribute towards enhancing service delivery. </w:t>
            </w:r>
          </w:p>
          <w:p w:rsidR="00AE6CDC" w:rsidRDefault="00AE6CDC" w:rsidP="00AE6CDC">
            <w:pPr>
              <w:pStyle w:val="Box"/>
            </w:pPr>
            <w:r w:rsidRPr="00AD20B7">
              <w:t xml:space="preserve">The DHHS monitors compliance with the Framework through an annual meeting with the funded community sector organisation, discussing performance against </w:t>
            </w:r>
            <w:proofErr w:type="spellStart"/>
            <w:r w:rsidRPr="00AD20B7">
              <w:t>contractual</w:t>
            </w:r>
            <w:proofErr w:type="spellEnd"/>
            <w:r w:rsidRPr="00AD20B7">
              <w:t xml:space="preserve"> requirements, and a three yearly quality and safety review. The quality and safety review includes a site visit to view the organisation’s documentation, syste</w:t>
            </w:r>
            <w:r w:rsidRPr="00AE6CDC">
              <w:t xml:space="preserve">ms and processes, and to obtain feedback from consumers, staff, volunteers and management including Board or Committee members. </w:t>
            </w:r>
          </w:p>
          <w:p w:rsidR="00161261" w:rsidRPr="00996330" w:rsidRDefault="00161261" w:rsidP="00AE6CDC">
            <w:pPr>
              <w:pStyle w:val="Box"/>
            </w:pPr>
            <w:r w:rsidRPr="00AE6CDC">
              <w:t>For the period 2014</w:t>
            </w:r>
            <w:r w:rsidR="005547FD">
              <w:noBreakHyphen/>
            </w:r>
            <w:r w:rsidRPr="00AE6CDC">
              <w:t>15, 11 per cent of DHHS’ disability funded community sector organisations participated in a quality and safety review as per the three year cycle. All eight organisations demonstrated engagement with, and commitment to, the Framework; 63 per cent, or five of the eight organisations, evidenced compliance with all requirements of the Framework.</w:t>
            </w:r>
          </w:p>
          <w:p w:rsidR="00D90D1B" w:rsidRPr="00AE6CDC" w:rsidRDefault="00725EC6" w:rsidP="00D90D1B">
            <w:pPr>
              <w:pStyle w:val="Continued"/>
            </w:pPr>
            <w:r w:rsidRPr="00AE6CDC">
              <w:t>(c</w:t>
            </w:r>
            <w:r w:rsidR="004E7B38" w:rsidRPr="00AE6CDC">
              <w:t>ontinued next page)</w:t>
            </w:r>
          </w:p>
        </w:tc>
      </w:tr>
      <w:tr w:rsidR="00D90D1B" w:rsidRPr="00B86C20" w:rsidTr="00C827D5">
        <w:trPr>
          <w:cantSplit/>
        </w:trPr>
        <w:tc>
          <w:tcPr>
            <w:tcW w:w="8771" w:type="dxa"/>
            <w:tcBorders>
              <w:top w:val="nil"/>
              <w:left w:val="nil"/>
              <w:bottom w:val="single" w:sz="6" w:space="0" w:color="78A22F"/>
              <w:right w:val="nil"/>
            </w:tcBorders>
            <w:shd w:val="clear" w:color="auto" w:fill="F2F2F2"/>
          </w:tcPr>
          <w:p w:rsidR="00D90D1B" w:rsidRPr="00B86C20" w:rsidRDefault="00D90D1B">
            <w:pPr>
              <w:pStyle w:val="Box"/>
              <w:spacing w:before="0" w:line="120" w:lineRule="exact"/>
              <w:rPr>
                <w:color w:val="808080" w:themeColor="background1" w:themeShade="80"/>
              </w:rPr>
            </w:pPr>
          </w:p>
        </w:tc>
      </w:tr>
      <w:tr w:rsidR="00D90D1B" w:rsidRPr="00B86C20" w:rsidTr="00C827D5">
        <w:tc>
          <w:tcPr>
            <w:tcW w:w="8771" w:type="dxa"/>
            <w:tcBorders>
              <w:top w:val="single" w:sz="6" w:space="0" w:color="78A22F"/>
              <w:left w:val="nil"/>
              <w:bottom w:val="nil"/>
              <w:right w:val="nil"/>
            </w:tcBorders>
          </w:tcPr>
          <w:p w:rsidR="00D90D1B" w:rsidRPr="00B86C20" w:rsidRDefault="00D90D1B" w:rsidP="00C827D5">
            <w:pPr>
              <w:pStyle w:val="BoxSpaceBelow"/>
              <w:rPr>
                <w:color w:val="808080" w:themeColor="background1" w:themeShade="80"/>
              </w:rPr>
            </w:pPr>
          </w:p>
        </w:tc>
      </w:tr>
    </w:tbl>
    <w:p w:rsidR="00D90D1B" w:rsidRPr="00B86C20" w:rsidRDefault="00D90D1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RPr="00AE6CDC" w:rsidTr="00C827D5">
        <w:tc>
          <w:tcPr>
            <w:tcW w:w="8771" w:type="dxa"/>
            <w:tcBorders>
              <w:top w:val="single" w:sz="6" w:space="0" w:color="78A22F"/>
              <w:left w:val="nil"/>
              <w:bottom w:val="nil"/>
              <w:right w:val="nil"/>
            </w:tcBorders>
            <w:shd w:val="clear" w:color="auto" w:fill="F2F2F2"/>
          </w:tcPr>
          <w:p w:rsidR="00D90D1B" w:rsidRPr="00AE6CDC" w:rsidRDefault="00D90D1B" w:rsidP="00651C61">
            <w:pPr>
              <w:pStyle w:val="BoxTitle"/>
            </w:pPr>
            <w:r w:rsidRPr="00AE6CDC">
              <w:rPr>
                <w:b w:val="0"/>
              </w:rPr>
              <w:t xml:space="preserve">Box </w:t>
            </w:r>
            <w:r w:rsidR="00321568" w:rsidRPr="00AE6CDC">
              <w:rPr>
                <w:b w:val="0"/>
              </w:rPr>
              <w:t>14.</w:t>
            </w:r>
            <w:r w:rsidR="004C7F59" w:rsidRPr="00AE6CDC">
              <w:rPr>
                <w:b w:val="0"/>
              </w:rPr>
              <w:t>1</w:t>
            </w:r>
            <w:r w:rsidR="00651C61">
              <w:rPr>
                <w:b w:val="0"/>
              </w:rPr>
              <w:t>3</w:t>
            </w:r>
            <w:r w:rsidRPr="00AE6CDC">
              <w:tab/>
            </w:r>
            <w:r w:rsidR="004C7F59" w:rsidRPr="00AE6CDC">
              <w:rPr>
                <w:rStyle w:val="ContinuedChar"/>
                <w:b w:val="0"/>
              </w:rPr>
              <w:t>(continued)</w:t>
            </w:r>
          </w:p>
        </w:tc>
      </w:tr>
      <w:tr w:rsidR="00AE6CDC" w:rsidRPr="00AE6CDC" w:rsidTr="00C827D5">
        <w:trPr>
          <w:cantSplit/>
        </w:trPr>
        <w:tc>
          <w:tcPr>
            <w:tcW w:w="8771" w:type="dxa"/>
            <w:tcBorders>
              <w:top w:val="nil"/>
              <w:left w:val="nil"/>
              <w:bottom w:val="nil"/>
              <w:right w:val="nil"/>
            </w:tcBorders>
            <w:shd w:val="clear" w:color="auto" w:fill="F2F2F2"/>
          </w:tcPr>
          <w:p w:rsidR="00AE6CDC" w:rsidRPr="002A682B" w:rsidRDefault="00AE6CDC" w:rsidP="00AE6CDC">
            <w:pPr>
              <w:pStyle w:val="BoxHeading2"/>
            </w:pPr>
            <w:r w:rsidRPr="002A682B">
              <w:t xml:space="preserve">ACT </w:t>
            </w:r>
          </w:p>
          <w:p w:rsidR="003D7ED5" w:rsidRDefault="003D7ED5" w:rsidP="003D7ED5">
            <w:pPr>
              <w:pStyle w:val="Box"/>
            </w:pPr>
            <w:r>
              <w:t>In 2014</w:t>
            </w:r>
            <w:r w:rsidR="005547FD">
              <w:noBreakHyphen/>
            </w:r>
            <w:r>
              <w:t xml:space="preserve">15, the ACT continued implementation of the quality improvement measures for all services delivered by government and community sector service providers. </w:t>
            </w:r>
          </w:p>
          <w:p w:rsidR="003D7ED5" w:rsidRDefault="003D7ED5" w:rsidP="003D7ED5">
            <w:pPr>
              <w:pStyle w:val="Box"/>
            </w:pPr>
            <w:r>
              <w:t>All organisations are required to undertake an annual baseline self</w:t>
            </w:r>
            <w:r w:rsidR="005547FD">
              <w:noBreakHyphen/>
            </w:r>
            <w:r>
              <w:t>assessment against the National Disability Service Standards, with quality improvement action plans being developed and implemented on the basis of any identified issues.</w:t>
            </w:r>
          </w:p>
          <w:p w:rsidR="003D7ED5" w:rsidRDefault="003D7ED5" w:rsidP="003D7ED5">
            <w:pPr>
              <w:pStyle w:val="Box"/>
            </w:pPr>
            <w:r>
              <w:t>On 1</w:t>
            </w:r>
            <w:r w:rsidR="005547FD">
              <w:t> </w:t>
            </w:r>
            <w:r>
              <w:t>July 2014, the National Disability Insurance Scheme (NDIS) trial began in the ACT. More than 160 organisations are now registered with the National Disability Insurance Agency (NDIA) to provide services in the ACT.</w:t>
            </w:r>
          </w:p>
          <w:p w:rsidR="003D7ED5" w:rsidRDefault="003D7ED5" w:rsidP="003D7ED5">
            <w:pPr>
              <w:pStyle w:val="Box"/>
            </w:pPr>
            <w:r>
              <w:t xml:space="preserve">The ACT Government has developed and delivered a sector development program focussing on the capability needs of community organisations, such as governance, financial management, collaboration and strategic risk planning. </w:t>
            </w:r>
          </w:p>
          <w:p w:rsidR="003D7ED5" w:rsidRPr="002A682B" w:rsidRDefault="003D7ED5" w:rsidP="003D7ED5">
            <w:pPr>
              <w:pStyle w:val="Box"/>
            </w:pPr>
            <w:r>
              <w:t>Existing safeguards will continue through the trial period. To ensure that safeguards currently in contracts apply whether or not a contract is in place, they have been placed into legislation. The Disability Services Act 1991 empowers the ACT Government to monitor and respond to breaches of safeguards. Oversight is being administered by the Human Services Registrar.</w:t>
            </w:r>
          </w:p>
          <w:p w:rsidR="00AE6CDC" w:rsidRPr="00AE6CDC" w:rsidRDefault="00AE6CDC" w:rsidP="00AE6CDC">
            <w:pPr>
              <w:pStyle w:val="BoxHeading2"/>
            </w:pPr>
            <w:r w:rsidRPr="00AE6CDC">
              <w:t>NT</w:t>
            </w:r>
          </w:p>
          <w:p w:rsidR="00AE6CDC" w:rsidRPr="00AE6CDC" w:rsidRDefault="00AE6CDC" w:rsidP="00AE6CDC">
            <w:pPr>
              <w:pStyle w:val="Box"/>
            </w:pPr>
            <w:r w:rsidRPr="00AE6CDC">
              <w:t>Disability services funded through the NT Government Department of Health’s Office of Disability are assessed against the National Standards for Disability Services and/or the NT Disability Services at least once every three years.</w:t>
            </w:r>
          </w:p>
          <w:p w:rsidR="00AE6CDC" w:rsidRPr="00AE6CDC" w:rsidRDefault="00AE6CDC" w:rsidP="00AE6CDC">
            <w:pPr>
              <w:pStyle w:val="Box"/>
            </w:pPr>
            <w:r w:rsidRPr="00AE6CDC">
              <w:t xml:space="preserve">The review process involves a desktop review of the relevant policies and procedures associated with the service; site visits; and interviews with clients, guardians, service staff, coordinators and management. Performance against the service standards is either rated as ‘met’, ‘partially met’ or ‘not met’. Where performance is rated as either partially met or not met, recommendations for service improvement </w:t>
            </w:r>
            <w:r w:rsidR="004D737D">
              <w:t>are</w:t>
            </w:r>
            <w:r w:rsidRPr="00AE6CDC">
              <w:t xml:space="preserve"> made.</w:t>
            </w:r>
          </w:p>
          <w:p w:rsidR="00AE6CDC" w:rsidRPr="00AE6CDC" w:rsidRDefault="00AE6CDC" w:rsidP="00AE6CDC">
            <w:pPr>
              <w:pStyle w:val="Box"/>
            </w:pPr>
            <w:r w:rsidRPr="00AE6CDC">
              <w:t xml:space="preserve">A Service Improvement Plan is developed by the service provider and its implementation is monitored on a regular basis. A site visit is then conducted to monitor the service and assess whether the services provided meet the standards. Review </w:t>
            </w:r>
            <w:r w:rsidR="0016630B">
              <w:t>o</w:t>
            </w:r>
            <w:r w:rsidRPr="00AE6CDC">
              <w:t xml:space="preserve">fficers may also liaise with service stakeholders such as guardians, clients, support workers, advocates and management. During the reporting period two reviews were conducted against the Northern Territory Disability Service Standards. </w:t>
            </w:r>
          </w:p>
          <w:p w:rsidR="00AE6CDC" w:rsidRPr="00AE6CDC" w:rsidRDefault="00AE6CDC" w:rsidP="00AE6CDC">
            <w:pPr>
              <w:pStyle w:val="Box"/>
            </w:pPr>
            <w:r w:rsidRPr="00AE6CDC">
              <w:t>Service Improvement Plans have been developed and actions taken so far have resulted in significant improvements in the service quality. It is anticipated that follow up reviews will be conducted on these services in the next reporting period.</w:t>
            </w:r>
          </w:p>
          <w:p w:rsidR="00D90D1B" w:rsidRPr="00AE6CDC" w:rsidRDefault="00AE6CDC" w:rsidP="00AE6CDC">
            <w:pPr>
              <w:pStyle w:val="Box"/>
            </w:pPr>
            <w:r w:rsidRPr="00AE6CDC">
              <w:t>The Office of Disability has engaged the National Disability Service (NDS) to work with service providers to ensure all providers can demonstrate their compliance with the National Disability Standards. The department will provide software to assist organisations to achieve this and to meet third party verification of their practices</w:t>
            </w:r>
          </w:p>
        </w:tc>
      </w:tr>
      <w:tr w:rsidR="00D90D1B" w:rsidRPr="00AE6CDC" w:rsidTr="00C827D5">
        <w:trPr>
          <w:cantSplit/>
        </w:trPr>
        <w:tc>
          <w:tcPr>
            <w:tcW w:w="8771" w:type="dxa"/>
            <w:tcBorders>
              <w:top w:val="nil"/>
              <w:left w:val="nil"/>
              <w:bottom w:val="nil"/>
              <w:right w:val="nil"/>
            </w:tcBorders>
            <w:shd w:val="clear" w:color="auto" w:fill="F2F2F2"/>
          </w:tcPr>
          <w:p w:rsidR="00D90D1B" w:rsidRPr="00AE6CDC" w:rsidRDefault="00D90D1B" w:rsidP="00C827D5">
            <w:pPr>
              <w:pStyle w:val="BoxSource"/>
            </w:pPr>
            <w:r w:rsidRPr="00AE6CDC">
              <w:rPr>
                <w:i/>
              </w:rPr>
              <w:t>Source</w:t>
            </w:r>
            <w:r w:rsidRPr="00AE6CDC">
              <w:t>: Australian, NSW, Victorian, Queensland, WA, SA, Tasmanian, ACT and NT governments (unpublished).</w:t>
            </w:r>
          </w:p>
        </w:tc>
      </w:tr>
      <w:tr w:rsidR="00D90D1B" w:rsidRPr="00B86C20" w:rsidTr="00C827D5">
        <w:trPr>
          <w:cantSplit/>
        </w:trPr>
        <w:tc>
          <w:tcPr>
            <w:tcW w:w="8771" w:type="dxa"/>
            <w:tcBorders>
              <w:top w:val="nil"/>
              <w:left w:val="nil"/>
              <w:bottom w:val="single" w:sz="6" w:space="0" w:color="78A22F"/>
              <w:right w:val="nil"/>
            </w:tcBorders>
            <w:shd w:val="clear" w:color="auto" w:fill="F2F2F2"/>
          </w:tcPr>
          <w:p w:rsidR="00D90D1B" w:rsidRPr="00B86C20" w:rsidRDefault="00D90D1B">
            <w:pPr>
              <w:pStyle w:val="Box"/>
              <w:spacing w:before="0" w:line="120" w:lineRule="exact"/>
              <w:rPr>
                <w:color w:val="808080" w:themeColor="background1" w:themeShade="80"/>
              </w:rPr>
            </w:pPr>
          </w:p>
        </w:tc>
      </w:tr>
      <w:tr w:rsidR="00D90D1B" w:rsidRPr="00B86C20" w:rsidTr="00C827D5">
        <w:tc>
          <w:tcPr>
            <w:tcW w:w="8771" w:type="dxa"/>
            <w:tcBorders>
              <w:top w:val="single" w:sz="6" w:space="0" w:color="78A22F"/>
              <w:left w:val="nil"/>
              <w:bottom w:val="nil"/>
              <w:right w:val="nil"/>
            </w:tcBorders>
          </w:tcPr>
          <w:p w:rsidR="00D90D1B" w:rsidRPr="00B86C20" w:rsidRDefault="00D90D1B" w:rsidP="00C827D5">
            <w:pPr>
              <w:pStyle w:val="BoxSpaceBelow"/>
              <w:rPr>
                <w:color w:val="808080" w:themeColor="background1" w:themeShade="80"/>
              </w:rPr>
            </w:pPr>
          </w:p>
        </w:tc>
      </w:tr>
    </w:tbl>
    <w:p w:rsidR="001F39F2" w:rsidRPr="00B17C28" w:rsidRDefault="00161261" w:rsidP="00927A21">
      <w:pPr>
        <w:pStyle w:val="Heading4"/>
      </w:pPr>
      <w:r>
        <w:lastRenderedPageBreak/>
        <w:t xml:space="preserve">Quality of services </w:t>
      </w:r>
      <w:r w:rsidR="00927A21">
        <w:rPr>
          <w:rFonts w:cs="Arial"/>
        </w:rPr>
        <w:t>―</w:t>
      </w:r>
      <w:r>
        <w:t xml:space="preserve"> </w:t>
      </w:r>
      <w:r w:rsidR="001F39F2" w:rsidRPr="00B17C28">
        <w:t>Client and carer satisfaction</w:t>
      </w:r>
    </w:p>
    <w:p w:rsidR="001F39F2" w:rsidRPr="00B17C28" w:rsidRDefault="001F39F2" w:rsidP="00585E2C">
      <w:pPr>
        <w:pStyle w:val="BodyText"/>
      </w:pPr>
      <w:r w:rsidRPr="00B17C28">
        <w:t>‘Client and carer satisfaction’ is an indicator of governments’ objective to deliver and fund quality</w:t>
      </w:r>
      <w:r w:rsidR="000A3BDF" w:rsidRPr="00B17C28">
        <w:t xml:space="preserve"> disability</w:t>
      </w:r>
      <w:r w:rsidRPr="00B17C28">
        <w:t xml:space="preserve"> services that meet the needs and goals of the client (or carer of the client) receiving them (box</w:t>
      </w:r>
      <w:r w:rsidR="00AE3578" w:rsidRPr="00B17C28">
        <w:t> </w:t>
      </w:r>
      <w:r w:rsidRPr="00B17C28">
        <w:t>14.</w:t>
      </w:r>
      <w:r w:rsidR="00525A0A" w:rsidRPr="00B17C28">
        <w:t>1</w:t>
      </w:r>
      <w:r w:rsidR="00651C61">
        <w:t>4</w:t>
      </w:r>
      <w:r w:rsidR="00D90D1B" w:rsidRPr="00B17C28">
        <w:t>).</w:t>
      </w:r>
    </w:p>
    <w:p w:rsidR="00D90D1B" w:rsidRPr="00B86C20" w:rsidRDefault="00D90D1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20B7" w:rsidRPr="00B17C28" w:rsidTr="00C827D5">
        <w:tc>
          <w:tcPr>
            <w:tcW w:w="8771" w:type="dxa"/>
            <w:tcBorders>
              <w:top w:val="single" w:sz="6" w:space="0" w:color="78A22F"/>
              <w:left w:val="nil"/>
              <w:bottom w:val="nil"/>
              <w:right w:val="nil"/>
            </w:tcBorders>
            <w:shd w:val="clear" w:color="auto" w:fill="F2F2F2"/>
          </w:tcPr>
          <w:p w:rsidR="00D90D1B" w:rsidRPr="00B17C28" w:rsidRDefault="00D90D1B">
            <w:pPr>
              <w:pStyle w:val="BoxTitle"/>
            </w:pPr>
            <w:r w:rsidRPr="00B17C28">
              <w:rPr>
                <w:b w:val="0"/>
              </w:rPr>
              <w:t xml:space="preserve">Box </w:t>
            </w:r>
            <w:r w:rsidR="00321568" w:rsidRPr="00B17C28">
              <w:rPr>
                <w:b w:val="0"/>
              </w:rPr>
              <w:t>14.</w:t>
            </w:r>
            <w:r w:rsidR="004B691F">
              <w:rPr>
                <w:b w:val="0"/>
                <w:noProof/>
              </w:rPr>
              <w:t>14</w:t>
            </w:r>
            <w:r w:rsidRPr="00B17C28">
              <w:tab/>
              <w:t>Client and carer satisfaction</w:t>
            </w:r>
          </w:p>
        </w:tc>
      </w:tr>
      <w:tr w:rsidR="00AD20B7" w:rsidRPr="00B17C28" w:rsidTr="00C827D5">
        <w:trPr>
          <w:cantSplit/>
        </w:trPr>
        <w:tc>
          <w:tcPr>
            <w:tcW w:w="8771" w:type="dxa"/>
            <w:tcBorders>
              <w:top w:val="nil"/>
              <w:left w:val="nil"/>
              <w:bottom w:val="nil"/>
              <w:right w:val="nil"/>
            </w:tcBorders>
            <w:shd w:val="clear" w:color="auto" w:fill="F2F2F2"/>
          </w:tcPr>
          <w:p w:rsidR="00D90D1B" w:rsidRPr="00B17C28" w:rsidRDefault="00D90D1B" w:rsidP="00D90D1B">
            <w:pPr>
              <w:pStyle w:val="Box"/>
            </w:pPr>
            <w:r w:rsidRPr="00B17C28">
              <w:t xml:space="preserve">‘Client and carer satisfaction’ is defined as </w:t>
            </w:r>
            <w:r w:rsidR="0081279E" w:rsidRPr="00B17C28">
              <w:t>service users</w:t>
            </w:r>
            <w:r w:rsidR="004D737D">
              <w:t>’</w:t>
            </w:r>
            <w:r w:rsidRPr="00B17C28">
              <w:t xml:space="preserve"> overall </w:t>
            </w:r>
            <w:r w:rsidR="00E573B8" w:rsidRPr="00B17C28">
              <w:t xml:space="preserve">reported </w:t>
            </w:r>
            <w:r w:rsidR="0081279E" w:rsidRPr="00B17C28">
              <w:t>levels of satisfaction</w:t>
            </w:r>
            <w:r w:rsidR="00E573B8" w:rsidRPr="00B17C28">
              <w:t xml:space="preserve"> with services</w:t>
            </w:r>
            <w:r w:rsidR="0081279E" w:rsidRPr="00B17C28">
              <w:t xml:space="preserve"> </w:t>
            </w:r>
            <w:r w:rsidRPr="00B17C28">
              <w:t>and satisfa</w:t>
            </w:r>
            <w:r w:rsidR="00E573B8" w:rsidRPr="00B17C28">
              <w:t>ction with individual services.</w:t>
            </w:r>
          </w:p>
          <w:p w:rsidR="00D90D1B" w:rsidRPr="00B17C28" w:rsidRDefault="00D90D1B" w:rsidP="00D90D1B">
            <w:pPr>
              <w:pStyle w:val="Box"/>
            </w:pPr>
            <w:r w:rsidRPr="00B17C28">
              <w:t xml:space="preserve">Results are </w:t>
            </w:r>
            <w:r w:rsidR="00D95EC5" w:rsidRPr="00B17C28">
              <w:t>reported</w:t>
            </w:r>
            <w:r w:rsidR="00265FEB" w:rsidRPr="00B17C28">
              <w:t xml:space="preserve"> from:</w:t>
            </w:r>
          </w:p>
          <w:p w:rsidR="00D90D1B" w:rsidRPr="00B17C28" w:rsidRDefault="00D90D1B" w:rsidP="00D90D1B">
            <w:pPr>
              <w:pStyle w:val="BoxListBullet"/>
            </w:pPr>
            <w:r w:rsidRPr="00B17C28">
              <w:t>State and Territory administered client and carer satisfaction survey</w:t>
            </w:r>
            <w:r w:rsidR="00E573B8" w:rsidRPr="00B17C28">
              <w:t>s</w:t>
            </w:r>
            <w:r w:rsidRPr="00B17C28">
              <w:t xml:space="preserve"> and expressed as percentages</w:t>
            </w:r>
          </w:p>
          <w:p w:rsidR="00D90D1B" w:rsidRPr="00B17C28" w:rsidRDefault="00D95EC5" w:rsidP="00D90D1B">
            <w:pPr>
              <w:pStyle w:val="BoxListBullet"/>
            </w:pPr>
            <w:r w:rsidRPr="00B17C28">
              <w:t>t</w:t>
            </w:r>
            <w:r w:rsidR="00D90D1B" w:rsidRPr="00B17C28">
              <w:t xml:space="preserve">he 2012 </w:t>
            </w:r>
            <w:r w:rsidR="00BD1C57" w:rsidRPr="00B17C28">
              <w:t>SDAC</w:t>
            </w:r>
            <w:r w:rsidR="001B5BCA" w:rsidRPr="00B17C28">
              <w:t xml:space="preserve"> and are expressed as numbers and proportions</w:t>
            </w:r>
            <w:r w:rsidR="00694D06" w:rsidRPr="00B17C28">
              <w:t>.</w:t>
            </w:r>
          </w:p>
          <w:p w:rsidR="00D90D1B" w:rsidRPr="00B17C28" w:rsidRDefault="00D90D1B" w:rsidP="00D90D1B">
            <w:pPr>
              <w:pStyle w:val="Box"/>
              <w:rPr>
                <w:szCs w:val="24"/>
              </w:rPr>
            </w:pPr>
            <w:r w:rsidRPr="00B17C28">
              <w:t xml:space="preserve">A high or increasing proportion of clients and carers who are satisfied is desirable, as it suggests </w:t>
            </w:r>
            <w:r w:rsidR="00D95EC5" w:rsidRPr="00B17C28">
              <w:t xml:space="preserve">that </w:t>
            </w:r>
            <w:r w:rsidRPr="00B17C28">
              <w:t xml:space="preserve">the service received was of a higher quality and better met the needs and goals of the client or carer. </w:t>
            </w:r>
          </w:p>
          <w:p w:rsidR="00D90D1B" w:rsidRPr="00B17C28" w:rsidRDefault="00D63CDD" w:rsidP="00D90D1B">
            <w:pPr>
              <w:pStyle w:val="Box"/>
              <w:rPr>
                <w:szCs w:val="24"/>
              </w:rPr>
            </w:pPr>
            <w:r w:rsidRPr="00B17C28">
              <w:t>State and Territory d</w:t>
            </w:r>
            <w:r w:rsidR="00D90D1B" w:rsidRPr="00B17C28">
              <w:t>ata reported for this measure are:</w:t>
            </w:r>
          </w:p>
          <w:p w:rsidR="00D90D1B" w:rsidRPr="00B17C28" w:rsidRDefault="00D90D1B" w:rsidP="00161353">
            <w:pPr>
              <w:pStyle w:val="BoxListBullet"/>
              <w:rPr>
                <w:lang w:eastAsia="en-US"/>
              </w:rPr>
            </w:pPr>
            <w:r w:rsidRPr="00B17C28">
              <w:rPr>
                <w:lang w:eastAsia="en-US"/>
              </w:rPr>
              <w:t xml:space="preserve">comparable (subject to caveats) within jurisdictions over time but are not </w:t>
            </w:r>
            <w:r w:rsidR="00694D06" w:rsidRPr="00B17C28">
              <w:rPr>
                <w:lang w:eastAsia="en-US"/>
              </w:rPr>
              <w:t>comparable across jurisdictions</w:t>
            </w:r>
          </w:p>
          <w:p w:rsidR="00D90D1B" w:rsidRPr="00B17C28" w:rsidRDefault="00D90D1B" w:rsidP="006F166D">
            <w:pPr>
              <w:pStyle w:val="BoxListBullet"/>
              <w:rPr>
                <w:szCs w:val="24"/>
                <w:lang w:eastAsia="en-US"/>
              </w:rPr>
            </w:pPr>
            <w:r w:rsidRPr="00B17C28">
              <w:rPr>
                <w:lang w:eastAsia="en-US"/>
              </w:rPr>
              <w:t xml:space="preserve">incomplete for the current reporting period. </w:t>
            </w:r>
            <w:r w:rsidR="00403B34" w:rsidRPr="00B17C28">
              <w:rPr>
                <w:lang w:eastAsia="en-US"/>
              </w:rPr>
              <w:t>2014</w:t>
            </w:r>
            <w:r w:rsidR="005547FD">
              <w:rPr>
                <w:lang w:eastAsia="en-US"/>
              </w:rPr>
              <w:noBreakHyphen/>
            </w:r>
            <w:r w:rsidR="00403B34" w:rsidRPr="00B17C28">
              <w:rPr>
                <w:lang w:eastAsia="en-US"/>
              </w:rPr>
              <w:t>15</w:t>
            </w:r>
            <w:r w:rsidR="00B24491" w:rsidRPr="00B17C28">
              <w:rPr>
                <w:lang w:eastAsia="en-US"/>
              </w:rPr>
              <w:t xml:space="preserve"> </w:t>
            </w:r>
            <w:r w:rsidRPr="00B17C28">
              <w:rPr>
                <w:lang w:eastAsia="en-US"/>
              </w:rPr>
              <w:t xml:space="preserve">data </w:t>
            </w:r>
            <w:r w:rsidR="00AD20B7">
              <w:rPr>
                <w:lang w:eastAsia="en-US"/>
              </w:rPr>
              <w:t>are only available for WA and the ACT</w:t>
            </w:r>
            <w:r w:rsidRPr="00B17C28">
              <w:rPr>
                <w:lang w:eastAsia="en-US"/>
              </w:rPr>
              <w:t xml:space="preserve">. </w:t>
            </w:r>
            <w:r w:rsidR="00AD20B7" w:rsidRPr="00774D3B">
              <w:t>Data for earlier years for Queensland, WA, and the ACT were included in the 2014 Report (SCRGSP 2014, pp. 62–64).</w:t>
            </w:r>
          </w:p>
          <w:p w:rsidR="00D63CDD" w:rsidRPr="00B17C28" w:rsidRDefault="00D63CDD" w:rsidP="00D90D1B">
            <w:pPr>
              <w:pStyle w:val="Box"/>
            </w:pPr>
            <w:r w:rsidRPr="00B17C28">
              <w:t>SDAC data reported for this measure are:</w:t>
            </w:r>
          </w:p>
          <w:p w:rsidR="00D63CDD" w:rsidRPr="00B17C28" w:rsidRDefault="00D63CDD" w:rsidP="00161353">
            <w:pPr>
              <w:pStyle w:val="BoxListBullet"/>
            </w:pPr>
            <w:r w:rsidRPr="00B17C28">
              <w:rPr>
                <w:lang w:eastAsia="en-US"/>
              </w:rPr>
              <w:t>comparable across jurisdictions</w:t>
            </w:r>
          </w:p>
          <w:p w:rsidR="00265FEB" w:rsidRPr="00B17C28" w:rsidRDefault="00265FEB" w:rsidP="00265FEB">
            <w:pPr>
              <w:pStyle w:val="BoxListBullet"/>
              <w:rPr>
                <w:lang w:eastAsia="en-US"/>
              </w:rPr>
            </w:pPr>
            <w:r w:rsidRPr="00B17C28">
              <w:rPr>
                <w:lang w:eastAsia="en-US"/>
              </w:rPr>
              <w:t>complete (subject to caveats) fo</w:t>
            </w:r>
            <w:r w:rsidR="00694D06" w:rsidRPr="00B17C28">
              <w:rPr>
                <w:lang w:eastAsia="en-US"/>
              </w:rPr>
              <w:t>r the current reporting period.</w:t>
            </w:r>
          </w:p>
          <w:p w:rsidR="00D90D1B" w:rsidRPr="00B17C28" w:rsidRDefault="00D90D1B" w:rsidP="00161353">
            <w:pPr>
              <w:pStyle w:val="Box"/>
            </w:pPr>
            <w:r w:rsidRPr="00B17C28">
              <w:t>Data quality information for this indicator is available for 2012 SDAC data</w:t>
            </w:r>
            <w:r w:rsidR="0028432F" w:rsidRPr="00B17C28">
              <w:t xml:space="preserve"> at www.pc.gov.au</w:t>
            </w:r>
            <w:r w:rsidR="00161353" w:rsidRPr="00B17C28">
              <w:t>/rogs/</w:t>
            </w:r>
            <w:r w:rsidR="00B86C20" w:rsidRPr="00B17C28">
              <w:t>2016</w:t>
            </w:r>
            <w:r w:rsidR="00161353" w:rsidRPr="00B17C28">
              <w:t>.</w:t>
            </w:r>
            <w:r w:rsidRPr="00B17C28">
              <w:t xml:space="preserve"> Data quality information for State and Territory data are under development.</w:t>
            </w:r>
          </w:p>
        </w:tc>
      </w:tr>
      <w:tr w:rsidR="00AD20B7" w:rsidRPr="00B17C28" w:rsidTr="00C827D5">
        <w:trPr>
          <w:cantSplit/>
        </w:trPr>
        <w:tc>
          <w:tcPr>
            <w:tcW w:w="8771" w:type="dxa"/>
            <w:tcBorders>
              <w:top w:val="nil"/>
              <w:left w:val="nil"/>
              <w:bottom w:val="single" w:sz="6" w:space="0" w:color="78A22F"/>
              <w:right w:val="nil"/>
            </w:tcBorders>
            <w:shd w:val="clear" w:color="auto" w:fill="F2F2F2"/>
          </w:tcPr>
          <w:p w:rsidR="00D90D1B" w:rsidRPr="00B17C28" w:rsidRDefault="00D90D1B">
            <w:pPr>
              <w:pStyle w:val="Box"/>
              <w:spacing w:before="0" w:line="120" w:lineRule="exact"/>
            </w:pPr>
          </w:p>
        </w:tc>
      </w:tr>
      <w:tr w:rsidR="00AD20B7" w:rsidRPr="00B17C28" w:rsidTr="00C827D5">
        <w:tc>
          <w:tcPr>
            <w:tcW w:w="8771" w:type="dxa"/>
            <w:tcBorders>
              <w:top w:val="single" w:sz="6" w:space="0" w:color="78A22F"/>
              <w:left w:val="nil"/>
              <w:bottom w:val="nil"/>
              <w:right w:val="nil"/>
            </w:tcBorders>
          </w:tcPr>
          <w:p w:rsidR="00D90D1B" w:rsidRPr="00B17C28" w:rsidRDefault="00D90D1B" w:rsidP="00C827D5">
            <w:pPr>
              <w:pStyle w:val="BoxSpaceBelow"/>
            </w:pPr>
          </w:p>
        </w:tc>
      </w:tr>
    </w:tbl>
    <w:p w:rsidR="0016630B" w:rsidRDefault="0016630B" w:rsidP="0016630B">
      <w:pPr>
        <w:pStyle w:val="BodyText"/>
      </w:pPr>
      <w:r>
        <w:br w:type="page"/>
      </w:r>
    </w:p>
    <w:p w:rsidR="00AD20B7" w:rsidRPr="0016630B" w:rsidRDefault="00AD20B7" w:rsidP="0016630B">
      <w:pPr>
        <w:pStyle w:val="BodyText"/>
      </w:pPr>
      <w:r w:rsidRPr="0016630B">
        <w:lastRenderedPageBreak/>
        <w:t>Client and carer satisfaction’ data relating to NDA specialist disability services for WA and the ACT are reported in box</w:t>
      </w:r>
      <w:r w:rsidR="005547FD">
        <w:t> </w:t>
      </w:r>
      <w:r w:rsidRPr="0016630B">
        <w:t>14.1</w:t>
      </w:r>
      <w:r w:rsidR="00651C61" w:rsidRPr="0016630B">
        <w:t>5</w:t>
      </w:r>
      <w:r w:rsidRPr="0016630B">
        <w:t>.</w:t>
      </w:r>
    </w:p>
    <w:p w:rsidR="00D90D1B" w:rsidRPr="0016630B" w:rsidRDefault="00D90D1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D1B" w:rsidRPr="00774D3B" w:rsidTr="00C827D5">
        <w:tc>
          <w:tcPr>
            <w:tcW w:w="8771" w:type="dxa"/>
            <w:tcBorders>
              <w:top w:val="single" w:sz="6" w:space="0" w:color="78A22F"/>
              <w:left w:val="nil"/>
              <w:bottom w:val="nil"/>
              <w:right w:val="nil"/>
            </w:tcBorders>
            <w:shd w:val="clear" w:color="auto" w:fill="F2F2F2"/>
          </w:tcPr>
          <w:p w:rsidR="00D90D1B" w:rsidRPr="00774D3B" w:rsidRDefault="00D90D1B" w:rsidP="00556562">
            <w:pPr>
              <w:pStyle w:val="BoxTitle"/>
            </w:pPr>
            <w:r w:rsidRPr="00774D3B">
              <w:rPr>
                <w:b w:val="0"/>
              </w:rPr>
              <w:t xml:space="preserve">Box </w:t>
            </w:r>
            <w:r w:rsidR="00321568" w:rsidRPr="00774D3B">
              <w:rPr>
                <w:b w:val="0"/>
              </w:rPr>
              <w:t>14.</w:t>
            </w:r>
            <w:r w:rsidR="004B691F">
              <w:rPr>
                <w:b w:val="0"/>
                <w:noProof/>
              </w:rPr>
              <w:t>15</w:t>
            </w:r>
            <w:r w:rsidRPr="00774D3B">
              <w:tab/>
              <w:t>Client and carer satisfaction with specialist disability services</w:t>
            </w:r>
          </w:p>
        </w:tc>
      </w:tr>
      <w:tr w:rsidR="00F03B5E" w:rsidRPr="00F03B5E" w:rsidTr="00C827D5">
        <w:trPr>
          <w:cantSplit/>
        </w:trPr>
        <w:tc>
          <w:tcPr>
            <w:tcW w:w="8771" w:type="dxa"/>
            <w:tcBorders>
              <w:top w:val="nil"/>
              <w:left w:val="nil"/>
              <w:bottom w:val="nil"/>
              <w:right w:val="nil"/>
            </w:tcBorders>
            <w:shd w:val="clear" w:color="auto" w:fill="F2F2F2"/>
          </w:tcPr>
          <w:p w:rsidR="00562ABE" w:rsidRPr="00F03B5E" w:rsidRDefault="00562ABE" w:rsidP="00AD20B7">
            <w:pPr>
              <w:pStyle w:val="BoxHeading1"/>
              <w:keepNext w:val="0"/>
              <w:spacing w:before="120"/>
            </w:pPr>
            <w:r w:rsidRPr="00F03B5E">
              <w:t>WA</w:t>
            </w:r>
          </w:p>
          <w:p w:rsidR="00774D3B" w:rsidRPr="00F03B5E" w:rsidRDefault="00774D3B" w:rsidP="00774D3B">
            <w:pPr>
              <w:pStyle w:val="Box"/>
            </w:pPr>
            <w:r w:rsidRPr="00F03B5E">
              <w:t>WA conducted a carer and client satisfaction survey in March 2015. In this survey, a total of 735 structured telephone interviews were completed from a sample of 1627 individuals with disability or their carers</w:t>
            </w:r>
            <w:r w:rsidR="00F03B5E" w:rsidRPr="00F03B5E">
              <w:t>. The sample was</w:t>
            </w:r>
            <w:r w:rsidRPr="00F03B5E">
              <w:t xml:space="preserve"> stratified to ensure that it contained individuals representing users across all services funded by the Disability Services Commission. Of the 735 respondents, 172 (23 per cent) were service users and 563 (77 per cent) were carers responding on behalf of service users. </w:t>
            </w:r>
          </w:p>
          <w:p w:rsidR="00774D3B" w:rsidRPr="00F03B5E" w:rsidRDefault="00774D3B" w:rsidP="00774D3B">
            <w:pPr>
              <w:pStyle w:val="Box"/>
            </w:pPr>
            <w:r w:rsidRPr="00F03B5E">
              <w:t>Overall service user satisfaction was 81 per cent. For individual services, reported satisfaction was:</w:t>
            </w:r>
          </w:p>
          <w:p w:rsidR="00774D3B" w:rsidRPr="00F03B5E" w:rsidRDefault="00774D3B" w:rsidP="00774D3B">
            <w:pPr>
              <w:pStyle w:val="BoxListBullet"/>
            </w:pPr>
            <w:r w:rsidRPr="00F03B5E">
              <w:t>86 per cent for accommodation</w:t>
            </w:r>
          </w:p>
          <w:p w:rsidR="00774D3B" w:rsidRPr="00F03B5E" w:rsidRDefault="00774D3B" w:rsidP="00774D3B">
            <w:pPr>
              <w:pStyle w:val="BoxListBullet"/>
            </w:pPr>
            <w:r w:rsidRPr="00F03B5E">
              <w:t>83 per cent for community focused supports (includes Disability Professional Services and Day Options)</w:t>
            </w:r>
          </w:p>
          <w:p w:rsidR="00774D3B" w:rsidRPr="00F03B5E" w:rsidRDefault="00774D3B" w:rsidP="00774D3B">
            <w:pPr>
              <w:pStyle w:val="BoxListBullet"/>
            </w:pPr>
            <w:r w:rsidRPr="00F03B5E">
              <w:t>73 per cent for coordination and individual support</w:t>
            </w:r>
          </w:p>
          <w:p w:rsidR="00774D3B" w:rsidRPr="00F03B5E" w:rsidRDefault="00774D3B" w:rsidP="00774D3B">
            <w:pPr>
              <w:pStyle w:val="BoxListBullet"/>
            </w:pPr>
            <w:r w:rsidRPr="00F03B5E">
              <w:t>83 per cent for family and carer support.</w:t>
            </w:r>
          </w:p>
          <w:p w:rsidR="00AD20B7" w:rsidRPr="00F03B5E" w:rsidRDefault="00AD20B7" w:rsidP="00AD20B7">
            <w:pPr>
              <w:pStyle w:val="BoxHeading1"/>
              <w:keepNext w:val="0"/>
              <w:spacing w:before="120"/>
            </w:pPr>
            <w:r w:rsidRPr="00F03B5E">
              <w:t>ACT</w:t>
            </w:r>
          </w:p>
          <w:p w:rsidR="00AD20B7" w:rsidRPr="00F03B5E" w:rsidRDefault="00AD20B7" w:rsidP="00AD20B7">
            <w:pPr>
              <w:pStyle w:val="Box"/>
              <w:rPr>
                <w:szCs w:val="24"/>
              </w:rPr>
            </w:pPr>
            <w:r w:rsidRPr="00F03B5E">
              <w:rPr>
                <w:szCs w:val="24"/>
              </w:rPr>
              <w:t>In 2014</w:t>
            </w:r>
            <w:r w:rsidR="005547FD">
              <w:rPr>
                <w:szCs w:val="24"/>
              </w:rPr>
              <w:noBreakHyphen/>
            </w:r>
            <w:r w:rsidRPr="00F03B5E">
              <w:rPr>
                <w:szCs w:val="24"/>
              </w:rPr>
              <w:t>15, the ACT conducted a client satisfaction survey that measured client satisfaction with all disability services funded through Disability ACT, including government provided services as well as services provided through non</w:t>
            </w:r>
            <w:r w:rsidR="005547FD">
              <w:rPr>
                <w:szCs w:val="24"/>
              </w:rPr>
              <w:noBreakHyphen/>
            </w:r>
            <w:r w:rsidRPr="00F03B5E">
              <w:rPr>
                <w:szCs w:val="24"/>
              </w:rPr>
              <w:t xml:space="preserve">government agencies. </w:t>
            </w:r>
          </w:p>
          <w:p w:rsidR="00AD20B7" w:rsidRPr="00F03B5E" w:rsidRDefault="00AD20B7" w:rsidP="00AD20B7">
            <w:pPr>
              <w:pStyle w:val="Box"/>
              <w:rPr>
                <w:szCs w:val="24"/>
              </w:rPr>
            </w:pPr>
            <w:r w:rsidRPr="00F03B5E">
              <w:rPr>
                <w:szCs w:val="24"/>
              </w:rPr>
              <w:t>This survey asked clients to rate their overall level of satisfaction with the quality of the main disability services they had received over the past 12 months. Overall, 80 per cent of respondents to the survey reported that they were satisfied or very satisfied with disability services funded through Disability ACT.</w:t>
            </w:r>
          </w:p>
          <w:p w:rsidR="00D90D1B" w:rsidRPr="00F03B5E" w:rsidRDefault="00AD20B7" w:rsidP="0016630B">
            <w:pPr>
              <w:pStyle w:val="Box"/>
            </w:pPr>
            <w:r w:rsidRPr="00F03B5E">
              <w:rPr>
                <w:szCs w:val="24"/>
              </w:rPr>
              <w:t>Clients of disability services were most satisfied with how their privacy and confidentiality was respected (90</w:t>
            </w:r>
            <w:r w:rsidR="002A682B" w:rsidRPr="00F03B5E">
              <w:rPr>
                <w:szCs w:val="24"/>
              </w:rPr>
              <w:t> per cent</w:t>
            </w:r>
            <w:r w:rsidRPr="00F03B5E">
              <w:rPr>
                <w:szCs w:val="24"/>
              </w:rPr>
              <w:t xml:space="preserve"> satisfied). Support from staff received the second highest satisfaction rating at 86</w:t>
            </w:r>
            <w:r w:rsidR="002A682B" w:rsidRPr="00F03B5E">
              <w:rPr>
                <w:szCs w:val="24"/>
              </w:rPr>
              <w:t> per cent</w:t>
            </w:r>
            <w:r w:rsidRPr="00F03B5E">
              <w:rPr>
                <w:szCs w:val="24"/>
              </w:rPr>
              <w:t xml:space="preserve"> satisfied.</w:t>
            </w:r>
          </w:p>
        </w:tc>
      </w:tr>
      <w:tr w:rsidR="00D90D1B" w:rsidRPr="00B86C20" w:rsidTr="00C827D5">
        <w:trPr>
          <w:cantSplit/>
        </w:trPr>
        <w:tc>
          <w:tcPr>
            <w:tcW w:w="8771" w:type="dxa"/>
            <w:tcBorders>
              <w:top w:val="nil"/>
              <w:left w:val="nil"/>
              <w:bottom w:val="single" w:sz="6" w:space="0" w:color="78A22F"/>
              <w:right w:val="nil"/>
            </w:tcBorders>
            <w:shd w:val="clear" w:color="auto" w:fill="F2F2F2"/>
          </w:tcPr>
          <w:p w:rsidR="00D90D1B" w:rsidRPr="00B86C20" w:rsidRDefault="00D90D1B" w:rsidP="006A73EF">
            <w:pPr>
              <w:pStyle w:val="Box"/>
              <w:keepNext w:val="0"/>
              <w:spacing w:before="0" w:line="120" w:lineRule="exact"/>
              <w:rPr>
                <w:color w:val="808080" w:themeColor="background1" w:themeShade="80"/>
              </w:rPr>
            </w:pPr>
          </w:p>
        </w:tc>
      </w:tr>
      <w:tr w:rsidR="00D90D1B" w:rsidRPr="00B86C20" w:rsidTr="00C827D5">
        <w:tc>
          <w:tcPr>
            <w:tcW w:w="8771" w:type="dxa"/>
            <w:tcBorders>
              <w:top w:val="single" w:sz="6" w:space="0" w:color="78A22F"/>
              <w:left w:val="nil"/>
              <w:bottom w:val="nil"/>
              <w:right w:val="nil"/>
            </w:tcBorders>
          </w:tcPr>
          <w:p w:rsidR="00D90D1B" w:rsidRPr="00B86C20" w:rsidRDefault="00D90D1B" w:rsidP="006A73EF">
            <w:pPr>
              <w:pStyle w:val="BoxSpaceBelow"/>
              <w:rPr>
                <w:color w:val="808080" w:themeColor="background1" w:themeShade="80"/>
              </w:rPr>
            </w:pPr>
          </w:p>
        </w:tc>
      </w:tr>
    </w:tbl>
    <w:p w:rsidR="00161261" w:rsidRDefault="003647E1" w:rsidP="009866EF">
      <w:pPr>
        <w:pStyle w:val="BodyText"/>
      </w:pPr>
      <w:r w:rsidRPr="00AD20B7">
        <w:t xml:space="preserve">Data </w:t>
      </w:r>
      <w:r w:rsidR="00F81BD3" w:rsidRPr="00AD20B7">
        <w:t>on the satisfaction of client</w:t>
      </w:r>
      <w:r w:rsidR="00305A72" w:rsidRPr="00AD20B7">
        <w:t>s</w:t>
      </w:r>
      <w:r w:rsidR="00F81BD3" w:rsidRPr="00AD20B7">
        <w:t xml:space="preserve"> and carers with the quality of formal services are available </w:t>
      </w:r>
      <w:r w:rsidRPr="00AD20B7">
        <w:t xml:space="preserve">from the </w:t>
      </w:r>
      <w:r w:rsidR="00544897" w:rsidRPr="00AD20B7">
        <w:t xml:space="preserve">2012 </w:t>
      </w:r>
      <w:r w:rsidR="001B5BCA" w:rsidRPr="00AD20B7">
        <w:t xml:space="preserve">SDAC </w:t>
      </w:r>
      <w:r w:rsidR="00F81BD3" w:rsidRPr="00AD20B7">
        <w:t>(tables</w:t>
      </w:r>
      <w:r w:rsidR="00AE3578" w:rsidRPr="00AD20B7">
        <w:t> </w:t>
      </w:r>
      <w:r w:rsidR="00C819E3" w:rsidRPr="00AD20B7">
        <w:t>14</w:t>
      </w:r>
      <w:r w:rsidR="00FE1C3B" w:rsidRPr="00AD20B7">
        <w:t>A.</w:t>
      </w:r>
      <w:r w:rsidR="00AF3774" w:rsidRPr="00AD20B7">
        <w:t>7</w:t>
      </w:r>
      <w:r w:rsidR="00AF3774">
        <w:t>6</w:t>
      </w:r>
      <w:r w:rsidR="00C73AAC" w:rsidRPr="00AD20B7">
        <w:t>–</w:t>
      </w:r>
      <w:r w:rsidR="00AF3774" w:rsidRPr="00AD20B7">
        <w:t>8</w:t>
      </w:r>
      <w:r w:rsidR="00AF3774">
        <w:t>3</w:t>
      </w:r>
      <w:r w:rsidR="001170CF" w:rsidRPr="00AD20B7">
        <w:t>).</w:t>
      </w:r>
      <w:r w:rsidR="00161261" w:rsidRPr="00161261">
        <w:t xml:space="preserve"> </w:t>
      </w:r>
      <w:r w:rsidR="00161261" w:rsidRPr="00AD20B7">
        <w:t>SDAC data should not be compared to State and Territory administered client and carer satisfaction data as the definition of formal services in the SDAC is broader than the scope of specialist disability services as defined by the NDA.</w:t>
      </w:r>
      <w:r w:rsidR="002B526C" w:rsidRPr="00AD20B7">
        <w:t xml:space="preserve"> </w:t>
      </w:r>
    </w:p>
    <w:p w:rsidR="00C359FE" w:rsidRPr="00AD20B7" w:rsidRDefault="00A65783" w:rsidP="009866EF">
      <w:pPr>
        <w:pStyle w:val="BodyText"/>
      </w:pPr>
      <w:r w:rsidRPr="00AD20B7">
        <w:rPr>
          <w:szCs w:val="26"/>
        </w:rPr>
        <w:t xml:space="preserve">Nationally in 2012, the </w:t>
      </w:r>
      <w:r w:rsidR="00161261">
        <w:rPr>
          <w:szCs w:val="26"/>
        </w:rPr>
        <w:t>proportion</w:t>
      </w:r>
      <w:r w:rsidRPr="00AD20B7">
        <w:rPr>
          <w:szCs w:val="26"/>
        </w:rPr>
        <w:t xml:space="preserve"> of people aged 15–64 years with a </w:t>
      </w:r>
      <w:r w:rsidR="00C359FE" w:rsidRPr="00AD20B7">
        <w:rPr>
          <w:szCs w:val="26"/>
        </w:rPr>
        <w:t xml:space="preserve">reported disability who were </w:t>
      </w:r>
      <w:r w:rsidR="00C359FE" w:rsidRPr="00AD20B7">
        <w:t xml:space="preserve">satisfied with the quality of assistance they received from organised and formal services (79.5 per cent) was higher than the </w:t>
      </w:r>
      <w:r w:rsidR="00161261">
        <w:t>proportion</w:t>
      </w:r>
      <w:r w:rsidR="00C359FE" w:rsidRPr="00AD20B7">
        <w:t xml:space="preserve"> of </w:t>
      </w:r>
      <w:r w:rsidR="00C359FE" w:rsidRPr="00AD20B7">
        <w:rPr>
          <w:szCs w:val="26"/>
        </w:rPr>
        <w:t>primary carers who were satisfied with the quality of formal services received to help in their caring role</w:t>
      </w:r>
      <w:r w:rsidR="00E654B2" w:rsidRPr="00AD20B7">
        <w:rPr>
          <w:szCs w:val="26"/>
        </w:rPr>
        <w:t xml:space="preserve"> (69.0</w:t>
      </w:r>
      <w:r w:rsidR="00C359FE" w:rsidRPr="00AD20B7">
        <w:t> per cent) (figure </w:t>
      </w:r>
      <w:r w:rsidR="00161261">
        <w:t>14.</w:t>
      </w:r>
      <w:r w:rsidR="00F61907">
        <w:t>26</w:t>
      </w:r>
      <w:r w:rsidR="00C359FE" w:rsidRPr="00AD20B7">
        <w:t xml:space="preserve">). </w:t>
      </w:r>
    </w:p>
    <w:p w:rsidR="00C359FE" w:rsidRPr="00B86C20" w:rsidRDefault="00C359FE"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9FE" w:rsidRPr="00AD20B7" w:rsidTr="00B02A7D">
        <w:tc>
          <w:tcPr>
            <w:tcW w:w="8771" w:type="dxa"/>
            <w:tcBorders>
              <w:top w:val="single" w:sz="6" w:space="0" w:color="78A22F"/>
              <w:left w:val="nil"/>
              <w:bottom w:val="nil"/>
              <w:right w:val="nil"/>
            </w:tcBorders>
            <w:shd w:val="clear" w:color="auto" w:fill="auto"/>
          </w:tcPr>
          <w:p w:rsidR="00C359FE" w:rsidRPr="00AD20B7" w:rsidRDefault="00C359FE" w:rsidP="008B5BEB">
            <w:pPr>
              <w:pStyle w:val="FigureTitle"/>
              <w:ind w:left="1821" w:hanging="1821"/>
            </w:pPr>
            <w:r w:rsidRPr="00AD20B7">
              <w:rPr>
                <w:b w:val="0"/>
              </w:rPr>
              <w:t xml:space="preserve">Figure </w:t>
            </w:r>
            <w:bookmarkStart w:id="41" w:name="OLE_LINK38"/>
            <w:r w:rsidRPr="00AD20B7">
              <w:rPr>
                <w:b w:val="0"/>
              </w:rPr>
              <w:t>14.</w:t>
            </w:r>
            <w:r w:rsidR="004B691F">
              <w:rPr>
                <w:b w:val="0"/>
                <w:noProof/>
              </w:rPr>
              <w:t>26</w:t>
            </w:r>
            <w:bookmarkEnd w:id="41"/>
            <w:r w:rsidRPr="00AD20B7">
              <w:tab/>
            </w:r>
            <w:r w:rsidR="00544897" w:rsidRPr="00AD20B7">
              <w:t xml:space="preserve">Proportion of people with disability and </w:t>
            </w:r>
            <w:r w:rsidR="005F04A3" w:rsidRPr="00AD20B7">
              <w:t xml:space="preserve">primary </w:t>
            </w:r>
            <w:r w:rsidR="00544897" w:rsidRPr="00AD20B7">
              <w:t>carers who are satisfied with the quality of assistance received</w:t>
            </w:r>
            <w:r w:rsidR="00544897" w:rsidRPr="00934B5D">
              <w:rPr>
                <w:rStyle w:val="NoteLabel"/>
                <w:b/>
              </w:rPr>
              <w:t>a</w:t>
            </w:r>
          </w:p>
        </w:tc>
      </w:tr>
      <w:tr w:rsidR="00C359FE" w:rsidRPr="00AD20B7" w:rsidTr="00B02A7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359FE" w:rsidRPr="00AD20B7" w:rsidTr="00B02A7D">
              <w:trPr>
                <w:jc w:val="center"/>
              </w:trPr>
              <w:tc>
                <w:tcPr>
                  <w:tcW w:w="5000" w:type="pct"/>
                  <w:tcBorders>
                    <w:top w:val="nil"/>
                    <w:bottom w:val="nil"/>
                  </w:tcBorders>
                </w:tcPr>
                <w:p w:rsidR="00C359FE" w:rsidRPr="00AD20B7" w:rsidRDefault="00AB345E" w:rsidP="00B02A7D">
                  <w:pPr>
                    <w:pStyle w:val="Figure"/>
                    <w:spacing w:before="60" w:after="60"/>
                  </w:pPr>
                  <w:r>
                    <w:rPr>
                      <w:noProof/>
                    </w:rPr>
                    <w:drawing>
                      <wp:inline distT="0" distB="0" distL="0" distR="0">
                        <wp:extent cx="5225415" cy="2683510"/>
                        <wp:effectExtent l="0" t="0" r="0" b="2540"/>
                        <wp:docPr id="59" name="Picture 59" descr="Figure 14.26 Proportion of people with disability and primary carers who are satisfied with the quality of assistance receiv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C359FE" w:rsidRPr="00AD20B7" w:rsidRDefault="00C359FE" w:rsidP="00B02A7D">
            <w:pPr>
              <w:pStyle w:val="Figure"/>
            </w:pPr>
          </w:p>
        </w:tc>
      </w:tr>
      <w:tr w:rsidR="00C359FE" w:rsidRPr="00AD20B7" w:rsidTr="00B02A7D">
        <w:tc>
          <w:tcPr>
            <w:tcW w:w="8771" w:type="dxa"/>
            <w:tcBorders>
              <w:top w:val="nil"/>
              <w:left w:val="nil"/>
              <w:bottom w:val="nil"/>
              <w:right w:val="nil"/>
            </w:tcBorders>
            <w:shd w:val="clear" w:color="auto" w:fill="auto"/>
          </w:tcPr>
          <w:p w:rsidR="00C359FE" w:rsidRPr="00AD20B7" w:rsidRDefault="00C359FE" w:rsidP="00AF3774">
            <w:pPr>
              <w:pStyle w:val="Note"/>
            </w:pPr>
            <w:r w:rsidRPr="00AD20B7">
              <w:rPr>
                <w:rStyle w:val="NoteLabel"/>
              </w:rPr>
              <w:t>a</w:t>
            </w:r>
            <w:r w:rsidRPr="00AD20B7">
              <w:t xml:space="preserve"> </w:t>
            </w:r>
            <w:r w:rsidR="003533A7" w:rsidRPr="00AD20B7">
              <w:t>See box</w:t>
            </w:r>
            <w:r w:rsidR="005547FD">
              <w:t> </w:t>
            </w:r>
            <w:r w:rsidR="003533A7" w:rsidRPr="00AD20B7">
              <w:t>14.15 and tables</w:t>
            </w:r>
            <w:r w:rsidR="005547FD">
              <w:t> </w:t>
            </w:r>
            <w:r w:rsidR="003533A7" w:rsidRPr="00AD20B7">
              <w:t>14A.</w:t>
            </w:r>
            <w:r w:rsidR="00AF3774" w:rsidRPr="00AD20B7">
              <w:t>7</w:t>
            </w:r>
            <w:r w:rsidR="00AF3774">
              <w:t>6</w:t>
            </w:r>
            <w:r w:rsidR="00AF3774" w:rsidRPr="00AD20B7">
              <w:t xml:space="preserve"> </w:t>
            </w:r>
            <w:r w:rsidR="003533A7" w:rsidRPr="00AD20B7">
              <w:t>and 14A.8</w:t>
            </w:r>
            <w:r w:rsidR="00AF3774">
              <w:t>0</w:t>
            </w:r>
            <w:r w:rsidR="003533A7" w:rsidRPr="00AD20B7">
              <w:t xml:space="preserve"> for detailed </w:t>
            </w:r>
            <w:r w:rsidR="003D7F75">
              <w:t>definitions, footnotes and caveats</w:t>
            </w:r>
            <w:r w:rsidR="003533A7" w:rsidRPr="00AD20B7">
              <w:t>.</w:t>
            </w:r>
          </w:p>
        </w:tc>
      </w:tr>
      <w:tr w:rsidR="00C359FE" w:rsidRPr="00AD20B7" w:rsidTr="00B02A7D">
        <w:tc>
          <w:tcPr>
            <w:tcW w:w="8771" w:type="dxa"/>
            <w:tcBorders>
              <w:top w:val="nil"/>
              <w:left w:val="nil"/>
              <w:bottom w:val="nil"/>
              <w:right w:val="nil"/>
            </w:tcBorders>
            <w:shd w:val="clear" w:color="auto" w:fill="auto"/>
          </w:tcPr>
          <w:p w:rsidR="00C359FE" w:rsidRPr="00AD20B7" w:rsidRDefault="00F81BD3" w:rsidP="00AF3774">
            <w:pPr>
              <w:pStyle w:val="Source"/>
            </w:pPr>
            <w:r w:rsidRPr="00AD20B7">
              <w:rPr>
                <w:i/>
              </w:rPr>
              <w:t>S</w:t>
            </w:r>
            <w:r w:rsidR="00C359FE" w:rsidRPr="00AD20B7">
              <w:rPr>
                <w:i/>
              </w:rPr>
              <w:t>ource</w:t>
            </w:r>
            <w:r w:rsidR="00C359FE" w:rsidRPr="00AD20B7">
              <w:t xml:space="preserve">: </w:t>
            </w:r>
            <w:r w:rsidR="00544897" w:rsidRPr="00AD20B7">
              <w:t xml:space="preserve">ABS (unpublished) </w:t>
            </w:r>
            <w:r w:rsidR="00161261">
              <w:t>SDAC</w:t>
            </w:r>
            <w:r w:rsidR="00E654B2" w:rsidRPr="00161261">
              <w:t>; table</w:t>
            </w:r>
            <w:r w:rsidR="00E654B2" w:rsidRPr="00AD20B7">
              <w:t> 14A.7</w:t>
            </w:r>
            <w:r w:rsidR="00AF3774">
              <w:t>6</w:t>
            </w:r>
            <w:r w:rsidR="00E654B2" w:rsidRPr="00AD20B7">
              <w:t xml:space="preserve"> and table 14A.8</w:t>
            </w:r>
            <w:r w:rsidR="00AF3774">
              <w:t>0</w:t>
            </w:r>
            <w:r w:rsidR="00E654B2" w:rsidRPr="00AD20B7">
              <w:t>.</w:t>
            </w:r>
          </w:p>
        </w:tc>
      </w:tr>
      <w:tr w:rsidR="00C359FE" w:rsidRPr="00AD20B7" w:rsidTr="00B02A7D">
        <w:tc>
          <w:tcPr>
            <w:tcW w:w="8771" w:type="dxa"/>
            <w:tcBorders>
              <w:top w:val="nil"/>
              <w:left w:val="nil"/>
              <w:bottom w:val="single" w:sz="6" w:space="0" w:color="78A22F"/>
              <w:right w:val="nil"/>
            </w:tcBorders>
            <w:shd w:val="clear" w:color="auto" w:fill="auto"/>
          </w:tcPr>
          <w:p w:rsidR="00C359FE" w:rsidRPr="00AD20B7" w:rsidRDefault="00C359FE" w:rsidP="00B02A7D">
            <w:pPr>
              <w:pStyle w:val="Figurespace"/>
            </w:pPr>
          </w:p>
        </w:tc>
      </w:tr>
      <w:tr w:rsidR="00C359FE" w:rsidRPr="00AD20B7" w:rsidTr="00B02A7D">
        <w:tc>
          <w:tcPr>
            <w:tcW w:w="8771" w:type="dxa"/>
            <w:tcBorders>
              <w:top w:val="single" w:sz="6" w:space="0" w:color="78A22F"/>
              <w:left w:val="nil"/>
              <w:bottom w:val="nil"/>
              <w:right w:val="nil"/>
            </w:tcBorders>
          </w:tcPr>
          <w:p w:rsidR="00C359FE" w:rsidRPr="00AD20B7" w:rsidRDefault="00C359FE" w:rsidP="00B02A7D">
            <w:pPr>
              <w:pStyle w:val="BoxSpaceBelow"/>
            </w:pPr>
          </w:p>
        </w:tc>
      </w:tr>
    </w:tbl>
    <w:p w:rsidR="00161261" w:rsidRDefault="001F39F2" w:rsidP="00927A21">
      <w:pPr>
        <w:pStyle w:val="Heading3"/>
      </w:pPr>
      <w:r w:rsidRPr="00AD20B7">
        <w:t>Efficiency</w:t>
      </w:r>
    </w:p>
    <w:p w:rsidR="001F39F2" w:rsidRPr="00AD20B7" w:rsidRDefault="00161261" w:rsidP="00585E2C">
      <w:pPr>
        <w:pStyle w:val="Heading4"/>
      </w:pPr>
      <w:r>
        <w:t>C</w:t>
      </w:r>
      <w:r w:rsidR="001F39F2" w:rsidRPr="00AD20B7">
        <w:t>ost per output unit</w:t>
      </w:r>
    </w:p>
    <w:p w:rsidR="001F39F2" w:rsidRPr="008203BF" w:rsidRDefault="001F39F2" w:rsidP="00585E2C">
      <w:pPr>
        <w:pStyle w:val="BodyText"/>
      </w:pPr>
      <w:r w:rsidRPr="008203BF">
        <w:rPr>
          <w:szCs w:val="26"/>
        </w:rPr>
        <w:t xml:space="preserve">This Report includes </w:t>
      </w:r>
      <w:r w:rsidR="00403B34" w:rsidRPr="008203BF">
        <w:rPr>
          <w:szCs w:val="26"/>
        </w:rPr>
        <w:t>2014</w:t>
      </w:r>
      <w:r w:rsidR="00B84AF2" w:rsidRPr="008203BF">
        <w:rPr>
          <w:szCs w:val="26"/>
        </w:rPr>
        <w:noBreakHyphen/>
      </w:r>
      <w:r w:rsidR="00403B34" w:rsidRPr="008203BF">
        <w:rPr>
          <w:szCs w:val="26"/>
        </w:rPr>
        <w:t xml:space="preserve">15 </w:t>
      </w:r>
      <w:r w:rsidRPr="008203BF">
        <w:rPr>
          <w:szCs w:val="26"/>
        </w:rPr>
        <w:t xml:space="preserve">expenditure data provided by Australian, State and Territory governments. However, as </w:t>
      </w:r>
      <w:r w:rsidR="00403B34" w:rsidRPr="008203BF">
        <w:rPr>
          <w:szCs w:val="26"/>
        </w:rPr>
        <w:t>2014</w:t>
      </w:r>
      <w:r w:rsidR="00B84AF2" w:rsidRPr="008203BF">
        <w:rPr>
          <w:szCs w:val="26"/>
        </w:rPr>
        <w:noBreakHyphen/>
      </w:r>
      <w:r w:rsidR="00403B34" w:rsidRPr="008203BF">
        <w:rPr>
          <w:szCs w:val="26"/>
        </w:rPr>
        <w:t xml:space="preserve">15 </w:t>
      </w:r>
      <w:r w:rsidRPr="008203BF">
        <w:rPr>
          <w:szCs w:val="26"/>
        </w:rPr>
        <w:t xml:space="preserve">service user data from the DS NMDS collection were not available for this Report, the cost per service user efficiency indicators are reported </w:t>
      </w:r>
      <w:r w:rsidR="000A1D43" w:rsidRPr="008203BF">
        <w:rPr>
          <w:szCs w:val="26"/>
        </w:rPr>
        <w:t xml:space="preserve">using </w:t>
      </w:r>
      <w:r w:rsidR="00DC0A4C" w:rsidRPr="008203BF">
        <w:rPr>
          <w:szCs w:val="26"/>
        </w:rPr>
        <w:t xml:space="preserve">expenditure and service use </w:t>
      </w:r>
      <w:r w:rsidR="000A1D43" w:rsidRPr="008203BF">
        <w:rPr>
          <w:szCs w:val="26"/>
        </w:rPr>
        <w:t xml:space="preserve">data </w:t>
      </w:r>
      <w:r w:rsidRPr="008203BF">
        <w:rPr>
          <w:szCs w:val="26"/>
        </w:rPr>
        <w:t xml:space="preserve">for </w:t>
      </w:r>
      <w:r w:rsidR="00403B34" w:rsidRPr="008203BF">
        <w:rPr>
          <w:szCs w:val="26"/>
        </w:rPr>
        <w:t>2013</w:t>
      </w:r>
      <w:r w:rsidR="00B84AF2" w:rsidRPr="008203BF">
        <w:rPr>
          <w:szCs w:val="26"/>
        </w:rPr>
        <w:noBreakHyphen/>
      </w:r>
      <w:r w:rsidR="00403B34" w:rsidRPr="008203BF">
        <w:rPr>
          <w:szCs w:val="26"/>
        </w:rPr>
        <w:t>14</w:t>
      </w:r>
      <w:r w:rsidRPr="008203BF">
        <w:rPr>
          <w:szCs w:val="26"/>
        </w:rPr>
        <w:t xml:space="preserve">. Expenditure data </w:t>
      </w:r>
      <w:r w:rsidR="00170C82" w:rsidRPr="008203BF">
        <w:rPr>
          <w:szCs w:val="26"/>
        </w:rPr>
        <w:t xml:space="preserve">in this Report </w:t>
      </w:r>
      <w:r w:rsidRPr="008203BF">
        <w:rPr>
          <w:szCs w:val="26"/>
        </w:rPr>
        <w:t>might differ from information reported elsewhere (such as in departmental annual reports) because the financial counting rules and definitions used to calculate expenditure can differ</w:t>
      </w:r>
      <w:r w:rsidR="00170C82" w:rsidRPr="008203BF">
        <w:rPr>
          <w:szCs w:val="26"/>
        </w:rPr>
        <w:t xml:space="preserve"> and </w:t>
      </w:r>
      <w:r w:rsidRPr="008203BF">
        <w:rPr>
          <w:szCs w:val="26"/>
        </w:rPr>
        <w:t>the data here exclude users of specialist psychiatric disability services.</w:t>
      </w:r>
    </w:p>
    <w:p w:rsidR="001F39F2" w:rsidRPr="008203BF" w:rsidRDefault="001F39F2" w:rsidP="00585E2C">
      <w:pPr>
        <w:pStyle w:val="BodyText"/>
      </w:pPr>
      <w:r w:rsidRPr="008203BF">
        <w:t>It is an objective of the Review to report comparable estimates of costs. Ideally, such comparisons would include the full range of costs to government. Where the full costs cannot be counted, costs are estimated on a consistent basis. The jurisdictional expenditure data included in this chapter do not yet include the user cost of capital, and so do not reflect the full costs of government funded services (</w:t>
      </w:r>
      <w:r w:rsidR="000A1D43" w:rsidRPr="008203BF">
        <w:t>u</w:t>
      </w:r>
      <w:r w:rsidRPr="008203BF">
        <w:t>ser cost of capital is defined in chapter</w:t>
      </w:r>
      <w:r w:rsidR="005547FD">
        <w:t> </w:t>
      </w:r>
      <w:r w:rsidR="000E327B" w:rsidRPr="008203BF">
        <w:t>1</w:t>
      </w:r>
      <w:r w:rsidRPr="008203BF">
        <w:t>).</w:t>
      </w:r>
    </w:p>
    <w:p w:rsidR="001F39F2" w:rsidRDefault="001F39F2" w:rsidP="00585E2C">
      <w:pPr>
        <w:pStyle w:val="BodyText"/>
      </w:pPr>
      <w:r w:rsidRPr="008203BF">
        <w:t xml:space="preserve">Considerable effort has been made to document any differences in calculating the reported efficiency indicators. Concerns remain over the comparability of the results, because jurisdictions use different methods of </w:t>
      </w:r>
      <w:r w:rsidR="00170C82" w:rsidRPr="008203BF">
        <w:t xml:space="preserve">service use </w:t>
      </w:r>
      <w:r w:rsidRPr="008203BF">
        <w:t>data collection (table 14A.</w:t>
      </w:r>
      <w:r w:rsidR="00AF3774" w:rsidRPr="008203BF">
        <w:t>7</w:t>
      </w:r>
      <w:r w:rsidR="00AF3774">
        <w:t>5</w:t>
      </w:r>
      <w:r w:rsidR="007D45DE">
        <w:t>).</w:t>
      </w:r>
    </w:p>
    <w:p w:rsidR="003D7ED5" w:rsidRPr="00601BE2" w:rsidRDefault="003D7ED5" w:rsidP="003D7ED5">
      <w:pPr>
        <w:pStyle w:val="Heading5"/>
      </w:pPr>
      <w:r w:rsidRPr="00601BE2">
        <w:lastRenderedPageBreak/>
        <w:t>Financial data — cash and in</w:t>
      </w:r>
      <w:r w:rsidR="005547FD">
        <w:noBreakHyphen/>
      </w:r>
      <w:r w:rsidRPr="00601BE2">
        <w:t>kind payments to the NDIS.</w:t>
      </w:r>
    </w:p>
    <w:p w:rsidR="00DC2B82" w:rsidRPr="00601BE2" w:rsidRDefault="00DC2B82" w:rsidP="00DC2B82">
      <w:pPr>
        <w:pStyle w:val="BodyText"/>
      </w:pPr>
      <w:r w:rsidRPr="00601BE2">
        <w:t>Expenditure data in this Report for NSW, Victoria, SA and Tasmania for 2013</w:t>
      </w:r>
      <w:r w:rsidR="005547FD">
        <w:noBreakHyphen/>
      </w:r>
      <w:r w:rsidRPr="00601BE2">
        <w:t xml:space="preserve">14 are affected by the introduction of the NDIS. For </w:t>
      </w:r>
      <w:r w:rsidR="00934B5D">
        <w:t>those states</w:t>
      </w:r>
      <w:r w:rsidRPr="00601BE2">
        <w:t xml:space="preserve"> 2013</w:t>
      </w:r>
      <w:r w:rsidR="005547FD">
        <w:noBreakHyphen/>
      </w:r>
      <w:r w:rsidRPr="00601BE2">
        <w:t xml:space="preserve">14 total government expenditure included </w:t>
      </w:r>
      <w:r w:rsidR="005547FD">
        <w:t>‘</w:t>
      </w:r>
      <w:r w:rsidRPr="00601BE2">
        <w:t>in</w:t>
      </w:r>
      <w:r w:rsidR="005547FD">
        <w:noBreakHyphen/>
      </w:r>
      <w:r w:rsidRPr="00601BE2">
        <w:t>kind</w:t>
      </w:r>
      <w:r w:rsidR="005547FD">
        <w:t>’</w:t>
      </w:r>
      <w:r w:rsidRPr="00601BE2">
        <w:t xml:space="preserve"> funding to the NDIA, but exclude</w:t>
      </w:r>
      <w:r w:rsidR="007C6510" w:rsidRPr="00601BE2">
        <w:t>d</w:t>
      </w:r>
      <w:r w:rsidRPr="00601BE2">
        <w:t xml:space="preserve"> </w:t>
      </w:r>
      <w:r w:rsidR="005547FD">
        <w:t>‘</w:t>
      </w:r>
      <w:r w:rsidRPr="00601BE2">
        <w:t>cash</w:t>
      </w:r>
      <w:r w:rsidR="005547FD">
        <w:t>’</w:t>
      </w:r>
      <w:r w:rsidRPr="00601BE2">
        <w:t xml:space="preserve"> contributions. For Victoria, total government expenditure included both </w:t>
      </w:r>
      <w:r w:rsidR="005547FD">
        <w:t>‘</w:t>
      </w:r>
      <w:r w:rsidRPr="00601BE2">
        <w:t>cash</w:t>
      </w:r>
      <w:r w:rsidR="005547FD">
        <w:t>’</w:t>
      </w:r>
      <w:r w:rsidRPr="00601BE2">
        <w:t xml:space="preserve"> and ‘in</w:t>
      </w:r>
      <w:r w:rsidR="005547FD">
        <w:noBreakHyphen/>
      </w:r>
      <w:r w:rsidRPr="00601BE2">
        <w:t xml:space="preserve">kind’ funding. </w:t>
      </w:r>
      <w:r w:rsidR="00FE16B7" w:rsidRPr="00601BE2">
        <w:t>Care should be taken when comparing th</w:t>
      </w:r>
      <w:r w:rsidR="00161261">
        <w:t>e efficiency</w:t>
      </w:r>
      <w:r w:rsidR="00FE16B7" w:rsidRPr="00601BE2">
        <w:t xml:space="preserve"> indicator</w:t>
      </w:r>
      <w:r w:rsidR="00161261">
        <w:t>s</w:t>
      </w:r>
      <w:r w:rsidR="00FE16B7" w:rsidRPr="00601BE2">
        <w:t xml:space="preserve"> across jurisdictions and over time.</w:t>
      </w:r>
    </w:p>
    <w:p w:rsidR="001F39F2" w:rsidRPr="008203BF" w:rsidRDefault="001F39F2" w:rsidP="00585E2C">
      <w:pPr>
        <w:pStyle w:val="Heading5"/>
      </w:pPr>
      <w:r w:rsidRPr="008203BF">
        <w:t>Financial data — expenditure items included/excluded</w:t>
      </w:r>
    </w:p>
    <w:p w:rsidR="001F39F2" w:rsidRDefault="001F39F2" w:rsidP="00585E2C">
      <w:pPr>
        <w:pStyle w:val="BodyText"/>
      </w:pPr>
      <w:r w:rsidRPr="008203BF">
        <w:t>Financial data reported in this chapter include/exclude various expenditure items depending on the context in</w:t>
      </w:r>
      <w:r w:rsidRPr="008203BF">
        <w:rPr>
          <w:rFonts w:ascii="Arial" w:hAnsi="Arial" w:cs="Arial"/>
          <w:sz w:val="20"/>
        </w:rPr>
        <w:t> </w:t>
      </w:r>
      <w:r w:rsidRPr="008203BF">
        <w:t>which the data are reported.</w:t>
      </w:r>
      <w:r w:rsidR="009E3044" w:rsidRPr="008203BF">
        <w:t xml:space="preserve"> </w:t>
      </w:r>
      <w:r w:rsidR="0020654F" w:rsidRPr="008203BF">
        <w:t>O</w:t>
      </w:r>
      <w:r w:rsidRPr="008203BF">
        <w:t xml:space="preserve">nly direct recurrent expenditure on specific services is included (this may include administrative costs that can be directly attributed to a specific service/s). </w:t>
      </w:r>
      <w:r w:rsidR="0020654F" w:rsidRPr="008203BF">
        <w:t>For</w:t>
      </w:r>
      <w:r w:rsidRPr="008203BF">
        <w:t xml:space="preserve"> the disability services system as a whole</w:t>
      </w:r>
      <w:r w:rsidR="00945F7F" w:rsidRPr="008203BF">
        <w:t>,</w:t>
      </w:r>
      <w:r w:rsidRPr="008203BF">
        <w:t xml:space="preserve"> expenditure includes general administrative overheads that cannot be allocated to a specific service/s and major capital grants to non</w:t>
      </w:r>
      <w:r w:rsidR="00B84AF2" w:rsidRPr="008203BF">
        <w:noBreakHyphen/>
      </w:r>
      <w:r w:rsidRPr="008203BF">
        <w:t xml:space="preserve">government service providers. Capital grants to </w:t>
      </w:r>
      <w:r w:rsidR="00945F7F" w:rsidRPr="008203BF">
        <w:br/>
      </w:r>
      <w:r w:rsidRPr="008203BF">
        <w:t>non</w:t>
      </w:r>
      <w:r w:rsidR="00B84AF2" w:rsidRPr="008203BF">
        <w:noBreakHyphen/>
      </w:r>
      <w:r w:rsidRPr="008203BF">
        <w:t>government service providers are excluded from total recurrent expenditure for the indicator ‘administrative expenditure as a proportion of total recurrent expenditure’, as they are not a ‘recurrent’ expense. Exclusion of these grants improves the comparability of the indicator</w:t>
      </w:r>
      <w:r w:rsidR="0020654F" w:rsidRPr="008203BF">
        <w:t xml:space="preserve"> </w:t>
      </w:r>
      <w:r w:rsidRPr="008203BF">
        <w:t>across jurisdictions and over time.</w:t>
      </w:r>
    </w:p>
    <w:p w:rsidR="001F39F2" w:rsidRPr="008203BF" w:rsidRDefault="001F39F2" w:rsidP="00585E2C">
      <w:pPr>
        <w:pStyle w:val="Heading5"/>
      </w:pPr>
      <w:r w:rsidRPr="008203BF">
        <w:t>Government and non</w:t>
      </w:r>
      <w:r w:rsidR="00B84AF2" w:rsidRPr="008203BF">
        <w:noBreakHyphen/>
      </w:r>
      <w:r w:rsidRPr="008203BF">
        <w:t>government provided services</w:t>
      </w:r>
    </w:p>
    <w:p w:rsidR="001F39F2" w:rsidRPr="008203BF" w:rsidRDefault="001F39F2" w:rsidP="00585E2C">
      <w:pPr>
        <w:pStyle w:val="BodyText"/>
      </w:pPr>
      <w:r w:rsidRPr="008203BF">
        <w:t>Efficiency indicators are reported for both government and non</w:t>
      </w:r>
      <w:r w:rsidR="00B84AF2" w:rsidRPr="008203BF">
        <w:noBreakHyphen/>
      </w:r>
      <w:r w:rsidRPr="008203BF">
        <w:t>government provided services. Government provision means that a service is both funded and directly provided by a government department, agency or local government. Non</w:t>
      </w:r>
      <w:r w:rsidR="00B84AF2" w:rsidRPr="008203BF">
        <w:noBreakHyphen/>
      </w:r>
      <w:r w:rsidRPr="008203BF">
        <w:t>government provision is a service purchased or part</w:t>
      </w:r>
      <w:r w:rsidR="00B84AF2" w:rsidRPr="008203BF">
        <w:noBreakHyphen/>
      </w:r>
      <w:r w:rsidRPr="008203BF">
        <w:t>funded by a government department or agency, but provided by a non</w:t>
      </w:r>
      <w:r w:rsidR="00B84AF2" w:rsidRPr="008203BF">
        <w:noBreakHyphen/>
      </w:r>
      <w:r w:rsidRPr="008203BF">
        <w:t>government organisation. Non</w:t>
      </w:r>
      <w:r w:rsidR="00B84AF2" w:rsidRPr="008203BF">
        <w:noBreakHyphen/>
      </w:r>
      <w:r w:rsidRPr="008203BF">
        <w:t xml:space="preserve">government service providers may receive funds from the private sector and the general public in addition to funding, grants and input tax concessions (such as payroll tax exemptions) from governments. Data on funds that </w:t>
      </w:r>
      <w:r w:rsidR="00945F7F" w:rsidRPr="008203BF">
        <w:br/>
      </w:r>
      <w:r w:rsidRPr="008203BF">
        <w:t>non</w:t>
      </w:r>
      <w:r w:rsidR="00B84AF2" w:rsidRPr="008203BF">
        <w:noBreakHyphen/>
      </w:r>
      <w:r w:rsidRPr="008203BF">
        <w:t>government service providers receive from the private sector and the general public are outside the scope of this Report.</w:t>
      </w:r>
    </w:p>
    <w:p w:rsidR="001F39F2" w:rsidRPr="008203BF" w:rsidRDefault="00161261" w:rsidP="00927A21">
      <w:pPr>
        <w:pStyle w:val="Heading4"/>
      </w:pPr>
      <w:r>
        <w:t xml:space="preserve">Cost per output unit </w:t>
      </w:r>
      <w:r w:rsidR="00927A21">
        <w:rPr>
          <w:rFonts w:cs="Arial"/>
        </w:rPr>
        <w:t>―</w:t>
      </w:r>
      <w:r w:rsidR="00927A21">
        <w:t xml:space="preserve"> </w:t>
      </w:r>
      <w:r w:rsidR="001F39F2" w:rsidRPr="008203BF">
        <w:t>Government contribution per user of non</w:t>
      </w:r>
      <w:r w:rsidR="00B84AF2" w:rsidRPr="008203BF">
        <w:noBreakHyphen/>
      </w:r>
      <w:r w:rsidR="001F39F2" w:rsidRPr="008203BF">
        <w:t xml:space="preserve">government provided services </w:t>
      </w:r>
    </w:p>
    <w:p w:rsidR="001F39F2" w:rsidRPr="008203BF" w:rsidRDefault="001F39F2" w:rsidP="00585E2C">
      <w:pPr>
        <w:pStyle w:val="BodyText"/>
      </w:pPr>
      <w:r w:rsidRPr="008203BF">
        <w:t>‘Government contribution per user of non</w:t>
      </w:r>
      <w:r w:rsidR="00B84AF2" w:rsidRPr="008203BF">
        <w:noBreakHyphen/>
      </w:r>
      <w:r w:rsidRPr="008203BF">
        <w:t>government provided services’ is an indicator of governments’ objective to provide specialist disability services in an efficient manner (box</w:t>
      </w:r>
      <w:r w:rsidR="0045593D" w:rsidRPr="008203BF">
        <w:t> </w:t>
      </w:r>
      <w:r w:rsidRPr="008203BF">
        <w:t>14.</w:t>
      </w:r>
      <w:r w:rsidR="00525A0A" w:rsidRPr="008203BF">
        <w:t>1</w:t>
      </w:r>
      <w:r w:rsidR="002A0E6E">
        <w:t>6</w:t>
      </w:r>
      <w:r w:rsidR="0037567C" w:rsidRPr="008203BF">
        <w:t>).</w:t>
      </w:r>
    </w:p>
    <w:p w:rsidR="0037567C" w:rsidRPr="00B86C20" w:rsidRDefault="0037567C"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7C" w:rsidRPr="008203BF" w:rsidTr="00C827D5">
        <w:tc>
          <w:tcPr>
            <w:tcW w:w="8771" w:type="dxa"/>
            <w:tcBorders>
              <w:top w:val="single" w:sz="6" w:space="0" w:color="78A22F"/>
              <w:left w:val="nil"/>
              <w:bottom w:val="nil"/>
              <w:right w:val="nil"/>
            </w:tcBorders>
            <w:shd w:val="clear" w:color="auto" w:fill="F2F2F2"/>
          </w:tcPr>
          <w:p w:rsidR="0037567C" w:rsidRPr="008203BF" w:rsidRDefault="0037567C" w:rsidP="0037567C">
            <w:pPr>
              <w:pStyle w:val="BoxTitle"/>
            </w:pPr>
            <w:r w:rsidRPr="008203BF">
              <w:rPr>
                <w:b w:val="0"/>
              </w:rPr>
              <w:t xml:space="preserve">Box </w:t>
            </w:r>
            <w:r w:rsidR="00321568" w:rsidRPr="008203BF">
              <w:rPr>
                <w:b w:val="0"/>
              </w:rPr>
              <w:t>14.</w:t>
            </w:r>
            <w:r w:rsidR="004B691F">
              <w:rPr>
                <w:b w:val="0"/>
                <w:noProof/>
              </w:rPr>
              <w:t>16</w:t>
            </w:r>
            <w:r w:rsidRPr="008203BF">
              <w:tab/>
              <w:t>Government contribution per user of non</w:t>
            </w:r>
            <w:r w:rsidR="00B84AF2" w:rsidRPr="008203BF">
              <w:noBreakHyphen/>
            </w:r>
            <w:r w:rsidRPr="008203BF">
              <w:t>government provided services</w:t>
            </w:r>
          </w:p>
        </w:tc>
      </w:tr>
      <w:tr w:rsidR="0037567C" w:rsidRPr="008203BF" w:rsidTr="00C827D5">
        <w:trPr>
          <w:cantSplit/>
        </w:trPr>
        <w:tc>
          <w:tcPr>
            <w:tcW w:w="8771" w:type="dxa"/>
            <w:tcBorders>
              <w:top w:val="nil"/>
              <w:left w:val="nil"/>
              <w:bottom w:val="nil"/>
              <w:right w:val="nil"/>
            </w:tcBorders>
            <w:shd w:val="clear" w:color="auto" w:fill="F2F2F2"/>
          </w:tcPr>
          <w:p w:rsidR="0037567C" w:rsidRPr="008203BF" w:rsidRDefault="0037567C" w:rsidP="0037567C">
            <w:pPr>
              <w:pStyle w:val="Box"/>
            </w:pPr>
            <w:r w:rsidRPr="008203BF">
              <w:t>‘Government contribution per user of non</w:t>
            </w:r>
            <w:r w:rsidR="00B84AF2" w:rsidRPr="008203BF">
              <w:noBreakHyphen/>
            </w:r>
            <w:r w:rsidRPr="008203BF">
              <w:t>government provided services’ is defined as the net government expenditure per user of non</w:t>
            </w:r>
            <w:r w:rsidR="00B84AF2" w:rsidRPr="008203BF">
              <w:noBreakHyphen/>
            </w:r>
            <w:r w:rsidRPr="008203BF">
              <w:t>government provided NDA services. Measures are reported for the following non</w:t>
            </w:r>
            <w:r w:rsidR="00B84AF2" w:rsidRPr="008203BF">
              <w:noBreakHyphen/>
            </w:r>
            <w:r w:rsidRPr="008203BF">
              <w:t>government provided services:</w:t>
            </w:r>
          </w:p>
          <w:p w:rsidR="0037567C" w:rsidRPr="008203BF" w:rsidRDefault="0037567C" w:rsidP="0037567C">
            <w:pPr>
              <w:pStyle w:val="BoxListBullet"/>
            </w:pPr>
            <w:r w:rsidRPr="008203BF">
              <w:t>accommodation support services in:</w:t>
            </w:r>
          </w:p>
          <w:p w:rsidR="0037567C" w:rsidRPr="008203BF" w:rsidRDefault="0037567C" w:rsidP="0037567C">
            <w:pPr>
              <w:pStyle w:val="BoxListBullet2"/>
            </w:pPr>
            <w:r w:rsidRPr="008203BF">
              <w:t>institutional/residential settings</w:t>
            </w:r>
          </w:p>
          <w:p w:rsidR="0037567C" w:rsidRPr="008203BF" w:rsidRDefault="0037567C" w:rsidP="0037567C">
            <w:pPr>
              <w:pStyle w:val="BoxListBullet2"/>
            </w:pPr>
            <w:r w:rsidRPr="008203BF">
              <w:t xml:space="preserve">group homes </w:t>
            </w:r>
          </w:p>
          <w:p w:rsidR="0037567C" w:rsidRPr="008203BF" w:rsidRDefault="0037567C" w:rsidP="0037567C">
            <w:pPr>
              <w:pStyle w:val="BoxListBullet2"/>
            </w:pPr>
            <w:r w:rsidRPr="008203BF">
              <w:t>other community settings</w:t>
            </w:r>
          </w:p>
          <w:p w:rsidR="0037567C" w:rsidRPr="008203BF" w:rsidRDefault="0037567C" w:rsidP="0037567C">
            <w:pPr>
              <w:pStyle w:val="BoxListBullet"/>
            </w:pPr>
            <w:r w:rsidRPr="008203BF">
              <w:t xml:space="preserve">employment services (reported per employment service user assisted). </w:t>
            </w:r>
          </w:p>
          <w:p w:rsidR="0037567C" w:rsidRPr="008203BF" w:rsidRDefault="0037567C" w:rsidP="0037567C">
            <w:pPr>
              <w:pStyle w:val="Box"/>
            </w:pPr>
            <w:r w:rsidRPr="008203BF">
              <w:t xml:space="preserve">Holding other factors constant (such as service quality and accessibility), low or decreasing government expenditure per service user reflects a more efficient provision of this service. </w:t>
            </w:r>
          </w:p>
          <w:p w:rsidR="0037567C" w:rsidRPr="008203BF" w:rsidRDefault="0037567C" w:rsidP="0037567C">
            <w:pPr>
              <w:pStyle w:val="Box"/>
            </w:pPr>
            <w:r w:rsidRPr="008203BF">
              <w:t>Efficiency data are difficult to interpret. Although high or increasing expenditure per unit of output can reflect deteriorating efficiency, it can also reflect improvements in the quality or</w:t>
            </w:r>
            <w:r w:rsidR="00945F7F" w:rsidRPr="008203BF">
              <w:t xml:space="preserve"> other</w:t>
            </w:r>
            <w:r w:rsidRPr="008203BF">
              <w:t xml:space="preserve"> attributes of the services provided, or an increase in the service needs of users. Similarly, low or declining expenditure per unit of output can reflect improving efficiency, or lower quality and less effective services. Efficiency data therefore should be interpreted within the context of the effectiveness and equity indicators to derive a holistic view of performance.</w:t>
            </w:r>
          </w:p>
          <w:p w:rsidR="0037567C" w:rsidRPr="008203BF" w:rsidRDefault="0037567C" w:rsidP="0037567C">
            <w:pPr>
              <w:pStyle w:val="Box"/>
            </w:pPr>
            <w:r w:rsidRPr="008203BF">
              <w:t>Data reported for this measure are:</w:t>
            </w:r>
          </w:p>
          <w:p w:rsidR="0037567C" w:rsidRPr="008203BF" w:rsidRDefault="0037567C" w:rsidP="0037567C">
            <w:pPr>
              <w:pStyle w:val="BoxListBullet"/>
              <w:keepLines/>
            </w:pPr>
            <w:r w:rsidRPr="008203BF">
              <w:t>comparable (subject to caveats) within some jurisdictions over time but are not comparable across jurisdictions or over time for other jurisdictions (see caveats in attachment tables for specific jurisdictions)</w:t>
            </w:r>
          </w:p>
          <w:p w:rsidR="0037567C" w:rsidRPr="008203BF" w:rsidRDefault="0037567C" w:rsidP="0037567C">
            <w:pPr>
              <w:pStyle w:val="BoxListBullet"/>
              <w:keepLines/>
            </w:pPr>
            <w:r w:rsidRPr="008203BF">
              <w:t xml:space="preserve">complete (subject to caveats) for the current reporting period. All required </w:t>
            </w:r>
            <w:r w:rsidR="00403B34" w:rsidRPr="008203BF">
              <w:t>2013</w:t>
            </w:r>
            <w:r w:rsidR="00B84AF2" w:rsidRPr="008203BF">
              <w:noBreakHyphen/>
            </w:r>
            <w:r w:rsidR="00403B34" w:rsidRPr="008203BF">
              <w:t xml:space="preserve">14 </w:t>
            </w:r>
            <w:r w:rsidRPr="008203BF">
              <w:t>data are available for all jurisdictions that provide the service.</w:t>
            </w:r>
          </w:p>
          <w:p w:rsidR="0037567C" w:rsidRPr="008203BF" w:rsidRDefault="0037567C">
            <w:pPr>
              <w:pStyle w:val="Box"/>
            </w:pPr>
            <w:r w:rsidRPr="008203BF">
              <w:t>Data quality information for this indicator is under development.</w:t>
            </w:r>
            <w:r w:rsidR="00A63CCF" w:rsidRPr="008203BF">
              <w:t xml:space="preserve"> Section</w:t>
            </w:r>
            <w:r w:rsidR="005547FD">
              <w:t> </w:t>
            </w:r>
            <w:r w:rsidR="00A63CCF" w:rsidRPr="008203BF">
              <w:t>14.</w:t>
            </w:r>
            <w:r w:rsidR="00501CBE">
              <w:t>5</w:t>
            </w:r>
            <w:r w:rsidR="00A63CCF" w:rsidRPr="008203BF">
              <w:t xml:space="preserve"> contains information on data quality issues</w:t>
            </w:r>
            <w:r w:rsidR="00501CBE">
              <w:t>.</w:t>
            </w:r>
            <w:r w:rsidR="00A63CCF" w:rsidRPr="008203BF">
              <w:t xml:space="preserve"> </w:t>
            </w:r>
          </w:p>
        </w:tc>
      </w:tr>
      <w:tr w:rsidR="0037567C" w:rsidRPr="00B86C20" w:rsidTr="00C827D5">
        <w:trPr>
          <w:cantSplit/>
        </w:trPr>
        <w:tc>
          <w:tcPr>
            <w:tcW w:w="8771" w:type="dxa"/>
            <w:tcBorders>
              <w:top w:val="nil"/>
              <w:left w:val="nil"/>
              <w:bottom w:val="single" w:sz="6" w:space="0" w:color="78A22F"/>
              <w:right w:val="nil"/>
            </w:tcBorders>
            <w:shd w:val="clear" w:color="auto" w:fill="F2F2F2"/>
          </w:tcPr>
          <w:p w:rsidR="0037567C" w:rsidRPr="00B86C20" w:rsidRDefault="0037567C">
            <w:pPr>
              <w:pStyle w:val="Box"/>
              <w:spacing w:before="0" w:line="120" w:lineRule="exact"/>
              <w:rPr>
                <w:color w:val="808080" w:themeColor="background1" w:themeShade="80"/>
              </w:rPr>
            </w:pPr>
          </w:p>
        </w:tc>
      </w:tr>
      <w:tr w:rsidR="0037567C" w:rsidRPr="00B86C20" w:rsidTr="00C827D5">
        <w:tc>
          <w:tcPr>
            <w:tcW w:w="8771" w:type="dxa"/>
            <w:tcBorders>
              <w:top w:val="single" w:sz="6" w:space="0" w:color="78A22F"/>
              <w:left w:val="nil"/>
              <w:bottom w:val="nil"/>
              <w:right w:val="nil"/>
            </w:tcBorders>
          </w:tcPr>
          <w:p w:rsidR="0037567C" w:rsidRPr="00B86C20" w:rsidRDefault="0037567C" w:rsidP="00C827D5">
            <w:pPr>
              <w:pStyle w:val="BoxSpaceBelow"/>
              <w:rPr>
                <w:color w:val="808080" w:themeColor="background1" w:themeShade="80"/>
              </w:rPr>
            </w:pPr>
          </w:p>
        </w:tc>
      </w:tr>
    </w:tbl>
    <w:p w:rsidR="001F39F2" w:rsidRPr="008203BF" w:rsidRDefault="001F39F2" w:rsidP="00927A21">
      <w:pPr>
        <w:pStyle w:val="Heading5"/>
      </w:pPr>
      <w:r w:rsidRPr="008203BF">
        <w:t>Government contribution per user of non</w:t>
      </w:r>
      <w:r w:rsidR="00B84AF2" w:rsidRPr="008203BF">
        <w:noBreakHyphen/>
      </w:r>
      <w:r w:rsidRPr="008203BF">
        <w:t xml:space="preserve">government provided services — accommodation support services in institutional/residential settings </w:t>
      </w:r>
    </w:p>
    <w:p w:rsidR="001F39F2" w:rsidRPr="00C643CF" w:rsidRDefault="001F39F2" w:rsidP="00585E2C">
      <w:pPr>
        <w:pStyle w:val="BodyText"/>
      </w:pPr>
      <w:r w:rsidRPr="00C643CF">
        <w:rPr>
          <w:szCs w:val="26"/>
        </w:rPr>
        <w:t>Nationally</w:t>
      </w:r>
      <w:r w:rsidR="00501CBE">
        <w:rPr>
          <w:szCs w:val="26"/>
        </w:rPr>
        <w:t xml:space="preserve"> in 2013</w:t>
      </w:r>
      <w:r w:rsidR="005547FD">
        <w:rPr>
          <w:szCs w:val="26"/>
        </w:rPr>
        <w:noBreakHyphen/>
      </w:r>
      <w:r w:rsidR="00501CBE">
        <w:rPr>
          <w:szCs w:val="26"/>
        </w:rPr>
        <w:t>14</w:t>
      </w:r>
      <w:r w:rsidRPr="00C643CF">
        <w:rPr>
          <w:szCs w:val="26"/>
        </w:rPr>
        <w:t>, estimated annual government funding of non</w:t>
      </w:r>
      <w:r w:rsidR="00B84AF2" w:rsidRPr="00C643CF">
        <w:rPr>
          <w:szCs w:val="26"/>
        </w:rPr>
        <w:noBreakHyphen/>
      </w:r>
      <w:r w:rsidRPr="00C643CF">
        <w:rPr>
          <w:szCs w:val="26"/>
        </w:rPr>
        <w:t xml:space="preserve">government provided accommodation support services in institutional/residential settings was </w:t>
      </w:r>
      <w:r w:rsidR="00945F7F" w:rsidRPr="00C643CF">
        <w:rPr>
          <w:szCs w:val="26"/>
        </w:rPr>
        <w:t>$</w:t>
      </w:r>
      <w:r w:rsidR="00C643CF" w:rsidRPr="00C643CF">
        <w:rPr>
          <w:szCs w:val="26"/>
        </w:rPr>
        <w:t>63 479</w:t>
      </w:r>
      <w:r w:rsidR="004E04A9" w:rsidRPr="00C643CF">
        <w:rPr>
          <w:szCs w:val="26"/>
        </w:rPr>
        <w:t xml:space="preserve"> </w:t>
      </w:r>
      <w:r w:rsidRPr="00C643CF">
        <w:rPr>
          <w:szCs w:val="26"/>
        </w:rPr>
        <w:t>per service user (figure</w:t>
      </w:r>
      <w:r w:rsidR="00AE3578" w:rsidRPr="00C643CF">
        <w:rPr>
          <w:szCs w:val="26"/>
        </w:rPr>
        <w:t> </w:t>
      </w:r>
      <w:r w:rsidR="00501CBE">
        <w:t>14.</w:t>
      </w:r>
      <w:r w:rsidR="00F61907">
        <w:t>27</w:t>
      </w:r>
      <w:r w:rsidR="00501CBE">
        <w:rPr>
          <w:szCs w:val="26"/>
        </w:rPr>
        <w:t>)</w:t>
      </w:r>
      <w:r w:rsidRPr="00C643CF">
        <w:rPr>
          <w:szCs w:val="26"/>
        </w:rPr>
        <w:t>.</w:t>
      </w:r>
      <w:r w:rsidRPr="00C643CF">
        <w:t xml:space="preserve"> </w:t>
      </w:r>
    </w:p>
    <w:p w:rsidR="009B2F26" w:rsidRPr="00B86C20" w:rsidRDefault="009B2F26"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203BF" w:rsidRPr="008203BF" w:rsidTr="00DD33DF">
        <w:tc>
          <w:tcPr>
            <w:tcW w:w="8771" w:type="dxa"/>
            <w:tcBorders>
              <w:top w:val="single" w:sz="6" w:space="0" w:color="78A22F"/>
              <w:left w:val="nil"/>
              <w:bottom w:val="nil"/>
              <w:right w:val="nil"/>
            </w:tcBorders>
            <w:shd w:val="clear" w:color="auto" w:fill="auto"/>
          </w:tcPr>
          <w:p w:rsidR="009B2F26" w:rsidRPr="008203BF" w:rsidRDefault="009B2F26" w:rsidP="008203BF">
            <w:pPr>
              <w:pStyle w:val="FigureTitle"/>
            </w:pPr>
            <w:r w:rsidRPr="008203BF">
              <w:rPr>
                <w:b w:val="0"/>
              </w:rPr>
              <w:t xml:space="preserve">Figure </w:t>
            </w:r>
            <w:bookmarkStart w:id="42" w:name="OLE_LINK39"/>
            <w:r w:rsidR="00321568" w:rsidRPr="008203BF">
              <w:rPr>
                <w:b w:val="0"/>
              </w:rPr>
              <w:t>14.</w:t>
            </w:r>
            <w:r w:rsidR="004B691F">
              <w:rPr>
                <w:b w:val="0"/>
                <w:noProof/>
              </w:rPr>
              <w:t>27</w:t>
            </w:r>
            <w:bookmarkEnd w:id="42"/>
            <w:r w:rsidRPr="008203BF">
              <w:tab/>
              <w:t xml:space="preserve">Estimated annual government funding per user of </w:t>
            </w:r>
            <w:r w:rsidR="00DB1727" w:rsidRPr="008203BF">
              <w:br/>
            </w:r>
            <w:r w:rsidRPr="008203BF">
              <w:t>non</w:t>
            </w:r>
            <w:r w:rsidR="00B84AF2" w:rsidRPr="008203BF">
              <w:noBreakHyphen/>
            </w:r>
            <w:r w:rsidRPr="008203BF">
              <w:t>government provided accommodation support services in institutional/residential settings (</w:t>
            </w:r>
            <w:r w:rsidR="00694B3B" w:rsidRPr="008203BF">
              <w:t>2013</w:t>
            </w:r>
            <w:r w:rsidR="00B84AF2" w:rsidRPr="008203BF">
              <w:noBreakHyphen/>
            </w:r>
            <w:r w:rsidR="00694B3B" w:rsidRPr="008203BF">
              <w:t xml:space="preserve">14 </w:t>
            </w:r>
            <w:r w:rsidRPr="008203BF">
              <w:t>dollars)</w:t>
            </w:r>
            <w:r w:rsidRPr="008203BF">
              <w:rPr>
                <w:rStyle w:val="NoteLabel"/>
                <w:b/>
              </w:rPr>
              <w:t>a</w:t>
            </w:r>
            <w:r w:rsidR="00934B5D">
              <w:rPr>
                <w:rStyle w:val="NoteLabel"/>
                <w:b/>
              </w:rPr>
              <w:t>, b</w:t>
            </w:r>
          </w:p>
        </w:tc>
      </w:tr>
      <w:tr w:rsidR="009B2F26" w:rsidRPr="00B86C20"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B2F26" w:rsidRPr="00B86C20" w:rsidTr="00DD33DF">
              <w:trPr>
                <w:jc w:val="center"/>
              </w:trPr>
              <w:tc>
                <w:tcPr>
                  <w:tcW w:w="5000" w:type="pct"/>
                  <w:tcBorders>
                    <w:top w:val="nil"/>
                    <w:bottom w:val="nil"/>
                  </w:tcBorders>
                </w:tcPr>
                <w:p w:rsidR="009B2F26" w:rsidRPr="00B86C20" w:rsidRDefault="00AB345E" w:rsidP="00DD33DF">
                  <w:pPr>
                    <w:pStyle w:val="Figure"/>
                    <w:spacing w:before="60" w:after="60"/>
                    <w:rPr>
                      <w:color w:val="808080" w:themeColor="background1" w:themeShade="80"/>
                    </w:rPr>
                  </w:pPr>
                  <w:r>
                    <w:rPr>
                      <w:noProof/>
                      <w:color w:val="808080" w:themeColor="background1" w:themeShade="80"/>
                    </w:rPr>
                    <w:drawing>
                      <wp:inline distT="0" distB="0" distL="0" distR="0">
                        <wp:extent cx="5189220" cy="2695575"/>
                        <wp:effectExtent l="0" t="0" r="0" b="9525"/>
                        <wp:docPr id="60" name="Picture 60" descr="Figure 14.27 Estimated annual government funding per user of &#10;non-government provided accommodation support services in institutional/residential settings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189220" cy="2695575"/>
                                </a:xfrm>
                                <a:prstGeom prst="rect">
                                  <a:avLst/>
                                </a:prstGeom>
                                <a:noFill/>
                                <a:ln>
                                  <a:noFill/>
                                </a:ln>
                              </pic:spPr>
                            </pic:pic>
                          </a:graphicData>
                        </a:graphic>
                      </wp:inline>
                    </w:drawing>
                  </w:r>
                </w:p>
              </w:tc>
            </w:tr>
          </w:tbl>
          <w:p w:rsidR="009B2F26" w:rsidRPr="00B86C20" w:rsidRDefault="009B2F26" w:rsidP="00DD33DF">
            <w:pPr>
              <w:pStyle w:val="Figure"/>
              <w:rPr>
                <w:color w:val="808080" w:themeColor="background1" w:themeShade="80"/>
              </w:rPr>
            </w:pPr>
          </w:p>
        </w:tc>
      </w:tr>
      <w:tr w:rsidR="009B2F26" w:rsidRPr="008203BF" w:rsidTr="00DD33DF">
        <w:tc>
          <w:tcPr>
            <w:tcW w:w="8771" w:type="dxa"/>
            <w:tcBorders>
              <w:top w:val="nil"/>
              <w:left w:val="nil"/>
              <w:bottom w:val="nil"/>
              <w:right w:val="nil"/>
            </w:tcBorders>
            <w:shd w:val="clear" w:color="auto" w:fill="auto"/>
          </w:tcPr>
          <w:p w:rsidR="009B2F26" w:rsidRPr="008203BF" w:rsidRDefault="009B2F26" w:rsidP="00810BD4">
            <w:pPr>
              <w:pStyle w:val="Note"/>
              <w:keepNext/>
            </w:pPr>
            <w:r w:rsidRPr="008203BF">
              <w:rPr>
                <w:rStyle w:val="NoteLabel"/>
              </w:rPr>
              <w:t>a</w:t>
            </w:r>
            <w:r w:rsidRPr="008203BF">
              <w:t xml:space="preserve"> </w:t>
            </w:r>
            <w:r w:rsidR="00A63CCF" w:rsidRPr="008203BF">
              <w:t>See box</w:t>
            </w:r>
            <w:r w:rsidR="005547FD">
              <w:t> </w:t>
            </w:r>
            <w:r w:rsidR="00A63CCF" w:rsidRPr="008203BF">
              <w:t>14.1</w:t>
            </w:r>
            <w:r w:rsidR="00322375">
              <w:t>6</w:t>
            </w:r>
            <w:r w:rsidR="00A63CCF" w:rsidRPr="008203BF">
              <w:t xml:space="preserve"> and table</w:t>
            </w:r>
            <w:r w:rsidR="00AE3578" w:rsidRPr="008203BF">
              <w:t> </w:t>
            </w:r>
            <w:r w:rsidRPr="008203BF">
              <w:t>14A.</w:t>
            </w:r>
            <w:r w:rsidR="00402536" w:rsidRPr="008203BF">
              <w:t>8</w:t>
            </w:r>
            <w:r w:rsidR="00810BD4">
              <w:t>4</w:t>
            </w:r>
            <w:r w:rsidR="00402536" w:rsidRPr="008203BF">
              <w:t xml:space="preserve"> </w:t>
            </w:r>
            <w:r w:rsidRPr="008203BF">
              <w:t xml:space="preserve">for </w:t>
            </w:r>
            <w:r w:rsidR="00A63CCF" w:rsidRPr="008203BF">
              <w:t xml:space="preserve">detailed </w:t>
            </w:r>
            <w:r w:rsidR="003D7F75">
              <w:t>definitions, footnotes and caveats</w:t>
            </w:r>
            <w:r w:rsidR="00A63CCF" w:rsidRPr="008203BF">
              <w:t>.</w:t>
            </w:r>
            <w:r w:rsidR="00934B5D">
              <w:t xml:space="preserve"> </w:t>
            </w:r>
            <w:r w:rsidR="00934B5D" w:rsidRPr="00934B5D">
              <w:rPr>
                <w:rStyle w:val="NoteLabel"/>
              </w:rPr>
              <w:t xml:space="preserve">b </w:t>
            </w:r>
            <w:r w:rsidR="00934B5D" w:rsidRPr="00934B5D">
              <w:t xml:space="preserve">There are no </w:t>
            </w:r>
            <w:r w:rsidR="009E36A9">
              <w:br/>
              <w:t>non</w:t>
            </w:r>
            <w:r w:rsidR="005547FD">
              <w:noBreakHyphen/>
            </w:r>
            <w:r w:rsidR="00934B5D" w:rsidRPr="00934B5D">
              <w:t>government provided accommodation support services in institutional/residential settings in the ACT or the NT.</w:t>
            </w:r>
          </w:p>
        </w:tc>
      </w:tr>
      <w:tr w:rsidR="009B2F26" w:rsidRPr="008203BF" w:rsidTr="00DD33DF">
        <w:tc>
          <w:tcPr>
            <w:tcW w:w="8771" w:type="dxa"/>
            <w:tcBorders>
              <w:top w:val="nil"/>
              <w:left w:val="nil"/>
              <w:bottom w:val="nil"/>
              <w:right w:val="nil"/>
            </w:tcBorders>
            <w:shd w:val="clear" w:color="auto" w:fill="auto"/>
          </w:tcPr>
          <w:p w:rsidR="009B2F26" w:rsidRPr="008203BF" w:rsidRDefault="009B2F26" w:rsidP="00AF3774">
            <w:pPr>
              <w:pStyle w:val="Source"/>
            </w:pPr>
            <w:r w:rsidRPr="008203BF">
              <w:rPr>
                <w:i/>
              </w:rPr>
              <w:t>Source</w:t>
            </w:r>
            <w:r w:rsidRPr="008203BF">
              <w:t xml:space="preserve">: AIHW (unpublished) </w:t>
            </w:r>
            <w:r w:rsidRPr="00960B72">
              <w:t>DS NMDS</w:t>
            </w:r>
            <w:r w:rsidR="002102F2" w:rsidRPr="00960B72">
              <w:t xml:space="preserve"> 2009</w:t>
            </w:r>
            <w:r w:rsidR="00B84AF2" w:rsidRPr="00960B72">
              <w:noBreakHyphen/>
            </w:r>
            <w:r w:rsidR="002102F2" w:rsidRPr="00960B72">
              <w:t>10</w:t>
            </w:r>
            <w:r w:rsidR="00DF1129" w:rsidRPr="00960B72">
              <w:t xml:space="preserve"> to </w:t>
            </w:r>
            <w:r w:rsidR="0041043C" w:rsidRPr="00960B72">
              <w:t>2013</w:t>
            </w:r>
            <w:r w:rsidR="005547FD">
              <w:noBreakHyphen/>
            </w:r>
            <w:r w:rsidR="0041043C" w:rsidRPr="00960B72">
              <w:t>14</w:t>
            </w:r>
            <w:r w:rsidRPr="0044315A">
              <w:t>;</w:t>
            </w:r>
            <w:r w:rsidRPr="008203BF">
              <w:t xml:space="preserve"> State and Territory governments (unpublished); table 14A.</w:t>
            </w:r>
            <w:r w:rsidR="00402536" w:rsidRPr="008203BF">
              <w:t>8</w:t>
            </w:r>
            <w:r w:rsidR="00AF3774">
              <w:t>4</w:t>
            </w:r>
            <w:r w:rsidR="00DB1727" w:rsidRPr="008203BF">
              <w:t>.</w:t>
            </w:r>
          </w:p>
        </w:tc>
      </w:tr>
      <w:tr w:rsidR="009B2F26" w:rsidRPr="00B86C20" w:rsidTr="00DD33DF">
        <w:tc>
          <w:tcPr>
            <w:tcW w:w="8771" w:type="dxa"/>
            <w:tcBorders>
              <w:top w:val="nil"/>
              <w:left w:val="nil"/>
              <w:bottom w:val="single" w:sz="6" w:space="0" w:color="78A22F"/>
              <w:right w:val="nil"/>
            </w:tcBorders>
            <w:shd w:val="clear" w:color="auto" w:fill="auto"/>
          </w:tcPr>
          <w:p w:rsidR="009B2F26" w:rsidRPr="00B86C20" w:rsidRDefault="009B2F26" w:rsidP="00DD33DF">
            <w:pPr>
              <w:pStyle w:val="Figurespace"/>
              <w:rPr>
                <w:color w:val="808080" w:themeColor="background1" w:themeShade="80"/>
              </w:rPr>
            </w:pPr>
          </w:p>
        </w:tc>
      </w:tr>
      <w:tr w:rsidR="009B2F26" w:rsidRPr="00B86C20" w:rsidTr="00DD33DF">
        <w:tc>
          <w:tcPr>
            <w:tcW w:w="8771" w:type="dxa"/>
            <w:tcBorders>
              <w:top w:val="single" w:sz="6" w:space="0" w:color="78A22F"/>
              <w:left w:val="nil"/>
              <w:bottom w:val="nil"/>
              <w:right w:val="nil"/>
            </w:tcBorders>
          </w:tcPr>
          <w:p w:rsidR="009B2F26" w:rsidRPr="00B86C20" w:rsidRDefault="009B2F26" w:rsidP="00DD33DF">
            <w:pPr>
              <w:pStyle w:val="BoxSpaceBelow"/>
              <w:rPr>
                <w:color w:val="808080" w:themeColor="background1" w:themeShade="80"/>
              </w:rPr>
            </w:pPr>
          </w:p>
        </w:tc>
      </w:tr>
    </w:tbl>
    <w:p w:rsidR="001F39F2" w:rsidRPr="000A1DB4" w:rsidRDefault="001F39F2" w:rsidP="00585E2C">
      <w:pPr>
        <w:pStyle w:val="BodyText"/>
      </w:pPr>
      <w:r w:rsidRPr="000A1DB4">
        <w:t>Estimated annual government funding per user of non</w:t>
      </w:r>
      <w:r w:rsidR="00B84AF2" w:rsidRPr="000A1DB4">
        <w:noBreakHyphen/>
      </w:r>
      <w:r w:rsidRPr="000A1DB4">
        <w:t xml:space="preserve">government provided accommodation support services in group homes and other community settings </w:t>
      </w:r>
      <w:r w:rsidR="005F03FB" w:rsidRPr="000A1DB4">
        <w:t xml:space="preserve">from </w:t>
      </w:r>
      <w:r w:rsidR="00005DAC" w:rsidRPr="000A1DB4">
        <w:br/>
      </w:r>
      <w:r w:rsidR="000A1DB4" w:rsidRPr="000A1DB4">
        <w:t>2004</w:t>
      </w:r>
      <w:r w:rsidR="00B84AF2" w:rsidRPr="000A1DB4">
        <w:noBreakHyphen/>
      </w:r>
      <w:r w:rsidR="000A1DB4" w:rsidRPr="000A1DB4">
        <w:t>05</w:t>
      </w:r>
      <w:r w:rsidR="005F03FB" w:rsidRPr="000A1DB4">
        <w:t xml:space="preserve"> to </w:t>
      </w:r>
      <w:r w:rsidR="0041043C" w:rsidRPr="000A1DB4">
        <w:t>2013</w:t>
      </w:r>
      <w:r w:rsidR="005547FD">
        <w:noBreakHyphen/>
      </w:r>
      <w:r w:rsidR="0041043C" w:rsidRPr="000A1DB4">
        <w:t>14</w:t>
      </w:r>
      <w:r w:rsidR="002B5074" w:rsidRPr="000A1DB4">
        <w:t xml:space="preserve"> </w:t>
      </w:r>
      <w:r w:rsidRPr="000A1DB4">
        <w:t>are reported in</w:t>
      </w:r>
      <w:r w:rsidR="004E04A9" w:rsidRPr="000A1DB4">
        <w:t xml:space="preserve"> </w:t>
      </w:r>
      <w:r w:rsidRPr="000A1DB4">
        <w:t>table</w:t>
      </w:r>
      <w:r w:rsidR="00AE3578" w:rsidRPr="000A1DB4">
        <w:t> </w:t>
      </w:r>
      <w:r w:rsidRPr="000A1DB4">
        <w:t>14A</w:t>
      </w:r>
      <w:r w:rsidR="002C1E65" w:rsidRPr="000A1DB4">
        <w:t>.</w:t>
      </w:r>
      <w:r w:rsidR="00402536" w:rsidRPr="000A1DB4">
        <w:t>8</w:t>
      </w:r>
      <w:r w:rsidR="00AF3774">
        <w:t>4</w:t>
      </w:r>
      <w:r w:rsidRPr="000A1DB4">
        <w:t>.</w:t>
      </w:r>
    </w:p>
    <w:p w:rsidR="001F39F2" w:rsidRPr="000A1DB4" w:rsidRDefault="001F39F2" w:rsidP="00927A21">
      <w:pPr>
        <w:pStyle w:val="Heading5"/>
      </w:pPr>
      <w:r w:rsidRPr="000A1DB4">
        <w:t>Government contribution per user of non</w:t>
      </w:r>
      <w:r w:rsidR="00B84AF2" w:rsidRPr="000A1DB4">
        <w:noBreakHyphen/>
      </w:r>
      <w:r w:rsidRPr="000A1DB4">
        <w:t>government provided services — government contribution per employment service user assisted</w:t>
      </w:r>
    </w:p>
    <w:p w:rsidR="001F39F2" w:rsidRPr="00B86C20" w:rsidRDefault="001F39F2" w:rsidP="00585E2C">
      <w:pPr>
        <w:pStyle w:val="BodyText"/>
        <w:rPr>
          <w:color w:val="808080" w:themeColor="background1" w:themeShade="80"/>
          <w:szCs w:val="26"/>
        </w:rPr>
      </w:pPr>
      <w:r w:rsidRPr="005A12CF">
        <w:rPr>
          <w:szCs w:val="26"/>
        </w:rPr>
        <w:t xml:space="preserve">Nationally, for all employment services, estimated government expenditure per service user assisted was </w:t>
      </w:r>
      <w:r w:rsidR="004B2198" w:rsidRPr="005A12CF">
        <w:rPr>
          <w:szCs w:val="26"/>
        </w:rPr>
        <w:t>$</w:t>
      </w:r>
      <w:r w:rsidR="0079022B" w:rsidRPr="005A12CF">
        <w:rPr>
          <w:szCs w:val="26"/>
        </w:rPr>
        <w:t>4745</w:t>
      </w:r>
      <w:r w:rsidR="00694B3B" w:rsidRPr="005A12CF">
        <w:t xml:space="preserve"> </w:t>
      </w:r>
      <w:r w:rsidRPr="005A12CF">
        <w:t xml:space="preserve">in </w:t>
      </w:r>
      <w:r w:rsidR="00694B3B" w:rsidRPr="005A12CF">
        <w:t>2013</w:t>
      </w:r>
      <w:r w:rsidR="00B84AF2" w:rsidRPr="005A12CF">
        <w:noBreakHyphen/>
      </w:r>
      <w:r w:rsidR="00694B3B" w:rsidRPr="005A12CF">
        <w:t xml:space="preserve">14 </w:t>
      </w:r>
      <w:r w:rsidRPr="005A12CF">
        <w:t>(figure</w:t>
      </w:r>
      <w:r w:rsidR="00AE3578" w:rsidRPr="005A12CF">
        <w:t> </w:t>
      </w:r>
      <w:r w:rsidR="00501CBE">
        <w:t>14.</w:t>
      </w:r>
      <w:r w:rsidR="00F61907">
        <w:t>28</w:t>
      </w:r>
      <w:r w:rsidRPr="005A12CF">
        <w:t xml:space="preserve">). </w:t>
      </w:r>
      <w:r w:rsidRPr="00D706F4">
        <w:t xml:space="preserve">Nationally, estimated annual government expenditure per service user in </w:t>
      </w:r>
      <w:r w:rsidR="00694B3B" w:rsidRPr="00D706F4">
        <w:t>2013</w:t>
      </w:r>
      <w:r w:rsidR="00B84AF2" w:rsidRPr="00D706F4">
        <w:noBreakHyphen/>
      </w:r>
      <w:r w:rsidR="00694B3B" w:rsidRPr="00D706F4">
        <w:t>14</w:t>
      </w:r>
      <w:r w:rsidRPr="00D706F4">
        <w:t xml:space="preserve">, by employment service type, was </w:t>
      </w:r>
      <w:r w:rsidR="004B2198" w:rsidRPr="009E411B">
        <w:t>$</w:t>
      </w:r>
      <w:r w:rsidR="00BF7F5F" w:rsidRPr="009E411B">
        <w:t>3657</w:t>
      </w:r>
      <w:r w:rsidR="005A12CF" w:rsidRPr="009E411B">
        <w:t xml:space="preserve"> </w:t>
      </w:r>
      <w:r w:rsidRPr="009E411B">
        <w:t>on open services (employed or seeking employment in the open labour market) and $</w:t>
      </w:r>
      <w:r w:rsidR="00BF7F5F" w:rsidRPr="009E411B">
        <w:t>10</w:t>
      </w:r>
      <w:r w:rsidR="005547FD">
        <w:t> </w:t>
      </w:r>
      <w:r w:rsidR="00BF7F5F" w:rsidRPr="009E411B">
        <w:t>239</w:t>
      </w:r>
      <w:r w:rsidR="001B5ED6" w:rsidRPr="009E411B">
        <w:t xml:space="preserve"> </w:t>
      </w:r>
      <w:r w:rsidRPr="009E411B">
        <w:t>on</w:t>
      </w:r>
      <w:r w:rsidRPr="00D706F4">
        <w:t xml:space="preserve"> supported services (employed by the service provider) (table</w:t>
      </w:r>
      <w:r w:rsidR="00AE3578" w:rsidRPr="00D706F4">
        <w:t> </w:t>
      </w:r>
      <w:r w:rsidRPr="00D706F4">
        <w:t>14A.</w:t>
      </w:r>
      <w:r w:rsidR="00AF3774" w:rsidRPr="00D706F4">
        <w:t>86</w:t>
      </w:r>
      <w:r w:rsidRPr="00D706F4">
        <w:t>)</w:t>
      </w:r>
      <w:r w:rsidRPr="00D706F4">
        <w:rPr>
          <w:szCs w:val="26"/>
        </w:rPr>
        <w:t>.</w:t>
      </w:r>
    </w:p>
    <w:p w:rsidR="000F005F" w:rsidRPr="00B86C20" w:rsidRDefault="000F005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005F" w:rsidRPr="0079022B" w:rsidTr="00DD33DF">
        <w:tc>
          <w:tcPr>
            <w:tcW w:w="8771" w:type="dxa"/>
            <w:tcBorders>
              <w:top w:val="single" w:sz="6" w:space="0" w:color="78A22F"/>
              <w:left w:val="nil"/>
              <w:bottom w:val="nil"/>
              <w:right w:val="nil"/>
            </w:tcBorders>
            <w:shd w:val="clear" w:color="auto" w:fill="auto"/>
          </w:tcPr>
          <w:p w:rsidR="000F005F" w:rsidRPr="0079022B" w:rsidRDefault="000F005F">
            <w:pPr>
              <w:pStyle w:val="FigureTitle"/>
            </w:pPr>
            <w:r w:rsidRPr="0079022B">
              <w:rPr>
                <w:b w:val="0"/>
              </w:rPr>
              <w:t xml:space="preserve">Figure </w:t>
            </w:r>
            <w:bookmarkStart w:id="43" w:name="OLE_LINK40"/>
            <w:r w:rsidR="00321568" w:rsidRPr="0079022B">
              <w:rPr>
                <w:b w:val="0"/>
              </w:rPr>
              <w:t>14.</w:t>
            </w:r>
            <w:r w:rsidR="004B691F">
              <w:rPr>
                <w:b w:val="0"/>
                <w:noProof/>
              </w:rPr>
              <w:t>28</w:t>
            </w:r>
            <w:bookmarkEnd w:id="43"/>
            <w:r w:rsidRPr="0079022B">
              <w:rPr>
                <w:b w:val="0"/>
              </w:rPr>
              <w:tab/>
            </w:r>
            <w:r w:rsidRPr="0079022B">
              <w:t>Government contribution per employment service user assisted (</w:t>
            </w:r>
            <w:r w:rsidR="00403B34" w:rsidRPr="0079022B">
              <w:t>2013</w:t>
            </w:r>
            <w:r w:rsidR="00B84AF2" w:rsidRPr="0079022B">
              <w:noBreakHyphen/>
            </w:r>
            <w:r w:rsidR="00403B34" w:rsidRPr="0079022B">
              <w:t xml:space="preserve">14 </w:t>
            </w:r>
            <w:r w:rsidRPr="0079022B">
              <w:t>dollars)</w:t>
            </w:r>
            <w:r w:rsidRPr="0079022B">
              <w:rPr>
                <w:rStyle w:val="NoteLabel"/>
                <w:b/>
              </w:rPr>
              <w:t>a</w:t>
            </w:r>
          </w:p>
        </w:tc>
      </w:tr>
      <w:tr w:rsidR="000F005F" w:rsidRPr="0079022B"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F005F" w:rsidRPr="0079022B" w:rsidTr="00DD33DF">
              <w:trPr>
                <w:jc w:val="center"/>
              </w:trPr>
              <w:tc>
                <w:tcPr>
                  <w:tcW w:w="5000" w:type="pct"/>
                  <w:tcBorders>
                    <w:top w:val="nil"/>
                    <w:bottom w:val="nil"/>
                  </w:tcBorders>
                </w:tcPr>
                <w:p w:rsidR="000F005F" w:rsidRPr="0079022B" w:rsidRDefault="00AB345E" w:rsidP="00DD33DF">
                  <w:pPr>
                    <w:pStyle w:val="Figure"/>
                    <w:spacing w:before="60" w:after="60"/>
                  </w:pPr>
                  <w:r>
                    <w:rPr>
                      <w:noProof/>
                    </w:rPr>
                    <w:drawing>
                      <wp:inline distT="0" distB="0" distL="0" distR="0">
                        <wp:extent cx="4429760" cy="2695575"/>
                        <wp:effectExtent l="0" t="0" r="8890" b="9525"/>
                        <wp:docPr id="61" name="Picture 61" descr="Figure 14.28 Government contribution per employment service user assisted (2013-14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429760" cy="2695575"/>
                                </a:xfrm>
                                <a:prstGeom prst="rect">
                                  <a:avLst/>
                                </a:prstGeom>
                                <a:noFill/>
                                <a:ln>
                                  <a:noFill/>
                                </a:ln>
                              </pic:spPr>
                            </pic:pic>
                          </a:graphicData>
                        </a:graphic>
                      </wp:inline>
                    </w:drawing>
                  </w:r>
                </w:p>
              </w:tc>
            </w:tr>
          </w:tbl>
          <w:p w:rsidR="000F005F" w:rsidRPr="0079022B" w:rsidRDefault="000F005F" w:rsidP="00DD33DF">
            <w:pPr>
              <w:pStyle w:val="Figure"/>
            </w:pPr>
          </w:p>
        </w:tc>
      </w:tr>
      <w:tr w:rsidR="000F005F" w:rsidRPr="0079022B" w:rsidTr="00DD33DF">
        <w:tc>
          <w:tcPr>
            <w:tcW w:w="8771" w:type="dxa"/>
            <w:tcBorders>
              <w:top w:val="nil"/>
              <w:left w:val="nil"/>
              <w:bottom w:val="nil"/>
              <w:right w:val="nil"/>
            </w:tcBorders>
            <w:shd w:val="clear" w:color="auto" w:fill="auto"/>
          </w:tcPr>
          <w:p w:rsidR="000F005F" w:rsidRPr="0079022B" w:rsidRDefault="000F005F" w:rsidP="00AF3774">
            <w:pPr>
              <w:pStyle w:val="Note"/>
              <w:rPr>
                <w:szCs w:val="26"/>
              </w:rPr>
            </w:pPr>
            <w:r w:rsidRPr="0079022B">
              <w:rPr>
                <w:rStyle w:val="NoteLabel"/>
              </w:rPr>
              <w:t>a</w:t>
            </w:r>
            <w:r w:rsidRPr="0079022B">
              <w:t xml:space="preserve"> </w:t>
            </w:r>
            <w:r w:rsidR="00322375">
              <w:t>See box</w:t>
            </w:r>
            <w:r w:rsidR="005547FD">
              <w:t> </w:t>
            </w:r>
            <w:r w:rsidR="00322375">
              <w:t>14.16</w:t>
            </w:r>
            <w:r w:rsidR="00D14B8D" w:rsidRPr="0079022B">
              <w:t xml:space="preserve"> and table 14A.</w:t>
            </w:r>
            <w:r w:rsidR="00AF3774" w:rsidRPr="0079022B">
              <w:t>8</w:t>
            </w:r>
            <w:r w:rsidR="00AF3774">
              <w:t>5</w:t>
            </w:r>
            <w:r w:rsidR="00AF3774" w:rsidRPr="0079022B">
              <w:t xml:space="preserve"> </w:t>
            </w:r>
            <w:r w:rsidR="00D14B8D" w:rsidRPr="0079022B">
              <w:t xml:space="preserve">for detailed </w:t>
            </w:r>
            <w:r w:rsidR="003D7F75">
              <w:t>definitions, footnotes and caveats</w:t>
            </w:r>
            <w:r w:rsidR="00D14B8D" w:rsidRPr="0079022B">
              <w:t>.</w:t>
            </w:r>
          </w:p>
        </w:tc>
      </w:tr>
      <w:tr w:rsidR="000F005F" w:rsidRPr="0079022B" w:rsidTr="00DD33DF">
        <w:tc>
          <w:tcPr>
            <w:tcW w:w="8771" w:type="dxa"/>
            <w:tcBorders>
              <w:top w:val="nil"/>
              <w:left w:val="nil"/>
              <w:bottom w:val="nil"/>
              <w:right w:val="nil"/>
            </w:tcBorders>
            <w:shd w:val="clear" w:color="auto" w:fill="auto"/>
          </w:tcPr>
          <w:p w:rsidR="000F005F" w:rsidRPr="0079022B" w:rsidRDefault="000F005F" w:rsidP="00AF3774">
            <w:pPr>
              <w:pStyle w:val="Source"/>
              <w:ind w:left="-22" w:firstLine="22"/>
            </w:pPr>
            <w:r w:rsidRPr="0079022B">
              <w:rPr>
                <w:i/>
              </w:rPr>
              <w:t>Source</w:t>
            </w:r>
            <w:r w:rsidRPr="0079022B">
              <w:t xml:space="preserve">: Australian Government (unpublished); AIHW (unpublished) </w:t>
            </w:r>
            <w:r w:rsidRPr="00960B72">
              <w:t>DS NMDS</w:t>
            </w:r>
            <w:r w:rsidR="002102F2" w:rsidRPr="00960B72">
              <w:t xml:space="preserve"> 2009</w:t>
            </w:r>
            <w:r w:rsidR="00B84AF2" w:rsidRPr="00960B72">
              <w:noBreakHyphen/>
            </w:r>
            <w:r w:rsidR="002102F2" w:rsidRPr="00960B72">
              <w:t>10</w:t>
            </w:r>
            <w:r w:rsidR="00DF1129" w:rsidRPr="00960B72">
              <w:t xml:space="preserve"> to </w:t>
            </w:r>
            <w:r w:rsidR="0041043C" w:rsidRPr="00960B72">
              <w:t>2013</w:t>
            </w:r>
            <w:r w:rsidR="005547FD">
              <w:noBreakHyphen/>
            </w:r>
            <w:r w:rsidR="0041043C" w:rsidRPr="00960B72">
              <w:t>14</w:t>
            </w:r>
            <w:r w:rsidRPr="00960B72">
              <w:t>;</w:t>
            </w:r>
            <w:r w:rsidRPr="0044315A">
              <w:t xml:space="preserve"> </w:t>
            </w:r>
            <w:r w:rsidRPr="0079022B">
              <w:t>table 14A.</w:t>
            </w:r>
            <w:r w:rsidR="00AF3774" w:rsidRPr="0079022B">
              <w:t>8</w:t>
            </w:r>
            <w:r w:rsidR="00AF3774">
              <w:t>5</w:t>
            </w:r>
            <w:r w:rsidRPr="0079022B">
              <w:t>.</w:t>
            </w:r>
          </w:p>
        </w:tc>
      </w:tr>
      <w:tr w:rsidR="000F005F" w:rsidRPr="0079022B" w:rsidTr="00DD33DF">
        <w:tc>
          <w:tcPr>
            <w:tcW w:w="8771" w:type="dxa"/>
            <w:tcBorders>
              <w:top w:val="nil"/>
              <w:left w:val="nil"/>
              <w:bottom w:val="single" w:sz="6" w:space="0" w:color="78A22F"/>
              <w:right w:val="nil"/>
            </w:tcBorders>
            <w:shd w:val="clear" w:color="auto" w:fill="auto"/>
          </w:tcPr>
          <w:p w:rsidR="000F005F" w:rsidRPr="0079022B" w:rsidRDefault="000F005F" w:rsidP="00DD33DF">
            <w:pPr>
              <w:pStyle w:val="Figurespace"/>
            </w:pPr>
          </w:p>
        </w:tc>
      </w:tr>
      <w:tr w:rsidR="000F005F" w:rsidRPr="0079022B" w:rsidTr="00DD33DF">
        <w:tc>
          <w:tcPr>
            <w:tcW w:w="8771" w:type="dxa"/>
            <w:tcBorders>
              <w:top w:val="single" w:sz="6" w:space="0" w:color="78A22F"/>
              <w:left w:val="nil"/>
              <w:bottom w:val="nil"/>
              <w:right w:val="nil"/>
            </w:tcBorders>
          </w:tcPr>
          <w:p w:rsidR="000F005F" w:rsidRPr="0079022B" w:rsidRDefault="000F005F" w:rsidP="00DD33DF">
            <w:pPr>
              <w:pStyle w:val="BoxSpaceBelow"/>
            </w:pPr>
          </w:p>
        </w:tc>
      </w:tr>
    </w:tbl>
    <w:p w:rsidR="001F39F2" w:rsidRPr="0079022B" w:rsidRDefault="00501CBE" w:rsidP="00927A21">
      <w:pPr>
        <w:pStyle w:val="Heading4"/>
      </w:pPr>
      <w:r>
        <w:t xml:space="preserve">Cost per output unit </w:t>
      </w:r>
      <w:r w:rsidR="00927A21">
        <w:rPr>
          <w:rFonts w:cs="Arial"/>
        </w:rPr>
        <w:t>―</w:t>
      </w:r>
      <w:r w:rsidR="00927A21">
        <w:t xml:space="preserve"> </w:t>
      </w:r>
      <w:r w:rsidR="001F39F2" w:rsidRPr="0079022B">
        <w:t xml:space="preserve">Cost per user of State and Territory administered services </w:t>
      </w:r>
    </w:p>
    <w:p w:rsidR="001F39F2" w:rsidRPr="0079022B" w:rsidRDefault="001F39F2" w:rsidP="00585E2C">
      <w:pPr>
        <w:pStyle w:val="BodyText"/>
      </w:pPr>
      <w:r w:rsidRPr="0079022B">
        <w:t>‘Cost per user of State and Territory administered services’ is an indicator of governments’ objective to provide specialist disability services in an efficient manner (box</w:t>
      </w:r>
      <w:r w:rsidR="00AE3578" w:rsidRPr="0079022B">
        <w:t> </w:t>
      </w:r>
      <w:r w:rsidRPr="0079022B">
        <w:t>14.</w:t>
      </w:r>
      <w:r w:rsidR="002A0E6E">
        <w:t>17</w:t>
      </w:r>
      <w:r w:rsidRPr="0079022B">
        <w:t>).</w:t>
      </w:r>
    </w:p>
    <w:p w:rsidR="0037567C" w:rsidRPr="00B86C20" w:rsidRDefault="0037567C"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67C" w:rsidRPr="0079022B" w:rsidTr="00C827D5">
        <w:tc>
          <w:tcPr>
            <w:tcW w:w="8771" w:type="dxa"/>
            <w:tcBorders>
              <w:top w:val="single" w:sz="6" w:space="0" w:color="78A22F"/>
              <w:left w:val="nil"/>
              <w:bottom w:val="nil"/>
              <w:right w:val="nil"/>
            </w:tcBorders>
            <w:shd w:val="clear" w:color="auto" w:fill="F2F2F2"/>
          </w:tcPr>
          <w:p w:rsidR="0037567C" w:rsidRPr="0079022B" w:rsidRDefault="0037567C" w:rsidP="0037567C">
            <w:pPr>
              <w:pStyle w:val="BoxTitle"/>
            </w:pPr>
            <w:r w:rsidRPr="0079022B">
              <w:rPr>
                <w:b w:val="0"/>
              </w:rPr>
              <w:t xml:space="preserve">Box </w:t>
            </w:r>
            <w:r w:rsidR="00321568" w:rsidRPr="0079022B">
              <w:rPr>
                <w:b w:val="0"/>
              </w:rPr>
              <w:t>14.</w:t>
            </w:r>
            <w:r w:rsidR="004B691F">
              <w:rPr>
                <w:b w:val="0"/>
                <w:noProof/>
              </w:rPr>
              <w:t>17</w:t>
            </w:r>
            <w:r w:rsidRPr="0079022B">
              <w:tab/>
              <w:t>Cost per user of State and Territory administered services</w:t>
            </w:r>
          </w:p>
        </w:tc>
      </w:tr>
      <w:tr w:rsidR="0037567C" w:rsidRPr="0079022B" w:rsidTr="00C827D5">
        <w:trPr>
          <w:cantSplit/>
        </w:trPr>
        <w:tc>
          <w:tcPr>
            <w:tcW w:w="8771" w:type="dxa"/>
            <w:tcBorders>
              <w:top w:val="nil"/>
              <w:left w:val="nil"/>
              <w:bottom w:val="nil"/>
              <w:right w:val="nil"/>
            </w:tcBorders>
            <w:shd w:val="clear" w:color="auto" w:fill="F2F2F2"/>
          </w:tcPr>
          <w:p w:rsidR="0037567C" w:rsidRPr="0079022B" w:rsidRDefault="0037567C" w:rsidP="0037567C">
            <w:pPr>
              <w:pStyle w:val="Box"/>
            </w:pPr>
            <w:r w:rsidRPr="0079022B">
              <w:t>‘Cost per user of State and Territory administered services’ is defined as government expenditure on NDA State and Territory administered services per service user. Two measures are reported:</w:t>
            </w:r>
          </w:p>
          <w:p w:rsidR="0037567C" w:rsidRPr="0079022B" w:rsidRDefault="0037567C" w:rsidP="0037567C">
            <w:pPr>
              <w:pStyle w:val="BoxListBullet"/>
            </w:pPr>
            <w:r w:rsidRPr="0079022B">
              <w:t xml:space="preserve">estimated government expenditure per user of NDA services (data are reported separately for government expenditure net of payroll tax and for government expenditure including actual and/or imputed payroll tax) </w:t>
            </w:r>
          </w:p>
          <w:p w:rsidR="0037567C" w:rsidRPr="0079022B" w:rsidRDefault="0037567C" w:rsidP="0037567C">
            <w:pPr>
              <w:pStyle w:val="BoxListBullet"/>
            </w:pPr>
            <w:r w:rsidRPr="0079022B">
              <w:t>cost per user of government provided accommodation support services in:</w:t>
            </w:r>
          </w:p>
          <w:p w:rsidR="0037567C" w:rsidRPr="0079022B" w:rsidRDefault="0037567C" w:rsidP="0037567C">
            <w:pPr>
              <w:pStyle w:val="BoxListBullet2"/>
            </w:pPr>
            <w:r w:rsidRPr="0079022B">
              <w:t>institutional/residential settings</w:t>
            </w:r>
          </w:p>
          <w:p w:rsidR="0037567C" w:rsidRPr="0079022B" w:rsidRDefault="0037567C" w:rsidP="0037567C">
            <w:pPr>
              <w:pStyle w:val="BoxListBullet2"/>
            </w:pPr>
            <w:r w:rsidRPr="0079022B">
              <w:t xml:space="preserve">group homes </w:t>
            </w:r>
          </w:p>
          <w:p w:rsidR="0037567C" w:rsidRPr="0079022B" w:rsidRDefault="0037567C" w:rsidP="0037567C">
            <w:pPr>
              <w:pStyle w:val="BoxListBullet2"/>
            </w:pPr>
            <w:r w:rsidRPr="0079022B">
              <w:t>other community settings.</w:t>
            </w:r>
          </w:p>
          <w:p w:rsidR="0037567C" w:rsidRPr="0079022B" w:rsidRDefault="0037567C" w:rsidP="0037567C">
            <w:pPr>
              <w:pStyle w:val="Box"/>
            </w:pPr>
            <w:r w:rsidRPr="0079022B">
              <w:t xml:space="preserve">Holding other factors constant (such as service quality and accessibility), low or decreasing government expenditure per service user reflects a more efficient provision of this service. </w:t>
            </w:r>
          </w:p>
          <w:p w:rsidR="0037567C" w:rsidRPr="0079022B" w:rsidRDefault="0037567C" w:rsidP="0037567C">
            <w:pPr>
              <w:pStyle w:val="Box"/>
            </w:pPr>
            <w:r w:rsidRPr="0079022B">
              <w:t>Efficiency data are difficult to interpret. Although high or increasing expenditure per unit of output can reflect deteriorating efficiency, it can also reflect improvements in the quality or attributes of the services provided, or an increase in the service needs of service users. Similarly, low or decreasing expenditure per unit of output can reflect improving efficiency, or lower quality and less effective services. Efficiency data therefore should be interpreted within the context of the effectiveness and equity indicators to derive a holistic view of performance.</w:t>
            </w:r>
          </w:p>
          <w:p w:rsidR="0037567C" w:rsidRPr="0079022B" w:rsidRDefault="0037567C" w:rsidP="0037567C">
            <w:pPr>
              <w:pStyle w:val="Box"/>
            </w:pPr>
            <w:r w:rsidRPr="0079022B">
              <w:t>Data reported for this measure are:</w:t>
            </w:r>
          </w:p>
          <w:p w:rsidR="0037567C" w:rsidRPr="0079022B" w:rsidRDefault="0037567C" w:rsidP="0037567C">
            <w:pPr>
              <w:pStyle w:val="BoxListBullet"/>
              <w:keepLines/>
            </w:pPr>
            <w:r w:rsidRPr="0079022B">
              <w:t xml:space="preserve">comparable (subject to caveats) within some jurisdictions over time but are not comparable across jurisdictions or over time for other jurisdictions </w:t>
            </w:r>
          </w:p>
          <w:p w:rsidR="0037567C" w:rsidRPr="0079022B" w:rsidRDefault="0037567C" w:rsidP="0037567C">
            <w:pPr>
              <w:pStyle w:val="BoxListBullet"/>
              <w:keepLines/>
            </w:pPr>
            <w:r w:rsidRPr="0079022B">
              <w:t xml:space="preserve">complete (subject to caveats) for the current reporting period. All required </w:t>
            </w:r>
            <w:r w:rsidR="00403B34" w:rsidRPr="0079022B">
              <w:t>2013</w:t>
            </w:r>
            <w:r w:rsidR="00B84AF2" w:rsidRPr="0079022B">
              <w:noBreakHyphen/>
            </w:r>
            <w:r w:rsidR="00403B34" w:rsidRPr="0079022B">
              <w:t xml:space="preserve">14 </w:t>
            </w:r>
            <w:r w:rsidRPr="0079022B">
              <w:t>data are available for all jurisdictions that provide the service.</w:t>
            </w:r>
          </w:p>
          <w:p w:rsidR="0037567C" w:rsidRPr="0079022B" w:rsidRDefault="0037567C" w:rsidP="0037567C">
            <w:pPr>
              <w:pStyle w:val="Box"/>
            </w:pPr>
            <w:r w:rsidRPr="0079022B">
              <w:t>Data quality information for this indicator is under development.</w:t>
            </w:r>
          </w:p>
        </w:tc>
      </w:tr>
      <w:tr w:rsidR="0037567C" w:rsidRPr="0079022B" w:rsidTr="00C827D5">
        <w:trPr>
          <w:cantSplit/>
        </w:trPr>
        <w:tc>
          <w:tcPr>
            <w:tcW w:w="8771" w:type="dxa"/>
            <w:tcBorders>
              <w:top w:val="nil"/>
              <w:left w:val="nil"/>
              <w:bottom w:val="single" w:sz="6" w:space="0" w:color="78A22F"/>
              <w:right w:val="nil"/>
            </w:tcBorders>
            <w:shd w:val="clear" w:color="auto" w:fill="F2F2F2"/>
          </w:tcPr>
          <w:p w:rsidR="0037567C" w:rsidRPr="0079022B" w:rsidRDefault="0037567C">
            <w:pPr>
              <w:pStyle w:val="Box"/>
              <w:spacing w:before="0" w:line="120" w:lineRule="exact"/>
            </w:pPr>
          </w:p>
        </w:tc>
      </w:tr>
      <w:tr w:rsidR="0037567C" w:rsidRPr="0079022B" w:rsidTr="00C827D5">
        <w:tc>
          <w:tcPr>
            <w:tcW w:w="8771" w:type="dxa"/>
            <w:tcBorders>
              <w:top w:val="single" w:sz="6" w:space="0" w:color="78A22F"/>
              <w:left w:val="nil"/>
              <w:bottom w:val="nil"/>
              <w:right w:val="nil"/>
            </w:tcBorders>
          </w:tcPr>
          <w:p w:rsidR="0037567C" w:rsidRPr="0079022B" w:rsidRDefault="0037567C" w:rsidP="00C827D5">
            <w:pPr>
              <w:pStyle w:val="BoxSpaceBelow"/>
            </w:pPr>
          </w:p>
        </w:tc>
      </w:tr>
    </w:tbl>
    <w:p w:rsidR="001F39F2" w:rsidRDefault="001F39F2" w:rsidP="00585E2C">
      <w:pPr>
        <w:pStyle w:val="BodyText"/>
        <w:rPr>
          <w:szCs w:val="26"/>
        </w:rPr>
      </w:pPr>
      <w:r w:rsidRPr="006025BC">
        <w:rPr>
          <w:szCs w:val="26"/>
        </w:rPr>
        <w:t xml:space="preserve">Total estimated </w:t>
      </w:r>
      <w:r w:rsidRPr="00736BFE">
        <w:rPr>
          <w:szCs w:val="26"/>
        </w:rPr>
        <w:t xml:space="preserve">government expenditure per user of NDA State and Territory administered specialist disability services in </w:t>
      </w:r>
      <w:r w:rsidR="00403B34" w:rsidRPr="00736BFE">
        <w:rPr>
          <w:szCs w:val="26"/>
        </w:rPr>
        <w:t>2013</w:t>
      </w:r>
      <w:r w:rsidR="00B84AF2" w:rsidRPr="00736BFE">
        <w:rPr>
          <w:szCs w:val="26"/>
        </w:rPr>
        <w:noBreakHyphen/>
      </w:r>
      <w:r w:rsidR="00403B34" w:rsidRPr="00736BFE">
        <w:rPr>
          <w:szCs w:val="26"/>
        </w:rPr>
        <w:t xml:space="preserve">14 </w:t>
      </w:r>
      <w:r w:rsidRPr="00736BFE">
        <w:rPr>
          <w:szCs w:val="26"/>
        </w:rPr>
        <w:t xml:space="preserve">is reported both net of payroll tax and including </w:t>
      </w:r>
      <w:r w:rsidRPr="009E411B">
        <w:rPr>
          <w:szCs w:val="26"/>
        </w:rPr>
        <w:t xml:space="preserve">actual or imputed payroll tax. Nationally, estimated expenditure per service user was </w:t>
      </w:r>
      <w:r w:rsidR="00E16210" w:rsidRPr="009E411B">
        <w:rPr>
          <w:szCs w:val="26"/>
        </w:rPr>
        <w:t>$</w:t>
      </w:r>
      <w:r w:rsidR="00BF7F5F" w:rsidRPr="009E411B">
        <w:rPr>
          <w:szCs w:val="26"/>
        </w:rPr>
        <w:t>38 564</w:t>
      </w:r>
      <w:r w:rsidRPr="009E411B">
        <w:rPr>
          <w:szCs w:val="26"/>
        </w:rPr>
        <w:t xml:space="preserve"> excluding payroll tax and $</w:t>
      </w:r>
      <w:r w:rsidR="00BF7F5F" w:rsidRPr="009E411B">
        <w:rPr>
          <w:szCs w:val="26"/>
        </w:rPr>
        <w:t>39 0</w:t>
      </w:r>
      <w:r w:rsidR="0017025C" w:rsidRPr="009E411B">
        <w:rPr>
          <w:szCs w:val="26"/>
        </w:rPr>
        <w:t>72</w:t>
      </w:r>
      <w:r w:rsidR="0019455A" w:rsidRPr="009E411B">
        <w:rPr>
          <w:szCs w:val="26"/>
        </w:rPr>
        <w:t xml:space="preserve"> </w:t>
      </w:r>
      <w:r w:rsidRPr="009E411B">
        <w:rPr>
          <w:szCs w:val="26"/>
        </w:rPr>
        <w:t>including</w:t>
      </w:r>
      <w:r w:rsidRPr="007C1342">
        <w:rPr>
          <w:szCs w:val="26"/>
        </w:rPr>
        <w:t xml:space="preserve"> actual and/or imputed payroll tax (figure </w:t>
      </w:r>
      <w:r w:rsidR="00501CBE" w:rsidRPr="007C1342">
        <w:t>14.</w:t>
      </w:r>
      <w:r w:rsidR="00F61907" w:rsidRPr="007C1342">
        <w:t>29</w:t>
      </w:r>
      <w:r w:rsidRPr="007C1342">
        <w:rPr>
          <w:szCs w:val="26"/>
        </w:rPr>
        <w:t>).</w:t>
      </w:r>
    </w:p>
    <w:p w:rsidR="00501CBE" w:rsidRPr="00736BFE" w:rsidRDefault="00501CBE" w:rsidP="00585E2C">
      <w:pPr>
        <w:pStyle w:val="BodyText"/>
      </w:pPr>
      <w:r w:rsidRPr="000A1DB4">
        <w:t>Nationally, estimated annual government expenditure on accommodation support services in institutional/residential settings was $</w:t>
      </w:r>
      <w:r>
        <w:t>184 745</w:t>
      </w:r>
      <w:r w:rsidRPr="000A1DB4">
        <w:t xml:space="preserve"> per service user in 2013</w:t>
      </w:r>
      <w:r w:rsidRPr="000A1DB4">
        <w:noBreakHyphen/>
        <w:t>14 (figure </w:t>
      </w:r>
      <w:r>
        <w:t>14.</w:t>
      </w:r>
      <w:r w:rsidR="00F61907">
        <w:t>30</w:t>
      </w:r>
      <w:r w:rsidRPr="000A1DB4">
        <w:t xml:space="preserve">). </w:t>
      </w:r>
    </w:p>
    <w:p w:rsidR="000F005F" w:rsidRPr="00B86C20" w:rsidRDefault="000F005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022B" w:rsidRPr="0079022B" w:rsidTr="00DD33DF">
        <w:tc>
          <w:tcPr>
            <w:tcW w:w="8771" w:type="dxa"/>
            <w:tcBorders>
              <w:top w:val="single" w:sz="6" w:space="0" w:color="78A22F"/>
              <w:left w:val="nil"/>
              <w:bottom w:val="nil"/>
              <w:right w:val="nil"/>
            </w:tcBorders>
            <w:shd w:val="clear" w:color="auto" w:fill="auto"/>
          </w:tcPr>
          <w:p w:rsidR="000F005F" w:rsidRPr="0079022B" w:rsidRDefault="000F005F" w:rsidP="0079022B">
            <w:pPr>
              <w:pStyle w:val="FigureTitle"/>
            </w:pPr>
            <w:r w:rsidRPr="0079022B">
              <w:rPr>
                <w:b w:val="0"/>
              </w:rPr>
              <w:t xml:space="preserve">Figure </w:t>
            </w:r>
            <w:bookmarkStart w:id="44" w:name="OLE_LINK41"/>
            <w:r w:rsidR="00321568" w:rsidRPr="0079022B">
              <w:rPr>
                <w:b w:val="0"/>
              </w:rPr>
              <w:t>14.</w:t>
            </w:r>
            <w:r w:rsidR="004B691F">
              <w:rPr>
                <w:b w:val="0"/>
                <w:noProof/>
              </w:rPr>
              <w:t>29</w:t>
            </w:r>
            <w:bookmarkEnd w:id="44"/>
            <w:r w:rsidRPr="0079022B">
              <w:tab/>
            </w:r>
            <w:r w:rsidRPr="009E411B">
              <w:t xml:space="preserve">Estimated annual government expenditure per user of NDA State and Territory administered services, </w:t>
            </w:r>
            <w:r w:rsidR="00694B3B" w:rsidRPr="009E411B">
              <w:t>2013</w:t>
            </w:r>
            <w:r w:rsidR="00B84AF2" w:rsidRPr="009E411B">
              <w:noBreakHyphen/>
            </w:r>
            <w:r w:rsidR="00694B3B" w:rsidRPr="009E411B">
              <w:t>14</w:t>
            </w:r>
            <w:r w:rsidR="00694B3B" w:rsidRPr="009E411B">
              <w:rPr>
                <w:rStyle w:val="NoteLabel"/>
                <w:b/>
              </w:rPr>
              <w:t>a</w:t>
            </w:r>
          </w:p>
        </w:tc>
      </w:tr>
      <w:tr w:rsidR="000F005F" w:rsidRPr="0079022B"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F005F" w:rsidRPr="0079022B" w:rsidTr="00DD33DF">
              <w:trPr>
                <w:jc w:val="center"/>
              </w:trPr>
              <w:tc>
                <w:tcPr>
                  <w:tcW w:w="5000" w:type="pct"/>
                  <w:tcBorders>
                    <w:top w:val="nil"/>
                    <w:bottom w:val="nil"/>
                  </w:tcBorders>
                </w:tcPr>
                <w:p w:rsidR="000F005F" w:rsidRPr="00736BFE" w:rsidRDefault="00AB345E" w:rsidP="00736BFE">
                  <w:pPr>
                    <w:pStyle w:val="Figure"/>
                  </w:pPr>
                  <w:r>
                    <w:rPr>
                      <w:noProof/>
                    </w:rPr>
                    <w:drawing>
                      <wp:inline distT="0" distB="0" distL="0" distR="0">
                        <wp:extent cx="5189220" cy="2683510"/>
                        <wp:effectExtent l="0" t="0" r="0" b="2540"/>
                        <wp:docPr id="62" name="Picture 62" descr="Figure 14.29 Estimated annual government expenditure per user of NDA State and Territory administered services, 2013-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189220" cy="2683510"/>
                                </a:xfrm>
                                <a:prstGeom prst="rect">
                                  <a:avLst/>
                                </a:prstGeom>
                                <a:noFill/>
                                <a:ln>
                                  <a:noFill/>
                                </a:ln>
                              </pic:spPr>
                            </pic:pic>
                          </a:graphicData>
                        </a:graphic>
                      </wp:inline>
                    </w:drawing>
                  </w:r>
                </w:p>
              </w:tc>
            </w:tr>
          </w:tbl>
          <w:p w:rsidR="000F005F" w:rsidRPr="0079022B" w:rsidRDefault="000F005F" w:rsidP="00DD33DF">
            <w:pPr>
              <w:pStyle w:val="Figure"/>
            </w:pPr>
          </w:p>
        </w:tc>
      </w:tr>
      <w:tr w:rsidR="00E16210" w:rsidRPr="0079022B" w:rsidTr="00DD33DF">
        <w:tc>
          <w:tcPr>
            <w:tcW w:w="8771" w:type="dxa"/>
            <w:tcBorders>
              <w:top w:val="nil"/>
              <w:left w:val="nil"/>
              <w:bottom w:val="nil"/>
              <w:right w:val="nil"/>
            </w:tcBorders>
            <w:shd w:val="clear" w:color="auto" w:fill="auto"/>
          </w:tcPr>
          <w:p w:rsidR="000F005F" w:rsidRPr="0079022B" w:rsidRDefault="000F005F" w:rsidP="00AF3774">
            <w:pPr>
              <w:pStyle w:val="Note"/>
            </w:pPr>
            <w:r w:rsidRPr="0079022B">
              <w:rPr>
                <w:rStyle w:val="NoteLabel"/>
              </w:rPr>
              <w:t>a</w:t>
            </w:r>
            <w:r w:rsidR="00322375">
              <w:t xml:space="preserve"> See box</w:t>
            </w:r>
            <w:r w:rsidR="005547FD">
              <w:t> </w:t>
            </w:r>
            <w:r w:rsidR="00322375">
              <w:t>14.17</w:t>
            </w:r>
            <w:r w:rsidR="00D14B8D" w:rsidRPr="0079022B">
              <w:t xml:space="preserve"> and table 14A.</w:t>
            </w:r>
            <w:r w:rsidR="00AF3774">
              <w:t>87</w:t>
            </w:r>
            <w:r w:rsidR="00AF3774" w:rsidRPr="0079022B">
              <w:t xml:space="preserve"> </w:t>
            </w:r>
            <w:r w:rsidR="00D14B8D" w:rsidRPr="0079022B">
              <w:t xml:space="preserve">for detailed </w:t>
            </w:r>
            <w:r w:rsidR="003D7F75">
              <w:t>definitions, footnotes and caveats</w:t>
            </w:r>
            <w:r w:rsidR="00D14B8D" w:rsidRPr="0079022B">
              <w:t>.</w:t>
            </w:r>
            <w:r w:rsidRPr="0079022B">
              <w:t xml:space="preserve"> </w:t>
            </w:r>
          </w:p>
        </w:tc>
      </w:tr>
      <w:tr w:rsidR="00237B77" w:rsidRPr="0079022B" w:rsidTr="00DD33DF">
        <w:tc>
          <w:tcPr>
            <w:tcW w:w="8771" w:type="dxa"/>
            <w:tcBorders>
              <w:top w:val="nil"/>
              <w:left w:val="nil"/>
              <w:bottom w:val="nil"/>
              <w:right w:val="nil"/>
            </w:tcBorders>
            <w:shd w:val="clear" w:color="auto" w:fill="auto"/>
          </w:tcPr>
          <w:p w:rsidR="000F005F" w:rsidRPr="0079022B" w:rsidRDefault="000F005F" w:rsidP="00AF3774">
            <w:pPr>
              <w:pStyle w:val="Source"/>
            </w:pPr>
            <w:r w:rsidRPr="0079022B">
              <w:rPr>
                <w:i/>
              </w:rPr>
              <w:t>Source</w:t>
            </w:r>
            <w:r w:rsidRPr="0079022B">
              <w:t xml:space="preserve">: AIHW (unpublished) </w:t>
            </w:r>
            <w:r w:rsidRPr="00927A21">
              <w:t>DS NMDS</w:t>
            </w:r>
            <w:r w:rsidRPr="00501CBE">
              <w:t>;</w:t>
            </w:r>
            <w:r w:rsidRPr="0079022B">
              <w:t xml:space="preserve"> State and Territory g</w:t>
            </w:r>
            <w:r w:rsidR="007B7B66" w:rsidRPr="0079022B">
              <w:t>overnments (unpublished); table </w:t>
            </w:r>
            <w:r w:rsidRPr="0079022B">
              <w:t>14A.</w:t>
            </w:r>
            <w:r w:rsidR="00AF3774">
              <w:t>87</w:t>
            </w:r>
            <w:r w:rsidRPr="0079022B">
              <w:t>.</w:t>
            </w:r>
          </w:p>
        </w:tc>
      </w:tr>
      <w:tr w:rsidR="000F005F" w:rsidRPr="0079022B" w:rsidTr="00DD33DF">
        <w:tc>
          <w:tcPr>
            <w:tcW w:w="8771" w:type="dxa"/>
            <w:tcBorders>
              <w:top w:val="nil"/>
              <w:left w:val="nil"/>
              <w:bottom w:val="single" w:sz="6" w:space="0" w:color="78A22F"/>
              <w:right w:val="nil"/>
            </w:tcBorders>
            <w:shd w:val="clear" w:color="auto" w:fill="auto"/>
          </w:tcPr>
          <w:p w:rsidR="000F005F" w:rsidRPr="0079022B" w:rsidRDefault="000F005F" w:rsidP="00DD33DF">
            <w:pPr>
              <w:pStyle w:val="Figurespace"/>
            </w:pPr>
          </w:p>
        </w:tc>
      </w:tr>
      <w:tr w:rsidR="000F005F" w:rsidRPr="0079022B" w:rsidTr="00DD33DF">
        <w:tc>
          <w:tcPr>
            <w:tcW w:w="8771" w:type="dxa"/>
            <w:tcBorders>
              <w:top w:val="single" w:sz="6" w:space="0" w:color="78A22F"/>
              <w:left w:val="nil"/>
              <w:bottom w:val="nil"/>
              <w:right w:val="nil"/>
            </w:tcBorders>
          </w:tcPr>
          <w:p w:rsidR="000F005F" w:rsidRPr="0079022B" w:rsidRDefault="000F005F" w:rsidP="00DD33DF">
            <w:pPr>
              <w:pStyle w:val="BoxSpaceBelow"/>
            </w:pPr>
          </w:p>
        </w:tc>
      </w:tr>
    </w:tbl>
    <w:p w:rsidR="00984C70" w:rsidRPr="000A1DB4" w:rsidRDefault="00984C7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1DB4" w:rsidRPr="000A1DB4" w:rsidTr="00DD33DF">
        <w:tc>
          <w:tcPr>
            <w:tcW w:w="8771" w:type="dxa"/>
            <w:tcBorders>
              <w:top w:val="single" w:sz="6" w:space="0" w:color="78A22F"/>
              <w:left w:val="nil"/>
              <w:bottom w:val="nil"/>
              <w:right w:val="nil"/>
            </w:tcBorders>
            <w:shd w:val="clear" w:color="auto" w:fill="auto"/>
          </w:tcPr>
          <w:p w:rsidR="00984C70" w:rsidRPr="000A1DB4" w:rsidRDefault="00984C70" w:rsidP="000A1DB4">
            <w:pPr>
              <w:pStyle w:val="FigureTitle"/>
            </w:pPr>
            <w:r w:rsidRPr="000A1DB4">
              <w:rPr>
                <w:b w:val="0"/>
              </w:rPr>
              <w:t xml:space="preserve">Figure </w:t>
            </w:r>
            <w:bookmarkStart w:id="45" w:name="OLE_LINK42"/>
            <w:r w:rsidR="00321568" w:rsidRPr="000A1DB4">
              <w:rPr>
                <w:b w:val="0"/>
              </w:rPr>
              <w:t>14.</w:t>
            </w:r>
            <w:r w:rsidR="004B691F">
              <w:rPr>
                <w:b w:val="0"/>
                <w:noProof/>
              </w:rPr>
              <w:t>30</w:t>
            </w:r>
            <w:bookmarkEnd w:id="45"/>
            <w:r w:rsidRPr="000A1DB4">
              <w:tab/>
              <w:t>Estimated annual government expenditure per user of government provided accommodation support services in institutional/residential settings (</w:t>
            </w:r>
            <w:r w:rsidR="00403B34" w:rsidRPr="000A1DB4">
              <w:t>2013</w:t>
            </w:r>
            <w:r w:rsidR="00B84AF2" w:rsidRPr="000A1DB4">
              <w:noBreakHyphen/>
            </w:r>
            <w:r w:rsidR="00403B34" w:rsidRPr="000A1DB4">
              <w:t xml:space="preserve">14 </w:t>
            </w:r>
            <w:r w:rsidRPr="000A1DB4">
              <w:t>dollars)</w:t>
            </w:r>
            <w:r w:rsidRPr="000A1DB4">
              <w:rPr>
                <w:rStyle w:val="NoteLabel"/>
                <w:b/>
              </w:rPr>
              <w:t>a</w:t>
            </w:r>
            <w:r w:rsidR="009E36A9">
              <w:rPr>
                <w:rStyle w:val="NoteLabel"/>
                <w:b/>
              </w:rPr>
              <w:t>, b</w:t>
            </w:r>
          </w:p>
        </w:tc>
      </w:tr>
      <w:tr w:rsidR="00984C70" w:rsidRPr="000A1DB4"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84C70" w:rsidRPr="000A1DB4" w:rsidTr="00DD33DF">
              <w:trPr>
                <w:jc w:val="center"/>
              </w:trPr>
              <w:tc>
                <w:tcPr>
                  <w:tcW w:w="5000" w:type="pct"/>
                  <w:tcBorders>
                    <w:top w:val="nil"/>
                    <w:bottom w:val="nil"/>
                  </w:tcBorders>
                </w:tcPr>
                <w:p w:rsidR="00984C70" w:rsidRPr="000A1DB4" w:rsidRDefault="00AB345E" w:rsidP="00DD33DF">
                  <w:pPr>
                    <w:pStyle w:val="Figure"/>
                    <w:spacing w:before="60" w:after="60"/>
                  </w:pPr>
                  <w:r>
                    <w:rPr>
                      <w:noProof/>
                    </w:rPr>
                    <w:drawing>
                      <wp:inline distT="0" distB="0" distL="0" distR="0">
                        <wp:extent cx="5225415" cy="2683510"/>
                        <wp:effectExtent l="0" t="0" r="0" b="2540"/>
                        <wp:docPr id="63" name="Picture 63" descr="Figure 14.30 Estimated annual government expenditure per user of government provided accommodation support services in institutional/residential setting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984C70" w:rsidRPr="000A1DB4" w:rsidRDefault="00984C70" w:rsidP="00DD33DF">
            <w:pPr>
              <w:pStyle w:val="Figure"/>
            </w:pPr>
          </w:p>
        </w:tc>
      </w:tr>
      <w:tr w:rsidR="00237B77" w:rsidRPr="000A1DB4" w:rsidTr="00DD33DF">
        <w:tc>
          <w:tcPr>
            <w:tcW w:w="8771" w:type="dxa"/>
            <w:tcBorders>
              <w:top w:val="nil"/>
              <w:left w:val="nil"/>
              <w:bottom w:val="nil"/>
              <w:right w:val="nil"/>
            </w:tcBorders>
            <w:shd w:val="clear" w:color="auto" w:fill="auto"/>
          </w:tcPr>
          <w:p w:rsidR="00984C70" w:rsidRPr="000A1DB4" w:rsidRDefault="00984C70" w:rsidP="001A3B47">
            <w:pPr>
              <w:pStyle w:val="Note"/>
            </w:pPr>
            <w:r w:rsidRPr="000A1DB4">
              <w:rPr>
                <w:rStyle w:val="NoteLabel"/>
              </w:rPr>
              <w:t>a</w:t>
            </w:r>
            <w:r w:rsidRPr="000A1DB4">
              <w:t xml:space="preserve"> </w:t>
            </w:r>
            <w:r w:rsidR="00322375">
              <w:t>See box</w:t>
            </w:r>
            <w:r w:rsidR="005547FD">
              <w:t> </w:t>
            </w:r>
            <w:r w:rsidR="00322375">
              <w:t>14.17</w:t>
            </w:r>
            <w:r w:rsidR="00D14B8D" w:rsidRPr="000A1DB4">
              <w:t xml:space="preserve"> and table 14A.8</w:t>
            </w:r>
            <w:r w:rsidR="00AF3774">
              <w:t>4</w:t>
            </w:r>
            <w:r w:rsidR="00D14B8D" w:rsidRPr="000A1DB4">
              <w:t xml:space="preserve"> for detailed </w:t>
            </w:r>
            <w:r w:rsidR="003D7F75">
              <w:t>definitions, footnotes and caveats</w:t>
            </w:r>
            <w:r w:rsidR="00D14B8D" w:rsidRPr="000A1DB4">
              <w:t>.</w:t>
            </w:r>
            <w:r w:rsidR="009E36A9" w:rsidRPr="00934B5D">
              <w:rPr>
                <w:rStyle w:val="NoteLabel"/>
              </w:rPr>
              <w:t xml:space="preserve"> b </w:t>
            </w:r>
            <w:r w:rsidR="001A3B47">
              <w:t>N</w:t>
            </w:r>
            <w:r w:rsidR="009E36A9" w:rsidRPr="00934B5D">
              <w:t xml:space="preserve">o government provided accommodation support services in institutional/residential settings in </w:t>
            </w:r>
            <w:r w:rsidR="009E36A9">
              <w:t xml:space="preserve">Tasmania, </w:t>
            </w:r>
            <w:r w:rsidR="009E36A9" w:rsidRPr="00934B5D">
              <w:t>ACT or the NT.</w:t>
            </w:r>
          </w:p>
        </w:tc>
      </w:tr>
      <w:tr w:rsidR="00237B77" w:rsidRPr="000A1DB4" w:rsidTr="00DD33DF">
        <w:tc>
          <w:tcPr>
            <w:tcW w:w="8771" w:type="dxa"/>
            <w:tcBorders>
              <w:top w:val="nil"/>
              <w:left w:val="nil"/>
              <w:bottom w:val="nil"/>
              <w:right w:val="nil"/>
            </w:tcBorders>
            <w:shd w:val="clear" w:color="auto" w:fill="auto"/>
          </w:tcPr>
          <w:p w:rsidR="00984C70" w:rsidRPr="000A1DB4" w:rsidRDefault="00984C70" w:rsidP="00AF3774">
            <w:pPr>
              <w:pStyle w:val="Source"/>
            </w:pPr>
            <w:r w:rsidRPr="000A1DB4">
              <w:rPr>
                <w:i/>
              </w:rPr>
              <w:t>Source</w:t>
            </w:r>
            <w:r w:rsidRPr="000A1DB4">
              <w:t xml:space="preserve">: AIHW (unpublished) </w:t>
            </w:r>
            <w:r w:rsidRPr="00927A21">
              <w:t>DS NMDS</w:t>
            </w:r>
            <w:r w:rsidRPr="00501CBE">
              <w:t>;</w:t>
            </w:r>
            <w:r w:rsidRPr="000A1DB4">
              <w:t xml:space="preserve"> State and Territory governments (unpublished); table</w:t>
            </w:r>
            <w:r w:rsidR="00AE3578" w:rsidRPr="000A1DB4">
              <w:t> </w:t>
            </w:r>
            <w:r w:rsidRPr="000A1DB4">
              <w:t>14A.</w:t>
            </w:r>
            <w:r w:rsidR="00402536" w:rsidRPr="000A1DB4">
              <w:t>8</w:t>
            </w:r>
            <w:r w:rsidR="00AF3774">
              <w:t>4</w:t>
            </w:r>
            <w:r w:rsidRPr="000A1DB4">
              <w:t>.</w:t>
            </w:r>
          </w:p>
        </w:tc>
      </w:tr>
      <w:tr w:rsidR="00984C70" w:rsidRPr="000A1DB4" w:rsidTr="00DD33DF">
        <w:tc>
          <w:tcPr>
            <w:tcW w:w="8771" w:type="dxa"/>
            <w:tcBorders>
              <w:top w:val="nil"/>
              <w:left w:val="nil"/>
              <w:bottom w:val="single" w:sz="6" w:space="0" w:color="78A22F"/>
              <w:right w:val="nil"/>
            </w:tcBorders>
            <w:shd w:val="clear" w:color="auto" w:fill="auto"/>
          </w:tcPr>
          <w:p w:rsidR="00984C70" w:rsidRPr="000A1DB4" w:rsidRDefault="00984C70" w:rsidP="00DD33DF">
            <w:pPr>
              <w:pStyle w:val="Figurespace"/>
            </w:pPr>
          </w:p>
        </w:tc>
      </w:tr>
      <w:tr w:rsidR="00984C70" w:rsidRPr="000A1DB4" w:rsidTr="00DD33DF">
        <w:tc>
          <w:tcPr>
            <w:tcW w:w="8771" w:type="dxa"/>
            <w:tcBorders>
              <w:top w:val="single" w:sz="6" w:space="0" w:color="78A22F"/>
              <w:left w:val="nil"/>
              <w:bottom w:val="nil"/>
              <w:right w:val="nil"/>
            </w:tcBorders>
          </w:tcPr>
          <w:p w:rsidR="00984C70" w:rsidRPr="000A1DB4" w:rsidRDefault="00984C70" w:rsidP="00DD33DF">
            <w:pPr>
              <w:pStyle w:val="BoxSpaceBelow"/>
            </w:pPr>
          </w:p>
        </w:tc>
      </w:tr>
    </w:tbl>
    <w:p w:rsidR="001F39F2" w:rsidRPr="0079022B" w:rsidRDefault="001F39F2" w:rsidP="00585E2C">
      <w:pPr>
        <w:pStyle w:val="BodyText"/>
      </w:pPr>
      <w:r w:rsidRPr="0079022B">
        <w:lastRenderedPageBreak/>
        <w:t xml:space="preserve">Estimated annual government expenditure per user of government provided accommodation support services in group homes and other community settings </w:t>
      </w:r>
      <w:r w:rsidR="001A143E" w:rsidRPr="0079022B">
        <w:t xml:space="preserve">from </w:t>
      </w:r>
      <w:r w:rsidR="00722EEE" w:rsidRPr="0079022B">
        <w:br/>
      </w:r>
      <w:r w:rsidR="00694B3B" w:rsidRPr="0079022B">
        <w:t>2004</w:t>
      </w:r>
      <w:r w:rsidR="00B84AF2" w:rsidRPr="0079022B">
        <w:noBreakHyphen/>
      </w:r>
      <w:r w:rsidR="00694B3B" w:rsidRPr="0079022B">
        <w:t>05</w:t>
      </w:r>
      <w:r w:rsidR="00C30901" w:rsidRPr="0079022B">
        <w:t xml:space="preserve"> </w:t>
      </w:r>
      <w:r w:rsidR="001A143E" w:rsidRPr="0079022B">
        <w:t>to</w:t>
      </w:r>
      <w:r w:rsidRPr="0079022B">
        <w:t xml:space="preserve"> </w:t>
      </w:r>
      <w:r w:rsidR="00694B3B" w:rsidRPr="0079022B">
        <w:t>2013</w:t>
      </w:r>
      <w:r w:rsidR="00B84AF2" w:rsidRPr="0079022B">
        <w:noBreakHyphen/>
      </w:r>
      <w:r w:rsidR="00694B3B" w:rsidRPr="0079022B">
        <w:t xml:space="preserve">14 </w:t>
      </w:r>
      <w:r w:rsidRPr="0079022B">
        <w:t>are reported in table</w:t>
      </w:r>
      <w:r w:rsidR="00AE3578" w:rsidRPr="0079022B">
        <w:t> </w:t>
      </w:r>
      <w:r w:rsidRPr="0079022B">
        <w:t>14A.</w:t>
      </w:r>
      <w:r w:rsidR="00402536" w:rsidRPr="0079022B">
        <w:t>8</w:t>
      </w:r>
      <w:r w:rsidR="00AF3774">
        <w:t>4</w:t>
      </w:r>
      <w:r w:rsidRPr="0079022B">
        <w:t>.</w:t>
      </w:r>
    </w:p>
    <w:p w:rsidR="001F39F2" w:rsidRPr="0079022B" w:rsidRDefault="001A3B47" w:rsidP="00927A21">
      <w:pPr>
        <w:pStyle w:val="Heading4"/>
      </w:pPr>
      <w:r>
        <w:t>A</w:t>
      </w:r>
      <w:r w:rsidR="001F39F2" w:rsidRPr="0079022B">
        <w:t xml:space="preserve">dministrative cost </w:t>
      </w:r>
      <w:r w:rsidR="00927A21">
        <w:rPr>
          <w:rFonts w:cs="Arial"/>
        </w:rPr>
        <w:t>―</w:t>
      </w:r>
      <w:r w:rsidR="00927A21">
        <w:t xml:space="preserve"> </w:t>
      </w:r>
      <w:r w:rsidR="001F39F2" w:rsidRPr="0079022B">
        <w:t>Administrative expenditure as a proportion of total recurrent expenditure</w:t>
      </w:r>
    </w:p>
    <w:p w:rsidR="001F39F2" w:rsidRPr="0079022B" w:rsidRDefault="001F39F2" w:rsidP="00585E2C">
      <w:pPr>
        <w:pStyle w:val="BodyText"/>
        <w:tabs>
          <w:tab w:val="left" w:pos="3261"/>
        </w:tabs>
      </w:pPr>
      <w:r w:rsidRPr="0079022B">
        <w:t>‘Administrative expenditure as a proportion of total recurrent expenditure’ is an indicator of governments’ objective to provide specialist disability services in an efficient manner (box</w:t>
      </w:r>
      <w:r w:rsidR="00AE3578" w:rsidRPr="0079022B">
        <w:t> </w:t>
      </w:r>
      <w:r w:rsidRPr="0079022B">
        <w:t>14.</w:t>
      </w:r>
      <w:r w:rsidR="002C1E65" w:rsidRPr="0079022B">
        <w:t>1</w:t>
      </w:r>
      <w:r w:rsidR="00975BA7">
        <w:t>8</w:t>
      </w:r>
      <w:r w:rsidRPr="0079022B">
        <w:t>). The proportion of total expenditure on administration is not yet comparable across jurisdictions</w:t>
      </w:r>
      <w:r w:rsidR="000E231C" w:rsidRPr="0079022B">
        <w:t>,</w:t>
      </w:r>
      <w:r w:rsidRPr="0079022B">
        <w:t xml:space="preserve"> as it is apportioned by jurisdictions using different methods</w:t>
      </w:r>
      <w:r w:rsidR="00BA1D8F" w:rsidRPr="0079022B">
        <w:t xml:space="preserve"> </w:t>
      </w:r>
      <w:r w:rsidRPr="0079022B">
        <w:t>(table</w:t>
      </w:r>
      <w:r w:rsidR="00556562" w:rsidRPr="0079022B">
        <w:t> </w:t>
      </w:r>
      <w:r w:rsidRPr="0079022B">
        <w:t>14A.</w:t>
      </w:r>
      <w:r w:rsidR="00AF3774">
        <w:t>88</w:t>
      </w:r>
      <w:r w:rsidRPr="0079022B">
        <w:t xml:space="preserve">). However, administrative expenditure data can indicate trends </w:t>
      </w:r>
      <w:r w:rsidR="000874CB" w:rsidRPr="0079022B">
        <w:t>within jurisdictions over time.</w:t>
      </w:r>
    </w:p>
    <w:p w:rsidR="000874CB" w:rsidRPr="00B86C20" w:rsidRDefault="000874C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022B" w:rsidRPr="0079022B" w:rsidTr="00C827D5">
        <w:tc>
          <w:tcPr>
            <w:tcW w:w="8771" w:type="dxa"/>
            <w:tcBorders>
              <w:top w:val="single" w:sz="6" w:space="0" w:color="78A22F"/>
              <w:left w:val="nil"/>
              <w:bottom w:val="nil"/>
              <w:right w:val="nil"/>
            </w:tcBorders>
            <w:shd w:val="clear" w:color="auto" w:fill="F2F2F2"/>
          </w:tcPr>
          <w:p w:rsidR="000874CB" w:rsidRPr="0079022B" w:rsidRDefault="000874CB" w:rsidP="000874CB">
            <w:pPr>
              <w:pStyle w:val="BoxTitle"/>
            </w:pPr>
            <w:r w:rsidRPr="0079022B">
              <w:rPr>
                <w:b w:val="0"/>
              </w:rPr>
              <w:t xml:space="preserve">Box </w:t>
            </w:r>
            <w:r w:rsidR="00321568" w:rsidRPr="0079022B">
              <w:rPr>
                <w:b w:val="0"/>
              </w:rPr>
              <w:t>14.</w:t>
            </w:r>
            <w:r w:rsidR="004B691F">
              <w:rPr>
                <w:b w:val="0"/>
                <w:noProof/>
              </w:rPr>
              <w:t>18</w:t>
            </w:r>
            <w:r w:rsidRPr="0079022B">
              <w:tab/>
              <w:t>Administrative expenditure as a proportion of total recurrent expenditure</w:t>
            </w:r>
          </w:p>
        </w:tc>
      </w:tr>
      <w:tr w:rsidR="0079022B" w:rsidRPr="0079022B" w:rsidTr="00C827D5">
        <w:trPr>
          <w:cantSplit/>
        </w:trPr>
        <w:tc>
          <w:tcPr>
            <w:tcW w:w="8771" w:type="dxa"/>
            <w:tcBorders>
              <w:top w:val="nil"/>
              <w:left w:val="nil"/>
              <w:bottom w:val="nil"/>
              <w:right w:val="nil"/>
            </w:tcBorders>
            <w:shd w:val="clear" w:color="auto" w:fill="F2F2F2"/>
          </w:tcPr>
          <w:p w:rsidR="000874CB" w:rsidRPr="0079022B" w:rsidRDefault="000874CB" w:rsidP="000874CB">
            <w:pPr>
              <w:pStyle w:val="Box"/>
            </w:pPr>
            <w:r w:rsidRPr="0079022B">
              <w:t>‘Administrative expenditure as a proportion of total recurrent expenditure’ is defined as government expenditure on administration as a proportion of total recurrent NDA expenditure. Major capital grants to non</w:t>
            </w:r>
            <w:r w:rsidR="00B84AF2" w:rsidRPr="0079022B">
              <w:noBreakHyphen/>
            </w:r>
            <w:r w:rsidRPr="0079022B">
              <w:t>government service providers are excluded to improve comparability across jurisdictions and over time.</w:t>
            </w:r>
          </w:p>
          <w:p w:rsidR="000874CB" w:rsidRPr="0079022B" w:rsidRDefault="000874CB" w:rsidP="000874CB">
            <w:pPr>
              <w:pStyle w:val="Box"/>
            </w:pPr>
            <w:r w:rsidRPr="0079022B">
              <w:t>Holding other factors constant (such as service quality and accessibility), lower or decreasing administrative expenditure as a proportion of total recurrent NDA expenditure might reflect an increase in administrative efficiency.</w:t>
            </w:r>
          </w:p>
          <w:p w:rsidR="000874CB" w:rsidRPr="0079022B" w:rsidRDefault="000874CB" w:rsidP="000874CB">
            <w:pPr>
              <w:pStyle w:val="Box"/>
            </w:pPr>
            <w:r w:rsidRPr="0079022B">
              <w:t>Efficiency data are difficult to interpret. Although high or increasing administrative expenditure as a proportion of total expenditure may reflect deteriorating efficiency, it may also reflect improvements in the quality or attributes of the administrative services provided. Similarly, low or decreasing administrative expenditure as a proportion of total expenditure may reflect improving efficiency, or lower quality and less effective administrative services. This may in turn affect service delivery effectiveness. Efficiency data therefore should be interpreted within the context of the effectiveness and equity indicators to derive a holistic view of performance.</w:t>
            </w:r>
          </w:p>
          <w:p w:rsidR="000874CB" w:rsidRPr="0079022B" w:rsidRDefault="000874CB" w:rsidP="000874CB">
            <w:pPr>
              <w:pStyle w:val="Box"/>
            </w:pPr>
            <w:r w:rsidRPr="0079022B">
              <w:t>Data reported for this measure are:</w:t>
            </w:r>
          </w:p>
          <w:p w:rsidR="000874CB" w:rsidRPr="0079022B" w:rsidRDefault="000874CB" w:rsidP="000874CB">
            <w:pPr>
              <w:pStyle w:val="BoxListBullet"/>
              <w:keepLines/>
            </w:pPr>
            <w:r w:rsidRPr="0079022B">
              <w:t>comparable (subject to caveats) within some jurisdictions over time but are not comparable across jurisdictions or over time for other jurisdictions (see caveats in attachment tables for specific jurisdictions)</w:t>
            </w:r>
          </w:p>
          <w:p w:rsidR="000874CB" w:rsidRPr="0079022B" w:rsidRDefault="000874CB" w:rsidP="000874CB">
            <w:pPr>
              <w:pStyle w:val="BoxListBullet"/>
              <w:keepLines/>
            </w:pPr>
            <w:r w:rsidRPr="0079022B">
              <w:t xml:space="preserve">complete (subject to caveats) for the current reporting period. All required </w:t>
            </w:r>
            <w:r w:rsidR="009E36A9">
              <w:t>2014</w:t>
            </w:r>
            <w:r w:rsidR="005547FD">
              <w:noBreakHyphen/>
            </w:r>
            <w:r w:rsidR="009E36A9">
              <w:t>15</w:t>
            </w:r>
            <w:r w:rsidR="00403B34" w:rsidRPr="0079022B">
              <w:t xml:space="preserve"> </w:t>
            </w:r>
            <w:r w:rsidRPr="0079022B">
              <w:t>data are available for all jurisdictions.</w:t>
            </w:r>
          </w:p>
          <w:p w:rsidR="000874CB" w:rsidRPr="0079022B" w:rsidRDefault="000874CB" w:rsidP="000874CB">
            <w:pPr>
              <w:pStyle w:val="Box"/>
            </w:pPr>
            <w:r w:rsidRPr="0079022B">
              <w:t>Data quality information for this indicator is under development.</w:t>
            </w:r>
          </w:p>
        </w:tc>
      </w:tr>
      <w:tr w:rsidR="000874CB" w:rsidRPr="00B86C20" w:rsidTr="00C827D5">
        <w:trPr>
          <w:cantSplit/>
        </w:trPr>
        <w:tc>
          <w:tcPr>
            <w:tcW w:w="8771" w:type="dxa"/>
            <w:tcBorders>
              <w:top w:val="nil"/>
              <w:left w:val="nil"/>
              <w:bottom w:val="single" w:sz="6" w:space="0" w:color="78A22F"/>
              <w:right w:val="nil"/>
            </w:tcBorders>
            <w:shd w:val="clear" w:color="auto" w:fill="F2F2F2"/>
          </w:tcPr>
          <w:p w:rsidR="000874CB" w:rsidRPr="00B86C20" w:rsidRDefault="000874CB">
            <w:pPr>
              <w:pStyle w:val="Box"/>
              <w:spacing w:before="0" w:line="120" w:lineRule="exact"/>
              <w:rPr>
                <w:color w:val="808080" w:themeColor="background1" w:themeShade="80"/>
              </w:rPr>
            </w:pPr>
          </w:p>
        </w:tc>
      </w:tr>
      <w:tr w:rsidR="000874CB" w:rsidRPr="006025BC" w:rsidTr="00C827D5">
        <w:tc>
          <w:tcPr>
            <w:tcW w:w="8771" w:type="dxa"/>
            <w:tcBorders>
              <w:top w:val="single" w:sz="6" w:space="0" w:color="78A22F"/>
              <w:left w:val="nil"/>
              <w:bottom w:val="nil"/>
              <w:right w:val="nil"/>
            </w:tcBorders>
          </w:tcPr>
          <w:p w:rsidR="000874CB" w:rsidRPr="006025BC" w:rsidRDefault="000874CB" w:rsidP="00C827D5">
            <w:pPr>
              <w:pStyle w:val="BoxSpaceBelow"/>
              <w:rPr>
                <w:color w:val="808080" w:themeColor="background1" w:themeShade="80"/>
              </w:rPr>
            </w:pPr>
          </w:p>
        </w:tc>
      </w:tr>
    </w:tbl>
    <w:p w:rsidR="001F39F2" w:rsidRPr="006025BC" w:rsidRDefault="001F39F2" w:rsidP="00585E2C">
      <w:pPr>
        <w:pStyle w:val="BodyText"/>
      </w:pPr>
      <w:r w:rsidRPr="006025BC">
        <w:t xml:space="preserve">Nationally, administrative expenditure as a proportion of total government expenditure on specialist disability services (excluding </w:t>
      </w:r>
      <w:r w:rsidR="008F638F" w:rsidRPr="006025BC">
        <w:t xml:space="preserve">actual and imputed </w:t>
      </w:r>
      <w:r w:rsidRPr="006025BC">
        <w:t>payroll</w:t>
      </w:r>
      <w:r w:rsidR="008F638F" w:rsidRPr="006025BC">
        <w:t> </w:t>
      </w:r>
      <w:r w:rsidRPr="006025BC">
        <w:t xml:space="preserve">tax) </w:t>
      </w:r>
      <w:r w:rsidR="008F638F" w:rsidRPr="006025BC">
        <w:t>decreased</w:t>
      </w:r>
      <w:r w:rsidR="000E231C" w:rsidRPr="006025BC">
        <w:t xml:space="preserve"> </w:t>
      </w:r>
      <w:r w:rsidRPr="006025BC">
        <w:t xml:space="preserve">from </w:t>
      </w:r>
      <w:r w:rsidR="00736BFE">
        <w:t>6.6</w:t>
      </w:r>
      <w:r w:rsidR="008F638F" w:rsidRPr="006025BC">
        <w:t> </w:t>
      </w:r>
      <w:r w:rsidRPr="006025BC">
        <w:t>per</w:t>
      </w:r>
      <w:r w:rsidR="008F638F" w:rsidRPr="006025BC">
        <w:t> </w:t>
      </w:r>
      <w:r w:rsidRPr="006025BC">
        <w:t xml:space="preserve">cent in </w:t>
      </w:r>
      <w:r w:rsidR="00403B34" w:rsidRPr="006025BC">
        <w:t>2013</w:t>
      </w:r>
      <w:r w:rsidR="00B84AF2" w:rsidRPr="006025BC">
        <w:noBreakHyphen/>
      </w:r>
      <w:r w:rsidR="00403B34" w:rsidRPr="006025BC">
        <w:t xml:space="preserve">14 </w:t>
      </w:r>
      <w:r w:rsidRPr="006025BC">
        <w:t xml:space="preserve">to </w:t>
      </w:r>
      <w:r w:rsidR="00736BFE">
        <w:t>6.3</w:t>
      </w:r>
      <w:r w:rsidR="008F638F" w:rsidRPr="006025BC">
        <w:t> </w:t>
      </w:r>
      <w:r w:rsidRPr="006025BC">
        <w:t>per</w:t>
      </w:r>
      <w:r w:rsidR="008F638F" w:rsidRPr="006025BC">
        <w:t> </w:t>
      </w:r>
      <w:r w:rsidRPr="006025BC">
        <w:t xml:space="preserve">cent in </w:t>
      </w:r>
      <w:r w:rsidR="00403B34" w:rsidRPr="006025BC">
        <w:t>2014</w:t>
      </w:r>
      <w:r w:rsidR="00B84AF2" w:rsidRPr="006025BC">
        <w:noBreakHyphen/>
      </w:r>
      <w:r w:rsidR="00403B34" w:rsidRPr="006025BC">
        <w:t xml:space="preserve">15 </w:t>
      </w:r>
      <w:r w:rsidRPr="006025BC">
        <w:t>(figure</w:t>
      </w:r>
      <w:r w:rsidR="008F638F" w:rsidRPr="006025BC">
        <w:t> </w:t>
      </w:r>
      <w:r w:rsidR="001A3B47">
        <w:t>14.3</w:t>
      </w:r>
      <w:r w:rsidR="00F61907">
        <w:t>1</w:t>
      </w:r>
      <w:r w:rsidRPr="006025BC">
        <w:t xml:space="preserve">). When actual or imputed payroll tax is included, the average national administrative expenditure as a proportion of </w:t>
      </w:r>
      <w:r w:rsidRPr="006025BC">
        <w:lastRenderedPageBreak/>
        <w:t xml:space="preserve">total NDA expenditure </w:t>
      </w:r>
      <w:r w:rsidRPr="00736BFE">
        <w:t xml:space="preserve">was </w:t>
      </w:r>
      <w:r w:rsidR="00736BFE" w:rsidRPr="00736BFE">
        <w:t>6.2</w:t>
      </w:r>
      <w:r w:rsidR="008F638F" w:rsidRPr="00736BFE">
        <w:t> </w:t>
      </w:r>
      <w:r w:rsidRPr="00736BFE">
        <w:t>per</w:t>
      </w:r>
      <w:r w:rsidR="008F638F" w:rsidRPr="006025BC">
        <w:t> </w:t>
      </w:r>
      <w:r w:rsidRPr="006025BC">
        <w:t xml:space="preserve">cent in </w:t>
      </w:r>
      <w:r w:rsidR="00403B34" w:rsidRPr="006025BC">
        <w:t>2014</w:t>
      </w:r>
      <w:r w:rsidR="00B84AF2" w:rsidRPr="006025BC">
        <w:noBreakHyphen/>
      </w:r>
      <w:r w:rsidR="00403B34" w:rsidRPr="006025BC">
        <w:t xml:space="preserve">15 </w:t>
      </w:r>
      <w:r w:rsidRPr="006025BC">
        <w:t>(table</w:t>
      </w:r>
      <w:r w:rsidR="00AE3578" w:rsidRPr="006025BC">
        <w:t> </w:t>
      </w:r>
      <w:r w:rsidRPr="006025BC">
        <w:t>14A.</w:t>
      </w:r>
      <w:r w:rsidR="00AF3774">
        <w:t>88</w:t>
      </w:r>
      <w:r w:rsidRPr="006025BC">
        <w:t>). Real total NDA expenditure is reported in table</w:t>
      </w:r>
      <w:r w:rsidR="00AE3578" w:rsidRPr="006025BC">
        <w:t> </w:t>
      </w:r>
      <w:r w:rsidRPr="006025BC">
        <w:t>14A.</w:t>
      </w:r>
      <w:r w:rsidR="00402536" w:rsidRPr="006025BC">
        <w:t>9</w:t>
      </w:r>
      <w:r w:rsidRPr="006025BC">
        <w:t>, both excluding and including actual or imputed payroll tax amounts.</w:t>
      </w:r>
      <w:r w:rsidR="00983609" w:rsidRPr="006025BC">
        <w:t xml:space="preserve"> </w:t>
      </w:r>
    </w:p>
    <w:p w:rsidR="00984C70" w:rsidRPr="006025BC" w:rsidRDefault="00984C7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1413" w:rsidRPr="006025BC" w:rsidTr="00DD33DF">
        <w:tc>
          <w:tcPr>
            <w:tcW w:w="8771" w:type="dxa"/>
            <w:tcBorders>
              <w:top w:val="single" w:sz="6" w:space="0" w:color="78A22F"/>
              <w:left w:val="nil"/>
              <w:bottom w:val="nil"/>
              <w:right w:val="nil"/>
            </w:tcBorders>
            <w:shd w:val="clear" w:color="auto" w:fill="auto"/>
          </w:tcPr>
          <w:p w:rsidR="00984C70" w:rsidRPr="006025BC" w:rsidRDefault="00984C70" w:rsidP="0079022B">
            <w:pPr>
              <w:pStyle w:val="FigureTitle"/>
            </w:pPr>
            <w:r w:rsidRPr="006025BC">
              <w:rPr>
                <w:b w:val="0"/>
              </w:rPr>
              <w:t xml:space="preserve">Figure </w:t>
            </w:r>
            <w:bookmarkStart w:id="46" w:name="OLE_LINK43"/>
            <w:r w:rsidR="00321568" w:rsidRPr="006025BC">
              <w:rPr>
                <w:b w:val="0"/>
              </w:rPr>
              <w:t>14.</w:t>
            </w:r>
            <w:r w:rsidR="004B691F">
              <w:rPr>
                <w:b w:val="0"/>
                <w:noProof/>
              </w:rPr>
              <w:t>31</w:t>
            </w:r>
            <w:bookmarkEnd w:id="46"/>
            <w:r w:rsidRPr="006025BC">
              <w:tab/>
              <w:t>Administrative expenditure as a proportion of total recurrent expenditure</w:t>
            </w:r>
            <w:r w:rsidR="009E36A9">
              <w:t xml:space="preserve"> (excluding payroll tax)</w:t>
            </w:r>
            <w:r w:rsidR="009E36A9">
              <w:rPr>
                <w:rStyle w:val="NoteLabel"/>
                <w:b/>
              </w:rPr>
              <w:t>a</w:t>
            </w:r>
          </w:p>
        </w:tc>
      </w:tr>
      <w:tr w:rsidR="00984C70" w:rsidRPr="006025BC"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84C70" w:rsidRPr="006025BC" w:rsidTr="00DD33DF">
              <w:trPr>
                <w:jc w:val="center"/>
              </w:trPr>
              <w:tc>
                <w:tcPr>
                  <w:tcW w:w="5000" w:type="pct"/>
                  <w:tcBorders>
                    <w:top w:val="nil"/>
                    <w:bottom w:val="nil"/>
                  </w:tcBorders>
                </w:tcPr>
                <w:p w:rsidR="00984C70" w:rsidRPr="006025BC" w:rsidRDefault="00AB345E" w:rsidP="00DD33DF">
                  <w:pPr>
                    <w:pStyle w:val="Figure"/>
                    <w:spacing w:before="60" w:after="60"/>
                  </w:pPr>
                  <w:r>
                    <w:rPr>
                      <w:noProof/>
                    </w:rPr>
                    <w:drawing>
                      <wp:inline distT="0" distB="0" distL="0" distR="0">
                        <wp:extent cx="5248910" cy="2683510"/>
                        <wp:effectExtent l="0" t="0" r="8890" b="2540"/>
                        <wp:docPr id="64" name="Picture 64" descr="Figure 14.31 Administrative expenditure as a proportion of total recurrent expenditure (excluding payroll tax)&#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248910" cy="2683510"/>
                                </a:xfrm>
                                <a:prstGeom prst="rect">
                                  <a:avLst/>
                                </a:prstGeom>
                                <a:noFill/>
                                <a:ln>
                                  <a:noFill/>
                                </a:ln>
                              </pic:spPr>
                            </pic:pic>
                          </a:graphicData>
                        </a:graphic>
                      </wp:inline>
                    </w:drawing>
                  </w:r>
                </w:p>
              </w:tc>
            </w:tr>
          </w:tbl>
          <w:p w:rsidR="00984C70" w:rsidRPr="006025BC" w:rsidRDefault="00984C70" w:rsidP="00DD33DF">
            <w:pPr>
              <w:pStyle w:val="Figure"/>
            </w:pPr>
          </w:p>
        </w:tc>
      </w:tr>
      <w:tr w:rsidR="00886762" w:rsidRPr="006025BC" w:rsidTr="00DD33DF">
        <w:tc>
          <w:tcPr>
            <w:tcW w:w="8771" w:type="dxa"/>
            <w:tcBorders>
              <w:top w:val="nil"/>
              <w:left w:val="nil"/>
              <w:bottom w:val="nil"/>
              <w:right w:val="nil"/>
            </w:tcBorders>
            <w:shd w:val="clear" w:color="auto" w:fill="auto"/>
          </w:tcPr>
          <w:p w:rsidR="00984C70" w:rsidRPr="006025BC" w:rsidRDefault="00984C70" w:rsidP="00AF3774">
            <w:pPr>
              <w:pStyle w:val="Note"/>
              <w:ind w:hanging="22"/>
            </w:pPr>
            <w:r w:rsidRPr="006025BC">
              <w:rPr>
                <w:rStyle w:val="NoteLabel"/>
              </w:rPr>
              <w:t>a</w:t>
            </w:r>
            <w:r w:rsidRPr="006025BC">
              <w:sym w:font="Symbol" w:char="F020"/>
            </w:r>
            <w:r w:rsidRPr="006025BC">
              <w:t xml:space="preserve"> </w:t>
            </w:r>
            <w:r w:rsidR="006025BC">
              <w:t>See box</w:t>
            </w:r>
            <w:r w:rsidR="005547FD">
              <w:t> </w:t>
            </w:r>
            <w:r w:rsidR="006025BC">
              <w:t>14.18</w:t>
            </w:r>
            <w:r w:rsidR="00C30901" w:rsidRPr="006025BC">
              <w:t xml:space="preserve"> and table 14A.</w:t>
            </w:r>
            <w:r w:rsidR="00AF3774">
              <w:t>88</w:t>
            </w:r>
            <w:r w:rsidR="00AF3774" w:rsidRPr="006025BC">
              <w:t xml:space="preserve"> </w:t>
            </w:r>
            <w:r w:rsidR="00C30901" w:rsidRPr="006025BC">
              <w:t xml:space="preserve">for detailed </w:t>
            </w:r>
            <w:r w:rsidR="003D7F75">
              <w:t>definitions, footnotes and caveats</w:t>
            </w:r>
            <w:r w:rsidR="00C30901" w:rsidRPr="006025BC">
              <w:t>.</w:t>
            </w:r>
          </w:p>
        </w:tc>
      </w:tr>
      <w:tr w:rsidR="00984C70" w:rsidRPr="00191413" w:rsidTr="00DD33DF">
        <w:tc>
          <w:tcPr>
            <w:tcW w:w="8771" w:type="dxa"/>
            <w:tcBorders>
              <w:top w:val="nil"/>
              <w:left w:val="nil"/>
              <w:bottom w:val="nil"/>
              <w:right w:val="nil"/>
            </w:tcBorders>
            <w:shd w:val="clear" w:color="auto" w:fill="auto"/>
          </w:tcPr>
          <w:p w:rsidR="00984C70" w:rsidRPr="00191413" w:rsidRDefault="00984C70" w:rsidP="00AF3774">
            <w:pPr>
              <w:pStyle w:val="Source"/>
            </w:pPr>
            <w:r w:rsidRPr="006025BC">
              <w:rPr>
                <w:i/>
              </w:rPr>
              <w:t>Source</w:t>
            </w:r>
            <w:r w:rsidRPr="006025BC">
              <w:t>: Australian, State and Territory governments (unpublished); table 14A.</w:t>
            </w:r>
            <w:r w:rsidR="00AF3774">
              <w:t>88</w:t>
            </w:r>
            <w:r w:rsidRPr="006025BC">
              <w:t>.</w:t>
            </w:r>
          </w:p>
        </w:tc>
      </w:tr>
      <w:tr w:rsidR="00886762" w:rsidRPr="00191413" w:rsidTr="00DD33DF">
        <w:tc>
          <w:tcPr>
            <w:tcW w:w="8771" w:type="dxa"/>
            <w:tcBorders>
              <w:top w:val="nil"/>
              <w:left w:val="nil"/>
              <w:bottom w:val="single" w:sz="6" w:space="0" w:color="78A22F"/>
              <w:right w:val="nil"/>
            </w:tcBorders>
            <w:shd w:val="clear" w:color="auto" w:fill="auto"/>
          </w:tcPr>
          <w:p w:rsidR="00984C70" w:rsidRPr="00191413" w:rsidRDefault="00984C70" w:rsidP="00DD33DF">
            <w:pPr>
              <w:pStyle w:val="Figurespace"/>
            </w:pPr>
          </w:p>
        </w:tc>
      </w:tr>
      <w:tr w:rsidR="00984C70" w:rsidRPr="00191413" w:rsidTr="00DD33DF">
        <w:tc>
          <w:tcPr>
            <w:tcW w:w="8771" w:type="dxa"/>
            <w:tcBorders>
              <w:top w:val="single" w:sz="6" w:space="0" w:color="78A22F"/>
              <w:left w:val="nil"/>
              <w:bottom w:val="nil"/>
              <w:right w:val="nil"/>
            </w:tcBorders>
          </w:tcPr>
          <w:p w:rsidR="00984C70" w:rsidRPr="00191413" w:rsidRDefault="00984C70" w:rsidP="00DD33DF">
            <w:pPr>
              <w:pStyle w:val="BoxSpaceBelow"/>
            </w:pPr>
          </w:p>
        </w:tc>
      </w:tr>
    </w:tbl>
    <w:p w:rsidR="001F39F2" w:rsidRPr="00191413" w:rsidRDefault="001F39F2" w:rsidP="00585E2C">
      <w:pPr>
        <w:pStyle w:val="Heading3"/>
      </w:pPr>
      <w:r w:rsidRPr="00191413">
        <w:t>Outcomes</w:t>
      </w:r>
    </w:p>
    <w:p w:rsidR="001F39F2" w:rsidRPr="00191413" w:rsidRDefault="001F39F2" w:rsidP="00585E2C">
      <w:pPr>
        <w:pStyle w:val="BodyText"/>
        <w:rPr>
          <w:szCs w:val="26"/>
        </w:rPr>
      </w:pPr>
      <w:r w:rsidRPr="00191413">
        <w:rPr>
          <w:szCs w:val="26"/>
        </w:rPr>
        <w:t>Outcomes are the impact of services on the st</w:t>
      </w:r>
      <w:r w:rsidR="00C20C63">
        <w:rPr>
          <w:szCs w:val="26"/>
        </w:rPr>
        <w:t xml:space="preserve">atus of an individual or group </w:t>
      </w:r>
      <w:r w:rsidRPr="00191413">
        <w:rPr>
          <w:szCs w:val="26"/>
        </w:rPr>
        <w:t>(see chapter</w:t>
      </w:r>
      <w:r w:rsidR="005547FD">
        <w:rPr>
          <w:szCs w:val="26"/>
        </w:rPr>
        <w:t> </w:t>
      </w:r>
      <w:r w:rsidRPr="00191413">
        <w:rPr>
          <w:szCs w:val="26"/>
        </w:rPr>
        <w:t>1, section</w:t>
      </w:r>
      <w:r w:rsidR="005547FD">
        <w:rPr>
          <w:szCs w:val="26"/>
        </w:rPr>
        <w:t> </w:t>
      </w:r>
      <w:r w:rsidRPr="00191413">
        <w:rPr>
          <w:szCs w:val="26"/>
        </w:rPr>
        <w:t>1.5).</w:t>
      </w:r>
      <w:r w:rsidR="00033C37" w:rsidRPr="00033C37">
        <w:rPr>
          <w:szCs w:val="26"/>
        </w:rPr>
        <w:t xml:space="preserve"> </w:t>
      </w:r>
      <w:r w:rsidR="00033C37" w:rsidRPr="00191413">
        <w:rPr>
          <w:szCs w:val="26"/>
        </w:rPr>
        <w:t xml:space="preserve">For the outcome indicators reported using survey data, 95 per cent confidence intervals are presented. </w:t>
      </w:r>
      <w:r w:rsidR="00033C37">
        <w:rPr>
          <w:szCs w:val="26"/>
        </w:rPr>
        <w:t xml:space="preserve">Information on the use of confidence intervals in the Report can be found in </w:t>
      </w:r>
      <w:r w:rsidR="005547FD">
        <w:rPr>
          <w:szCs w:val="26"/>
        </w:rPr>
        <w:t>c</w:t>
      </w:r>
      <w:r w:rsidR="00033C37">
        <w:rPr>
          <w:szCs w:val="26"/>
        </w:rPr>
        <w:t>hapter</w:t>
      </w:r>
      <w:r w:rsidR="005547FD">
        <w:rPr>
          <w:szCs w:val="26"/>
        </w:rPr>
        <w:t> </w:t>
      </w:r>
      <w:r w:rsidR="00033C37">
        <w:rPr>
          <w:szCs w:val="26"/>
        </w:rPr>
        <w:t>2.</w:t>
      </w:r>
    </w:p>
    <w:p w:rsidR="001F39F2" w:rsidRPr="00191413" w:rsidRDefault="001F39F2" w:rsidP="00927A21">
      <w:pPr>
        <w:pStyle w:val="Heading4"/>
        <w:rPr>
          <w:sz w:val="20"/>
        </w:rPr>
      </w:pPr>
      <w:r w:rsidRPr="00191413">
        <w:t xml:space="preserve">Labour force participation and employment of people with disability </w:t>
      </w:r>
    </w:p>
    <w:p w:rsidR="00F02BED" w:rsidRPr="00191413" w:rsidRDefault="001F39F2" w:rsidP="00F02BED">
      <w:pPr>
        <w:pStyle w:val="BodyText"/>
        <w:rPr>
          <w:szCs w:val="26"/>
        </w:rPr>
      </w:pPr>
      <w:r w:rsidRPr="00191413">
        <w:rPr>
          <w:szCs w:val="26"/>
        </w:rPr>
        <w:t xml:space="preserve">‘Labour force participation and employment of people with disability’ is an indicator of governments’ objective of assisting people with disability to participate fully in the community </w:t>
      </w:r>
      <w:r w:rsidRPr="00191413">
        <w:t>(box</w:t>
      </w:r>
      <w:r w:rsidR="00AE3578" w:rsidRPr="00191413">
        <w:t> </w:t>
      </w:r>
      <w:r w:rsidRPr="00191413">
        <w:t>14.</w:t>
      </w:r>
      <w:r w:rsidR="00975BA7">
        <w:t>19</w:t>
      </w:r>
      <w:r w:rsidRPr="00191413">
        <w:t>).</w:t>
      </w:r>
      <w:r w:rsidRPr="00191413">
        <w:rPr>
          <w:szCs w:val="26"/>
        </w:rPr>
        <w:t xml:space="preserve"> Participation in the labour force and employment is important to the overall wellbeing of people with disability, providing opportunities for </w:t>
      </w:r>
      <w:r w:rsidR="000E231C" w:rsidRPr="00191413">
        <w:rPr>
          <w:szCs w:val="26"/>
        </w:rPr>
        <w:t>personal</w:t>
      </w:r>
      <w:r w:rsidRPr="00191413">
        <w:rPr>
          <w:szCs w:val="26"/>
        </w:rPr>
        <w:t xml:space="preserve"> development and financial independence.</w:t>
      </w:r>
    </w:p>
    <w:p w:rsidR="000874CB" w:rsidRPr="00B86C20" w:rsidRDefault="00DF5879" w:rsidP="00960B72">
      <w:pPr>
        <w:pStyle w:val="BoxSpaceAbove"/>
      </w:pPr>
      <w:r w:rsidRPr="00B86C20">
        <w:lastRenderedPageBreak/>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74CB" w:rsidRPr="00191413" w:rsidTr="00C827D5">
        <w:tc>
          <w:tcPr>
            <w:tcW w:w="8771" w:type="dxa"/>
            <w:tcBorders>
              <w:top w:val="single" w:sz="6" w:space="0" w:color="78A22F"/>
              <w:left w:val="nil"/>
              <w:bottom w:val="nil"/>
              <w:right w:val="nil"/>
            </w:tcBorders>
            <w:shd w:val="clear" w:color="auto" w:fill="F2F2F2"/>
          </w:tcPr>
          <w:p w:rsidR="000874CB" w:rsidRPr="00191413" w:rsidRDefault="000874CB" w:rsidP="000874CB">
            <w:pPr>
              <w:pStyle w:val="BoxTitle"/>
            </w:pPr>
            <w:r w:rsidRPr="00191413">
              <w:rPr>
                <w:b w:val="0"/>
              </w:rPr>
              <w:t xml:space="preserve">Box </w:t>
            </w:r>
            <w:r w:rsidR="00321568" w:rsidRPr="00191413">
              <w:rPr>
                <w:b w:val="0"/>
              </w:rPr>
              <w:t>14.</w:t>
            </w:r>
            <w:r w:rsidR="004B691F">
              <w:rPr>
                <w:b w:val="0"/>
                <w:noProof/>
              </w:rPr>
              <w:t>19</w:t>
            </w:r>
            <w:r w:rsidRPr="00191413">
              <w:tab/>
              <w:t>Labour force participation and employment of people with disability</w:t>
            </w:r>
          </w:p>
        </w:tc>
      </w:tr>
      <w:tr w:rsidR="000874CB" w:rsidRPr="00191413" w:rsidTr="00C827D5">
        <w:trPr>
          <w:cantSplit/>
        </w:trPr>
        <w:tc>
          <w:tcPr>
            <w:tcW w:w="8771" w:type="dxa"/>
            <w:tcBorders>
              <w:top w:val="nil"/>
              <w:left w:val="nil"/>
              <w:bottom w:val="nil"/>
              <w:right w:val="nil"/>
            </w:tcBorders>
            <w:shd w:val="clear" w:color="auto" w:fill="F2F2F2"/>
          </w:tcPr>
          <w:p w:rsidR="000874CB" w:rsidRPr="00191413" w:rsidRDefault="000874CB" w:rsidP="000874CB">
            <w:pPr>
              <w:pStyle w:val="Box"/>
            </w:pPr>
            <w:r w:rsidRPr="00191413">
              <w:t>‘Labour force participation and employment of people with disability’ is defined as the labour force participation and employment rates of people aged 15–64 years with a profound or severe core activity limitation. Labour force participation rates and employment rates of people aged 15–64 years without a profound or severe core activity limitation are also reported.</w:t>
            </w:r>
          </w:p>
          <w:p w:rsidR="000874CB" w:rsidRPr="00191413" w:rsidRDefault="00966883" w:rsidP="000874CB">
            <w:pPr>
              <w:pStyle w:val="Box"/>
            </w:pPr>
            <w:r w:rsidRPr="00191413">
              <w:t>T</w:t>
            </w:r>
            <w:r w:rsidR="00F30597" w:rsidRPr="00191413">
              <w:t>w</w:t>
            </w:r>
            <w:r w:rsidRPr="00191413">
              <w:t>o measures are reported</w:t>
            </w:r>
            <w:r w:rsidR="000874CB" w:rsidRPr="00191413">
              <w:t>:</w:t>
            </w:r>
          </w:p>
          <w:p w:rsidR="000874CB" w:rsidRPr="00191413" w:rsidRDefault="000874CB" w:rsidP="00AE3578">
            <w:pPr>
              <w:pStyle w:val="BoxListBullet"/>
            </w:pPr>
            <w:r w:rsidRPr="00191413">
              <w:t xml:space="preserve">employment to population rate for people with disability aged 15–64 years, by disability status </w:t>
            </w:r>
          </w:p>
          <w:p w:rsidR="000874CB" w:rsidRPr="00AF3774" w:rsidRDefault="000874CB" w:rsidP="00C175E9">
            <w:pPr>
              <w:pStyle w:val="BoxListBullet"/>
            </w:pPr>
            <w:r w:rsidRPr="00AF3774">
              <w:t>unemployment rate for people with disability aged 15–64 years, all with reported disability, by disability status.</w:t>
            </w:r>
            <w:r w:rsidR="00C175E9">
              <w:t xml:space="preserve"> </w:t>
            </w:r>
          </w:p>
          <w:p w:rsidR="000874CB" w:rsidRPr="00191413" w:rsidRDefault="000874CB" w:rsidP="000874CB">
            <w:pPr>
              <w:pStyle w:val="Box"/>
            </w:pPr>
            <w:r w:rsidRPr="00191413">
              <w:t>High or increasing labour force participation and employment rates for people with disability are desirable. Higher rates are likely to increase the quality of life of people with disability by providing greater opportunities for self</w:t>
            </w:r>
            <w:r w:rsidRPr="00191413">
              <w:noBreakHyphen/>
              <w:t xml:space="preserve">development and for </w:t>
            </w:r>
            <w:r w:rsidRPr="00191413">
              <w:rPr>
                <w:szCs w:val="22"/>
              </w:rPr>
              <w:t>economic and social participation</w:t>
            </w:r>
            <w:r w:rsidRPr="00191413">
              <w:t xml:space="preserve">. </w:t>
            </w:r>
          </w:p>
          <w:p w:rsidR="000874CB" w:rsidRDefault="000874CB" w:rsidP="000874CB">
            <w:pPr>
              <w:pStyle w:val="Box"/>
            </w:pPr>
            <w:r w:rsidRPr="00191413">
              <w:t>This indicator does not provide information on why people choose not to participate in the labour force and why people are not employed. It also does not provide information on whether the employment positions are appropriate or fulfilling.</w:t>
            </w:r>
          </w:p>
          <w:p w:rsidR="00907A50" w:rsidRPr="00907A50" w:rsidRDefault="00E91AD7" w:rsidP="000874CB">
            <w:pPr>
              <w:pStyle w:val="Box"/>
            </w:pPr>
            <w:r>
              <w:t xml:space="preserve">Data for these measures </w:t>
            </w:r>
            <w:r w:rsidR="00907A50" w:rsidRPr="00907A50">
              <w:t>include 95 per cent confidence intervals (in the form of error bars in figures and percentages in tables).</w:t>
            </w:r>
            <w:r w:rsidR="00907A50">
              <w:t xml:space="preserve"> </w:t>
            </w:r>
          </w:p>
          <w:p w:rsidR="00265FEB" w:rsidRPr="00191413" w:rsidRDefault="00265FEB" w:rsidP="00265FEB">
            <w:pPr>
              <w:pStyle w:val="Box"/>
            </w:pPr>
            <w:r w:rsidRPr="00191413">
              <w:t xml:space="preserve">Data reported for </w:t>
            </w:r>
            <w:r w:rsidR="00E91AD7">
              <w:t>these</w:t>
            </w:r>
            <w:r w:rsidRPr="00191413">
              <w:t xml:space="preserve"> measure</w:t>
            </w:r>
            <w:r w:rsidR="00E91AD7">
              <w:t>s</w:t>
            </w:r>
            <w:r w:rsidR="00907A50">
              <w:rPr>
                <w:lang w:eastAsia="en-US"/>
              </w:rPr>
              <w:t xml:space="preserve"> are</w:t>
            </w:r>
            <w:r w:rsidRPr="00191413">
              <w:t>:</w:t>
            </w:r>
          </w:p>
          <w:p w:rsidR="00265FEB" w:rsidRPr="00191413" w:rsidRDefault="00265FEB" w:rsidP="00265FEB">
            <w:pPr>
              <w:pStyle w:val="BoxListBullet"/>
            </w:pPr>
            <w:r w:rsidRPr="00191413">
              <w:rPr>
                <w:lang w:eastAsia="en-US"/>
              </w:rPr>
              <w:t xml:space="preserve">comparable across jurisdictions and over time </w:t>
            </w:r>
          </w:p>
          <w:p w:rsidR="00265FEB" w:rsidRPr="00191413" w:rsidRDefault="00A847DD" w:rsidP="00265FEB">
            <w:pPr>
              <w:pStyle w:val="BoxListBullet"/>
              <w:rPr>
                <w:lang w:eastAsia="en-US"/>
              </w:rPr>
            </w:pPr>
            <w:r>
              <w:rPr>
                <w:lang w:eastAsia="en-US"/>
              </w:rPr>
              <w:t xml:space="preserve">are </w:t>
            </w:r>
            <w:r w:rsidR="00265FEB" w:rsidRPr="00191413">
              <w:rPr>
                <w:lang w:eastAsia="en-US"/>
              </w:rPr>
              <w:t>complete (subject to caveats) fo</w:t>
            </w:r>
            <w:r w:rsidR="00F27CD7">
              <w:rPr>
                <w:lang w:eastAsia="en-US"/>
              </w:rPr>
              <w:t>r the current reporting period</w:t>
            </w:r>
            <w:r w:rsidR="00907A50">
              <w:rPr>
                <w:lang w:eastAsia="en-US"/>
              </w:rPr>
              <w:t>.</w:t>
            </w:r>
          </w:p>
          <w:p w:rsidR="000874CB" w:rsidRPr="00191413" w:rsidRDefault="00802A7D" w:rsidP="000874CB">
            <w:pPr>
              <w:pStyle w:val="Box"/>
            </w:pPr>
            <w:r w:rsidRPr="00191413">
              <w:t>Data quality information for this in</w:t>
            </w:r>
            <w:r w:rsidR="0028432F" w:rsidRPr="00191413">
              <w:t>dicator is at www.pc.gov.au</w:t>
            </w:r>
            <w:r w:rsidRPr="00191413">
              <w:t>/rogs/</w:t>
            </w:r>
            <w:r w:rsidR="00B86C20" w:rsidRPr="00191413">
              <w:t>2016</w:t>
            </w:r>
            <w:r w:rsidRPr="00191413">
              <w:t>.</w:t>
            </w:r>
          </w:p>
        </w:tc>
      </w:tr>
      <w:tr w:rsidR="000874CB" w:rsidRPr="00191413" w:rsidTr="00C827D5">
        <w:trPr>
          <w:cantSplit/>
        </w:trPr>
        <w:tc>
          <w:tcPr>
            <w:tcW w:w="8771" w:type="dxa"/>
            <w:tcBorders>
              <w:top w:val="nil"/>
              <w:left w:val="nil"/>
              <w:bottom w:val="single" w:sz="6" w:space="0" w:color="78A22F"/>
              <w:right w:val="nil"/>
            </w:tcBorders>
            <w:shd w:val="clear" w:color="auto" w:fill="F2F2F2"/>
          </w:tcPr>
          <w:p w:rsidR="000874CB" w:rsidRPr="00191413" w:rsidRDefault="000874CB">
            <w:pPr>
              <w:pStyle w:val="Box"/>
              <w:spacing w:before="0" w:line="120" w:lineRule="exact"/>
            </w:pPr>
          </w:p>
        </w:tc>
      </w:tr>
      <w:tr w:rsidR="000874CB" w:rsidRPr="00191413" w:rsidTr="00C827D5">
        <w:tc>
          <w:tcPr>
            <w:tcW w:w="8771" w:type="dxa"/>
            <w:tcBorders>
              <w:top w:val="single" w:sz="6" w:space="0" w:color="78A22F"/>
              <w:left w:val="nil"/>
              <w:bottom w:val="nil"/>
              <w:right w:val="nil"/>
            </w:tcBorders>
          </w:tcPr>
          <w:p w:rsidR="000874CB" w:rsidRPr="00191413" w:rsidRDefault="000874CB" w:rsidP="00C827D5">
            <w:pPr>
              <w:pStyle w:val="BoxSpaceBelow"/>
            </w:pPr>
          </w:p>
        </w:tc>
      </w:tr>
    </w:tbl>
    <w:p w:rsidR="003A5C1F" w:rsidRPr="00191413" w:rsidRDefault="003A5C1F" w:rsidP="00626A1F">
      <w:pPr>
        <w:pStyle w:val="BodyText"/>
        <w:tabs>
          <w:tab w:val="left" w:pos="6946"/>
        </w:tabs>
        <w:rPr>
          <w:szCs w:val="26"/>
        </w:rPr>
      </w:pPr>
      <w:bookmarkStart w:id="47" w:name="OLE_LINK6"/>
      <w:r w:rsidRPr="00191413">
        <w:rPr>
          <w:szCs w:val="26"/>
        </w:rPr>
        <w:t xml:space="preserve">Nationally, in 2012, the </w:t>
      </w:r>
      <w:r w:rsidR="001A3B47">
        <w:rPr>
          <w:szCs w:val="26"/>
        </w:rPr>
        <w:t xml:space="preserve">estimated </w:t>
      </w:r>
      <w:r w:rsidRPr="00191413">
        <w:rPr>
          <w:szCs w:val="26"/>
        </w:rPr>
        <w:t>employment rate of people aged 15–64 years with a profound or severe core activity limitation (</w:t>
      </w:r>
      <w:r w:rsidR="00973203" w:rsidRPr="00191413">
        <w:rPr>
          <w:szCs w:val="26"/>
        </w:rPr>
        <w:t>26.4</w:t>
      </w:r>
      <w:r w:rsidRPr="00191413">
        <w:rPr>
          <w:szCs w:val="26"/>
        </w:rPr>
        <w:t xml:space="preserve"> per cent) was lower than the rate for people </w:t>
      </w:r>
      <w:r w:rsidR="00364A2E" w:rsidRPr="00191413">
        <w:rPr>
          <w:szCs w:val="26"/>
        </w:rPr>
        <w:t xml:space="preserve">with disability excluding those with a profound or severe core activity limitation </w:t>
      </w:r>
      <w:r w:rsidRPr="00191413">
        <w:rPr>
          <w:szCs w:val="26"/>
        </w:rPr>
        <w:t>(</w:t>
      </w:r>
      <w:r w:rsidR="00973203" w:rsidRPr="00191413">
        <w:rPr>
          <w:szCs w:val="26"/>
        </w:rPr>
        <w:t>54.7</w:t>
      </w:r>
      <w:r w:rsidRPr="00191413">
        <w:rPr>
          <w:szCs w:val="26"/>
        </w:rPr>
        <w:t xml:space="preserve"> per cent) and the rate for </w:t>
      </w:r>
      <w:r w:rsidR="00973203" w:rsidRPr="00191413">
        <w:rPr>
          <w:szCs w:val="26"/>
        </w:rPr>
        <w:t xml:space="preserve">people with no disability </w:t>
      </w:r>
      <w:r w:rsidRPr="00191413">
        <w:rPr>
          <w:szCs w:val="26"/>
        </w:rPr>
        <w:t>(</w:t>
      </w:r>
      <w:r w:rsidR="00973203" w:rsidRPr="00191413">
        <w:rPr>
          <w:szCs w:val="26"/>
        </w:rPr>
        <w:t>78.5</w:t>
      </w:r>
      <w:r w:rsidRPr="00191413">
        <w:rPr>
          <w:szCs w:val="26"/>
        </w:rPr>
        <w:t> per cent) (figure</w:t>
      </w:r>
      <w:r w:rsidR="00966883" w:rsidRPr="00191413">
        <w:rPr>
          <w:szCs w:val="26"/>
        </w:rPr>
        <w:t> </w:t>
      </w:r>
      <w:r w:rsidR="001A3B47">
        <w:t>14.3</w:t>
      </w:r>
      <w:r w:rsidR="00F61907">
        <w:t>2</w:t>
      </w:r>
      <w:r w:rsidRPr="00191413">
        <w:rPr>
          <w:szCs w:val="26"/>
        </w:rPr>
        <w:t xml:space="preserve">). </w:t>
      </w:r>
    </w:p>
    <w:p w:rsidR="00382CD2" w:rsidRDefault="003A5C1F" w:rsidP="00626A1F">
      <w:pPr>
        <w:pStyle w:val="BodyText"/>
      </w:pPr>
      <w:r w:rsidRPr="00191413">
        <w:t>Detailed definitions of the employment rate and its calculation method are provided in section</w:t>
      </w:r>
      <w:r w:rsidR="005547FD">
        <w:t> </w:t>
      </w:r>
      <w:r w:rsidRPr="00191413">
        <w:t>14.</w:t>
      </w:r>
      <w:r w:rsidR="001A3B47">
        <w:t>6</w:t>
      </w:r>
      <w:r w:rsidRPr="00191413">
        <w:t xml:space="preserve">. Employment rates should be interpreted in conjunction with labour force participation rates. </w:t>
      </w:r>
      <w:r w:rsidRPr="00191413">
        <w:rPr>
          <w:szCs w:val="26"/>
        </w:rPr>
        <w:t>Other data on the employment of people with disability</w:t>
      </w:r>
      <w:r w:rsidR="00301DDD" w:rsidRPr="00191413">
        <w:rPr>
          <w:szCs w:val="26"/>
        </w:rPr>
        <w:t>,</w:t>
      </w:r>
      <w:r w:rsidR="009928E0" w:rsidRPr="00191413">
        <w:rPr>
          <w:szCs w:val="26"/>
        </w:rPr>
        <w:t xml:space="preserve"> including labour force participation rates</w:t>
      </w:r>
      <w:r w:rsidRPr="00191413">
        <w:rPr>
          <w:szCs w:val="26"/>
        </w:rPr>
        <w:t xml:space="preserve"> are reported in tables</w:t>
      </w:r>
      <w:r w:rsidR="00AE3578" w:rsidRPr="00191413">
        <w:rPr>
          <w:szCs w:val="26"/>
        </w:rPr>
        <w:t> </w:t>
      </w:r>
      <w:r w:rsidRPr="00191413">
        <w:rPr>
          <w:szCs w:val="26"/>
        </w:rPr>
        <w:t>14A.</w:t>
      </w:r>
      <w:r w:rsidR="00AF3774">
        <w:rPr>
          <w:szCs w:val="26"/>
        </w:rPr>
        <w:t>89</w:t>
      </w:r>
      <w:r w:rsidRPr="00191413">
        <w:t>–</w:t>
      </w:r>
      <w:r w:rsidR="000D69D9">
        <w:t>99</w:t>
      </w:r>
      <w:r w:rsidR="002B526C" w:rsidRPr="00191413">
        <w:t>.</w:t>
      </w:r>
    </w:p>
    <w:p w:rsidR="001A3B47" w:rsidRPr="00C175E9" w:rsidRDefault="001A3B47" w:rsidP="001A3B47">
      <w:pPr>
        <w:pStyle w:val="BodyText"/>
        <w:tabs>
          <w:tab w:val="left" w:pos="6946"/>
        </w:tabs>
      </w:pPr>
      <w:r w:rsidRPr="00C175E9">
        <w:t xml:space="preserve">Nationally, in 2012, the estimated unemployment rate of people aged 15–64 years with a profound or severe core activity limitation (10.3 per cent) was </w:t>
      </w:r>
      <w:r w:rsidR="0044315A">
        <w:t>similar to</w:t>
      </w:r>
      <w:r w:rsidRPr="00C175E9">
        <w:t xml:space="preserve"> the rate for people with disability excluding those with a profound or severe co</w:t>
      </w:r>
      <w:r w:rsidR="00F4560D">
        <w:t>re activity limitation (9.2 per </w:t>
      </w:r>
      <w:r w:rsidRPr="00C175E9">
        <w:t>cent)</w:t>
      </w:r>
      <w:r w:rsidR="0044315A">
        <w:t>, with both higher than</w:t>
      </w:r>
      <w:r w:rsidRPr="00C175E9">
        <w:t xml:space="preserve"> the rate for people with no disability (4.9 per cent) (figure 14.3</w:t>
      </w:r>
      <w:r w:rsidR="00F61907">
        <w:t>3</w:t>
      </w:r>
      <w:r w:rsidR="00960B72">
        <w:t>).</w:t>
      </w:r>
    </w:p>
    <w:p w:rsidR="006B540B" w:rsidRPr="00B86C20" w:rsidRDefault="006B540B"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540B" w:rsidRPr="00191413" w:rsidTr="00DD33DF">
        <w:tc>
          <w:tcPr>
            <w:tcW w:w="8771" w:type="dxa"/>
            <w:tcBorders>
              <w:top w:val="single" w:sz="6" w:space="0" w:color="78A22F"/>
              <w:left w:val="nil"/>
              <w:bottom w:val="nil"/>
              <w:right w:val="nil"/>
            </w:tcBorders>
            <w:shd w:val="clear" w:color="auto" w:fill="auto"/>
          </w:tcPr>
          <w:p w:rsidR="006B540B" w:rsidRPr="00191413" w:rsidRDefault="006B540B" w:rsidP="001A3B47">
            <w:pPr>
              <w:pStyle w:val="FigureTitle"/>
            </w:pPr>
            <w:r w:rsidRPr="00191413">
              <w:rPr>
                <w:b w:val="0"/>
              </w:rPr>
              <w:t xml:space="preserve">Figure </w:t>
            </w:r>
            <w:bookmarkStart w:id="48" w:name="OLE_LINK44"/>
            <w:r w:rsidR="00321568" w:rsidRPr="00191413">
              <w:rPr>
                <w:b w:val="0"/>
              </w:rPr>
              <w:t>14.</w:t>
            </w:r>
            <w:r w:rsidR="004B691F">
              <w:rPr>
                <w:b w:val="0"/>
                <w:noProof/>
              </w:rPr>
              <w:t>32</w:t>
            </w:r>
            <w:bookmarkEnd w:id="48"/>
            <w:r w:rsidRPr="00191413">
              <w:tab/>
              <w:t>E</w:t>
            </w:r>
            <w:r w:rsidR="001A3B47">
              <w:t>m</w:t>
            </w:r>
            <w:r w:rsidRPr="00191413">
              <w:t>ployment rate for people aged 15–64 years, by disability status, 2012</w:t>
            </w:r>
            <w:r w:rsidR="00A847DD">
              <w:rPr>
                <w:rStyle w:val="NoteLabel"/>
                <w:b/>
              </w:rPr>
              <w:t>a</w:t>
            </w:r>
          </w:p>
        </w:tc>
      </w:tr>
      <w:tr w:rsidR="006B540B" w:rsidRPr="00191413"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B540B" w:rsidRPr="00191413" w:rsidTr="00C83EFD">
              <w:trPr>
                <w:jc w:val="center"/>
              </w:trPr>
              <w:tc>
                <w:tcPr>
                  <w:tcW w:w="8504" w:type="dxa"/>
                  <w:tcBorders>
                    <w:top w:val="nil"/>
                    <w:bottom w:val="nil"/>
                  </w:tcBorders>
                </w:tcPr>
                <w:p w:rsidR="006B540B" w:rsidRPr="00191413" w:rsidRDefault="00AB345E" w:rsidP="00DD33DF">
                  <w:pPr>
                    <w:pStyle w:val="Figure"/>
                    <w:spacing w:before="60" w:after="60"/>
                  </w:pPr>
                  <w:r>
                    <w:rPr>
                      <w:noProof/>
                    </w:rPr>
                    <w:drawing>
                      <wp:inline distT="0" distB="0" distL="0" distR="0">
                        <wp:extent cx="5225415" cy="2683510"/>
                        <wp:effectExtent l="0" t="0" r="0" b="2540"/>
                        <wp:docPr id="65" name="Picture 65" descr="Figure 14.32 Employment rate for people aged 15–64 years,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6B540B" w:rsidRPr="00191413" w:rsidRDefault="006B540B" w:rsidP="00DD33DF">
            <w:pPr>
              <w:pStyle w:val="Figure"/>
            </w:pPr>
          </w:p>
        </w:tc>
      </w:tr>
      <w:tr w:rsidR="006B540B" w:rsidRPr="00191413" w:rsidTr="00DD33DF">
        <w:tc>
          <w:tcPr>
            <w:tcW w:w="8771" w:type="dxa"/>
            <w:tcBorders>
              <w:top w:val="nil"/>
              <w:left w:val="nil"/>
              <w:bottom w:val="nil"/>
              <w:right w:val="nil"/>
            </w:tcBorders>
            <w:shd w:val="clear" w:color="auto" w:fill="auto"/>
          </w:tcPr>
          <w:p w:rsidR="006B540B" w:rsidRPr="00191413" w:rsidRDefault="006B540B" w:rsidP="00A847DD">
            <w:pPr>
              <w:pStyle w:val="Note"/>
              <w:rPr>
                <w:b/>
              </w:rPr>
            </w:pPr>
            <w:bookmarkStart w:id="49" w:name="OLE_LINK17"/>
            <w:bookmarkStart w:id="50" w:name="OLE_LINK18"/>
            <w:r w:rsidRPr="00191413">
              <w:rPr>
                <w:rStyle w:val="NoteLabel"/>
              </w:rPr>
              <w:t xml:space="preserve">a </w:t>
            </w:r>
            <w:bookmarkEnd w:id="49"/>
            <w:bookmarkEnd w:id="50"/>
            <w:r w:rsidR="00C30901" w:rsidRPr="00191413">
              <w:t>See box</w:t>
            </w:r>
            <w:r w:rsidR="005547FD">
              <w:t> </w:t>
            </w:r>
            <w:r w:rsidR="00C30901" w:rsidRPr="00191413">
              <w:t>14.</w:t>
            </w:r>
            <w:r w:rsidR="00975BA7">
              <w:t>19</w:t>
            </w:r>
            <w:r w:rsidR="00C30901" w:rsidRPr="00191413">
              <w:t xml:space="preserve"> and table 14A.9</w:t>
            </w:r>
            <w:r w:rsidR="0095697E">
              <w:t>0</w:t>
            </w:r>
            <w:r w:rsidR="00C30901" w:rsidRPr="00191413">
              <w:t xml:space="preserve"> for detailed </w:t>
            </w:r>
            <w:r w:rsidR="003D7F75">
              <w:t>definitions, footnotes and caveats</w:t>
            </w:r>
            <w:r w:rsidR="00A847DD">
              <w:t>.</w:t>
            </w:r>
          </w:p>
        </w:tc>
      </w:tr>
      <w:tr w:rsidR="006B540B" w:rsidRPr="00191413" w:rsidTr="00DD33DF">
        <w:tc>
          <w:tcPr>
            <w:tcW w:w="8771" w:type="dxa"/>
            <w:tcBorders>
              <w:top w:val="nil"/>
              <w:left w:val="nil"/>
              <w:bottom w:val="nil"/>
              <w:right w:val="nil"/>
            </w:tcBorders>
            <w:shd w:val="clear" w:color="auto" w:fill="auto"/>
          </w:tcPr>
          <w:p w:rsidR="006B540B" w:rsidRPr="00191413" w:rsidRDefault="006B540B" w:rsidP="00AF3774">
            <w:pPr>
              <w:pStyle w:val="Source"/>
            </w:pPr>
            <w:r w:rsidRPr="00191413">
              <w:rPr>
                <w:i/>
              </w:rPr>
              <w:t>Source</w:t>
            </w:r>
            <w:r w:rsidRPr="00191413">
              <w:t xml:space="preserve">: ABS (unpublished) </w:t>
            </w:r>
            <w:r w:rsidR="001A3B47">
              <w:t>SDAC</w:t>
            </w:r>
            <w:r w:rsidRPr="00191413">
              <w:t>; table</w:t>
            </w:r>
            <w:r w:rsidR="00AE3578" w:rsidRPr="00191413">
              <w:t> </w:t>
            </w:r>
            <w:r w:rsidRPr="00191413">
              <w:t>14A.</w:t>
            </w:r>
            <w:r w:rsidR="00AF3774" w:rsidRPr="00191413">
              <w:t>9</w:t>
            </w:r>
            <w:r w:rsidR="00AF3774">
              <w:t>0</w:t>
            </w:r>
            <w:r w:rsidRPr="00191413">
              <w:t>.</w:t>
            </w:r>
          </w:p>
        </w:tc>
      </w:tr>
      <w:tr w:rsidR="006B540B" w:rsidRPr="00191413" w:rsidTr="00DD33DF">
        <w:tc>
          <w:tcPr>
            <w:tcW w:w="8771" w:type="dxa"/>
            <w:tcBorders>
              <w:top w:val="nil"/>
              <w:left w:val="nil"/>
              <w:bottom w:val="single" w:sz="6" w:space="0" w:color="78A22F"/>
              <w:right w:val="nil"/>
            </w:tcBorders>
            <w:shd w:val="clear" w:color="auto" w:fill="auto"/>
          </w:tcPr>
          <w:p w:rsidR="006B540B" w:rsidRPr="00191413" w:rsidRDefault="006B540B" w:rsidP="00DD33DF">
            <w:pPr>
              <w:pStyle w:val="Figurespace"/>
            </w:pPr>
          </w:p>
        </w:tc>
      </w:tr>
      <w:tr w:rsidR="006B540B" w:rsidRPr="00191413" w:rsidTr="00DD33DF">
        <w:tc>
          <w:tcPr>
            <w:tcW w:w="8771" w:type="dxa"/>
            <w:tcBorders>
              <w:top w:val="single" w:sz="6" w:space="0" w:color="78A22F"/>
              <w:left w:val="nil"/>
              <w:bottom w:val="nil"/>
              <w:right w:val="nil"/>
            </w:tcBorders>
          </w:tcPr>
          <w:p w:rsidR="006B540B" w:rsidRPr="00191413" w:rsidRDefault="006B540B" w:rsidP="00DD33DF">
            <w:pPr>
              <w:pStyle w:val="BoxSpaceBelow"/>
            </w:pPr>
          </w:p>
        </w:tc>
      </w:tr>
    </w:tbl>
    <w:p w:rsidR="00600295" w:rsidRPr="00B86C20" w:rsidRDefault="0060029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00295" w:rsidRPr="00C175E9" w:rsidTr="00DD33DF">
        <w:tc>
          <w:tcPr>
            <w:tcW w:w="8771" w:type="dxa"/>
            <w:tcBorders>
              <w:top w:val="single" w:sz="6" w:space="0" w:color="78A22F"/>
              <w:left w:val="nil"/>
              <w:bottom w:val="nil"/>
              <w:right w:val="nil"/>
            </w:tcBorders>
            <w:shd w:val="clear" w:color="auto" w:fill="auto"/>
          </w:tcPr>
          <w:p w:rsidR="00600295" w:rsidRPr="00C175E9" w:rsidRDefault="00600295" w:rsidP="001A3B47">
            <w:pPr>
              <w:pStyle w:val="FigureTitle"/>
            </w:pPr>
            <w:r w:rsidRPr="00C175E9">
              <w:rPr>
                <w:b w:val="0"/>
              </w:rPr>
              <w:t xml:space="preserve">Figure </w:t>
            </w:r>
            <w:bookmarkStart w:id="51" w:name="OLE_LINK45"/>
            <w:r w:rsidR="00321568" w:rsidRPr="00C175E9">
              <w:rPr>
                <w:b w:val="0"/>
              </w:rPr>
              <w:t>14.</w:t>
            </w:r>
            <w:r w:rsidR="004B691F">
              <w:rPr>
                <w:b w:val="0"/>
                <w:noProof/>
              </w:rPr>
              <w:t>33</w:t>
            </w:r>
            <w:bookmarkEnd w:id="51"/>
            <w:r w:rsidRPr="00C175E9">
              <w:tab/>
            </w:r>
            <w:r w:rsidR="001A3B47" w:rsidRPr="00C175E9">
              <w:t>U</w:t>
            </w:r>
            <w:r w:rsidRPr="00C175E9">
              <w:t>nemployment rate of people aged 15–64 years, by disability status, 2012</w:t>
            </w:r>
            <w:r w:rsidR="00A847DD" w:rsidRPr="00C175E9">
              <w:rPr>
                <w:rStyle w:val="NoteLabel"/>
                <w:b/>
              </w:rPr>
              <w:t>a</w:t>
            </w:r>
          </w:p>
        </w:tc>
      </w:tr>
      <w:tr w:rsidR="00600295" w:rsidRPr="00C175E9"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00295" w:rsidRPr="00C175E9" w:rsidTr="00DD33DF">
              <w:trPr>
                <w:jc w:val="center"/>
              </w:trPr>
              <w:tc>
                <w:tcPr>
                  <w:tcW w:w="5000" w:type="pct"/>
                  <w:tcBorders>
                    <w:top w:val="nil"/>
                    <w:bottom w:val="nil"/>
                  </w:tcBorders>
                </w:tcPr>
                <w:p w:rsidR="00600295" w:rsidRPr="00C175E9" w:rsidRDefault="00AB345E" w:rsidP="00DD33DF">
                  <w:pPr>
                    <w:pStyle w:val="Figure"/>
                    <w:spacing w:before="60" w:after="60"/>
                  </w:pPr>
                  <w:r>
                    <w:rPr>
                      <w:noProof/>
                    </w:rPr>
                    <w:drawing>
                      <wp:inline distT="0" distB="0" distL="0" distR="0">
                        <wp:extent cx="5225415" cy="2683510"/>
                        <wp:effectExtent l="0" t="0" r="0" b="2540"/>
                        <wp:docPr id="66" name="Picture 66" descr="Figure 14.33 Unemployment rate of people aged 15–64 years,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600295" w:rsidRPr="00C175E9" w:rsidRDefault="00600295" w:rsidP="00DD33DF">
            <w:pPr>
              <w:pStyle w:val="Figure"/>
            </w:pPr>
          </w:p>
        </w:tc>
      </w:tr>
      <w:tr w:rsidR="00600295" w:rsidRPr="00C175E9" w:rsidTr="00DD33DF">
        <w:tc>
          <w:tcPr>
            <w:tcW w:w="8771" w:type="dxa"/>
            <w:tcBorders>
              <w:top w:val="nil"/>
              <w:left w:val="nil"/>
              <w:bottom w:val="nil"/>
              <w:right w:val="nil"/>
            </w:tcBorders>
            <w:shd w:val="clear" w:color="auto" w:fill="auto"/>
          </w:tcPr>
          <w:p w:rsidR="00600295" w:rsidRPr="00C175E9" w:rsidRDefault="00600295" w:rsidP="0040650E">
            <w:pPr>
              <w:pStyle w:val="Note"/>
            </w:pPr>
            <w:r w:rsidRPr="00C175E9">
              <w:rPr>
                <w:rStyle w:val="NoteLabel"/>
              </w:rPr>
              <w:t>a</w:t>
            </w:r>
            <w:r w:rsidR="004E414E" w:rsidRPr="00C175E9">
              <w:rPr>
                <w:rStyle w:val="NoteLabel"/>
              </w:rPr>
              <w:t xml:space="preserve"> </w:t>
            </w:r>
            <w:r w:rsidR="00975BA7" w:rsidRPr="00C175E9">
              <w:t>See box</w:t>
            </w:r>
            <w:r w:rsidR="005547FD">
              <w:t> </w:t>
            </w:r>
            <w:r w:rsidR="00975BA7" w:rsidRPr="00C175E9">
              <w:t>14.19</w:t>
            </w:r>
            <w:r w:rsidR="0095697E" w:rsidRPr="00C175E9">
              <w:t xml:space="preserve"> and</w:t>
            </w:r>
            <w:r w:rsidR="00EE1773">
              <w:t xml:space="preserve"> </w:t>
            </w:r>
            <w:r w:rsidR="00EE1773" w:rsidRPr="00191413">
              <w:t>14A.9</w:t>
            </w:r>
            <w:r w:rsidR="0040650E">
              <w:t>2</w:t>
            </w:r>
            <w:r w:rsidR="000D69D9">
              <w:t xml:space="preserve"> </w:t>
            </w:r>
            <w:r w:rsidR="004E414E" w:rsidRPr="00C175E9">
              <w:t xml:space="preserve">for detailed </w:t>
            </w:r>
            <w:r w:rsidR="003D7F75" w:rsidRPr="00C175E9">
              <w:t>definitions, footnotes and caveats</w:t>
            </w:r>
            <w:r w:rsidR="00A847DD" w:rsidRPr="00C175E9">
              <w:t xml:space="preserve">. </w:t>
            </w:r>
          </w:p>
        </w:tc>
      </w:tr>
      <w:tr w:rsidR="00600295" w:rsidRPr="00C175E9" w:rsidTr="00DD33DF">
        <w:tc>
          <w:tcPr>
            <w:tcW w:w="8771" w:type="dxa"/>
            <w:tcBorders>
              <w:top w:val="nil"/>
              <w:left w:val="nil"/>
              <w:bottom w:val="nil"/>
              <w:right w:val="nil"/>
            </w:tcBorders>
            <w:shd w:val="clear" w:color="auto" w:fill="auto"/>
          </w:tcPr>
          <w:p w:rsidR="00600295" w:rsidRPr="00C175E9" w:rsidRDefault="00600295" w:rsidP="0040650E">
            <w:pPr>
              <w:pStyle w:val="Source"/>
            </w:pPr>
            <w:r w:rsidRPr="00C175E9">
              <w:rPr>
                <w:i/>
              </w:rPr>
              <w:t>Source</w:t>
            </w:r>
            <w:r w:rsidRPr="00C175E9">
              <w:t xml:space="preserve">: ABS (unpublished) </w:t>
            </w:r>
            <w:r w:rsidR="001A3B47" w:rsidRPr="00C175E9">
              <w:t>SDAC</w:t>
            </w:r>
            <w:r w:rsidRPr="00C175E9">
              <w:t>;</w:t>
            </w:r>
            <w:r w:rsidR="00EE1773">
              <w:t xml:space="preserve"> </w:t>
            </w:r>
            <w:r w:rsidR="00EE1773" w:rsidRPr="00191413">
              <w:t>14A.9</w:t>
            </w:r>
            <w:r w:rsidR="0040650E">
              <w:t>2</w:t>
            </w:r>
            <w:r w:rsidR="000D69D9">
              <w:t>.</w:t>
            </w:r>
          </w:p>
        </w:tc>
      </w:tr>
      <w:tr w:rsidR="00600295" w:rsidRPr="00C175E9" w:rsidTr="00DD33DF">
        <w:tc>
          <w:tcPr>
            <w:tcW w:w="8771" w:type="dxa"/>
            <w:tcBorders>
              <w:top w:val="nil"/>
              <w:left w:val="nil"/>
              <w:bottom w:val="single" w:sz="6" w:space="0" w:color="78A22F"/>
              <w:right w:val="nil"/>
            </w:tcBorders>
            <w:shd w:val="clear" w:color="auto" w:fill="auto"/>
          </w:tcPr>
          <w:p w:rsidR="00600295" w:rsidRPr="00C175E9" w:rsidRDefault="00600295" w:rsidP="00DD33DF">
            <w:pPr>
              <w:pStyle w:val="Figurespace"/>
            </w:pPr>
          </w:p>
        </w:tc>
      </w:tr>
      <w:tr w:rsidR="00600295" w:rsidRPr="00191413" w:rsidTr="00DD33DF">
        <w:tc>
          <w:tcPr>
            <w:tcW w:w="8771" w:type="dxa"/>
            <w:tcBorders>
              <w:top w:val="single" w:sz="6" w:space="0" w:color="78A22F"/>
              <w:left w:val="nil"/>
              <w:bottom w:val="nil"/>
              <w:right w:val="nil"/>
            </w:tcBorders>
          </w:tcPr>
          <w:p w:rsidR="00600295" w:rsidRPr="00191413" w:rsidRDefault="00600295" w:rsidP="00DD33DF">
            <w:pPr>
              <w:pStyle w:val="BoxSpaceBelow"/>
            </w:pPr>
          </w:p>
        </w:tc>
      </w:tr>
    </w:tbl>
    <w:p w:rsidR="001F39F2" w:rsidRPr="00191413" w:rsidRDefault="001F39F2" w:rsidP="00927A21">
      <w:pPr>
        <w:pStyle w:val="Heading4"/>
      </w:pPr>
      <w:r w:rsidRPr="00191413">
        <w:lastRenderedPageBreak/>
        <w:t xml:space="preserve">Labour force participation of primary carers of people with disability </w:t>
      </w:r>
    </w:p>
    <w:p w:rsidR="001F39F2" w:rsidRPr="00191413" w:rsidRDefault="001F39F2" w:rsidP="00626A1F">
      <w:pPr>
        <w:pStyle w:val="BodyText"/>
        <w:rPr>
          <w:szCs w:val="26"/>
        </w:rPr>
      </w:pPr>
      <w:r w:rsidRPr="00191413">
        <w:rPr>
          <w:szCs w:val="26"/>
        </w:rPr>
        <w:t xml:space="preserve">‘Labour force participation of primary carers of people with disability’ is an indicator of governments’ objective of assisting primary carers of people with disability to participate fully in the community </w:t>
      </w:r>
      <w:r w:rsidRPr="00191413">
        <w:t>(box</w:t>
      </w:r>
      <w:r w:rsidR="00AE3578" w:rsidRPr="00191413">
        <w:t> </w:t>
      </w:r>
      <w:r w:rsidRPr="00191413">
        <w:t>14.</w:t>
      </w:r>
      <w:r w:rsidR="00975BA7">
        <w:t>20</w:t>
      </w:r>
      <w:r w:rsidRPr="00191413">
        <w:t>).</w:t>
      </w:r>
      <w:r w:rsidRPr="00191413">
        <w:rPr>
          <w:szCs w:val="26"/>
        </w:rPr>
        <w:t xml:space="preserve"> Participation in the labour force is important to the overall wellbeing of carers, providing opportunities for </w:t>
      </w:r>
      <w:r w:rsidR="000E231C" w:rsidRPr="00191413">
        <w:rPr>
          <w:szCs w:val="26"/>
        </w:rPr>
        <w:t>personal</w:t>
      </w:r>
      <w:r w:rsidRPr="00191413">
        <w:rPr>
          <w:szCs w:val="26"/>
        </w:rPr>
        <w:t xml:space="preserve"> development and financial independence.</w:t>
      </w:r>
    </w:p>
    <w:p w:rsidR="00C827D5" w:rsidRPr="00B86C20" w:rsidRDefault="00C827D5"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27D5" w:rsidRPr="00191413" w:rsidTr="00C827D5">
        <w:tc>
          <w:tcPr>
            <w:tcW w:w="8771" w:type="dxa"/>
            <w:tcBorders>
              <w:top w:val="single" w:sz="6" w:space="0" w:color="78A22F"/>
              <w:left w:val="nil"/>
              <w:bottom w:val="nil"/>
              <w:right w:val="nil"/>
            </w:tcBorders>
            <w:shd w:val="clear" w:color="auto" w:fill="F2F2F2"/>
          </w:tcPr>
          <w:p w:rsidR="00C827D5" w:rsidRPr="00191413" w:rsidRDefault="00C827D5" w:rsidP="006A5970">
            <w:pPr>
              <w:pStyle w:val="BoxTitle"/>
            </w:pPr>
            <w:r w:rsidRPr="00191413">
              <w:rPr>
                <w:b w:val="0"/>
              </w:rPr>
              <w:t xml:space="preserve">Box </w:t>
            </w:r>
            <w:r w:rsidR="00321568" w:rsidRPr="00191413">
              <w:rPr>
                <w:b w:val="0"/>
              </w:rPr>
              <w:t>14.</w:t>
            </w:r>
            <w:r w:rsidR="004B691F">
              <w:rPr>
                <w:b w:val="0"/>
                <w:noProof/>
              </w:rPr>
              <w:t>20</w:t>
            </w:r>
            <w:r w:rsidRPr="00191413">
              <w:tab/>
            </w:r>
            <w:r w:rsidR="006A5970" w:rsidRPr="00191413">
              <w:t>Labour force participation of primary carers of people with disability</w:t>
            </w:r>
          </w:p>
        </w:tc>
      </w:tr>
      <w:tr w:rsidR="00C827D5" w:rsidRPr="00191413" w:rsidTr="00C827D5">
        <w:trPr>
          <w:cantSplit/>
        </w:trPr>
        <w:tc>
          <w:tcPr>
            <w:tcW w:w="8771" w:type="dxa"/>
            <w:tcBorders>
              <w:top w:val="nil"/>
              <w:left w:val="nil"/>
              <w:bottom w:val="nil"/>
              <w:right w:val="nil"/>
            </w:tcBorders>
            <w:shd w:val="clear" w:color="auto" w:fill="F2F2F2"/>
          </w:tcPr>
          <w:p w:rsidR="00C827D5" w:rsidRPr="00191413" w:rsidRDefault="00C827D5" w:rsidP="00C827D5">
            <w:pPr>
              <w:pStyle w:val="Box"/>
            </w:pPr>
            <w:r w:rsidRPr="00191413">
              <w:t xml:space="preserve">‘Labour force participation of primary carers of people with disability’ is defined as </w:t>
            </w:r>
            <w:r w:rsidR="00F30597" w:rsidRPr="00191413">
              <w:t xml:space="preserve">the </w:t>
            </w:r>
            <w:r w:rsidRPr="00191413">
              <w:t xml:space="preserve">labour force participation rate for primary carers aged 15–64 years of people with disability. </w:t>
            </w:r>
          </w:p>
          <w:p w:rsidR="00C827D5" w:rsidRPr="00191413" w:rsidRDefault="00C827D5" w:rsidP="00C827D5">
            <w:pPr>
              <w:pStyle w:val="Box"/>
            </w:pPr>
            <w:r w:rsidRPr="00191413">
              <w:t>Primary carer is defined as a person who provides the most informal assistance, in terms of help or supervision, to a person with one or more disabilities. A detailed definition is provided in section</w:t>
            </w:r>
            <w:r w:rsidR="005547FD">
              <w:t> </w:t>
            </w:r>
            <w:r w:rsidRPr="00191413">
              <w:t>14.</w:t>
            </w:r>
            <w:r w:rsidR="001A3B47">
              <w:t>6</w:t>
            </w:r>
            <w:r w:rsidRPr="00191413">
              <w:t>.</w:t>
            </w:r>
          </w:p>
          <w:p w:rsidR="00C827D5" w:rsidRPr="00191413" w:rsidRDefault="00C827D5" w:rsidP="00C827D5">
            <w:pPr>
              <w:pStyle w:val="Box"/>
            </w:pPr>
            <w:r w:rsidRPr="00191413">
              <w:t>Higher or increasing labour force participation rates for primary carers of people with disability are desirable. Higher rates are likely to increase the quality of life of primary carers of people with disability by providing greater opportunities for self</w:t>
            </w:r>
            <w:r w:rsidRPr="00191413">
              <w:noBreakHyphen/>
              <w:t xml:space="preserve">development. </w:t>
            </w:r>
          </w:p>
          <w:p w:rsidR="00C827D5" w:rsidRDefault="00C827D5" w:rsidP="00C827D5">
            <w:pPr>
              <w:pStyle w:val="Box"/>
            </w:pPr>
            <w:r w:rsidRPr="00191413">
              <w:t>This indicator does not provide information on why people choose not to participate in the labour force. It also does not provide information on whether the participation in the labour force is fulfilling.</w:t>
            </w:r>
          </w:p>
          <w:p w:rsidR="00907A50" w:rsidRPr="00907A50" w:rsidRDefault="00907A50" w:rsidP="00907A50">
            <w:pPr>
              <w:pStyle w:val="Box"/>
            </w:pPr>
            <w:r w:rsidRPr="00907A50">
              <w:t>Data for this measure include 95 per cent confidence intervals (in the form of error bars in figures and percentages in tables).</w:t>
            </w:r>
          </w:p>
          <w:p w:rsidR="00265FEB" w:rsidRPr="00191413" w:rsidRDefault="00265FEB" w:rsidP="00265FEB">
            <w:pPr>
              <w:pStyle w:val="Box"/>
            </w:pPr>
            <w:r w:rsidRPr="00191413">
              <w:t>Data reported for this measure</w:t>
            </w:r>
            <w:r w:rsidR="00907A50">
              <w:t xml:space="preserve"> are</w:t>
            </w:r>
            <w:r w:rsidRPr="00191413">
              <w:t>:</w:t>
            </w:r>
          </w:p>
          <w:p w:rsidR="00265FEB" w:rsidRPr="00191413" w:rsidRDefault="00265FEB" w:rsidP="00265FEB">
            <w:pPr>
              <w:pStyle w:val="BoxListBullet"/>
            </w:pPr>
            <w:r w:rsidRPr="00191413">
              <w:rPr>
                <w:lang w:eastAsia="en-US"/>
              </w:rPr>
              <w:t xml:space="preserve">comparable across jurisdictions and over time </w:t>
            </w:r>
          </w:p>
          <w:p w:rsidR="00265FEB" w:rsidRDefault="00265FEB" w:rsidP="00265FEB">
            <w:pPr>
              <w:pStyle w:val="BoxListBullet"/>
              <w:rPr>
                <w:lang w:eastAsia="en-US"/>
              </w:rPr>
            </w:pPr>
            <w:r w:rsidRPr="00191413">
              <w:rPr>
                <w:lang w:eastAsia="en-US"/>
              </w:rPr>
              <w:t>complete (subject to caveats) fo</w:t>
            </w:r>
            <w:r w:rsidR="00F27CD7">
              <w:rPr>
                <w:lang w:eastAsia="en-US"/>
              </w:rPr>
              <w:t>r the current reporting period</w:t>
            </w:r>
            <w:r w:rsidR="00907A50">
              <w:rPr>
                <w:lang w:eastAsia="en-US"/>
              </w:rPr>
              <w:t>.</w:t>
            </w:r>
          </w:p>
          <w:p w:rsidR="00C827D5" w:rsidRPr="00191413" w:rsidRDefault="00802A7D">
            <w:pPr>
              <w:pStyle w:val="Box"/>
            </w:pPr>
            <w:r w:rsidRPr="00191413">
              <w:t>Data quality information for this indicator</w:t>
            </w:r>
            <w:r w:rsidR="0028432F" w:rsidRPr="00191413">
              <w:t xml:space="preserve"> is at www.pc.gov.au</w:t>
            </w:r>
            <w:r w:rsidRPr="00191413">
              <w:t>/rogs/</w:t>
            </w:r>
            <w:r w:rsidR="00C74382" w:rsidRPr="00191413">
              <w:t>2016</w:t>
            </w:r>
            <w:r w:rsidRPr="00191413">
              <w:t>.</w:t>
            </w:r>
          </w:p>
        </w:tc>
      </w:tr>
      <w:tr w:rsidR="00C827D5" w:rsidRPr="00191413" w:rsidTr="00C827D5">
        <w:trPr>
          <w:cantSplit/>
        </w:trPr>
        <w:tc>
          <w:tcPr>
            <w:tcW w:w="8771" w:type="dxa"/>
            <w:tcBorders>
              <w:top w:val="nil"/>
              <w:left w:val="nil"/>
              <w:bottom w:val="single" w:sz="6" w:space="0" w:color="78A22F"/>
              <w:right w:val="nil"/>
            </w:tcBorders>
            <w:shd w:val="clear" w:color="auto" w:fill="F2F2F2"/>
          </w:tcPr>
          <w:p w:rsidR="00C827D5" w:rsidRPr="00191413" w:rsidRDefault="00C827D5">
            <w:pPr>
              <w:pStyle w:val="Box"/>
              <w:spacing w:before="0" w:line="120" w:lineRule="exact"/>
            </w:pPr>
          </w:p>
        </w:tc>
      </w:tr>
      <w:tr w:rsidR="00C827D5" w:rsidRPr="00191413" w:rsidTr="00C827D5">
        <w:tc>
          <w:tcPr>
            <w:tcW w:w="8771" w:type="dxa"/>
            <w:tcBorders>
              <w:top w:val="single" w:sz="6" w:space="0" w:color="78A22F"/>
              <w:left w:val="nil"/>
              <w:bottom w:val="nil"/>
              <w:right w:val="nil"/>
            </w:tcBorders>
          </w:tcPr>
          <w:p w:rsidR="00C827D5" w:rsidRPr="00191413" w:rsidRDefault="00C827D5" w:rsidP="00C827D5">
            <w:pPr>
              <w:pStyle w:val="BoxSpaceBelow"/>
            </w:pPr>
          </w:p>
        </w:tc>
      </w:tr>
    </w:tbl>
    <w:p w:rsidR="001F39F2" w:rsidRPr="00191413" w:rsidRDefault="001F39F2" w:rsidP="00626A1F">
      <w:pPr>
        <w:pStyle w:val="BodyText"/>
      </w:pPr>
      <w:r w:rsidRPr="00191413">
        <w:rPr>
          <w:szCs w:val="26"/>
        </w:rPr>
        <w:t>Nationally in 20</w:t>
      </w:r>
      <w:r w:rsidR="00730B6D" w:rsidRPr="00191413">
        <w:rPr>
          <w:szCs w:val="26"/>
        </w:rPr>
        <w:t>12</w:t>
      </w:r>
      <w:r w:rsidRPr="00191413">
        <w:rPr>
          <w:szCs w:val="26"/>
        </w:rPr>
        <w:t>, the estimated labour force participation rate</w:t>
      </w:r>
      <w:r w:rsidR="00427C2A" w:rsidRPr="00191413">
        <w:rPr>
          <w:szCs w:val="26"/>
        </w:rPr>
        <w:t xml:space="preserve"> for people aged 15</w:t>
      </w:r>
      <w:r w:rsidR="00F30597" w:rsidRPr="00191413">
        <w:t>–</w:t>
      </w:r>
      <w:r w:rsidR="00427C2A" w:rsidRPr="00191413">
        <w:rPr>
          <w:szCs w:val="26"/>
        </w:rPr>
        <w:t>64 years</w:t>
      </w:r>
      <w:r w:rsidRPr="00191413">
        <w:rPr>
          <w:szCs w:val="26"/>
        </w:rPr>
        <w:t xml:space="preserve"> of primary carers </w:t>
      </w:r>
      <w:r w:rsidR="00427C2A" w:rsidRPr="00191413">
        <w:rPr>
          <w:szCs w:val="26"/>
        </w:rPr>
        <w:t xml:space="preserve">of people with disability </w:t>
      </w:r>
      <w:r w:rsidR="00F02228" w:rsidRPr="00191413">
        <w:rPr>
          <w:szCs w:val="26"/>
        </w:rPr>
        <w:t>(</w:t>
      </w:r>
      <w:r w:rsidR="00730B6D" w:rsidRPr="00191413">
        <w:rPr>
          <w:szCs w:val="26"/>
        </w:rPr>
        <w:t>52.8</w:t>
      </w:r>
      <w:r w:rsidRPr="00191413">
        <w:rPr>
          <w:szCs w:val="26"/>
        </w:rPr>
        <w:t xml:space="preserve"> per cent</w:t>
      </w:r>
      <w:r w:rsidR="00F02228" w:rsidRPr="00191413">
        <w:rPr>
          <w:szCs w:val="26"/>
        </w:rPr>
        <w:t>)</w:t>
      </w:r>
      <w:r w:rsidR="0033512D" w:rsidRPr="00191413">
        <w:rPr>
          <w:szCs w:val="26"/>
        </w:rPr>
        <w:t xml:space="preserve"> </w:t>
      </w:r>
      <w:r w:rsidR="004659D8" w:rsidRPr="00191413">
        <w:rPr>
          <w:szCs w:val="26"/>
        </w:rPr>
        <w:t xml:space="preserve">was </w:t>
      </w:r>
      <w:r w:rsidR="00F02228" w:rsidRPr="00191413">
        <w:rPr>
          <w:szCs w:val="26"/>
        </w:rPr>
        <w:t>less than both the estimated labour force participation rate for all carers (</w:t>
      </w:r>
      <w:r w:rsidR="00730B6D" w:rsidRPr="00191413">
        <w:rPr>
          <w:szCs w:val="26"/>
        </w:rPr>
        <w:t>66.9</w:t>
      </w:r>
      <w:r w:rsidR="00F02228" w:rsidRPr="00191413">
        <w:rPr>
          <w:szCs w:val="26"/>
        </w:rPr>
        <w:t xml:space="preserve"> per cent) and the estimated labour force participation rate for non</w:t>
      </w:r>
      <w:r w:rsidR="00B84AF2" w:rsidRPr="00191413">
        <w:rPr>
          <w:szCs w:val="26"/>
        </w:rPr>
        <w:noBreakHyphen/>
      </w:r>
      <w:r w:rsidR="00F02228" w:rsidRPr="00191413">
        <w:rPr>
          <w:szCs w:val="26"/>
        </w:rPr>
        <w:t>carers (79.</w:t>
      </w:r>
      <w:r w:rsidR="00730B6D" w:rsidRPr="00191413">
        <w:rPr>
          <w:szCs w:val="26"/>
        </w:rPr>
        <w:t>7</w:t>
      </w:r>
      <w:r w:rsidR="00F02228" w:rsidRPr="00191413">
        <w:rPr>
          <w:szCs w:val="26"/>
        </w:rPr>
        <w:t xml:space="preserve"> per cent)</w:t>
      </w:r>
      <w:r w:rsidRPr="00191413">
        <w:rPr>
          <w:szCs w:val="26"/>
        </w:rPr>
        <w:t xml:space="preserve"> (figure</w:t>
      </w:r>
      <w:r w:rsidR="00AE3578" w:rsidRPr="00191413">
        <w:rPr>
          <w:szCs w:val="26"/>
        </w:rPr>
        <w:t> </w:t>
      </w:r>
      <w:r w:rsidR="001A3B47">
        <w:t>14.3</w:t>
      </w:r>
      <w:r w:rsidR="00F61907">
        <w:t>4</w:t>
      </w:r>
      <w:r w:rsidR="001A3B47">
        <w:rPr>
          <w:szCs w:val="26"/>
        </w:rPr>
        <w:t>)</w:t>
      </w:r>
      <w:r w:rsidRPr="00191413">
        <w:rPr>
          <w:szCs w:val="26"/>
        </w:rPr>
        <w:t xml:space="preserve">. </w:t>
      </w:r>
    </w:p>
    <w:p w:rsidR="001F39F2" w:rsidRPr="00191413" w:rsidRDefault="001F39F2" w:rsidP="00626A1F">
      <w:pPr>
        <w:pStyle w:val="BodyText"/>
      </w:pPr>
      <w:r w:rsidRPr="00191413">
        <w:rPr>
          <w:szCs w:val="26"/>
        </w:rPr>
        <w:t>Detailed definitions of the labour force participation rate and its calculation method are provided in section</w:t>
      </w:r>
      <w:r w:rsidR="005547FD">
        <w:rPr>
          <w:szCs w:val="26"/>
        </w:rPr>
        <w:t> </w:t>
      </w:r>
      <w:r w:rsidRPr="00191413">
        <w:rPr>
          <w:szCs w:val="26"/>
        </w:rPr>
        <w:t>14.</w:t>
      </w:r>
      <w:r w:rsidR="001A3B47">
        <w:rPr>
          <w:szCs w:val="26"/>
        </w:rPr>
        <w:t>6</w:t>
      </w:r>
      <w:r w:rsidRPr="00191413">
        <w:rPr>
          <w:szCs w:val="26"/>
        </w:rPr>
        <w:t>. Other data on the labour force participation for primary carers of people with disability are reported in tables</w:t>
      </w:r>
      <w:r w:rsidR="000B2C51" w:rsidRPr="00191413">
        <w:rPr>
          <w:szCs w:val="26"/>
        </w:rPr>
        <w:t> </w:t>
      </w:r>
      <w:r w:rsidRPr="00191413">
        <w:rPr>
          <w:szCs w:val="26"/>
        </w:rPr>
        <w:t>14A.</w:t>
      </w:r>
      <w:r w:rsidR="000D69D9">
        <w:rPr>
          <w:szCs w:val="26"/>
        </w:rPr>
        <w:t>101</w:t>
      </w:r>
      <w:r w:rsidRPr="00191413">
        <w:t>–</w:t>
      </w:r>
      <w:r w:rsidR="00B02A7D" w:rsidRPr="00191413">
        <w:t>1</w:t>
      </w:r>
      <w:r w:rsidR="009D34ED">
        <w:t>0</w:t>
      </w:r>
      <w:r w:rsidR="000D69D9">
        <w:t>7</w:t>
      </w:r>
      <w:r w:rsidRPr="00191413">
        <w:t>.</w:t>
      </w:r>
    </w:p>
    <w:p w:rsidR="00504AE9" w:rsidRPr="00B86C20" w:rsidRDefault="00504AE9"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04AE9" w:rsidRPr="00191413" w:rsidTr="00DD33DF">
        <w:tc>
          <w:tcPr>
            <w:tcW w:w="8771" w:type="dxa"/>
            <w:tcBorders>
              <w:top w:val="single" w:sz="6" w:space="0" w:color="78A22F"/>
              <w:left w:val="nil"/>
              <w:bottom w:val="nil"/>
              <w:right w:val="nil"/>
            </w:tcBorders>
            <w:shd w:val="clear" w:color="auto" w:fill="auto"/>
          </w:tcPr>
          <w:p w:rsidR="00504AE9" w:rsidRPr="00191413" w:rsidRDefault="00504AE9" w:rsidP="009E36A9">
            <w:pPr>
              <w:pStyle w:val="FigureTitle"/>
            </w:pPr>
            <w:r w:rsidRPr="00191413">
              <w:rPr>
                <w:b w:val="0"/>
              </w:rPr>
              <w:t xml:space="preserve">Figure </w:t>
            </w:r>
            <w:bookmarkStart w:id="52" w:name="OLE_LINK46"/>
            <w:r w:rsidR="00321568" w:rsidRPr="00191413">
              <w:rPr>
                <w:b w:val="0"/>
              </w:rPr>
              <w:t>14.</w:t>
            </w:r>
            <w:r w:rsidR="004B691F">
              <w:rPr>
                <w:b w:val="0"/>
                <w:noProof/>
              </w:rPr>
              <w:t>34</w:t>
            </w:r>
            <w:bookmarkEnd w:id="52"/>
            <w:r w:rsidRPr="00191413">
              <w:tab/>
            </w:r>
            <w:bookmarkStart w:id="53" w:name="FigureTitle"/>
            <w:r w:rsidR="009F6050" w:rsidRPr="00191413">
              <w:rPr>
                <w:shd w:val="clear" w:color="auto" w:fill="FFFFFF" w:themeFill="background1"/>
              </w:rPr>
              <w:t>Labour force participation rate for people aged 15</w:t>
            </w:r>
            <w:r w:rsidR="00B3276E" w:rsidRPr="00191413">
              <w:rPr>
                <w:rFonts w:cs="Arial"/>
                <w:shd w:val="clear" w:color="auto" w:fill="FFFFFF" w:themeFill="background1"/>
              </w:rPr>
              <w:t>–</w:t>
            </w:r>
            <w:r w:rsidR="009F6050" w:rsidRPr="00191413">
              <w:rPr>
                <w:shd w:val="clear" w:color="auto" w:fill="FFFFFF" w:themeFill="background1"/>
              </w:rPr>
              <w:t xml:space="preserve">64 years by </w:t>
            </w:r>
            <w:r w:rsidR="009E36A9">
              <w:rPr>
                <w:shd w:val="clear" w:color="auto" w:fill="FFFFFF" w:themeFill="background1"/>
              </w:rPr>
              <w:t>carer status</w:t>
            </w:r>
            <w:r w:rsidRPr="00191413">
              <w:rPr>
                <w:shd w:val="clear" w:color="auto" w:fill="FFFFFF" w:themeFill="background1"/>
              </w:rPr>
              <w:t>, by State/Territory, 2012</w:t>
            </w:r>
            <w:r w:rsidRPr="00191413">
              <w:rPr>
                <w:rStyle w:val="NoteLabel"/>
                <w:b/>
                <w:shd w:val="clear" w:color="auto" w:fill="FFFFFF" w:themeFill="background1"/>
              </w:rPr>
              <w:t>a</w:t>
            </w:r>
            <w:bookmarkEnd w:id="53"/>
          </w:p>
        </w:tc>
      </w:tr>
      <w:tr w:rsidR="00504AE9" w:rsidRPr="00191413"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04AE9" w:rsidRPr="00191413" w:rsidTr="00DD33DF">
              <w:trPr>
                <w:jc w:val="center"/>
              </w:trPr>
              <w:tc>
                <w:tcPr>
                  <w:tcW w:w="5000" w:type="pct"/>
                  <w:tcBorders>
                    <w:top w:val="nil"/>
                    <w:bottom w:val="nil"/>
                  </w:tcBorders>
                </w:tcPr>
                <w:p w:rsidR="00504AE9" w:rsidRPr="00191413" w:rsidRDefault="00AB345E" w:rsidP="00DD33DF">
                  <w:pPr>
                    <w:pStyle w:val="Figure"/>
                    <w:spacing w:before="60" w:after="60"/>
                  </w:pPr>
                  <w:r>
                    <w:rPr>
                      <w:noProof/>
                    </w:rPr>
                    <w:drawing>
                      <wp:inline distT="0" distB="0" distL="0" distR="0">
                        <wp:extent cx="5225415" cy="2683510"/>
                        <wp:effectExtent l="0" t="0" r="0" b="2540"/>
                        <wp:docPr id="67" name="Picture 67" descr="Figure 14.34 Labour force participation rate for people aged 15–64 years by carer status, by State/Territory,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504AE9" w:rsidRPr="00191413" w:rsidRDefault="00504AE9" w:rsidP="00DD33DF">
            <w:pPr>
              <w:pStyle w:val="Figure"/>
            </w:pPr>
          </w:p>
        </w:tc>
      </w:tr>
      <w:tr w:rsidR="00504AE9" w:rsidRPr="00191413" w:rsidTr="00DD33DF">
        <w:tc>
          <w:tcPr>
            <w:tcW w:w="8771" w:type="dxa"/>
            <w:tcBorders>
              <w:top w:val="nil"/>
              <w:left w:val="nil"/>
              <w:bottom w:val="nil"/>
              <w:right w:val="nil"/>
            </w:tcBorders>
            <w:shd w:val="clear" w:color="auto" w:fill="auto"/>
          </w:tcPr>
          <w:p w:rsidR="00504AE9" w:rsidRPr="00191413" w:rsidRDefault="00504AE9" w:rsidP="000D69D9">
            <w:pPr>
              <w:pStyle w:val="Note"/>
            </w:pPr>
            <w:r w:rsidRPr="00191413">
              <w:rPr>
                <w:rStyle w:val="NoteLabel"/>
              </w:rPr>
              <w:t>a</w:t>
            </w:r>
            <w:r w:rsidRPr="00191413">
              <w:sym w:font="Symbol" w:char="F020"/>
            </w:r>
            <w:r w:rsidRPr="00191413">
              <w:t xml:space="preserve"> </w:t>
            </w:r>
            <w:r w:rsidR="00975BA7">
              <w:t>See box</w:t>
            </w:r>
            <w:r w:rsidR="005547FD">
              <w:t> </w:t>
            </w:r>
            <w:r w:rsidR="00975BA7">
              <w:t>14.</w:t>
            </w:r>
            <w:r w:rsidR="006025BC">
              <w:t>20</w:t>
            </w:r>
            <w:r w:rsidR="00C74382" w:rsidRPr="00191413">
              <w:t xml:space="preserve"> and tables 14A.</w:t>
            </w:r>
            <w:r w:rsidR="000D69D9">
              <w:t>100</w:t>
            </w:r>
            <w:r w:rsidR="009D34ED" w:rsidRPr="00191413">
              <w:t xml:space="preserve"> </w:t>
            </w:r>
            <w:r w:rsidR="00C74382" w:rsidRPr="00191413">
              <w:t>and 14A.</w:t>
            </w:r>
            <w:r w:rsidR="009D34ED" w:rsidRPr="00191413">
              <w:t>1</w:t>
            </w:r>
            <w:r w:rsidR="009D34ED">
              <w:t>0</w:t>
            </w:r>
            <w:r w:rsidR="000D69D9">
              <w:t>2</w:t>
            </w:r>
            <w:r w:rsidR="009D34ED" w:rsidRPr="00191413">
              <w:t xml:space="preserve"> </w:t>
            </w:r>
            <w:r w:rsidR="00C74382" w:rsidRPr="00191413">
              <w:t xml:space="preserve">for detailed </w:t>
            </w:r>
            <w:r w:rsidR="003D7F75">
              <w:t>definitions, footnotes and caveats</w:t>
            </w:r>
            <w:r w:rsidR="00C74382" w:rsidRPr="00191413">
              <w:t xml:space="preserve">. </w:t>
            </w:r>
          </w:p>
        </w:tc>
      </w:tr>
      <w:tr w:rsidR="00504AE9" w:rsidRPr="00191413" w:rsidTr="00DD33DF">
        <w:tc>
          <w:tcPr>
            <w:tcW w:w="8771" w:type="dxa"/>
            <w:tcBorders>
              <w:top w:val="nil"/>
              <w:left w:val="nil"/>
              <w:bottom w:val="nil"/>
              <w:right w:val="nil"/>
            </w:tcBorders>
            <w:shd w:val="clear" w:color="auto" w:fill="auto"/>
          </w:tcPr>
          <w:p w:rsidR="00504AE9" w:rsidRPr="00191413" w:rsidRDefault="00504AE9" w:rsidP="000D69D9">
            <w:pPr>
              <w:pStyle w:val="Source"/>
              <w:rPr>
                <w:szCs w:val="26"/>
              </w:rPr>
            </w:pPr>
            <w:r w:rsidRPr="00191413">
              <w:rPr>
                <w:i/>
              </w:rPr>
              <w:t>Source</w:t>
            </w:r>
            <w:r w:rsidRPr="00191413">
              <w:t xml:space="preserve">: ABS (unpublished) </w:t>
            </w:r>
            <w:r w:rsidR="00D709A0">
              <w:t>SDAC</w:t>
            </w:r>
            <w:r w:rsidR="009E36A9">
              <w:rPr>
                <w:i/>
              </w:rPr>
              <w:t xml:space="preserve">; </w:t>
            </w:r>
            <w:r w:rsidRPr="00191413">
              <w:t>tables</w:t>
            </w:r>
            <w:r w:rsidR="00AE3578" w:rsidRPr="00191413">
              <w:t> </w:t>
            </w:r>
            <w:r w:rsidRPr="00191413">
              <w:t>14A.</w:t>
            </w:r>
            <w:r w:rsidR="000D69D9">
              <w:t>100</w:t>
            </w:r>
            <w:r w:rsidR="000D69D9" w:rsidRPr="00191413">
              <w:t xml:space="preserve"> </w:t>
            </w:r>
            <w:r w:rsidRPr="00191413">
              <w:t>and 14A.</w:t>
            </w:r>
            <w:r w:rsidR="009D34ED">
              <w:t>10</w:t>
            </w:r>
            <w:r w:rsidR="000D69D9">
              <w:t>2</w:t>
            </w:r>
            <w:r w:rsidRPr="00191413">
              <w:t xml:space="preserve">. </w:t>
            </w:r>
          </w:p>
        </w:tc>
      </w:tr>
      <w:tr w:rsidR="00504AE9" w:rsidRPr="00191413" w:rsidTr="00DD33DF">
        <w:tc>
          <w:tcPr>
            <w:tcW w:w="8771" w:type="dxa"/>
            <w:tcBorders>
              <w:top w:val="nil"/>
              <w:left w:val="nil"/>
              <w:bottom w:val="single" w:sz="6" w:space="0" w:color="78A22F"/>
              <w:right w:val="nil"/>
            </w:tcBorders>
            <w:shd w:val="clear" w:color="auto" w:fill="auto"/>
          </w:tcPr>
          <w:p w:rsidR="00504AE9" w:rsidRPr="00191413" w:rsidRDefault="00504AE9" w:rsidP="00DD33DF">
            <w:pPr>
              <w:pStyle w:val="Figurespace"/>
            </w:pPr>
          </w:p>
        </w:tc>
      </w:tr>
      <w:tr w:rsidR="00504AE9" w:rsidRPr="00191413" w:rsidTr="00DD33DF">
        <w:tc>
          <w:tcPr>
            <w:tcW w:w="8771" w:type="dxa"/>
            <w:tcBorders>
              <w:top w:val="single" w:sz="6" w:space="0" w:color="78A22F"/>
              <w:left w:val="nil"/>
              <w:bottom w:val="nil"/>
              <w:right w:val="nil"/>
            </w:tcBorders>
          </w:tcPr>
          <w:p w:rsidR="00504AE9" w:rsidRPr="00191413" w:rsidRDefault="00504AE9" w:rsidP="00DD33DF">
            <w:pPr>
              <w:pStyle w:val="BoxSpaceBelow"/>
            </w:pPr>
          </w:p>
        </w:tc>
      </w:tr>
    </w:tbl>
    <w:p w:rsidR="001F39F2" w:rsidRPr="00191413" w:rsidRDefault="001F39F2" w:rsidP="00927A21">
      <w:pPr>
        <w:pStyle w:val="Heading4"/>
      </w:pPr>
      <w:r w:rsidRPr="00191413">
        <w:t>Social participation of people with disability</w:t>
      </w:r>
    </w:p>
    <w:p w:rsidR="00D66996" w:rsidRPr="00191413" w:rsidRDefault="001F39F2" w:rsidP="00626A1F">
      <w:pPr>
        <w:pStyle w:val="BodyText"/>
        <w:rPr>
          <w:szCs w:val="26"/>
        </w:rPr>
      </w:pPr>
      <w:r w:rsidRPr="00191413">
        <w:t>‘Social participation of people with disability’ is an indicator of governments’ objective to assist people with disability to live as valued and participating members of the community (box</w:t>
      </w:r>
      <w:r w:rsidR="00AE3578" w:rsidRPr="00191413">
        <w:t> </w:t>
      </w:r>
      <w:r w:rsidRPr="00191413">
        <w:t>14.</w:t>
      </w:r>
      <w:r w:rsidR="00975BA7">
        <w:t>21</w:t>
      </w:r>
      <w:r w:rsidRPr="00191413">
        <w:t>).</w:t>
      </w:r>
    </w:p>
    <w:p w:rsidR="006A5970" w:rsidRPr="00B86C20" w:rsidRDefault="006A597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A5970" w:rsidRPr="00191413" w:rsidTr="00730EA6">
        <w:tc>
          <w:tcPr>
            <w:tcW w:w="8771" w:type="dxa"/>
            <w:tcBorders>
              <w:top w:val="single" w:sz="6" w:space="0" w:color="78A22F"/>
              <w:left w:val="nil"/>
              <w:bottom w:val="nil"/>
              <w:right w:val="nil"/>
            </w:tcBorders>
            <w:shd w:val="clear" w:color="auto" w:fill="F2F2F2"/>
          </w:tcPr>
          <w:p w:rsidR="006A5970" w:rsidRPr="00191413" w:rsidRDefault="006A5970" w:rsidP="000B2C51">
            <w:pPr>
              <w:pStyle w:val="BoxTitle"/>
            </w:pPr>
            <w:r w:rsidRPr="00191413">
              <w:rPr>
                <w:b w:val="0"/>
              </w:rPr>
              <w:t xml:space="preserve">Box </w:t>
            </w:r>
            <w:r w:rsidR="00321568" w:rsidRPr="00191413">
              <w:rPr>
                <w:b w:val="0"/>
              </w:rPr>
              <w:t>14.</w:t>
            </w:r>
            <w:r w:rsidR="004B691F">
              <w:rPr>
                <w:b w:val="0"/>
                <w:noProof/>
              </w:rPr>
              <w:t>21</w:t>
            </w:r>
            <w:r w:rsidRPr="00191413">
              <w:tab/>
              <w:t>Social participation of people with disability</w:t>
            </w:r>
          </w:p>
        </w:tc>
      </w:tr>
      <w:tr w:rsidR="006A5970" w:rsidRPr="00191413" w:rsidTr="00730EA6">
        <w:trPr>
          <w:cantSplit/>
        </w:trPr>
        <w:tc>
          <w:tcPr>
            <w:tcW w:w="8771" w:type="dxa"/>
            <w:tcBorders>
              <w:top w:val="nil"/>
              <w:left w:val="nil"/>
              <w:bottom w:val="nil"/>
              <w:right w:val="nil"/>
            </w:tcBorders>
            <w:shd w:val="clear" w:color="auto" w:fill="F2F2F2"/>
          </w:tcPr>
          <w:p w:rsidR="006A5970" w:rsidRPr="00191413" w:rsidRDefault="006A5970" w:rsidP="000B2C51">
            <w:pPr>
              <w:pStyle w:val="Box"/>
            </w:pPr>
            <w:r w:rsidRPr="00191413">
              <w:t xml:space="preserve">‘Social participation of people with disability’ is defined as the proportion of people who participate in selected social or community activities by disability status: </w:t>
            </w:r>
          </w:p>
          <w:p w:rsidR="006A5970" w:rsidRPr="00191413" w:rsidRDefault="006A5970" w:rsidP="000B2C51">
            <w:pPr>
              <w:pStyle w:val="BoxListBullet"/>
              <w:spacing w:before="120"/>
            </w:pPr>
            <w:r w:rsidRPr="00191413">
              <w:t>profound or severe core activity limitation</w:t>
            </w:r>
          </w:p>
          <w:p w:rsidR="006A5970" w:rsidRPr="00191413" w:rsidRDefault="006A5970" w:rsidP="000B2C51">
            <w:pPr>
              <w:pStyle w:val="BoxListBullet"/>
              <w:spacing w:before="120"/>
            </w:pPr>
            <w:r w:rsidRPr="00191413">
              <w:t>other disability.</w:t>
            </w:r>
          </w:p>
          <w:p w:rsidR="006A5970" w:rsidRPr="00191413" w:rsidRDefault="006A5970" w:rsidP="000B2C51">
            <w:pPr>
              <w:pStyle w:val="Box"/>
            </w:pPr>
            <w:r w:rsidRPr="00191413">
              <w:t xml:space="preserve">A high or increasing proportion of people with disability who participate in social or community activities reflects their greater inclusion in the community. </w:t>
            </w:r>
          </w:p>
          <w:p w:rsidR="006A5970" w:rsidRDefault="006A5970" w:rsidP="000B2C51">
            <w:pPr>
              <w:pStyle w:val="Box"/>
            </w:pPr>
            <w:r w:rsidRPr="00191413">
              <w:t>This indicator does</w:t>
            </w:r>
            <w:r w:rsidRPr="00191413" w:rsidDel="00217352">
              <w:t xml:space="preserve"> </w:t>
            </w:r>
            <w:r w:rsidRPr="00191413">
              <w:t>not provide information on the degree to which the identified types of social or community activities contribute to people’s quality of life. It also does not provide information on why some people did not participate.</w:t>
            </w:r>
          </w:p>
          <w:p w:rsidR="00907A50" w:rsidRPr="00907A50" w:rsidRDefault="00907A50" w:rsidP="00907A50">
            <w:pPr>
              <w:pStyle w:val="Box"/>
            </w:pPr>
            <w:r w:rsidRPr="00907A50">
              <w:t>Data for this measure include 95 per cent confidence intervals (in the form of error bars in figures and percentages in tables).</w:t>
            </w:r>
          </w:p>
          <w:p w:rsidR="00265FEB" w:rsidRPr="00191413" w:rsidRDefault="00265FEB" w:rsidP="00265FEB">
            <w:pPr>
              <w:pStyle w:val="Box"/>
            </w:pPr>
            <w:r w:rsidRPr="00191413">
              <w:t>Data reported for this measure</w:t>
            </w:r>
            <w:r w:rsidR="00907A50">
              <w:t xml:space="preserve"> are</w:t>
            </w:r>
            <w:r w:rsidRPr="00191413">
              <w:t>:</w:t>
            </w:r>
          </w:p>
          <w:p w:rsidR="00265FEB" w:rsidRPr="00191413" w:rsidRDefault="00265FEB" w:rsidP="00265FEB">
            <w:pPr>
              <w:pStyle w:val="BoxListBullet"/>
            </w:pPr>
            <w:r w:rsidRPr="00191413">
              <w:rPr>
                <w:lang w:eastAsia="en-US"/>
              </w:rPr>
              <w:t xml:space="preserve">comparable across jurisdictions </w:t>
            </w:r>
            <w:r w:rsidR="00C74D58" w:rsidRPr="00191413">
              <w:rPr>
                <w:lang w:eastAsia="en-US"/>
              </w:rPr>
              <w:t>and over time</w:t>
            </w:r>
          </w:p>
          <w:p w:rsidR="00265FEB" w:rsidRDefault="00265FEB" w:rsidP="00265FEB">
            <w:pPr>
              <w:pStyle w:val="BoxListBullet"/>
              <w:rPr>
                <w:lang w:eastAsia="en-US"/>
              </w:rPr>
            </w:pPr>
            <w:r w:rsidRPr="00191413">
              <w:rPr>
                <w:lang w:eastAsia="en-US"/>
              </w:rPr>
              <w:t>complete (subject to caveats) fo</w:t>
            </w:r>
            <w:r w:rsidR="00F27CD7">
              <w:rPr>
                <w:lang w:eastAsia="en-US"/>
              </w:rPr>
              <w:t>r the current reporting period</w:t>
            </w:r>
            <w:r w:rsidR="00907A50">
              <w:rPr>
                <w:lang w:eastAsia="en-US"/>
              </w:rPr>
              <w:t>.</w:t>
            </w:r>
          </w:p>
          <w:p w:rsidR="006A5970" w:rsidRPr="00191413" w:rsidRDefault="00802A7D" w:rsidP="000B2C51">
            <w:pPr>
              <w:pStyle w:val="Box"/>
            </w:pPr>
            <w:r w:rsidRPr="00191413">
              <w:t>Data quality information for this indicator</w:t>
            </w:r>
            <w:r w:rsidR="0028432F" w:rsidRPr="00191413">
              <w:t xml:space="preserve"> is at www.pc.gov.au</w:t>
            </w:r>
            <w:r w:rsidRPr="00191413">
              <w:t>/rogs/</w:t>
            </w:r>
            <w:r w:rsidR="00B86C20" w:rsidRPr="00191413">
              <w:t>2016</w:t>
            </w:r>
            <w:r w:rsidRPr="00191413">
              <w:t>.</w:t>
            </w:r>
          </w:p>
        </w:tc>
      </w:tr>
      <w:tr w:rsidR="006A5970" w:rsidRPr="00191413" w:rsidTr="00730EA6">
        <w:trPr>
          <w:cantSplit/>
        </w:trPr>
        <w:tc>
          <w:tcPr>
            <w:tcW w:w="8771" w:type="dxa"/>
            <w:tcBorders>
              <w:top w:val="nil"/>
              <w:left w:val="nil"/>
              <w:bottom w:val="single" w:sz="6" w:space="0" w:color="78A22F"/>
              <w:right w:val="nil"/>
            </w:tcBorders>
            <w:shd w:val="clear" w:color="auto" w:fill="F2F2F2"/>
          </w:tcPr>
          <w:p w:rsidR="006A5970" w:rsidRPr="00191413" w:rsidRDefault="006A5970" w:rsidP="000B2C51">
            <w:pPr>
              <w:pStyle w:val="Box"/>
              <w:spacing w:before="0" w:line="120" w:lineRule="exact"/>
            </w:pPr>
          </w:p>
        </w:tc>
      </w:tr>
      <w:tr w:rsidR="006A5970" w:rsidRPr="00191413" w:rsidTr="00730EA6">
        <w:tc>
          <w:tcPr>
            <w:tcW w:w="8771" w:type="dxa"/>
            <w:tcBorders>
              <w:top w:val="single" w:sz="6" w:space="0" w:color="78A22F"/>
              <w:left w:val="nil"/>
              <w:bottom w:val="nil"/>
              <w:right w:val="nil"/>
            </w:tcBorders>
          </w:tcPr>
          <w:p w:rsidR="006A5970" w:rsidRPr="00191413" w:rsidRDefault="006A5970" w:rsidP="000B2C51">
            <w:pPr>
              <w:pStyle w:val="BoxSpaceBelow"/>
              <w:keepNext/>
            </w:pPr>
          </w:p>
        </w:tc>
      </w:tr>
    </w:tbl>
    <w:p w:rsidR="001F39F2" w:rsidRDefault="001F39F2" w:rsidP="00626A1F">
      <w:pPr>
        <w:pStyle w:val="BodyText"/>
        <w:rPr>
          <w:szCs w:val="26"/>
        </w:rPr>
      </w:pPr>
      <w:r w:rsidRPr="00191413">
        <w:rPr>
          <w:szCs w:val="26"/>
        </w:rPr>
        <w:t xml:space="preserve">Nationally in </w:t>
      </w:r>
      <w:r w:rsidR="00AB7E39" w:rsidRPr="00191413">
        <w:rPr>
          <w:szCs w:val="26"/>
        </w:rPr>
        <w:t>20</w:t>
      </w:r>
      <w:r w:rsidR="00B451AF" w:rsidRPr="00191413">
        <w:rPr>
          <w:szCs w:val="26"/>
        </w:rPr>
        <w:t>12</w:t>
      </w:r>
      <w:r w:rsidRPr="00191413">
        <w:rPr>
          <w:szCs w:val="26"/>
        </w:rPr>
        <w:t xml:space="preserve">, the estimated proportion of people </w:t>
      </w:r>
      <w:r w:rsidRPr="00191413">
        <w:t xml:space="preserve">with disability aged </w:t>
      </w:r>
      <w:r w:rsidR="00AB7E39" w:rsidRPr="00191413">
        <w:rPr>
          <w:szCs w:val="26"/>
        </w:rPr>
        <w:t>1</w:t>
      </w:r>
      <w:r w:rsidR="00B451AF" w:rsidRPr="00191413">
        <w:rPr>
          <w:szCs w:val="26"/>
        </w:rPr>
        <w:t>5</w:t>
      </w:r>
      <w:r w:rsidR="00D709A0" w:rsidRPr="00191413">
        <w:rPr>
          <w:szCs w:val="26"/>
        </w:rPr>
        <w:t>–</w:t>
      </w:r>
      <w:r w:rsidR="000E231C" w:rsidRPr="00191413">
        <w:rPr>
          <w:szCs w:val="26"/>
        </w:rPr>
        <w:t>64 </w:t>
      </w:r>
      <w:r w:rsidRPr="00191413">
        <w:rPr>
          <w:szCs w:val="26"/>
        </w:rPr>
        <w:t>years with a profound or severe disability who had face</w:t>
      </w:r>
      <w:r w:rsidR="00B84AF2" w:rsidRPr="00191413">
        <w:rPr>
          <w:szCs w:val="26"/>
        </w:rPr>
        <w:noBreakHyphen/>
      </w:r>
      <w:r w:rsidRPr="00191413">
        <w:rPr>
          <w:szCs w:val="26"/>
        </w:rPr>
        <w:t>to</w:t>
      </w:r>
      <w:r w:rsidR="00B84AF2" w:rsidRPr="00191413">
        <w:rPr>
          <w:szCs w:val="26"/>
        </w:rPr>
        <w:noBreakHyphen/>
      </w:r>
      <w:r w:rsidRPr="00191413">
        <w:rPr>
          <w:szCs w:val="26"/>
        </w:rPr>
        <w:t xml:space="preserve">face contact with </w:t>
      </w:r>
      <w:r w:rsidR="00B451AF" w:rsidRPr="00191413">
        <w:rPr>
          <w:szCs w:val="26"/>
        </w:rPr>
        <w:t>ex</w:t>
      </w:r>
      <w:r w:rsidR="00B84AF2" w:rsidRPr="00191413">
        <w:rPr>
          <w:szCs w:val="26"/>
        </w:rPr>
        <w:noBreakHyphen/>
      </w:r>
      <w:r w:rsidR="00B451AF" w:rsidRPr="00191413">
        <w:rPr>
          <w:szCs w:val="26"/>
        </w:rPr>
        <w:t xml:space="preserve">household </w:t>
      </w:r>
      <w:r w:rsidRPr="00191413">
        <w:rPr>
          <w:szCs w:val="26"/>
        </w:rPr>
        <w:t xml:space="preserve">family or friends </w:t>
      </w:r>
      <w:r w:rsidR="00B451AF" w:rsidRPr="00191413">
        <w:rPr>
          <w:szCs w:val="26"/>
        </w:rPr>
        <w:t xml:space="preserve">in the previous week </w:t>
      </w:r>
      <w:r w:rsidRPr="00191413">
        <w:rPr>
          <w:szCs w:val="26"/>
        </w:rPr>
        <w:t>(</w:t>
      </w:r>
      <w:r w:rsidR="00643BA6" w:rsidRPr="00191413">
        <w:rPr>
          <w:szCs w:val="26"/>
        </w:rPr>
        <w:t>70.6</w:t>
      </w:r>
      <w:r w:rsidRPr="00191413">
        <w:rPr>
          <w:szCs w:val="26"/>
        </w:rPr>
        <w:t xml:space="preserve"> </w:t>
      </w:r>
      <w:r w:rsidRPr="00191413">
        <w:t xml:space="preserve">per cent) was </w:t>
      </w:r>
      <w:r w:rsidRPr="00191413">
        <w:rPr>
          <w:szCs w:val="26"/>
        </w:rPr>
        <w:t>lower than the rate for people with disability without a profound or severe core activity limitation (</w:t>
      </w:r>
      <w:r w:rsidR="00643BA6" w:rsidRPr="00191413">
        <w:rPr>
          <w:szCs w:val="26"/>
        </w:rPr>
        <w:t>75.4</w:t>
      </w:r>
      <w:r w:rsidRPr="00191413">
        <w:rPr>
          <w:szCs w:val="26"/>
        </w:rPr>
        <w:t xml:space="preserve"> per cent) (figure</w:t>
      </w:r>
      <w:r w:rsidR="00AE3578" w:rsidRPr="00191413">
        <w:rPr>
          <w:szCs w:val="26"/>
        </w:rPr>
        <w:t> </w:t>
      </w:r>
      <w:r w:rsidR="00D709A0">
        <w:t>14.3</w:t>
      </w:r>
      <w:r w:rsidR="00F61907">
        <w:t>5</w:t>
      </w:r>
      <w:r w:rsidRPr="00191413">
        <w:rPr>
          <w:szCs w:val="26"/>
        </w:rPr>
        <w:t>).</w:t>
      </w:r>
    </w:p>
    <w:p w:rsidR="00D709A0" w:rsidRPr="00191413" w:rsidRDefault="00D709A0" w:rsidP="00D709A0">
      <w:pPr>
        <w:pStyle w:val="BodyText"/>
        <w:rPr>
          <w:szCs w:val="26"/>
        </w:rPr>
      </w:pPr>
      <w:r w:rsidRPr="00191413">
        <w:rPr>
          <w:szCs w:val="26"/>
        </w:rPr>
        <w:t xml:space="preserve">Nationally in 2012, the estimated proportion of people </w:t>
      </w:r>
      <w:r w:rsidRPr="00191413">
        <w:t xml:space="preserve">with disability aged </w:t>
      </w:r>
      <w:r w:rsidRPr="00191413">
        <w:rPr>
          <w:szCs w:val="26"/>
        </w:rPr>
        <w:t>5–64 years with a profound or severe disability who reported the main reason for not leaving home as often as they would like is their disability or condition (31.4 </w:t>
      </w:r>
      <w:r w:rsidRPr="00191413">
        <w:t xml:space="preserve">per cent) was </w:t>
      </w:r>
      <w:r w:rsidR="00836755">
        <w:t>considerably</w:t>
      </w:r>
      <w:r w:rsidR="00836755" w:rsidRPr="00191413">
        <w:t xml:space="preserve"> </w:t>
      </w:r>
      <w:r w:rsidRPr="00191413">
        <w:t xml:space="preserve">higher than </w:t>
      </w:r>
      <w:r w:rsidRPr="00191413">
        <w:rPr>
          <w:szCs w:val="26"/>
        </w:rPr>
        <w:t>the rate for people with disability without a profound or severe core activity limitation (8.2 per cent) (figure 14.</w:t>
      </w:r>
      <w:r w:rsidR="00F61907">
        <w:rPr>
          <w:szCs w:val="26"/>
        </w:rPr>
        <w:t>36</w:t>
      </w:r>
      <w:r w:rsidRPr="00191413">
        <w:rPr>
          <w:szCs w:val="26"/>
        </w:rPr>
        <w:t>).</w:t>
      </w:r>
    </w:p>
    <w:p w:rsidR="00D709A0" w:rsidRPr="00191413" w:rsidRDefault="00D709A0" w:rsidP="00D709A0">
      <w:pPr>
        <w:pStyle w:val="BodyText"/>
        <w:rPr>
          <w:szCs w:val="26"/>
        </w:rPr>
      </w:pPr>
      <w:r w:rsidRPr="00191413">
        <w:rPr>
          <w:szCs w:val="26"/>
        </w:rPr>
        <w:t>Other data on participation of people with disability in selected social and community activities are reported in tables 14A.1</w:t>
      </w:r>
      <w:r w:rsidR="009D34ED">
        <w:rPr>
          <w:szCs w:val="26"/>
        </w:rPr>
        <w:t>1</w:t>
      </w:r>
      <w:r w:rsidR="000D69D9">
        <w:rPr>
          <w:szCs w:val="26"/>
        </w:rPr>
        <w:t>3</w:t>
      </w:r>
      <w:r w:rsidRPr="00191413">
        <w:t>–1</w:t>
      </w:r>
      <w:r w:rsidR="009D34ED">
        <w:t>2</w:t>
      </w:r>
      <w:r w:rsidR="000D69D9">
        <w:t>1</w:t>
      </w:r>
      <w:r w:rsidRPr="00191413">
        <w:t>.</w:t>
      </w:r>
    </w:p>
    <w:p w:rsidR="00D709A0" w:rsidRPr="00191413" w:rsidRDefault="00D709A0" w:rsidP="00626A1F">
      <w:pPr>
        <w:pStyle w:val="BodyText"/>
        <w:rPr>
          <w:szCs w:val="26"/>
        </w:rPr>
      </w:pPr>
    </w:p>
    <w:p w:rsidR="003D5C7D" w:rsidRPr="00B86C20" w:rsidRDefault="003D5C7D"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D5C7D" w:rsidRPr="00191413" w:rsidTr="000B2C51">
        <w:trPr>
          <w:cantSplit/>
        </w:trPr>
        <w:tc>
          <w:tcPr>
            <w:tcW w:w="8771" w:type="dxa"/>
            <w:tcBorders>
              <w:top w:val="single" w:sz="6" w:space="0" w:color="78A22F"/>
              <w:left w:val="nil"/>
              <w:bottom w:val="nil"/>
              <w:right w:val="nil"/>
            </w:tcBorders>
            <w:shd w:val="clear" w:color="auto" w:fill="auto"/>
          </w:tcPr>
          <w:p w:rsidR="003D5C7D" w:rsidRPr="00191413" w:rsidRDefault="003D5C7D" w:rsidP="00D709A0">
            <w:pPr>
              <w:pStyle w:val="FigureTitle"/>
            </w:pPr>
            <w:r w:rsidRPr="00191413">
              <w:rPr>
                <w:b w:val="0"/>
              </w:rPr>
              <w:t xml:space="preserve">Figure </w:t>
            </w:r>
            <w:bookmarkStart w:id="54" w:name="OLE_LINK47"/>
            <w:r w:rsidR="00321568" w:rsidRPr="00191413">
              <w:rPr>
                <w:b w:val="0"/>
              </w:rPr>
              <w:t>14.</w:t>
            </w:r>
            <w:r w:rsidR="004B691F">
              <w:rPr>
                <w:b w:val="0"/>
                <w:noProof/>
              </w:rPr>
              <w:t>35</w:t>
            </w:r>
            <w:bookmarkEnd w:id="54"/>
            <w:r w:rsidRPr="00191413">
              <w:tab/>
              <w:t>People with disability aged 15–64 years who had face</w:t>
            </w:r>
            <w:r w:rsidRPr="00191413">
              <w:noBreakHyphen/>
              <w:t>to</w:t>
            </w:r>
            <w:r w:rsidRPr="00191413">
              <w:noBreakHyphen/>
              <w:t>face contact with ex</w:t>
            </w:r>
            <w:r w:rsidR="00B84AF2" w:rsidRPr="00191413">
              <w:noBreakHyphen/>
            </w:r>
            <w:r w:rsidRPr="00191413">
              <w:t>household family</w:t>
            </w:r>
            <w:r w:rsidR="00D709A0">
              <w:t xml:space="preserve"> or </w:t>
            </w:r>
            <w:r w:rsidRPr="00191413">
              <w:t>friends in the previous week, 2012</w:t>
            </w:r>
            <w:r w:rsidR="00F27CD7">
              <w:rPr>
                <w:rStyle w:val="NoteLabel"/>
                <w:b/>
              </w:rPr>
              <w:t>a</w:t>
            </w:r>
          </w:p>
        </w:tc>
      </w:tr>
      <w:tr w:rsidR="003D5C7D" w:rsidRPr="00191413" w:rsidTr="000B2C51">
        <w:trPr>
          <w:cantSplit/>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D5C7D" w:rsidRPr="00191413" w:rsidTr="00DD33DF">
              <w:trPr>
                <w:jc w:val="center"/>
              </w:trPr>
              <w:tc>
                <w:tcPr>
                  <w:tcW w:w="5000" w:type="pct"/>
                  <w:tcBorders>
                    <w:top w:val="nil"/>
                    <w:bottom w:val="nil"/>
                  </w:tcBorders>
                </w:tcPr>
                <w:p w:rsidR="003D5C7D" w:rsidRPr="00191413" w:rsidRDefault="00AB345E" w:rsidP="00DD33DF">
                  <w:pPr>
                    <w:pStyle w:val="Figure"/>
                    <w:spacing w:before="60" w:after="60"/>
                  </w:pPr>
                  <w:r>
                    <w:rPr>
                      <w:noProof/>
                    </w:rPr>
                    <w:drawing>
                      <wp:inline distT="0" distB="0" distL="0" distR="0">
                        <wp:extent cx="5225415" cy="2683510"/>
                        <wp:effectExtent l="0" t="0" r="0" b="2540"/>
                        <wp:docPr id="68" name="Picture 68" descr="Figure 14.35 People with disability aged 15–64 years who had face-to-face contact with ex-household family or friends in the previous week,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3D5C7D" w:rsidRPr="00191413" w:rsidRDefault="003D5C7D" w:rsidP="00DD33DF">
            <w:pPr>
              <w:pStyle w:val="Figure"/>
            </w:pPr>
          </w:p>
        </w:tc>
      </w:tr>
      <w:tr w:rsidR="003D5C7D" w:rsidRPr="00191413" w:rsidTr="000B2C51">
        <w:trPr>
          <w:cantSplit/>
        </w:trPr>
        <w:tc>
          <w:tcPr>
            <w:tcW w:w="8771" w:type="dxa"/>
            <w:tcBorders>
              <w:top w:val="nil"/>
              <w:left w:val="nil"/>
              <w:bottom w:val="nil"/>
              <w:right w:val="nil"/>
            </w:tcBorders>
            <w:shd w:val="clear" w:color="auto" w:fill="auto"/>
          </w:tcPr>
          <w:p w:rsidR="003D5C7D" w:rsidRPr="00191413" w:rsidRDefault="003D5C7D" w:rsidP="000D69D9">
            <w:pPr>
              <w:pStyle w:val="Note"/>
            </w:pPr>
            <w:r w:rsidRPr="00191413">
              <w:rPr>
                <w:rStyle w:val="NoteLabel"/>
              </w:rPr>
              <w:t>a</w:t>
            </w:r>
            <w:r w:rsidRPr="00191413">
              <w:t xml:space="preserve"> </w:t>
            </w:r>
            <w:r w:rsidR="00C74382" w:rsidRPr="00191413">
              <w:t>See box</w:t>
            </w:r>
            <w:r w:rsidR="005547FD">
              <w:t> </w:t>
            </w:r>
            <w:r w:rsidR="00C74382" w:rsidRPr="00191413">
              <w:t>14.2</w:t>
            </w:r>
            <w:r w:rsidR="00975BA7">
              <w:t>1</w:t>
            </w:r>
            <w:r w:rsidR="00C74382" w:rsidRPr="00191413">
              <w:t xml:space="preserve"> and table</w:t>
            </w:r>
            <w:r w:rsidR="005547FD">
              <w:t> </w:t>
            </w:r>
            <w:r w:rsidR="00C74382" w:rsidRPr="00191413">
              <w:t>14A.</w:t>
            </w:r>
            <w:r w:rsidR="0095697E" w:rsidRPr="00191413">
              <w:t>1</w:t>
            </w:r>
            <w:r w:rsidR="0095697E">
              <w:t>1</w:t>
            </w:r>
            <w:r w:rsidR="000D69D9">
              <w:t>4</w:t>
            </w:r>
            <w:r w:rsidR="0095697E" w:rsidRPr="00191413">
              <w:t xml:space="preserve"> </w:t>
            </w:r>
            <w:r w:rsidR="00C74382" w:rsidRPr="00191413">
              <w:t xml:space="preserve">for detailed </w:t>
            </w:r>
            <w:r w:rsidR="003D7F75">
              <w:t>definitions, footnotes and caveats</w:t>
            </w:r>
            <w:r w:rsidR="00F27CD7">
              <w:t>.</w:t>
            </w:r>
          </w:p>
        </w:tc>
      </w:tr>
      <w:tr w:rsidR="003D5C7D" w:rsidRPr="00191413" w:rsidTr="000B2C51">
        <w:trPr>
          <w:cantSplit/>
        </w:trPr>
        <w:tc>
          <w:tcPr>
            <w:tcW w:w="8771" w:type="dxa"/>
            <w:tcBorders>
              <w:top w:val="nil"/>
              <w:left w:val="nil"/>
              <w:bottom w:val="nil"/>
              <w:right w:val="nil"/>
            </w:tcBorders>
            <w:shd w:val="clear" w:color="auto" w:fill="auto"/>
          </w:tcPr>
          <w:p w:rsidR="003D5C7D" w:rsidRPr="00191413" w:rsidRDefault="003D5C7D" w:rsidP="000D69D9">
            <w:pPr>
              <w:pStyle w:val="Source"/>
            </w:pPr>
            <w:r w:rsidRPr="00191413">
              <w:rPr>
                <w:i/>
              </w:rPr>
              <w:t>Source</w:t>
            </w:r>
            <w:r w:rsidRPr="00191413">
              <w:t xml:space="preserve">: ABS (unpublished) </w:t>
            </w:r>
            <w:r w:rsidR="00D709A0">
              <w:t>SDAC</w:t>
            </w:r>
            <w:r w:rsidR="00044F4B" w:rsidRPr="00191413">
              <w:rPr>
                <w:i/>
              </w:rPr>
              <w:t xml:space="preserve">; </w:t>
            </w:r>
            <w:r w:rsidRPr="00191413">
              <w:t>table</w:t>
            </w:r>
            <w:r w:rsidR="00AE3578" w:rsidRPr="00191413">
              <w:t> </w:t>
            </w:r>
            <w:r w:rsidRPr="00191413">
              <w:t>14A.</w:t>
            </w:r>
            <w:r w:rsidR="0095697E" w:rsidRPr="00191413">
              <w:t>1</w:t>
            </w:r>
            <w:r w:rsidR="0095697E">
              <w:t>1</w:t>
            </w:r>
            <w:r w:rsidR="000D69D9">
              <w:t>4</w:t>
            </w:r>
            <w:r w:rsidR="00AE3578" w:rsidRPr="00191413">
              <w:t>.</w:t>
            </w:r>
          </w:p>
        </w:tc>
      </w:tr>
      <w:tr w:rsidR="003D5C7D" w:rsidRPr="00191413" w:rsidTr="000B2C51">
        <w:trPr>
          <w:cantSplit/>
        </w:trPr>
        <w:tc>
          <w:tcPr>
            <w:tcW w:w="8771" w:type="dxa"/>
            <w:tcBorders>
              <w:top w:val="nil"/>
              <w:left w:val="nil"/>
              <w:bottom w:val="single" w:sz="6" w:space="0" w:color="78A22F"/>
              <w:right w:val="nil"/>
            </w:tcBorders>
            <w:shd w:val="clear" w:color="auto" w:fill="auto"/>
          </w:tcPr>
          <w:p w:rsidR="003D5C7D" w:rsidRPr="00191413" w:rsidRDefault="003D5C7D" w:rsidP="00DD33DF">
            <w:pPr>
              <w:pStyle w:val="Figurespace"/>
            </w:pPr>
          </w:p>
        </w:tc>
      </w:tr>
      <w:tr w:rsidR="003D5C7D" w:rsidRPr="00191413" w:rsidTr="000B2C51">
        <w:trPr>
          <w:cantSplit/>
        </w:trPr>
        <w:tc>
          <w:tcPr>
            <w:tcW w:w="8771" w:type="dxa"/>
            <w:tcBorders>
              <w:top w:val="single" w:sz="6" w:space="0" w:color="78A22F"/>
              <w:left w:val="nil"/>
              <w:bottom w:val="nil"/>
              <w:right w:val="nil"/>
            </w:tcBorders>
          </w:tcPr>
          <w:p w:rsidR="003D5C7D" w:rsidRPr="00191413" w:rsidRDefault="003D5C7D" w:rsidP="00DD33DF">
            <w:pPr>
              <w:pStyle w:val="BoxSpaceBelow"/>
            </w:pPr>
          </w:p>
        </w:tc>
      </w:tr>
    </w:tbl>
    <w:p w:rsidR="00DD33DF" w:rsidRPr="00B86C20" w:rsidRDefault="00DD33DF"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33DF" w:rsidRPr="00191413" w:rsidTr="00DD33DF">
        <w:tc>
          <w:tcPr>
            <w:tcW w:w="8771" w:type="dxa"/>
            <w:tcBorders>
              <w:top w:val="single" w:sz="6" w:space="0" w:color="78A22F"/>
              <w:left w:val="nil"/>
              <w:bottom w:val="nil"/>
              <w:right w:val="nil"/>
            </w:tcBorders>
            <w:shd w:val="clear" w:color="auto" w:fill="auto"/>
          </w:tcPr>
          <w:p w:rsidR="00DD33DF" w:rsidRPr="00191413" w:rsidRDefault="00DD33DF" w:rsidP="00996732">
            <w:pPr>
              <w:pStyle w:val="FigureTitle"/>
            </w:pPr>
            <w:r w:rsidRPr="00191413">
              <w:rPr>
                <w:b w:val="0"/>
              </w:rPr>
              <w:t xml:space="preserve">Figure </w:t>
            </w:r>
            <w:r w:rsidR="00321568" w:rsidRPr="00191413">
              <w:rPr>
                <w:b w:val="0"/>
              </w:rPr>
              <w:t>14.</w:t>
            </w:r>
            <w:r w:rsidR="004B691F">
              <w:rPr>
                <w:b w:val="0"/>
                <w:noProof/>
              </w:rPr>
              <w:t>36</w:t>
            </w:r>
            <w:r w:rsidRPr="00191413">
              <w:tab/>
            </w:r>
            <w:r w:rsidR="00636E5C" w:rsidRPr="00191413">
              <w:t>People with disability aged 5–64 years who report the main reason for not leaving home as often as they would like is their disability or condition, by disability status, 2012</w:t>
            </w:r>
            <w:r w:rsidR="00F27CD7">
              <w:rPr>
                <w:rStyle w:val="NoteLabel"/>
                <w:b/>
              </w:rPr>
              <w:t>a</w:t>
            </w:r>
          </w:p>
        </w:tc>
      </w:tr>
      <w:tr w:rsidR="00DD33DF" w:rsidRPr="00191413" w:rsidTr="00DD33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D33DF" w:rsidRPr="00191413" w:rsidTr="00DD33DF">
              <w:trPr>
                <w:jc w:val="center"/>
              </w:trPr>
              <w:tc>
                <w:tcPr>
                  <w:tcW w:w="5000" w:type="pct"/>
                  <w:tcBorders>
                    <w:top w:val="nil"/>
                    <w:bottom w:val="nil"/>
                  </w:tcBorders>
                </w:tcPr>
                <w:p w:rsidR="00DD33DF" w:rsidRPr="00191413" w:rsidRDefault="00AB345E" w:rsidP="00DD33DF">
                  <w:pPr>
                    <w:pStyle w:val="Figure"/>
                    <w:spacing w:before="60" w:after="60"/>
                  </w:pPr>
                  <w:r>
                    <w:rPr>
                      <w:noProof/>
                    </w:rPr>
                    <w:drawing>
                      <wp:inline distT="0" distB="0" distL="0" distR="0">
                        <wp:extent cx="5225415" cy="2683510"/>
                        <wp:effectExtent l="0" t="0" r="0" b="2540"/>
                        <wp:docPr id="69" name="Picture 69" descr="Figure 14.36 People with disability aged 5–64 years who report the main reason for not leaving home as often as they would like is their disability or condition, by disability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225415" cy="2683510"/>
                                </a:xfrm>
                                <a:prstGeom prst="rect">
                                  <a:avLst/>
                                </a:prstGeom>
                                <a:noFill/>
                                <a:ln>
                                  <a:noFill/>
                                </a:ln>
                              </pic:spPr>
                            </pic:pic>
                          </a:graphicData>
                        </a:graphic>
                      </wp:inline>
                    </w:drawing>
                  </w:r>
                </w:p>
              </w:tc>
            </w:tr>
          </w:tbl>
          <w:p w:rsidR="00DD33DF" w:rsidRPr="00191413" w:rsidRDefault="00DD33DF" w:rsidP="00DD33DF">
            <w:pPr>
              <w:pStyle w:val="Figure"/>
            </w:pPr>
          </w:p>
        </w:tc>
      </w:tr>
      <w:tr w:rsidR="00DD33DF" w:rsidRPr="00191413" w:rsidTr="00DD33DF">
        <w:tc>
          <w:tcPr>
            <w:tcW w:w="8771" w:type="dxa"/>
            <w:tcBorders>
              <w:top w:val="nil"/>
              <w:left w:val="nil"/>
              <w:bottom w:val="nil"/>
              <w:right w:val="nil"/>
            </w:tcBorders>
            <w:shd w:val="clear" w:color="auto" w:fill="auto"/>
          </w:tcPr>
          <w:p w:rsidR="00DD33DF" w:rsidRPr="00191413" w:rsidRDefault="00636E5C" w:rsidP="00F27CD7">
            <w:pPr>
              <w:pStyle w:val="Note"/>
            </w:pPr>
            <w:r w:rsidRPr="00191413">
              <w:rPr>
                <w:rStyle w:val="NoteLabel"/>
              </w:rPr>
              <w:t>a</w:t>
            </w:r>
            <w:r w:rsidRPr="00191413">
              <w:t xml:space="preserve"> </w:t>
            </w:r>
            <w:r w:rsidR="00975BA7">
              <w:t>See box</w:t>
            </w:r>
            <w:r w:rsidR="005547FD">
              <w:t> </w:t>
            </w:r>
            <w:r w:rsidR="00975BA7">
              <w:t>14.21</w:t>
            </w:r>
            <w:r w:rsidR="00C74382" w:rsidRPr="00191413">
              <w:t xml:space="preserve"> and table</w:t>
            </w:r>
            <w:r w:rsidR="005547FD">
              <w:t> </w:t>
            </w:r>
            <w:r w:rsidR="00C74382" w:rsidRPr="00191413">
              <w:t>14A.</w:t>
            </w:r>
            <w:r w:rsidR="0095697E">
              <w:t>12</w:t>
            </w:r>
            <w:r w:rsidR="000D69D9">
              <w:t>3</w:t>
            </w:r>
            <w:r w:rsidR="0095697E" w:rsidRPr="00191413">
              <w:t xml:space="preserve"> </w:t>
            </w:r>
            <w:r w:rsidR="00C74382" w:rsidRPr="00191413">
              <w:t xml:space="preserve">for detailed </w:t>
            </w:r>
            <w:r w:rsidR="003D7F75">
              <w:t>definitions, footnotes and caveats</w:t>
            </w:r>
            <w:r w:rsidR="00C74382" w:rsidRPr="00191413">
              <w:t>.</w:t>
            </w:r>
          </w:p>
        </w:tc>
      </w:tr>
      <w:tr w:rsidR="00DD33DF" w:rsidRPr="00191413" w:rsidTr="00DD33DF">
        <w:tc>
          <w:tcPr>
            <w:tcW w:w="8771" w:type="dxa"/>
            <w:tcBorders>
              <w:top w:val="nil"/>
              <w:left w:val="nil"/>
              <w:bottom w:val="nil"/>
              <w:right w:val="nil"/>
            </w:tcBorders>
            <w:shd w:val="clear" w:color="auto" w:fill="auto"/>
          </w:tcPr>
          <w:p w:rsidR="00DD33DF" w:rsidRPr="00191413" w:rsidRDefault="00636E5C" w:rsidP="000D69D9">
            <w:pPr>
              <w:pStyle w:val="Source"/>
            </w:pPr>
            <w:r w:rsidRPr="00191413">
              <w:rPr>
                <w:i/>
              </w:rPr>
              <w:t>Source</w:t>
            </w:r>
            <w:r w:rsidRPr="00191413">
              <w:t xml:space="preserve">: ABS (unpublished) </w:t>
            </w:r>
            <w:r w:rsidR="00D709A0">
              <w:t>SDAC</w:t>
            </w:r>
            <w:r w:rsidR="00044F4B" w:rsidRPr="00191413">
              <w:rPr>
                <w:i/>
              </w:rPr>
              <w:t>;</w:t>
            </w:r>
            <w:r w:rsidRPr="00191413">
              <w:t xml:space="preserve"> table</w:t>
            </w:r>
            <w:r w:rsidR="00AE3578" w:rsidRPr="00191413">
              <w:t> </w:t>
            </w:r>
            <w:r w:rsidRPr="00191413">
              <w:t>14A.</w:t>
            </w:r>
            <w:r w:rsidR="0095697E" w:rsidRPr="00191413">
              <w:t>1</w:t>
            </w:r>
            <w:r w:rsidR="0095697E">
              <w:t>2</w:t>
            </w:r>
            <w:r w:rsidR="000D69D9">
              <w:t>3</w:t>
            </w:r>
            <w:r w:rsidRPr="00191413">
              <w:t xml:space="preserve">. </w:t>
            </w:r>
          </w:p>
        </w:tc>
      </w:tr>
      <w:tr w:rsidR="00DD33DF" w:rsidRPr="00191413" w:rsidTr="00DD33DF">
        <w:tc>
          <w:tcPr>
            <w:tcW w:w="8771" w:type="dxa"/>
            <w:tcBorders>
              <w:top w:val="nil"/>
              <w:left w:val="nil"/>
              <w:bottom w:val="single" w:sz="6" w:space="0" w:color="78A22F"/>
              <w:right w:val="nil"/>
            </w:tcBorders>
            <w:shd w:val="clear" w:color="auto" w:fill="auto"/>
          </w:tcPr>
          <w:p w:rsidR="00DD33DF" w:rsidRPr="00191413" w:rsidRDefault="00DD33DF" w:rsidP="00DD33DF">
            <w:pPr>
              <w:pStyle w:val="Figurespace"/>
            </w:pPr>
          </w:p>
        </w:tc>
      </w:tr>
      <w:tr w:rsidR="00DD33DF" w:rsidRPr="00191413" w:rsidTr="00DD33DF">
        <w:tc>
          <w:tcPr>
            <w:tcW w:w="8771" w:type="dxa"/>
            <w:tcBorders>
              <w:top w:val="single" w:sz="6" w:space="0" w:color="78A22F"/>
              <w:left w:val="nil"/>
              <w:bottom w:val="nil"/>
              <w:right w:val="nil"/>
            </w:tcBorders>
          </w:tcPr>
          <w:p w:rsidR="00DD33DF" w:rsidRPr="00191413" w:rsidRDefault="00DD33DF" w:rsidP="00DD33DF">
            <w:pPr>
              <w:pStyle w:val="BoxSpaceBelow"/>
            </w:pPr>
          </w:p>
        </w:tc>
      </w:tr>
    </w:tbl>
    <w:p w:rsidR="001F39F2" w:rsidRPr="00191413" w:rsidRDefault="001F39F2" w:rsidP="00927A21">
      <w:pPr>
        <w:pStyle w:val="Heading4"/>
      </w:pPr>
      <w:r w:rsidRPr="00191413">
        <w:lastRenderedPageBreak/>
        <w:t>Use of other services by people with disability</w:t>
      </w:r>
    </w:p>
    <w:p w:rsidR="001F39F2" w:rsidRPr="00191413" w:rsidRDefault="001F39F2" w:rsidP="00C31EEE">
      <w:pPr>
        <w:pStyle w:val="BodyText"/>
      </w:pPr>
      <w:r w:rsidRPr="00191413">
        <w:t>‘Use of other services by people with disability’ is an indicator of governments’ objective of enhancing the quality of life experienced by people with disability by assisting them to gain access to mainstream government services (box</w:t>
      </w:r>
      <w:r w:rsidR="00AE3578" w:rsidRPr="00191413">
        <w:t> </w:t>
      </w:r>
      <w:r w:rsidRPr="00191413">
        <w:t>14.</w:t>
      </w:r>
      <w:r w:rsidR="00525A0A" w:rsidRPr="00191413">
        <w:t>2</w:t>
      </w:r>
      <w:r w:rsidR="00651C61">
        <w:t>2</w:t>
      </w:r>
      <w:r w:rsidRPr="00191413">
        <w:t>).</w:t>
      </w:r>
    </w:p>
    <w:p w:rsidR="006A5970" w:rsidRPr="00B86C20" w:rsidRDefault="006A5970" w:rsidP="00960B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21CF" w:rsidRPr="00191413" w:rsidTr="00730EA6">
        <w:tc>
          <w:tcPr>
            <w:tcW w:w="8771" w:type="dxa"/>
            <w:tcBorders>
              <w:top w:val="single" w:sz="6" w:space="0" w:color="78A22F"/>
              <w:left w:val="nil"/>
              <w:bottom w:val="nil"/>
              <w:right w:val="nil"/>
            </w:tcBorders>
            <w:shd w:val="clear" w:color="auto" w:fill="F2F2F2"/>
          </w:tcPr>
          <w:p w:rsidR="006A5970" w:rsidRPr="00191413" w:rsidRDefault="006A5970" w:rsidP="006A5970">
            <w:pPr>
              <w:pStyle w:val="BoxTitle"/>
            </w:pPr>
            <w:r w:rsidRPr="00191413">
              <w:rPr>
                <w:b w:val="0"/>
              </w:rPr>
              <w:t xml:space="preserve">Box </w:t>
            </w:r>
            <w:r w:rsidR="00321568" w:rsidRPr="00191413">
              <w:rPr>
                <w:b w:val="0"/>
              </w:rPr>
              <w:t>14.</w:t>
            </w:r>
            <w:r w:rsidR="004B691F">
              <w:rPr>
                <w:b w:val="0"/>
                <w:noProof/>
              </w:rPr>
              <w:t>22</w:t>
            </w:r>
            <w:r w:rsidRPr="00191413">
              <w:tab/>
              <w:t xml:space="preserve">Use of other services by people with disability </w:t>
            </w:r>
          </w:p>
        </w:tc>
      </w:tr>
      <w:tr w:rsidR="005721CF" w:rsidRPr="00191413" w:rsidTr="00730EA6">
        <w:trPr>
          <w:cantSplit/>
        </w:trPr>
        <w:tc>
          <w:tcPr>
            <w:tcW w:w="8771" w:type="dxa"/>
            <w:tcBorders>
              <w:top w:val="nil"/>
              <w:left w:val="nil"/>
              <w:bottom w:val="nil"/>
              <w:right w:val="nil"/>
            </w:tcBorders>
            <w:shd w:val="clear" w:color="auto" w:fill="F2F2F2"/>
          </w:tcPr>
          <w:p w:rsidR="006A5970" w:rsidRPr="00191413" w:rsidRDefault="000F24CE" w:rsidP="00060ADF">
            <w:pPr>
              <w:pStyle w:val="Box"/>
              <w:rPr>
                <w:lang w:eastAsia="en-US"/>
              </w:rPr>
            </w:pPr>
            <w:r w:rsidRPr="00191413">
              <w:rPr>
                <w:lang w:eastAsia="en-US"/>
              </w:rPr>
              <w:t xml:space="preserve">‘Use of other services by people with disability’ is yet to be defined and reported on a consistent basis. </w:t>
            </w:r>
          </w:p>
          <w:p w:rsidR="006A5970" w:rsidRPr="00191413" w:rsidRDefault="006A5970">
            <w:pPr>
              <w:pStyle w:val="Box"/>
            </w:pPr>
            <w:r w:rsidRPr="00191413">
              <w:t xml:space="preserve">A higher or increasing proportion of people with disability who use mainstream government services suggests greater access to these services. </w:t>
            </w:r>
          </w:p>
          <w:p w:rsidR="006A5970" w:rsidRPr="00191413" w:rsidRDefault="006A5970">
            <w:pPr>
              <w:pStyle w:val="Box"/>
            </w:pPr>
            <w:r w:rsidRPr="00191413">
              <w:t>This indicator does</w:t>
            </w:r>
            <w:r w:rsidRPr="00191413" w:rsidDel="00217352">
              <w:t xml:space="preserve"> </w:t>
            </w:r>
            <w:r w:rsidRPr="00191413">
              <w:t xml:space="preserve">not provide information on whether the service accessed is the most appropriate, or the degree to which the service contributes to people’s quality of life. It also does not provide information on why some people do not access </w:t>
            </w:r>
            <w:r w:rsidR="000F24CE" w:rsidRPr="00191413">
              <w:t>mainstream</w:t>
            </w:r>
            <w:r w:rsidRPr="00191413">
              <w:t xml:space="preserve"> services.</w:t>
            </w:r>
          </w:p>
          <w:p w:rsidR="006A5970" w:rsidRPr="00191413" w:rsidRDefault="006A5970">
            <w:pPr>
              <w:pStyle w:val="Box"/>
            </w:pPr>
            <w:r w:rsidRPr="00191413">
              <w:t xml:space="preserve">Data for this indicator were not available for the </w:t>
            </w:r>
            <w:r w:rsidR="00B86C20" w:rsidRPr="00191413">
              <w:t>2016</w:t>
            </w:r>
            <w:r w:rsidRPr="00191413">
              <w:t xml:space="preserve"> Report.</w:t>
            </w:r>
          </w:p>
        </w:tc>
      </w:tr>
      <w:tr w:rsidR="005721CF" w:rsidRPr="00191413" w:rsidTr="00730EA6">
        <w:trPr>
          <w:cantSplit/>
        </w:trPr>
        <w:tc>
          <w:tcPr>
            <w:tcW w:w="8771" w:type="dxa"/>
            <w:tcBorders>
              <w:top w:val="nil"/>
              <w:left w:val="nil"/>
              <w:bottom w:val="single" w:sz="6" w:space="0" w:color="78A22F"/>
              <w:right w:val="nil"/>
            </w:tcBorders>
            <w:shd w:val="clear" w:color="auto" w:fill="F2F2F2"/>
          </w:tcPr>
          <w:p w:rsidR="006A5970" w:rsidRPr="00191413" w:rsidRDefault="006A5970">
            <w:pPr>
              <w:pStyle w:val="Box"/>
              <w:spacing w:before="0" w:line="120" w:lineRule="exact"/>
            </w:pPr>
          </w:p>
        </w:tc>
      </w:tr>
      <w:tr w:rsidR="005721CF" w:rsidRPr="00191413" w:rsidTr="00730EA6">
        <w:tc>
          <w:tcPr>
            <w:tcW w:w="8771" w:type="dxa"/>
            <w:tcBorders>
              <w:top w:val="single" w:sz="6" w:space="0" w:color="78A22F"/>
              <w:left w:val="nil"/>
              <w:bottom w:val="nil"/>
              <w:right w:val="nil"/>
            </w:tcBorders>
          </w:tcPr>
          <w:p w:rsidR="006A5970" w:rsidRPr="00191413" w:rsidRDefault="006A5970" w:rsidP="00730EA6">
            <w:pPr>
              <w:pStyle w:val="BoxSpaceBelow"/>
            </w:pPr>
          </w:p>
        </w:tc>
      </w:tr>
    </w:tbl>
    <w:p w:rsidR="00900D7F" w:rsidRPr="00191413" w:rsidRDefault="00900D7F" w:rsidP="00585E2C">
      <w:pPr>
        <w:pStyle w:val="Heading5"/>
        <w:rPr>
          <w:sz w:val="24"/>
        </w:rPr>
      </w:pPr>
      <w:r w:rsidRPr="00191413">
        <w:t>‘Use of other services’ data reported elsewhere in this Report</w:t>
      </w:r>
    </w:p>
    <w:p w:rsidR="001F39F2" w:rsidRPr="00601BE2" w:rsidRDefault="001F39F2" w:rsidP="00585E2C">
      <w:pPr>
        <w:pStyle w:val="BodyText"/>
      </w:pPr>
      <w:r w:rsidRPr="00191413">
        <w:t xml:space="preserve">Data on the participation of people with disability in various government services are incorporated in the performance indicator frameworks for other chapters of this Report. Participation is reported for </w:t>
      </w:r>
      <w:r w:rsidR="00F82D6B" w:rsidRPr="00191413">
        <w:t>early childhood education and care</w:t>
      </w:r>
      <w:r w:rsidR="00F30597" w:rsidRPr="00191413">
        <w:t xml:space="preserve"> (chapter</w:t>
      </w:r>
      <w:r w:rsidR="005547FD">
        <w:t> </w:t>
      </w:r>
      <w:r w:rsidR="00F30597" w:rsidRPr="00191413">
        <w:t>3); VET (chapter </w:t>
      </w:r>
      <w:r w:rsidRPr="00191413">
        <w:t xml:space="preserve">5); </w:t>
      </w:r>
      <w:r w:rsidR="002E6F95" w:rsidRPr="00191413">
        <w:t>social</w:t>
      </w:r>
      <w:r w:rsidRPr="00191413">
        <w:t xml:space="preserve">, community and State owned and managed Indigenous housing </w:t>
      </w:r>
      <w:r w:rsidR="00F30597" w:rsidRPr="00191413">
        <w:t>(</w:t>
      </w:r>
      <w:r w:rsidR="00F30597" w:rsidRPr="00601BE2">
        <w:t>chapter </w:t>
      </w:r>
      <w:r w:rsidR="002E6F95" w:rsidRPr="00601BE2">
        <w:t>1</w:t>
      </w:r>
      <w:r w:rsidR="00F82D6B" w:rsidRPr="00601BE2">
        <w:t>7</w:t>
      </w:r>
      <w:r w:rsidR="002E6F95" w:rsidRPr="00601BE2">
        <w:t xml:space="preserve">) </w:t>
      </w:r>
      <w:r w:rsidRPr="00601BE2">
        <w:t>and Commonwealth Rent Assistance</w:t>
      </w:r>
      <w:r w:rsidR="002E6F95" w:rsidRPr="00601BE2">
        <w:t xml:space="preserve"> (sector overview G)</w:t>
      </w:r>
      <w:r w:rsidRPr="00601BE2">
        <w:t>. In addition, the following chapters include data on services provided to people with disability:</w:t>
      </w:r>
    </w:p>
    <w:p w:rsidR="00890535" w:rsidRPr="00601BE2" w:rsidRDefault="00890535" w:rsidP="00585E2C">
      <w:pPr>
        <w:pStyle w:val="ListBullet"/>
      </w:pPr>
      <w:r w:rsidRPr="00601BE2">
        <w:t>‘School education’ (chapter</w:t>
      </w:r>
      <w:r w:rsidR="005547FD">
        <w:t> </w:t>
      </w:r>
      <w:r w:rsidRPr="00601BE2">
        <w:t>4) reports data on students with disability in the student body mix, disaggregated by sector</w:t>
      </w:r>
    </w:p>
    <w:p w:rsidR="001F39F2" w:rsidRPr="00601BE2" w:rsidRDefault="001F39F2" w:rsidP="00585E2C">
      <w:pPr>
        <w:pStyle w:val="ListBullet"/>
      </w:pPr>
      <w:r w:rsidRPr="00601BE2">
        <w:t>‘Mental health management’ (chapter</w:t>
      </w:r>
      <w:r w:rsidR="005547FD">
        <w:t> </w:t>
      </w:r>
      <w:r w:rsidRPr="00601BE2">
        <w:t>12) reports performance data on specialised mental health services</w:t>
      </w:r>
    </w:p>
    <w:p w:rsidR="00890535" w:rsidRPr="006025BC" w:rsidRDefault="00890535" w:rsidP="00417B0B">
      <w:pPr>
        <w:pStyle w:val="ListBullet"/>
      </w:pPr>
      <w:r w:rsidRPr="006025BC">
        <w:t>‘Aged care services’ (chapter</w:t>
      </w:r>
      <w:r w:rsidR="005547FD">
        <w:t> </w:t>
      </w:r>
      <w:r w:rsidRPr="006025BC">
        <w:t>13) reports data on the age</w:t>
      </w:r>
      <w:r w:rsidR="00B84AF2" w:rsidRPr="006025BC">
        <w:noBreakHyphen/>
      </w:r>
      <w:r w:rsidRPr="006025BC">
        <w:t>specific usage rates (including for younger people) of residential and home care services provided under the aged care program. Data are also reported on the use of HACC services, including those received by people with a profound, severe or moderate core act</w:t>
      </w:r>
      <w:r w:rsidR="00F30597" w:rsidRPr="006025BC">
        <w:t>ivity limitation, for people aged 65 </w:t>
      </w:r>
      <w:r w:rsidRPr="006025BC">
        <w:t xml:space="preserve">years or over and </w:t>
      </w:r>
      <w:r w:rsidR="000F24CE" w:rsidRPr="006025BC">
        <w:t>Aboriginal and Torres Strait Islander</w:t>
      </w:r>
      <w:r w:rsidRPr="006025BC">
        <w:t xml:space="preserve"> people aged 50–64 years</w:t>
      </w:r>
    </w:p>
    <w:p w:rsidR="001F39F2" w:rsidRPr="00FE16B7" w:rsidRDefault="00242FB0" w:rsidP="00417B0B">
      <w:pPr>
        <w:pStyle w:val="ListBullet"/>
      </w:pPr>
      <w:r w:rsidRPr="00FE16B7">
        <w:t>‘Housing’ (chapter</w:t>
      </w:r>
      <w:r w:rsidR="005547FD">
        <w:t> </w:t>
      </w:r>
      <w:r w:rsidRPr="00FE16B7">
        <w:t>17) reports data on people with disability for the ‘dwelling condition’, ‘amenity/location’ and ‘customer satisfaction’ indicators</w:t>
      </w:r>
      <w:r w:rsidR="000F24CE" w:rsidRPr="00FE16B7">
        <w:t>.</w:t>
      </w:r>
      <w:r w:rsidRPr="00FE16B7">
        <w:t xml:space="preserve"> </w:t>
      </w:r>
    </w:p>
    <w:p w:rsidR="001F39F2" w:rsidRPr="00191413" w:rsidRDefault="00321568" w:rsidP="00585E2C">
      <w:pPr>
        <w:pStyle w:val="Heading2"/>
      </w:pPr>
      <w:bookmarkStart w:id="55" w:name="_Toc248563905"/>
      <w:bookmarkStart w:id="56" w:name="_Toc397527176"/>
      <w:bookmarkStart w:id="57" w:name="_Toc432512539"/>
      <w:bookmarkEnd w:id="47"/>
      <w:r w:rsidRPr="00191413">
        <w:lastRenderedPageBreak/>
        <w:t>14.</w:t>
      </w:r>
      <w:r w:rsidR="004B691F">
        <w:rPr>
          <w:noProof/>
        </w:rPr>
        <w:t>4</w:t>
      </w:r>
      <w:r w:rsidR="001F39F2" w:rsidRPr="00191413">
        <w:tab/>
        <w:t>Future directions in performance reporting</w:t>
      </w:r>
      <w:bookmarkEnd w:id="55"/>
      <w:bookmarkEnd w:id="56"/>
      <w:bookmarkEnd w:id="57"/>
    </w:p>
    <w:p w:rsidR="001F39F2" w:rsidRPr="00191413" w:rsidRDefault="001F39F2" w:rsidP="00585E2C">
      <w:pPr>
        <w:pStyle w:val="Heading3"/>
      </w:pPr>
      <w:r w:rsidRPr="00191413">
        <w:t xml:space="preserve">Scope for further improvements to </w:t>
      </w:r>
      <w:r w:rsidR="001D78F3" w:rsidRPr="00191413">
        <w:t>reporting</w:t>
      </w:r>
    </w:p>
    <w:p w:rsidR="006757A1" w:rsidRPr="00FE16B7" w:rsidRDefault="006757A1" w:rsidP="006757A1">
      <w:pPr>
        <w:pStyle w:val="BodyText"/>
      </w:pPr>
      <w:r w:rsidRPr="00A12A03">
        <w:t xml:space="preserve">The </w:t>
      </w:r>
      <w:r w:rsidRPr="00FE16B7">
        <w:t>Steering Committee will continue to improve the appropriateness and completeness of the performance indicator framework. Future work on indicators will focus on:</w:t>
      </w:r>
    </w:p>
    <w:p w:rsidR="00E55F2A" w:rsidRPr="00FE16B7" w:rsidRDefault="00E55F2A" w:rsidP="00E55F2A">
      <w:pPr>
        <w:pStyle w:val="ListBullet"/>
      </w:pPr>
      <w:r w:rsidRPr="00FE16B7">
        <w:t>ensuring the DS NMDS remains relevant to informing the rollout of the NDIS</w:t>
      </w:r>
      <w:r w:rsidRPr="00FE16B7">
        <w:rPr>
          <w:shd w:val="clear" w:color="auto" w:fill="98BBE5" w:themeFill="accent2" w:themeFillTint="66"/>
        </w:rPr>
        <w:t xml:space="preserve"> </w:t>
      </w:r>
    </w:p>
    <w:p w:rsidR="001F39F2" w:rsidRPr="00FE16B7" w:rsidRDefault="00D801C1" w:rsidP="00D709A0">
      <w:pPr>
        <w:pStyle w:val="ListBullet"/>
      </w:pPr>
      <w:r w:rsidRPr="00FE16B7">
        <w:t xml:space="preserve">seeking access to </w:t>
      </w:r>
      <w:r w:rsidR="00DC19B9" w:rsidRPr="00FE16B7">
        <w:t>NDIS data to report against performance indicators in the framework</w:t>
      </w:r>
      <w:r w:rsidR="00B9634A" w:rsidRPr="00FE16B7">
        <w:t>.</w:t>
      </w:r>
    </w:p>
    <w:p w:rsidR="006757A1" w:rsidRDefault="006757A1" w:rsidP="00585E2C">
      <w:pPr>
        <w:pStyle w:val="BodyText"/>
      </w:pPr>
      <w:r>
        <w:t>Data developments in future reports may be influenced by:</w:t>
      </w:r>
    </w:p>
    <w:p w:rsidR="006757A1" w:rsidRDefault="006757A1" w:rsidP="00FE16B7">
      <w:pPr>
        <w:pStyle w:val="ListBullet"/>
      </w:pPr>
      <w:r>
        <w:t>the continued implementation of the NDIS</w:t>
      </w:r>
    </w:p>
    <w:p w:rsidR="001F39F2" w:rsidRPr="00191413" w:rsidRDefault="006757A1" w:rsidP="00FE16B7">
      <w:pPr>
        <w:pStyle w:val="ListBullet"/>
      </w:pPr>
      <w:r>
        <w:t xml:space="preserve">developments under the </w:t>
      </w:r>
      <w:r w:rsidR="001F39F2" w:rsidRPr="00927A21">
        <w:t>National Disability Strategy</w:t>
      </w:r>
      <w:r w:rsidR="001F39F2" w:rsidRPr="00191413">
        <w:t xml:space="preserve">. The Strategy </w:t>
      </w:r>
      <w:r w:rsidR="00DA3101" w:rsidRPr="00191413">
        <w:t xml:space="preserve">is designed to </w:t>
      </w:r>
      <w:r w:rsidR="001F39F2" w:rsidRPr="00191413">
        <w:t>guide public policy across governments and aims to bring about changes to all mainstream services and programs, as well as community infrastructure, to ensure they are accessible and responsive to the needs of people with disability.</w:t>
      </w:r>
      <w:r>
        <w:t xml:space="preserve"> </w:t>
      </w:r>
      <w:r w:rsidR="001F39F2" w:rsidRPr="00191413">
        <w:t>Every two years, a high level progress report will track achievements under the Strategy and provide a picture of how peo</w:t>
      </w:r>
      <w:r w:rsidR="000C3E64">
        <w:t>ple with disability are faring</w:t>
      </w:r>
    </w:p>
    <w:p w:rsidR="009C0FC4" w:rsidRPr="00191413" w:rsidRDefault="006757A1" w:rsidP="00FE16B7">
      <w:pPr>
        <w:pStyle w:val="ListBullet"/>
      </w:pPr>
      <w:r w:rsidRPr="00A12A03">
        <w:t>deve</w:t>
      </w:r>
      <w:r w:rsidRPr="00FE16B7">
        <w:t>lopments</w:t>
      </w:r>
      <w:r>
        <w:t xml:space="preserve"> under</w:t>
      </w:r>
      <w:r w:rsidR="00F850D0">
        <w:t xml:space="preserve"> the</w:t>
      </w:r>
      <w:r>
        <w:t xml:space="preserve"> </w:t>
      </w:r>
      <w:r w:rsidR="009C0FC4" w:rsidRPr="00927A21">
        <w:t>National Health Reform Agreement</w:t>
      </w:r>
      <w:r w:rsidRPr="00D709A0">
        <w:t xml:space="preserve"> </w:t>
      </w:r>
      <w:r>
        <w:t xml:space="preserve">which </w:t>
      </w:r>
      <w:r w:rsidRPr="00FE16B7">
        <w:t>was entered into by all states, territories and the Commonwealth in August 2011.</w:t>
      </w:r>
      <w:r w:rsidR="0036455E" w:rsidRPr="00FE16B7">
        <w:t xml:space="preserve"> </w:t>
      </w:r>
      <w:r w:rsidR="0036455E" w:rsidRPr="00191413">
        <w:t xml:space="preserve">The Agreement </w:t>
      </w:r>
      <w:r w:rsidR="009C0FC4" w:rsidRPr="00191413">
        <w:t xml:space="preserve">sets out the shared intention of the </w:t>
      </w:r>
      <w:r w:rsidR="000F24CE" w:rsidRPr="00191413">
        <w:t xml:space="preserve">Australian, </w:t>
      </w:r>
      <w:r w:rsidR="009C0FC4" w:rsidRPr="00191413">
        <w:t xml:space="preserve">State and Territory governments to work in partnership to improve health outcomes for all Australians and ensure the sustainability of the </w:t>
      </w:r>
      <w:r w:rsidR="000261E8" w:rsidRPr="00191413">
        <w:t>n</w:t>
      </w:r>
      <w:r w:rsidR="000F24CE" w:rsidRPr="00191413">
        <w:t>ational</w:t>
      </w:r>
      <w:r w:rsidR="009C0FC4" w:rsidRPr="00191413">
        <w:t xml:space="preserve"> health system. The reforms </w:t>
      </w:r>
      <w:r w:rsidR="0036455E" w:rsidRPr="00191413">
        <w:t xml:space="preserve">aim to </w:t>
      </w:r>
      <w:r w:rsidR="004E196D" w:rsidRPr="00191413">
        <w:t xml:space="preserve">help </w:t>
      </w:r>
      <w:r w:rsidR="00496DF4" w:rsidRPr="00191413">
        <w:t>patients</w:t>
      </w:r>
      <w:r w:rsidR="004E196D" w:rsidRPr="00191413">
        <w:t xml:space="preserve"> gain</w:t>
      </w:r>
      <w:r w:rsidR="009C0FC4" w:rsidRPr="00191413">
        <w:t xml:space="preserve"> bet</w:t>
      </w:r>
      <w:r w:rsidR="000F24CE" w:rsidRPr="00191413">
        <w:t>ter access to services, improve</w:t>
      </w:r>
      <w:r w:rsidR="009C0FC4" w:rsidRPr="00191413">
        <w:t xml:space="preserve"> local accountability </w:t>
      </w:r>
      <w:r w:rsidR="00496DF4" w:rsidRPr="00191413">
        <w:t>and</w:t>
      </w:r>
      <w:r w:rsidR="009C0FC4" w:rsidRPr="00191413">
        <w:t xml:space="preserve"> responsiveness </w:t>
      </w:r>
      <w:r w:rsidR="004E196D" w:rsidRPr="00191413">
        <w:t xml:space="preserve">to the needs of </w:t>
      </w:r>
      <w:r w:rsidR="009C0FC4" w:rsidRPr="00191413">
        <w:t>communities</w:t>
      </w:r>
      <w:r w:rsidR="004E196D" w:rsidRPr="00191413">
        <w:t>,</w:t>
      </w:r>
      <w:r w:rsidR="009C0FC4" w:rsidRPr="00191413">
        <w:t xml:space="preserve"> and </w:t>
      </w:r>
      <w:r w:rsidR="004E196D" w:rsidRPr="00191413">
        <w:t xml:space="preserve">provide </w:t>
      </w:r>
      <w:r w:rsidR="009C0FC4" w:rsidRPr="00191413">
        <w:t xml:space="preserve">a stronger financial basis for our health system into the future. </w:t>
      </w:r>
    </w:p>
    <w:p w:rsidR="001F39F2" w:rsidRPr="00191413" w:rsidRDefault="00321568" w:rsidP="00AE3578">
      <w:pPr>
        <w:pStyle w:val="Heading2"/>
      </w:pPr>
      <w:bookmarkStart w:id="58" w:name="_Toc248563907"/>
      <w:bookmarkStart w:id="59" w:name="_Toc397527178"/>
      <w:bookmarkStart w:id="60" w:name="_Toc432512540"/>
      <w:r w:rsidRPr="00191413">
        <w:t>14.</w:t>
      </w:r>
      <w:r w:rsidR="004B691F">
        <w:rPr>
          <w:noProof/>
        </w:rPr>
        <w:t>5</w:t>
      </w:r>
      <w:r w:rsidR="001F39F2" w:rsidRPr="00191413">
        <w:tab/>
        <w:t>Service user data quality and other issues</w:t>
      </w:r>
      <w:bookmarkEnd w:id="58"/>
      <w:bookmarkEnd w:id="59"/>
      <w:bookmarkEnd w:id="60"/>
    </w:p>
    <w:p w:rsidR="001F39F2" w:rsidRPr="005D438E" w:rsidRDefault="001F39F2" w:rsidP="00585E2C">
      <w:pPr>
        <w:pStyle w:val="Heading3"/>
      </w:pPr>
      <w:r w:rsidRPr="005D438E">
        <w:t>Data quality</w:t>
      </w:r>
    </w:p>
    <w:p w:rsidR="001F39F2" w:rsidRPr="005D438E" w:rsidRDefault="001F39F2" w:rsidP="00585E2C">
      <w:pPr>
        <w:pStyle w:val="BodyText"/>
      </w:pPr>
      <w:r w:rsidRPr="005D438E">
        <w:t>Data quality considerations should be taken into account when interpreting the DS NMDS service user data used in this chapter. In particular, data quality should be considered when making comparisons across jurisdictions and across years.</w:t>
      </w:r>
    </w:p>
    <w:p w:rsidR="001F39F2" w:rsidRPr="005D438E" w:rsidRDefault="001F39F2" w:rsidP="00585E2C">
      <w:pPr>
        <w:pStyle w:val="BodyText"/>
      </w:pPr>
      <w:r w:rsidRPr="005D438E">
        <w:t>There are three aspects of quality that affect the accuracy and reliability of the data reported in this chapter:</w:t>
      </w:r>
    </w:p>
    <w:p w:rsidR="001F39F2" w:rsidRPr="005D438E" w:rsidRDefault="001F39F2" w:rsidP="00585E2C">
      <w:pPr>
        <w:pStyle w:val="ListBullet"/>
      </w:pPr>
      <w:r w:rsidRPr="005D438E">
        <w:t xml:space="preserve">service type outlet </w:t>
      </w:r>
      <w:r w:rsidR="00E60DF9" w:rsidRPr="005D438E">
        <w:t>participation</w:t>
      </w:r>
      <w:r w:rsidRPr="005D438E">
        <w:t xml:space="preserve"> rates</w:t>
      </w:r>
    </w:p>
    <w:p w:rsidR="001F39F2" w:rsidRPr="005D438E" w:rsidRDefault="001F39F2" w:rsidP="00585E2C">
      <w:pPr>
        <w:pStyle w:val="ListBullet"/>
      </w:pPr>
      <w:r w:rsidRPr="005D438E">
        <w:t xml:space="preserve">service user </w:t>
      </w:r>
      <w:r w:rsidR="00E60DF9" w:rsidRPr="005D438E">
        <w:t>participation</w:t>
      </w:r>
      <w:r w:rsidRPr="005D438E">
        <w:t xml:space="preserve"> rates</w:t>
      </w:r>
    </w:p>
    <w:p w:rsidR="001F39F2" w:rsidRPr="005D438E" w:rsidRDefault="001F39F2" w:rsidP="00585E2C">
      <w:pPr>
        <w:pStyle w:val="ListBullet"/>
      </w:pPr>
      <w:r w:rsidRPr="005D438E">
        <w:t xml:space="preserve">‘not stated’ </w:t>
      </w:r>
      <w:r w:rsidR="00E60DF9" w:rsidRPr="005D438E">
        <w:t xml:space="preserve">response </w:t>
      </w:r>
      <w:r w:rsidRPr="005D438E">
        <w:t>rates for individual data items.</w:t>
      </w:r>
    </w:p>
    <w:p w:rsidR="001F39F2" w:rsidRPr="005D438E" w:rsidRDefault="001F39F2" w:rsidP="00585E2C">
      <w:pPr>
        <w:pStyle w:val="BodyText"/>
      </w:pPr>
      <w:r w:rsidRPr="005D438E">
        <w:lastRenderedPageBreak/>
        <w:t>The first two of these affect the service user counts — nationally, by jurisdiction and service type — and all three affect the accuracy of analyses of individual data items (AIHW 201</w:t>
      </w:r>
      <w:r w:rsidR="00E60DF9" w:rsidRPr="005D438E">
        <w:t>2</w:t>
      </w:r>
      <w:r w:rsidRPr="005D438E">
        <w:t>).</w:t>
      </w:r>
    </w:p>
    <w:p w:rsidR="008B15C5" w:rsidRPr="005D438E" w:rsidRDefault="001F39F2" w:rsidP="00585E2C">
      <w:pPr>
        <w:pStyle w:val="BodyText"/>
      </w:pPr>
      <w:r w:rsidRPr="005D438E">
        <w:t>‘Not stated’ rates for individual data items vary between jurisdictions (AIHW 201</w:t>
      </w:r>
      <w:r w:rsidR="00E60DF9" w:rsidRPr="005D438E">
        <w:t>2</w:t>
      </w:r>
      <w:r w:rsidRPr="005D438E">
        <w:t xml:space="preserve">). </w:t>
      </w:r>
      <w:r w:rsidR="008B15C5" w:rsidRPr="005D438E">
        <w:t>R</w:t>
      </w:r>
      <w:r w:rsidRPr="005D438E">
        <w:t>eason</w:t>
      </w:r>
      <w:r w:rsidR="008B15C5" w:rsidRPr="005D438E">
        <w:t>s</w:t>
      </w:r>
      <w:r w:rsidRPr="005D438E">
        <w:t xml:space="preserve"> for the higher level of not stated responses to some data items may be</w:t>
      </w:r>
      <w:r w:rsidR="008B15C5" w:rsidRPr="005D438E">
        <w:t>:</w:t>
      </w:r>
    </w:p>
    <w:p w:rsidR="001F39F2" w:rsidRPr="005D438E" w:rsidRDefault="001F39F2" w:rsidP="00585E2C">
      <w:pPr>
        <w:pStyle w:val="ListBullet"/>
      </w:pPr>
      <w:r w:rsidRPr="005D438E">
        <w:t>the increased efforts to improve the coverage and completeness of the DS</w:t>
      </w:r>
      <w:r w:rsidR="009506B1" w:rsidRPr="005D438E">
        <w:t> </w:t>
      </w:r>
      <w:r w:rsidRPr="005D438E">
        <w:t>NMDS collection overall. For example, therapy services (a community support service) in the ACT participated for the first time in the 2004</w:t>
      </w:r>
      <w:r w:rsidR="00B84AF2" w:rsidRPr="005D438E">
        <w:noBreakHyphen/>
      </w:r>
      <w:r w:rsidRPr="005D438E">
        <w:t>05 collection. In an effort to include all users of these services, provisional data collection processes were used that meant minimal data were provided for each user (AIHW 201</w:t>
      </w:r>
      <w:r w:rsidR="00E60DF9" w:rsidRPr="005D438E">
        <w:t>2</w:t>
      </w:r>
      <w:r w:rsidRPr="005D438E">
        <w:t xml:space="preserve">) </w:t>
      </w:r>
    </w:p>
    <w:p w:rsidR="00AA09BF" w:rsidRPr="005D438E" w:rsidRDefault="00AA09BF" w:rsidP="00585E2C">
      <w:pPr>
        <w:pStyle w:val="ListBullet"/>
      </w:pPr>
      <w:r w:rsidRPr="005D438E">
        <w:t xml:space="preserve">changes in collection practices, such as data on </w:t>
      </w:r>
      <w:r w:rsidR="00427F0F" w:rsidRPr="005D438E">
        <w:t xml:space="preserve">communication and frequency of support needed for </w:t>
      </w:r>
      <w:r w:rsidRPr="005D438E">
        <w:t>new users of open employment services not being collected in 2010</w:t>
      </w:r>
      <w:r w:rsidR="00B84AF2" w:rsidRPr="005D438E">
        <w:noBreakHyphen/>
      </w:r>
      <w:r w:rsidRPr="005D438E">
        <w:t>11. This change resulted in high overall non</w:t>
      </w:r>
      <w:r w:rsidR="00B84AF2" w:rsidRPr="005D438E">
        <w:noBreakHyphen/>
      </w:r>
      <w:r w:rsidRPr="005D438E">
        <w:t>response rates for these items and data not being strictly comparable with previous years.</w:t>
      </w:r>
    </w:p>
    <w:p w:rsidR="001F39F2" w:rsidRPr="005D438E" w:rsidRDefault="001F39F2" w:rsidP="00585E2C">
      <w:pPr>
        <w:pStyle w:val="Heading3"/>
      </w:pPr>
      <w:r w:rsidRPr="005D438E">
        <w:t>Other issues</w:t>
      </w:r>
    </w:p>
    <w:p w:rsidR="001F39F2" w:rsidRPr="005D438E" w:rsidRDefault="001F39F2" w:rsidP="00585E2C">
      <w:pPr>
        <w:pStyle w:val="Heading4"/>
      </w:pPr>
      <w:r w:rsidRPr="005D438E">
        <w:t>Service user data/data items not collected</w:t>
      </w:r>
    </w:p>
    <w:p w:rsidR="001F39F2" w:rsidRPr="005D438E" w:rsidRDefault="001F39F2" w:rsidP="00585E2C">
      <w:pPr>
        <w:pStyle w:val="BodyText"/>
      </w:pPr>
      <w:r w:rsidRPr="005D438E">
        <w:t>Service user data are not collected for the following NDA specialist disability service types: advocacy, information/referral, combined information/advocacy, mutual support/self</w:t>
      </w:r>
      <w:r w:rsidR="00B84AF2" w:rsidRPr="005D438E">
        <w:noBreakHyphen/>
      </w:r>
      <w:r w:rsidRPr="005D438E">
        <w:t>help groups, print disability/alternative formats of communication, research and evaluation, training and development, peak bodies and other support services. In addition, some service types are not required to collect all service user data items. In particular:</w:t>
      </w:r>
    </w:p>
    <w:p w:rsidR="001F39F2" w:rsidRPr="005D438E" w:rsidRDefault="001F39F2" w:rsidP="00585E2C">
      <w:pPr>
        <w:pStyle w:val="ListBullet"/>
      </w:pPr>
      <w:r w:rsidRPr="005D438E">
        <w:t>‘recreation/holiday programs’ (service type 3.02) are required to collect only information related to the statistical linkage key (selected letters of name, date of birth, sex, commencement date and date of last service)</w:t>
      </w:r>
    </w:p>
    <w:p w:rsidR="001F39F2" w:rsidRPr="005D438E" w:rsidRDefault="001F39F2" w:rsidP="00585E2C">
      <w:pPr>
        <w:pStyle w:val="ListBullet"/>
      </w:pPr>
      <w:r w:rsidRPr="005D438E">
        <w:t>employment services (service types 5.01 and 5.02) are not required to collect selected informal carer information, including primary status (AIHW 2007).</w:t>
      </w:r>
    </w:p>
    <w:p w:rsidR="001F39F2" w:rsidRPr="005D438E" w:rsidRDefault="001F39F2" w:rsidP="00585E2C">
      <w:pPr>
        <w:pStyle w:val="Heading4"/>
      </w:pPr>
      <w:r w:rsidRPr="005D438E">
        <w:t>Specialist psychiatric disability services</w:t>
      </w:r>
    </w:p>
    <w:p w:rsidR="001F39F2" w:rsidRPr="005D438E" w:rsidRDefault="001F39F2" w:rsidP="00585E2C">
      <w:pPr>
        <w:pStyle w:val="BodyText"/>
      </w:pPr>
      <w:r w:rsidRPr="00021A47">
        <w:t>Data for specialist psychiatric disability services are excluded to improve the comparability of data across jurisdictions. People with psychiatric disability may use a range of NDA specialist disability service types. In some jurisdictions (Victoria</w:t>
      </w:r>
      <w:r w:rsidR="00E33512" w:rsidRPr="00021A47">
        <w:t xml:space="preserve"> and</w:t>
      </w:r>
      <w:r w:rsidRPr="00021A47">
        <w:t xml:space="preserve"> </w:t>
      </w:r>
      <w:r w:rsidR="00E33512" w:rsidRPr="00021A47">
        <w:t>Queensland</w:t>
      </w:r>
      <w:r w:rsidRPr="00021A47">
        <w:t xml:space="preserve">), specialist psychiatric disability services are funded specifically to provide such support (AIHW </w:t>
      </w:r>
      <w:r w:rsidR="005E7EBC">
        <w:t>2015b</w:t>
      </w:r>
      <w:r w:rsidRPr="00021A47">
        <w:t xml:space="preserve">). Nationally in </w:t>
      </w:r>
      <w:r w:rsidR="0041043C" w:rsidRPr="003F3DC1">
        <w:t>2013</w:t>
      </w:r>
      <w:r w:rsidR="005547FD">
        <w:noBreakHyphen/>
      </w:r>
      <w:r w:rsidR="0041043C" w:rsidRPr="003F3DC1">
        <w:t>14</w:t>
      </w:r>
      <w:r w:rsidRPr="003F3DC1">
        <w:t xml:space="preserve">, </w:t>
      </w:r>
      <w:r w:rsidR="003F3DC1" w:rsidRPr="003F3DC1">
        <w:t xml:space="preserve">13 411 </w:t>
      </w:r>
      <w:r w:rsidRPr="003F3DC1">
        <w:t>people used</w:t>
      </w:r>
      <w:r w:rsidRPr="00021A47">
        <w:t xml:space="preserve"> only specialist psychiatric disability services (AIHW unpublished). Data for these services are included in other </w:t>
      </w:r>
      <w:r w:rsidRPr="00021A47">
        <w:lastRenderedPageBreak/>
        <w:t>publications on the DS NMDS, such as AIHW (201</w:t>
      </w:r>
      <w:r w:rsidR="005E7EBC">
        <w:t>5</w:t>
      </w:r>
      <w:r w:rsidRPr="00021A47">
        <w:t>a). Therefore, service user data for Victoria, Queensland</w:t>
      </w:r>
      <w:r w:rsidR="004A3F42" w:rsidRPr="00021A47">
        <w:t>,</w:t>
      </w:r>
      <w:r w:rsidRPr="00021A47">
        <w:t xml:space="preserve"> </w:t>
      </w:r>
      <w:r w:rsidR="004A3F42" w:rsidRPr="00021A47">
        <w:t xml:space="preserve">and Australia </w:t>
      </w:r>
      <w:r w:rsidRPr="00021A47">
        <w:t xml:space="preserve">in this chapter will differ </w:t>
      </w:r>
      <w:r w:rsidR="000A1FED" w:rsidRPr="00021A47">
        <w:t>from</w:t>
      </w:r>
      <w:r w:rsidRPr="00021A47">
        <w:t xml:space="preserve"> other publications.</w:t>
      </w:r>
    </w:p>
    <w:p w:rsidR="001F39F2" w:rsidRPr="005D438E" w:rsidRDefault="001F39F2" w:rsidP="00585E2C">
      <w:pPr>
        <w:pStyle w:val="Heading4"/>
      </w:pPr>
      <w:r w:rsidRPr="005D438E">
        <w:t>Statistical linkage key</w:t>
      </w:r>
    </w:p>
    <w:p w:rsidR="001F39F2" w:rsidRPr="005D438E" w:rsidRDefault="001F39F2" w:rsidP="00585E2C">
      <w:pPr>
        <w:pStyle w:val="BodyText"/>
      </w:pPr>
      <w:r w:rsidRPr="005D438E">
        <w:t xml:space="preserve">A statistical linkage key is used to derive the service user counts in this chapter. The statistical linkage key enables the number of service users to be estimated from data collected from different service outlets and agencies (AIHW </w:t>
      </w:r>
      <w:r w:rsidR="00E33512" w:rsidRPr="005D438E">
        <w:t>2014</w:t>
      </w:r>
      <w:r w:rsidRPr="005D438E">
        <w:t xml:space="preserve">). Using the linkage key minimises double counting of service users who use more than one service outlet during the reporting period. </w:t>
      </w:r>
    </w:p>
    <w:p w:rsidR="001F39F2" w:rsidRPr="005D438E" w:rsidRDefault="001F39F2" w:rsidP="00585E2C">
      <w:pPr>
        <w:pStyle w:val="BodyText"/>
      </w:pPr>
      <w:r w:rsidRPr="005D438E">
        <w:t xml:space="preserve">The statistical linkage key components of each service record are compared with the statistical linkage key components of all other records. Records that have matching statistical linkage keys are assumed to belong to the same service user. </w:t>
      </w:r>
    </w:p>
    <w:p w:rsidR="001F39F2" w:rsidRPr="005D438E" w:rsidRDefault="001F39F2" w:rsidP="00585E2C">
      <w:pPr>
        <w:pStyle w:val="BodyText"/>
      </w:pPr>
      <w:r w:rsidRPr="005D438E">
        <w:t>As the statistical linkage key is not a unique identifier, some degree of false linking is expected. A small probability exists that some of the linked records do not actually belong to the same service user and, conversely, that some records that did not link do belong to the same service user. The statistical linkage key does not enable the linking of records to the extent needed to be certain that a ‘service user’ is one individual person.</w:t>
      </w:r>
    </w:p>
    <w:p w:rsidR="001F39F2" w:rsidRPr="005D438E" w:rsidRDefault="001F39F2" w:rsidP="00585E2C">
      <w:pPr>
        <w:pStyle w:val="BodyText"/>
      </w:pPr>
      <w:r w:rsidRPr="005D438E">
        <w:t xml:space="preserve">Missing or invalid statistical linkage keys cannot be linked to other records and so must be treated as belonging to separate service users. This may result in the number of service users being overestimated (AIHW </w:t>
      </w:r>
      <w:r w:rsidR="00A23E95" w:rsidRPr="005D438E">
        <w:t>201</w:t>
      </w:r>
      <w:r w:rsidR="005E7EBC">
        <w:t>5b</w:t>
      </w:r>
      <w:r w:rsidRPr="005D438E">
        <w:t>).</w:t>
      </w:r>
    </w:p>
    <w:p w:rsidR="001F39F2" w:rsidRPr="005D438E" w:rsidRDefault="001F39F2" w:rsidP="00585E2C">
      <w:pPr>
        <w:pStyle w:val="Heading4"/>
      </w:pPr>
      <w:r w:rsidRPr="005D438E">
        <w:t>Deriving potential populations for the special needs groups</w:t>
      </w:r>
    </w:p>
    <w:p w:rsidR="001F39F2" w:rsidRPr="005D438E" w:rsidRDefault="001F39F2" w:rsidP="00585E2C">
      <w:pPr>
        <w:pStyle w:val="BodyText"/>
      </w:pPr>
      <w:r w:rsidRPr="005D438E">
        <w:t xml:space="preserve">Potential populations have been estimated for each of the special needs groups (outer regional and remote/very remote areas, </w:t>
      </w:r>
      <w:r w:rsidR="00904E97" w:rsidRPr="005D438E">
        <w:t>Aboriginal and Torres Strait Islander</w:t>
      </w:r>
      <w:r w:rsidRPr="005D438E">
        <w:t xml:space="preserve"> and people born in a non</w:t>
      </w:r>
      <w:r w:rsidR="00B84AF2" w:rsidRPr="005D438E">
        <w:noBreakHyphen/>
      </w:r>
      <w:r w:rsidRPr="005D438E">
        <w:t>English speaking country) and for those outside of the special needs groups (major cities and inner regional areas, non</w:t>
      </w:r>
      <w:r w:rsidR="00B84AF2" w:rsidRPr="005D438E">
        <w:noBreakHyphen/>
      </w:r>
      <w:r w:rsidRPr="005D438E">
        <w:t xml:space="preserve">Indigenous and people born in an English speaking country). These potential populations are estimates of the number of people with the potential to require disability support services in the relevant group, including individuals who meet the service eligibility criteria but who do not </w:t>
      </w:r>
      <w:r w:rsidR="001804E8" w:rsidRPr="005D438E">
        <w:t xml:space="preserve">use </w:t>
      </w:r>
      <w:r w:rsidRPr="005D438E">
        <w:t xml:space="preserve">the services. </w:t>
      </w:r>
    </w:p>
    <w:p w:rsidR="001F39F2" w:rsidRPr="00746E13" w:rsidRDefault="001F39F2" w:rsidP="00585E2C">
      <w:pPr>
        <w:pStyle w:val="BodyText"/>
      </w:pPr>
      <w:r w:rsidRPr="00746E13">
        <w:t>The approach used to derive the potential population estimates by country of birth and geographic location involved the following steps:</w:t>
      </w:r>
    </w:p>
    <w:p w:rsidR="001F39F2" w:rsidRPr="00746E13" w:rsidRDefault="000261E8" w:rsidP="00151167">
      <w:pPr>
        <w:pStyle w:val="ListBullet"/>
      </w:pPr>
      <w:r w:rsidRPr="00746E13">
        <w:t>d</w:t>
      </w:r>
      <w:r w:rsidR="001F39F2" w:rsidRPr="00746E13">
        <w:rPr>
          <w:rStyle w:val="ListBulletChar"/>
        </w:rPr>
        <w:t>e</w:t>
      </w:r>
      <w:r w:rsidR="001F39F2" w:rsidRPr="00746E13">
        <w:t>riving State/Territory based 10</w:t>
      </w:r>
      <w:r w:rsidR="00B84AF2" w:rsidRPr="00746E13">
        <w:noBreakHyphen/>
      </w:r>
      <w:r w:rsidR="001F39F2" w:rsidRPr="00746E13">
        <w:t>year age and sex specific proportions of people with A</w:t>
      </w:r>
      <w:r w:rsidR="001804E8" w:rsidRPr="00746E13">
        <w:t xml:space="preserve"> </w:t>
      </w:r>
      <w:r w:rsidR="00151167" w:rsidRPr="00746E13">
        <w:t xml:space="preserve">Core Activity Need for Assistance </w:t>
      </w:r>
      <w:r w:rsidR="001F39F2" w:rsidRPr="00746E13">
        <w:t xml:space="preserve">by geographic location and country of birth using the </w:t>
      </w:r>
      <w:r w:rsidR="00AE71E5" w:rsidRPr="00746E13">
        <w:t>2011</w:t>
      </w:r>
      <w:r w:rsidR="001804E8" w:rsidRPr="00746E13">
        <w:t xml:space="preserve"> </w:t>
      </w:r>
      <w:r w:rsidR="001F39F2" w:rsidRPr="00746E13">
        <w:t>Census</w:t>
      </w:r>
    </w:p>
    <w:p w:rsidR="001F39F2" w:rsidRPr="00746E13" w:rsidRDefault="000261E8" w:rsidP="00626A1F">
      <w:pPr>
        <w:pStyle w:val="ListBullet"/>
      </w:pPr>
      <w:r w:rsidRPr="00746E13">
        <w:t>m</w:t>
      </w:r>
      <w:r w:rsidR="001F39F2" w:rsidRPr="00746E13">
        <w:t>ultiplying these State/Territory based 10</w:t>
      </w:r>
      <w:r w:rsidR="00B84AF2" w:rsidRPr="00746E13">
        <w:noBreakHyphen/>
      </w:r>
      <w:r w:rsidR="001F39F2" w:rsidRPr="00746E13">
        <w:t>year age and sex specific proportions by the 10</w:t>
      </w:r>
      <w:r w:rsidR="00B84AF2" w:rsidRPr="00746E13">
        <w:noBreakHyphen/>
      </w:r>
      <w:r w:rsidR="001F39F2" w:rsidRPr="00746E13">
        <w:t xml:space="preserve">year age specific estimates of the number of people </w:t>
      </w:r>
      <w:r w:rsidR="00D0796E" w:rsidRPr="00746E13">
        <w:t xml:space="preserve">in the </w:t>
      </w:r>
      <w:r w:rsidR="004C674F" w:rsidRPr="00746E13">
        <w:t xml:space="preserve">potential </w:t>
      </w:r>
      <w:r w:rsidR="00D0796E" w:rsidRPr="00746E13">
        <w:t>population</w:t>
      </w:r>
      <w:r w:rsidR="001F39F2" w:rsidRPr="00746E13">
        <w:t xml:space="preserve"> in each State/Territory</w:t>
      </w:r>
    </w:p>
    <w:p w:rsidR="001F39F2" w:rsidRPr="00746E13" w:rsidRDefault="000261E8" w:rsidP="00585E2C">
      <w:pPr>
        <w:pStyle w:val="ListBullet"/>
      </w:pPr>
      <w:r w:rsidRPr="00746E13">
        <w:lastRenderedPageBreak/>
        <w:t>s</w:t>
      </w:r>
      <w:r w:rsidR="001F39F2" w:rsidRPr="00746E13">
        <w:t>umming the resultant 10</w:t>
      </w:r>
      <w:r w:rsidR="00B84AF2" w:rsidRPr="00746E13">
        <w:noBreakHyphen/>
      </w:r>
      <w:r w:rsidR="001F39F2" w:rsidRPr="00746E13">
        <w:t>year age and sex group counts to derive the total potential populations for the geographic locations, people born in Australia, people born in another English speaking country and people born in a non</w:t>
      </w:r>
      <w:r w:rsidR="00B84AF2" w:rsidRPr="00746E13">
        <w:noBreakHyphen/>
      </w:r>
      <w:r w:rsidR="001F39F2" w:rsidRPr="00746E13">
        <w:t>English speaking country. Summing the potential populations for people born in Australia and people born in another English speaking country to derive the total potential population for people born in an English speaking country</w:t>
      </w:r>
    </w:p>
    <w:p w:rsidR="001F39F2" w:rsidRPr="00746E13" w:rsidRDefault="000261E8" w:rsidP="00585E2C">
      <w:pPr>
        <w:pStyle w:val="ListBullet"/>
      </w:pPr>
      <w:r w:rsidRPr="00746E13">
        <w:t>f</w:t>
      </w:r>
      <w:r w:rsidR="001F39F2" w:rsidRPr="00746E13">
        <w:t xml:space="preserve">or employment, repeating the above steps, but restricting the calculations to those people aged 15–64 years, then multiplying each State/Territory total by State/Territory specific labour force participation rates for people aged </w:t>
      </w:r>
      <w:r w:rsidR="001F39F2" w:rsidRPr="00746E13">
        <w:br/>
        <w:t xml:space="preserve">15–64 years. </w:t>
      </w:r>
    </w:p>
    <w:p w:rsidR="001F39F2" w:rsidRPr="00F0239C" w:rsidRDefault="001F39F2" w:rsidP="00585E2C">
      <w:pPr>
        <w:pStyle w:val="BodyText"/>
        <w:keepNext/>
      </w:pPr>
      <w:r w:rsidRPr="00F0239C">
        <w:t>The approach used to derive the potential populations by Indigenous status involved the following steps:</w:t>
      </w:r>
    </w:p>
    <w:p w:rsidR="001F39F2" w:rsidRPr="00F0239C" w:rsidRDefault="000261E8" w:rsidP="00585E2C">
      <w:pPr>
        <w:pStyle w:val="ListBullet"/>
      </w:pPr>
      <w:r w:rsidRPr="00F0239C">
        <w:t>d</w:t>
      </w:r>
      <w:r w:rsidR="001F39F2" w:rsidRPr="00F0239C">
        <w:rPr>
          <w:rStyle w:val="ListBulletChar"/>
        </w:rPr>
        <w:t>e</w:t>
      </w:r>
      <w:r w:rsidR="001F39F2" w:rsidRPr="00F0239C">
        <w:t>riving current State/Territory based 10</w:t>
      </w:r>
      <w:r w:rsidR="00B84AF2" w:rsidRPr="00F0239C">
        <w:noBreakHyphen/>
      </w:r>
      <w:r w:rsidR="001F39F2" w:rsidRPr="00F0239C">
        <w:t xml:space="preserve">year age and sex specific rate ratios of people with ASSNP by Indigenous status using the </w:t>
      </w:r>
      <w:r w:rsidR="00147FD2" w:rsidRPr="00F0239C">
        <w:t>2011 Census</w:t>
      </w:r>
    </w:p>
    <w:p w:rsidR="001F39F2" w:rsidRPr="00F0239C" w:rsidRDefault="000261E8" w:rsidP="00626A1F">
      <w:pPr>
        <w:pStyle w:val="ListBullet"/>
      </w:pPr>
      <w:r w:rsidRPr="00F0239C">
        <w:t>m</w:t>
      </w:r>
      <w:r w:rsidR="001F39F2" w:rsidRPr="00F0239C">
        <w:t xml:space="preserve">ultiplying the current State/Territory </w:t>
      </w:r>
      <w:r w:rsidR="00904E97" w:rsidRPr="00F0239C">
        <w:t>Aboriginal and Torres Strait Islander</w:t>
      </w:r>
      <w:r w:rsidR="001F39F2" w:rsidRPr="00F0239C">
        <w:t xml:space="preserve"> and </w:t>
      </w:r>
      <w:r w:rsidRPr="00F0239C">
        <w:br/>
      </w:r>
      <w:r w:rsidR="001F39F2" w:rsidRPr="00F0239C">
        <w:t>non</w:t>
      </w:r>
      <w:r w:rsidR="00B84AF2" w:rsidRPr="00F0239C">
        <w:noBreakHyphen/>
      </w:r>
      <w:r w:rsidR="001F39F2" w:rsidRPr="00F0239C">
        <w:t>Indigenous 10</w:t>
      </w:r>
      <w:r w:rsidR="00B84AF2" w:rsidRPr="00F0239C">
        <w:noBreakHyphen/>
      </w:r>
      <w:r w:rsidR="001F39F2" w:rsidRPr="00F0239C">
        <w:t>year age and sex population estimates by national 10</w:t>
      </w:r>
      <w:r w:rsidR="00B84AF2" w:rsidRPr="00F0239C">
        <w:noBreakHyphen/>
      </w:r>
      <w:r w:rsidR="001F39F2" w:rsidRPr="00F0239C">
        <w:t xml:space="preserve">year age and sex specific rates of </w:t>
      </w:r>
      <w:r w:rsidR="00D0796E" w:rsidRPr="00F0239C">
        <w:t>the potential population</w:t>
      </w:r>
      <w:r w:rsidR="001F39F2" w:rsidRPr="00F0239C">
        <w:t xml:space="preserve"> from the </w:t>
      </w:r>
      <w:r w:rsidR="00AC1840" w:rsidRPr="00F0239C">
        <w:t xml:space="preserve">2012 </w:t>
      </w:r>
      <w:r w:rsidR="001F39F2" w:rsidRPr="00F0239C">
        <w:t xml:space="preserve">SDAC. Then multiplying the </w:t>
      </w:r>
      <w:r w:rsidR="00904E97" w:rsidRPr="00F0239C">
        <w:t>Aboriginal and Torres Strait Islander</w:t>
      </w:r>
      <w:r w:rsidR="001F39F2" w:rsidRPr="00F0239C">
        <w:t xml:space="preserve"> and non</w:t>
      </w:r>
      <w:r w:rsidR="00B84AF2" w:rsidRPr="00F0239C">
        <w:noBreakHyphen/>
      </w:r>
      <w:r w:rsidR="001F39F2" w:rsidRPr="00F0239C">
        <w:t>Indigenous counts for each 10</w:t>
      </w:r>
      <w:r w:rsidR="00B84AF2" w:rsidRPr="00F0239C">
        <w:noBreakHyphen/>
      </w:r>
      <w:r w:rsidR="001F39F2" w:rsidRPr="00F0239C">
        <w:t>year age and sex group by the 10</w:t>
      </w:r>
      <w:r w:rsidR="00B84AF2" w:rsidRPr="00F0239C">
        <w:noBreakHyphen/>
      </w:r>
      <w:r w:rsidR="001F39F2" w:rsidRPr="00F0239C">
        <w:t xml:space="preserve">year age and sex specific rate ratios of people with ASSNP to obtain an </w:t>
      </w:r>
      <w:r w:rsidR="00904E97" w:rsidRPr="00F0239C">
        <w:t>Aboriginal and Torres Strait Islander</w:t>
      </w:r>
      <w:r w:rsidR="001F39F2" w:rsidRPr="00F0239C">
        <w:t>/non</w:t>
      </w:r>
      <w:r w:rsidR="00B84AF2" w:rsidRPr="00F0239C">
        <w:noBreakHyphen/>
      </w:r>
      <w:r w:rsidR="001F39F2" w:rsidRPr="00F0239C">
        <w:t>Indigenous potential population within each age and sex group</w:t>
      </w:r>
    </w:p>
    <w:p w:rsidR="001F39F2" w:rsidRPr="00F0239C" w:rsidRDefault="000261E8" w:rsidP="00585E2C">
      <w:pPr>
        <w:pStyle w:val="ListBullet"/>
      </w:pPr>
      <w:r w:rsidRPr="00F0239C">
        <w:t>s</w:t>
      </w:r>
      <w:r w:rsidR="001F39F2" w:rsidRPr="00F0239C">
        <w:t>umming the 10</w:t>
      </w:r>
      <w:r w:rsidR="00B84AF2" w:rsidRPr="00F0239C">
        <w:noBreakHyphen/>
      </w:r>
      <w:r w:rsidR="001F39F2" w:rsidRPr="00F0239C">
        <w:t xml:space="preserve">year age and sex group counts to derive a total </w:t>
      </w:r>
      <w:r w:rsidR="00904E97" w:rsidRPr="00F0239C">
        <w:t>Aboriginal and Torres Strait Islander</w:t>
      </w:r>
      <w:r w:rsidR="001F39F2" w:rsidRPr="00F0239C">
        <w:t xml:space="preserve"> and non</w:t>
      </w:r>
      <w:r w:rsidR="00B84AF2" w:rsidRPr="00F0239C">
        <w:noBreakHyphen/>
      </w:r>
      <w:r w:rsidR="001F39F2" w:rsidRPr="00F0239C">
        <w:t>Indigenous potential population for each State/Territory</w:t>
      </w:r>
    </w:p>
    <w:p w:rsidR="001F39F2" w:rsidRDefault="000261E8" w:rsidP="00585E2C">
      <w:pPr>
        <w:pStyle w:val="ListBullet"/>
      </w:pPr>
      <w:r w:rsidRPr="00F0239C">
        <w:t>f</w:t>
      </w:r>
      <w:r w:rsidR="001F39F2" w:rsidRPr="00F0239C">
        <w:t xml:space="preserve">or employment, repeating the above steps, but restricting the calculations to those people aged 15–64 years, then multiplying each State/Territory total by State/Territory specific labour force participation rates for people aged 15–64 years. </w:t>
      </w:r>
    </w:p>
    <w:p w:rsidR="00CD6F55" w:rsidRPr="00F0239C" w:rsidRDefault="00CD6F55" w:rsidP="00CD6F55">
      <w:pPr>
        <w:pStyle w:val="BodyText"/>
      </w:pPr>
      <w:r w:rsidRPr="00F850D0">
        <w:t xml:space="preserve">Updated source data used in the calculation of the potential population were available for the 2015 Report. The potential population </w:t>
      </w:r>
      <w:r w:rsidR="00F850D0" w:rsidRPr="00F850D0">
        <w:t>was</w:t>
      </w:r>
      <w:r w:rsidRPr="00F850D0">
        <w:t xml:space="preserve"> recalculated based on data from the 2012 SDAC and 2011 Census, and </w:t>
      </w:r>
      <w:r w:rsidR="00F850D0" w:rsidRPr="00F850D0">
        <w:t>was</w:t>
      </w:r>
      <w:r w:rsidRPr="00F850D0">
        <w:t xml:space="preserve"> been backcast to the 2008</w:t>
      </w:r>
      <w:r w:rsidRPr="00F850D0">
        <w:noBreakHyphen/>
        <w:t xml:space="preserve">09 year. New Aboriginal and Torres Strait Islander potential population estimates </w:t>
      </w:r>
      <w:r w:rsidR="00F850D0" w:rsidRPr="00F850D0">
        <w:t>were</w:t>
      </w:r>
      <w:r w:rsidRPr="00F850D0">
        <w:t xml:space="preserve"> calculated for people aged 0–49 using new 2011 Census</w:t>
      </w:r>
      <w:r w:rsidRPr="00F850D0">
        <w:noBreakHyphen/>
        <w:t>based Indigenous Population Projections (previously calculated using 2006 Census</w:t>
      </w:r>
      <w:r w:rsidRPr="00F850D0">
        <w:noBreakHyphen/>
        <w:t>based Indigenous Population Projections) and backcast to the 2008</w:t>
      </w:r>
      <w:r w:rsidRPr="00F850D0">
        <w:noBreakHyphen/>
        <w:t>09 year.</w:t>
      </w:r>
    </w:p>
    <w:p w:rsidR="001F39F2" w:rsidRPr="00746E13" w:rsidRDefault="001F39F2" w:rsidP="006C5F8E">
      <w:pPr>
        <w:pStyle w:val="Heading4"/>
      </w:pPr>
      <w:r w:rsidRPr="00746E13">
        <w:t>Data quality issues</w:t>
      </w:r>
    </w:p>
    <w:p w:rsidR="001F39F2" w:rsidRPr="00746E13" w:rsidRDefault="001F39F2" w:rsidP="00585E2C">
      <w:pPr>
        <w:pStyle w:val="BodyText"/>
      </w:pPr>
      <w:r w:rsidRPr="00746E13">
        <w:t>Data measuring the potential populations of the special needs groups are not explicitly available for the required time periods and have been estimated using several different data sources (as noted above), under several key assumptions. Some issues with this approach are:</w:t>
      </w:r>
    </w:p>
    <w:p w:rsidR="001F39F2" w:rsidRPr="00F0239C" w:rsidRDefault="001F39F2" w:rsidP="00585E2C">
      <w:pPr>
        <w:pStyle w:val="ListBullet"/>
      </w:pPr>
      <w:r w:rsidRPr="00F0239C">
        <w:lastRenderedPageBreak/>
        <w:t>The method used to estimate the potential populations assumes:</w:t>
      </w:r>
    </w:p>
    <w:p w:rsidR="001F39F2" w:rsidRPr="00F0239C" w:rsidRDefault="001F39F2" w:rsidP="00585E2C">
      <w:pPr>
        <w:pStyle w:val="ListBullet2"/>
      </w:pPr>
      <w:r w:rsidRPr="00F0239C">
        <w:t>that disability rates vary only by age and sex, and there is no effect of remoteness, disadvantage, or any other variable — this is likely to affect the reliability of comparisons across states and territories, however, it is currently not possible to detect the size or direction of any potential bias</w:t>
      </w:r>
    </w:p>
    <w:p w:rsidR="001F39F2" w:rsidRPr="00F0239C" w:rsidRDefault="001F39F2" w:rsidP="00585E2C">
      <w:pPr>
        <w:pStyle w:val="ListBullet2"/>
      </w:pPr>
      <w:r w:rsidRPr="00F0239C">
        <w:t>that age</w:t>
      </w:r>
      <w:r w:rsidR="00B84AF2" w:rsidRPr="00F0239C">
        <w:noBreakHyphen/>
      </w:r>
      <w:r w:rsidRPr="00F0239C">
        <w:t xml:space="preserve"> and sex</w:t>
      </w:r>
      <w:r w:rsidR="00DF3B3B" w:rsidRPr="00F0239C">
        <w:t>–</w:t>
      </w:r>
      <w:r w:rsidRPr="00F0239C">
        <w:t>specific disability rates do not change significantly over time.</w:t>
      </w:r>
    </w:p>
    <w:p w:rsidR="001F39F2" w:rsidRPr="00F0239C" w:rsidRDefault="001F39F2" w:rsidP="00585E2C">
      <w:pPr>
        <w:pStyle w:val="ListBullet"/>
      </w:pPr>
      <w:r w:rsidRPr="00F0239C">
        <w:t xml:space="preserve">The rate ratio/proportion adjustments (that is, multiplication) assumes consistency between the rate ratio/proportion as calculated from the </w:t>
      </w:r>
      <w:r w:rsidR="00DF055D" w:rsidRPr="00F0239C">
        <w:t xml:space="preserve">2011 </w:t>
      </w:r>
      <w:r w:rsidRPr="00F0239C">
        <w:t xml:space="preserve">Census and the corresponding information if it were collected from the </w:t>
      </w:r>
      <w:r w:rsidR="00DF055D" w:rsidRPr="00F0239C">
        <w:t xml:space="preserve">2012 </w:t>
      </w:r>
      <w:r w:rsidRPr="00F0239C">
        <w:t xml:space="preserve">SDAC. Two points to note </w:t>
      </w:r>
      <w:r w:rsidR="00FD547A" w:rsidRPr="00F0239C">
        <w:t xml:space="preserve">about </w:t>
      </w:r>
      <w:r w:rsidRPr="00F0239C">
        <w:t>this assumption are that:</w:t>
      </w:r>
    </w:p>
    <w:p w:rsidR="001F39F2" w:rsidRPr="00F0239C" w:rsidRDefault="001F39F2" w:rsidP="00626A1F">
      <w:pPr>
        <w:pStyle w:val="ListBullet2"/>
      </w:pPr>
      <w:r w:rsidRPr="00F0239C">
        <w:t>information about people with ASSNP is based on the self</w:t>
      </w:r>
      <w:r w:rsidR="00B84AF2" w:rsidRPr="00F0239C">
        <w:noBreakHyphen/>
      </w:r>
      <w:r w:rsidRPr="00F0239C">
        <w:t xml:space="preserve">enumeration of four questions under the </w:t>
      </w:r>
      <w:r w:rsidR="00DF055D" w:rsidRPr="00F0239C">
        <w:t xml:space="preserve">2011 </w:t>
      </w:r>
      <w:r w:rsidRPr="00F0239C">
        <w:t>Census</w:t>
      </w:r>
      <w:r w:rsidR="00FD547A" w:rsidRPr="00F0239C">
        <w:t xml:space="preserve"> (although personal interviews were conducted </w:t>
      </w:r>
      <w:r w:rsidR="001166B3" w:rsidRPr="00F0239C">
        <w:t xml:space="preserve">in </w:t>
      </w:r>
      <w:r w:rsidR="00FD547A" w:rsidRPr="00F0239C">
        <w:t>Aboriginal and Torres Strait Islander communities)</w:t>
      </w:r>
      <w:r w:rsidRPr="00F0239C">
        <w:t xml:space="preserve">, whereas in SDAC </w:t>
      </w:r>
      <w:r w:rsidR="00DF055D" w:rsidRPr="00F0239C">
        <w:t xml:space="preserve">2012 </w:t>
      </w:r>
      <w:r w:rsidRPr="00F0239C">
        <w:t xml:space="preserve">people are </w:t>
      </w:r>
      <w:r w:rsidR="00D0796E" w:rsidRPr="00F0239C">
        <w:t>deemed to be in the potential population</w:t>
      </w:r>
      <w:r w:rsidRPr="00F0239C">
        <w:t xml:space="preserve"> on the basis of a comprehensive </w:t>
      </w:r>
      <w:r w:rsidR="00FD547A" w:rsidRPr="00F0239C">
        <w:br/>
      </w:r>
      <w:r w:rsidRPr="00F0239C">
        <w:t>interviewer</w:t>
      </w:r>
      <w:r w:rsidR="00FD547A" w:rsidRPr="00F0239C">
        <w:t>–</w:t>
      </w:r>
      <w:r w:rsidRPr="00F0239C">
        <w:t>administered module of questions —</w:t>
      </w:r>
      <w:r w:rsidR="00DF3B3B" w:rsidRPr="00F0239C">
        <w:t xml:space="preserve"> </w:t>
      </w:r>
      <w:r w:rsidR="00FD547A" w:rsidRPr="00F0239C">
        <w:t>although</w:t>
      </w:r>
      <w:r w:rsidRPr="00F0239C">
        <w:t xml:space="preserve"> the two populations are different, </w:t>
      </w:r>
      <w:r w:rsidR="00FD547A" w:rsidRPr="00F0239C">
        <w:t xml:space="preserve">they </w:t>
      </w:r>
      <w:r w:rsidRPr="00F0239C">
        <w:t>are conceptually related</w:t>
      </w:r>
    </w:p>
    <w:p w:rsidR="001F39F2" w:rsidRPr="00F0239C" w:rsidRDefault="001F39F2" w:rsidP="00585E2C">
      <w:pPr>
        <w:pStyle w:val="ListBullet2"/>
      </w:pPr>
      <w:r w:rsidRPr="00F0239C">
        <w:t xml:space="preserve">the special needs groups identification may not be the same between the </w:t>
      </w:r>
      <w:r w:rsidRPr="00F0239C">
        <w:br/>
      </w:r>
      <w:r w:rsidR="00DF055D" w:rsidRPr="00F0239C">
        <w:t>2011</w:t>
      </w:r>
      <w:r w:rsidR="00476310" w:rsidRPr="00F0239C">
        <w:t xml:space="preserve"> </w:t>
      </w:r>
      <w:r w:rsidRPr="00F0239C">
        <w:t xml:space="preserve">Census and the </w:t>
      </w:r>
      <w:r w:rsidR="00DF055D" w:rsidRPr="00F0239C">
        <w:t>2012</w:t>
      </w:r>
      <w:r w:rsidR="00476310" w:rsidRPr="00F0239C">
        <w:t xml:space="preserve"> </w:t>
      </w:r>
      <w:r w:rsidRPr="00F0239C">
        <w:t xml:space="preserve">SDAC (ABS research indicates, for example, that the </w:t>
      </w:r>
      <w:r w:rsidR="00904E97" w:rsidRPr="00F0239C">
        <w:t>Aboriginal and Torres Strait Islander</w:t>
      </w:r>
      <w:r w:rsidRPr="00F0239C">
        <w:t xml:space="preserve"> identification rate differs </w:t>
      </w:r>
      <w:r w:rsidR="00FD547A" w:rsidRPr="00F0239C">
        <w:t xml:space="preserve">between </w:t>
      </w:r>
      <w:r w:rsidRPr="00F0239C">
        <w:t>the Census and interviewer administered surveys)</w:t>
      </w:r>
      <w:r w:rsidR="00FD547A" w:rsidRPr="00F0239C">
        <w:t>.</w:t>
      </w:r>
    </w:p>
    <w:p w:rsidR="001F39F2" w:rsidRPr="00F0239C" w:rsidRDefault="001F39F2" w:rsidP="00585E2C">
      <w:pPr>
        <w:pStyle w:val="ListBullet"/>
      </w:pPr>
      <w:r w:rsidRPr="00F0239C">
        <w:t xml:space="preserve">It is not known if the data collection instruments are culturally appropriate for all special needs groups; nor is it known how this, combined with different data collection methods, impacts on the accuracy of the estimated potential population </w:t>
      </w:r>
    </w:p>
    <w:p w:rsidR="00DF055D" w:rsidRPr="00F0239C" w:rsidRDefault="001F39F2" w:rsidP="00585E2C">
      <w:pPr>
        <w:pStyle w:val="ListBullet"/>
      </w:pPr>
      <w:r w:rsidRPr="00F0239C">
        <w:t>There are a number of potential sources of error related to the Census that stem from failure to return a Census form or failure to answer every applicable question. 20</w:t>
      </w:r>
      <w:r w:rsidR="00470BF6" w:rsidRPr="00F0239C">
        <w:t>11</w:t>
      </w:r>
      <w:r w:rsidRPr="00F0239C">
        <w:t xml:space="preserve"> Census data </w:t>
      </w:r>
      <w:r w:rsidR="00FD547A" w:rsidRPr="00F0239C">
        <w:t xml:space="preserve">used in calculating the potential population </w:t>
      </w:r>
      <w:r w:rsidRPr="00F0239C">
        <w:t xml:space="preserve">exclude people for whom data is not </w:t>
      </w:r>
      <w:r w:rsidR="00FD547A" w:rsidRPr="00F0239C">
        <w:t>stated</w:t>
      </w:r>
      <w:r w:rsidRPr="00F0239C">
        <w:t xml:space="preserve">. As with any collection, should the characteristics of interest (for example, ASSNP and/or special needs group status) of the people excluded differ from those people included, a potential for bias is introduced. In particular, for </w:t>
      </w:r>
      <w:r w:rsidR="00904E97" w:rsidRPr="00F0239C">
        <w:t>Aboriginal and Torres Strait Islander</w:t>
      </w:r>
      <w:r w:rsidRPr="00F0239C">
        <w:t xml:space="preserve"> estimates, differential undercount of </w:t>
      </w:r>
      <w:r w:rsidR="00904E97" w:rsidRPr="00F0239C">
        <w:t xml:space="preserve">Aboriginal and Torres Strait </w:t>
      </w:r>
      <w:r w:rsidR="00C21DBC" w:rsidRPr="00F0239C">
        <w:t>Islander people</w:t>
      </w:r>
      <w:r w:rsidRPr="00F0239C">
        <w:t xml:space="preserve"> across states and territories may introduce bias into the results that would affect the comparability of estimates across jurisdictions, if those missed by the Census had a different rate of disability status to those included.</w:t>
      </w:r>
    </w:p>
    <w:p w:rsidR="001F39F2" w:rsidRDefault="00321568" w:rsidP="00585E2C">
      <w:pPr>
        <w:pStyle w:val="Heading2"/>
      </w:pPr>
      <w:bookmarkStart w:id="61" w:name="_Toc248563908"/>
      <w:bookmarkStart w:id="62" w:name="_Toc397527179"/>
      <w:bookmarkStart w:id="63" w:name="_Toc432512541"/>
      <w:r w:rsidRPr="00746E13">
        <w:lastRenderedPageBreak/>
        <w:t>14.</w:t>
      </w:r>
      <w:r w:rsidR="004B691F">
        <w:rPr>
          <w:noProof/>
        </w:rPr>
        <w:t>6</w:t>
      </w:r>
      <w:r w:rsidR="001F39F2" w:rsidRPr="00746E13">
        <w:tab/>
        <w:t>Definitions of key terms</w:t>
      </w:r>
      <w:bookmarkEnd w:id="61"/>
      <w:bookmarkEnd w:id="62"/>
      <w:bookmarkEnd w:id="63"/>
    </w:p>
    <w:p w:rsidR="00D709A0" w:rsidRPr="00D709A0" w:rsidRDefault="00D709A0" w:rsidP="00927A21">
      <w:pPr>
        <w:pStyle w:val="Space"/>
      </w:pPr>
    </w:p>
    <w:tbl>
      <w:tblPr>
        <w:tblW w:w="0" w:type="auto"/>
        <w:tblLayout w:type="fixed"/>
        <w:tblCellMar>
          <w:left w:w="0" w:type="dxa"/>
          <w:right w:w="0" w:type="dxa"/>
        </w:tblCellMar>
        <w:tblLook w:val="0000" w:firstRow="0" w:lastRow="0" w:firstColumn="0" w:lastColumn="0" w:noHBand="0" w:noVBand="0"/>
      </w:tblPr>
      <w:tblGrid>
        <w:gridCol w:w="2268"/>
        <w:gridCol w:w="6521"/>
      </w:tblGrid>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Accommodation support service users receiving community accommodation and care services</w:t>
            </w:r>
          </w:p>
        </w:tc>
        <w:tc>
          <w:tcPr>
            <w:tcW w:w="6521" w:type="dxa"/>
          </w:tcPr>
          <w:p w:rsidR="001F39F2" w:rsidRPr="00F0239C" w:rsidRDefault="001F39F2" w:rsidP="007D45DE">
            <w:pPr>
              <w:pStyle w:val="TableBodyText"/>
              <w:spacing w:before="60" w:after="60"/>
              <w:ind w:left="0"/>
              <w:jc w:val="both"/>
            </w:pPr>
            <w:r w:rsidRPr="00F0239C">
              <w:t>People using the following NDA accommodation support services: group homes; attendant care/personal care; in</w:t>
            </w:r>
            <w:r w:rsidR="00B84AF2" w:rsidRPr="00F0239C">
              <w:noBreakHyphen/>
            </w:r>
            <w:r w:rsidRPr="00F0239C">
              <w:t>home accommodation support; alternative family placement and other accommodation support (types 1.04–1.08), as a proportion of all people using NDA accommodation support services (excludes service users of specialist psychiatric disability services only). See A</w:t>
            </w:r>
            <w:r w:rsidR="0086127D" w:rsidRPr="00F0239C">
              <w:t xml:space="preserve">ustralian Institute of </w:t>
            </w:r>
            <w:r w:rsidRPr="00F0239C">
              <w:t>H</w:t>
            </w:r>
            <w:r w:rsidR="0086127D" w:rsidRPr="00F0239C">
              <w:t>ealth and Welfare (AIHW)</w:t>
            </w:r>
            <w:r w:rsidRPr="00F0239C">
              <w:t xml:space="preserve"> (</w:t>
            </w:r>
            <w:r w:rsidR="00302BC1" w:rsidRPr="00F0239C">
              <w:t>201</w:t>
            </w:r>
            <w:r w:rsidR="00AE4C30">
              <w:t>5</w:t>
            </w:r>
            <w:r w:rsidR="00302BC1" w:rsidRPr="00F0239C">
              <w:t>b</w:t>
            </w:r>
            <w:r w:rsidRPr="00F0239C">
              <w:t>) for more information on service types 1.04–1.08.</w:t>
            </w:r>
          </w:p>
        </w:tc>
      </w:tr>
      <w:tr w:rsidR="00790BFD"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Administration expenditure as a proportion of total expenditure</w:t>
            </w:r>
          </w:p>
        </w:tc>
        <w:tc>
          <w:tcPr>
            <w:tcW w:w="6521" w:type="dxa"/>
          </w:tcPr>
          <w:p w:rsidR="001F39F2" w:rsidRPr="00F0239C" w:rsidRDefault="00AE4C30" w:rsidP="007D45DE">
            <w:pPr>
              <w:pStyle w:val="TableBodyText"/>
              <w:spacing w:before="60" w:after="60"/>
              <w:ind w:left="0"/>
              <w:jc w:val="both"/>
            </w:pPr>
            <w:r>
              <w:t>The n</w:t>
            </w:r>
            <w:r w:rsidR="001F39F2" w:rsidRPr="00F0239C">
              <w:t>umerator — expenditure (accrual) by jurisdictions on administering the disability service system as a whole</w:t>
            </w:r>
            <w:r w:rsidR="007447B4">
              <w:t>. Including</w:t>
            </w:r>
            <w:r w:rsidR="001F39F2" w:rsidRPr="00F0239C">
              <w:t xml:space="preserve"> the regional program management and administration, the central policy and program management and administration, and the disability program share of corporate administration costs under the umbrella department</w:t>
            </w:r>
            <w:r w:rsidR="007447B4">
              <w:t>. Excluding</w:t>
            </w:r>
            <w:r w:rsidR="001F39F2" w:rsidRPr="00F0239C">
              <w:t xml:space="preserve"> administration expenditure on a service that has been already counted in the direct expenditure on the service </w:t>
            </w:r>
            <w:r w:rsidRPr="00F0239C">
              <w:t>—</w:t>
            </w:r>
            <w:r>
              <w:t xml:space="preserve"> divided by the d</w:t>
            </w:r>
            <w:r w:rsidR="001F39F2" w:rsidRPr="00F0239C">
              <w:t>enominator — total government expenditure on services for people with disability</w:t>
            </w:r>
            <w:r w:rsidR="007447B4">
              <w:t>. I</w:t>
            </w:r>
            <w:r w:rsidR="001F39F2" w:rsidRPr="00F0239C">
              <w:t>ncluding expenditure on both programs and administration, direct expenditure and grants to government service providers, and government grants to non</w:t>
            </w:r>
            <w:r w:rsidR="001F39F2" w:rsidRPr="00F0239C">
              <w:noBreakHyphen/>
              <w:t>government service providers (except major capital grants).</w:t>
            </w:r>
          </w:p>
        </w:tc>
      </w:tr>
      <w:tr w:rsidR="00845A5C" w:rsidRPr="00F0239C" w:rsidTr="00EC471A">
        <w:tblPrEx>
          <w:tblCellMar>
            <w:left w:w="108" w:type="dxa"/>
            <w:right w:w="108" w:type="dxa"/>
          </w:tblCellMar>
        </w:tblPrEx>
        <w:trPr>
          <w:cantSplit/>
        </w:trPr>
        <w:tc>
          <w:tcPr>
            <w:tcW w:w="2268" w:type="dxa"/>
            <w:shd w:val="clear" w:color="auto" w:fill="FFFFFF" w:themeFill="background1"/>
          </w:tcPr>
          <w:p w:rsidR="00845A5C" w:rsidRPr="00F0239C" w:rsidRDefault="00845A5C" w:rsidP="00003459">
            <w:pPr>
              <w:pStyle w:val="TableBodyText"/>
              <w:jc w:val="left"/>
              <w:rPr>
                <w:b/>
              </w:rPr>
            </w:pPr>
            <w:r w:rsidRPr="00F0239C">
              <w:rPr>
                <w:b/>
              </w:rPr>
              <w:t>Comparability</w:t>
            </w:r>
          </w:p>
        </w:tc>
        <w:tc>
          <w:tcPr>
            <w:tcW w:w="6521" w:type="dxa"/>
            <w:shd w:val="clear" w:color="auto" w:fill="FFFFFF" w:themeFill="background1"/>
          </w:tcPr>
          <w:p w:rsidR="00845A5C" w:rsidRPr="00F0239C" w:rsidRDefault="001E2734" w:rsidP="007D45DE">
            <w:pPr>
              <w:pStyle w:val="TableBodyText"/>
              <w:ind w:left="-108"/>
              <w:jc w:val="both"/>
            </w:pPr>
            <w:r w:rsidRPr="00F0239C">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845A5C" w:rsidRPr="00F0239C" w:rsidTr="00EC471A">
        <w:tblPrEx>
          <w:tblCellMar>
            <w:left w:w="108" w:type="dxa"/>
            <w:right w:w="108" w:type="dxa"/>
          </w:tblCellMar>
        </w:tblPrEx>
        <w:trPr>
          <w:cantSplit/>
        </w:trPr>
        <w:tc>
          <w:tcPr>
            <w:tcW w:w="2268" w:type="dxa"/>
            <w:shd w:val="clear" w:color="auto" w:fill="FFFFFF" w:themeFill="background1"/>
          </w:tcPr>
          <w:p w:rsidR="00845A5C" w:rsidRPr="00F0239C" w:rsidRDefault="00845A5C" w:rsidP="00003459">
            <w:pPr>
              <w:pStyle w:val="TableBodyText"/>
              <w:jc w:val="left"/>
              <w:rPr>
                <w:b/>
              </w:rPr>
            </w:pPr>
            <w:r w:rsidRPr="00F0239C">
              <w:rPr>
                <w:b/>
              </w:rPr>
              <w:t>Completeness</w:t>
            </w:r>
          </w:p>
        </w:tc>
        <w:tc>
          <w:tcPr>
            <w:tcW w:w="6521" w:type="dxa"/>
            <w:shd w:val="clear" w:color="auto" w:fill="FFFFFF" w:themeFill="background1"/>
          </w:tcPr>
          <w:p w:rsidR="00845A5C" w:rsidRPr="00F0239C" w:rsidRDefault="001E2734" w:rsidP="007D45DE">
            <w:pPr>
              <w:pStyle w:val="TableBodyText"/>
              <w:ind w:left="-108"/>
              <w:jc w:val="both"/>
            </w:pPr>
            <w:r w:rsidRPr="00F0239C">
              <w:t>Data are considered complete if all required data are available for all jurisdictions that provide the service.</w:t>
            </w:r>
          </w:p>
        </w:tc>
      </w:tr>
      <w:tr w:rsidR="00790BFD" w:rsidRPr="00F0239C" w:rsidTr="00EC471A">
        <w:tc>
          <w:tcPr>
            <w:tcW w:w="2268" w:type="dxa"/>
          </w:tcPr>
          <w:p w:rsidR="001F39F2" w:rsidRPr="00F0239C" w:rsidRDefault="001F39F2" w:rsidP="00790BFD">
            <w:pPr>
              <w:pStyle w:val="TableBodyText"/>
              <w:spacing w:before="60" w:after="60"/>
              <w:ind w:left="0"/>
              <w:jc w:val="left"/>
              <w:rPr>
                <w:b/>
              </w:rPr>
            </w:pPr>
            <w:r w:rsidRPr="00F0239C">
              <w:rPr>
                <w:b/>
              </w:rPr>
              <w:t xml:space="preserve">Core activities as per the </w:t>
            </w:r>
            <w:r w:rsidR="00790BFD" w:rsidRPr="00F0239C">
              <w:rPr>
                <w:b/>
              </w:rPr>
              <w:t xml:space="preserve">2012 </w:t>
            </w:r>
            <w:r w:rsidRPr="00F0239C">
              <w:rPr>
                <w:b/>
              </w:rPr>
              <w:t>ABS SDAC</w:t>
            </w:r>
          </w:p>
        </w:tc>
        <w:tc>
          <w:tcPr>
            <w:tcW w:w="6521" w:type="dxa"/>
          </w:tcPr>
          <w:p w:rsidR="001F39F2" w:rsidRPr="00F0239C" w:rsidRDefault="00790BFD" w:rsidP="007D45DE">
            <w:pPr>
              <w:pStyle w:val="TableBodyText"/>
              <w:spacing w:before="60" w:after="60"/>
              <w:ind w:left="0"/>
              <w:jc w:val="both"/>
            </w:pPr>
            <w:r w:rsidRPr="00F0239C">
              <w:t>Communication, mobility and self</w:t>
            </w:r>
            <w:r w:rsidR="000802ED" w:rsidRPr="00F0239C">
              <w:noBreakHyphen/>
            </w:r>
            <w:r w:rsidRPr="00F0239C">
              <w:t>care</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Cost per user of government provided accommodation support services — group homes</w:t>
            </w:r>
          </w:p>
        </w:tc>
        <w:tc>
          <w:tcPr>
            <w:tcW w:w="6521" w:type="dxa"/>
          </w:tcPr>
          <w:p w:rsidR="001F39F2" w:rsidRPr="00F0239C" w:rsidRDefault="001F39F2" w:rsidP="007D45DE">
            <w:pPr>
              <w:pStyle w:val="TableBodyText"/>
              <w:spacing w:before="60" w:after="60"/>
              <w:ind w:left="0"/>
              <w:jc w:val="both"/>
            </w:pPr>
            <w:r w:rsidRPr="00F0239C">
              <w:t>The numerator — government expenditure (accrual) on government provided accommodation support services in group homes (as defined by DS NMDS service type 1.04) — divided by the denominator — the number of users of government provided accommodation support services in group homes.</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rFonts w:ascii="Times New Roman" w:hAnsi="Times New Roman"/>
                <w:b/>
                <w:sz w:val="26"/>
              </w:rPr>
              <w:br w:type="page"/>
            </w:r>
            <w:r w:rsidRPr="00F0239C">
              <w:rPr>
                <w:b/>
              </w:rPr>
              <w:t xml:space="preserve">Cost per user of government provided accommodation support services — institutional/residential settings </w:t>
            </w:r>
          </w:p>
        </w:tc>
        <w:tc>
          <w:tcPr>
            <w:tcW w:w="6521" w:type="dxa"/>
          </w:tcPr>
          <w:p w:rsidR="001F39F2" w:rsidRPr="00F0239C" w:rsidRDefault="001F39F2" w:rsidP="007D45DE">
            <w:pPr>
              <w:pStyle w:val="TableBodyText"/>
              <w:spacing w:before="60" w:after="60"/>
              <w:ind w:left="0"/>
              <w:jc w:val="both"/>
            </w:pPr>
            <w:r w:rsidRPr="00F0239C">
              <w:t>The numerator — government expenditure (accrual) on government provided accommodation support services in institutional/residential settings (as defined by DS NMDS service types 1.01, 1.02 and 1.03) — divided by the denominator — the number of users of accommodation support services in institutional/residential settings. See AIHW (</w:t>
            </w:r>
            <w:r w:rsidR="00AE4C30" w:rsidRPr="00F0239C">
              <w:t>201</w:t>
            </w:r>
            <w:r w:rsidR="00AE4C30">
              <w:t>5</w:t>
            </w:r>
            <w:r w:rsidR="00AE4C30" w:rsidRPr="00F0239C">
              <w:t>b</w:t>
            </w:r>
            <w:r w:rsidRPr="00F0239C">
              <w:t xml:space="preserve">) for more information on service types 1.01–1.03. </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Disability</w:t>
            </w:r>
          </w:p>
        </w:tc>
        <w:tc>
          <w:tcPr>
            <w:tcW w:w="6521" w:type="dxa"/>
          </w:tcPr>
          <w:p w:rsidR="001F39F2" w:rsidRPr="00F0239C" w:rsidRDefault="001F39F2" w:rsidP="007D45DE">
            <w:pPr>
              <w:pStyle w:val="TableBodyText"/>
              <w:spacing w:before="60" w:after="60"/>
              <w:jc w:val="both"/>
            </w:pPr>
            <w:r w:rsidRPr="00F0239C">
              <w:t xml:space="preserve">The United Nation’s </w:t>
            </w:r>
            <w:r w:rsidRPr="00F0239C">
              <w:rPr>
                <w:i/>
              </w:rPr>
              <w:t>Convention on the Rights of Persons with Disabilities</w:t>
            </w:r>
            <w:r w:rsidRPr="00F0239C">
              <w:t>, ratified by Australia on 17</w:t>
            </w:r>
            <w:r w:rsidR="00B84AF2" w:rsidRPr="00F0239C">
              <w:t> </w:t>
            </w:r>
            <w:r w:rsidRPr="00F0239C">
              <w:t>July 2008, defines ‘persons with disabilities’ as those who have long</w:t>
            </w:r>
            <w:r w:rsidR="000802ED" w:rsidRPr="00F0239C">
              <w:noBreakHyphen/>
            </w:r>
            <w:r w:rsidRPr="00F0239C">
              <w:t xml:space="preserve">term physical, mental, intellectual or sensory impairments which in interaction with various barriers may hinder their full and effective participation in society on an equal basis with others. </w:t>
            </w:r>
          </w:p>
          <w:p w:rsidR="001F39F2" w:rsidRPr="00F0239C" w:rsidRDefault="001F39F2" w:rsidP="007D45DE">
            <w:pPr>
              <w:pStyle w:val="TableBodyText"/>
              <w:spacing w:before="60" w:after="60"/>
              <w:jc w:val="both"/>
            </w:pPr>
            <w:r w:rsidRPr="00F0239C">
              <w:t xml:space="preserve">The </w:t>
            </w:r>
            <w:r w:rsidR="00BD1C57" w:rsidRPr="00F0239C">
              <w:t xml:space="preserve">World Health Organisation </w:t>
            </w:r>
            <w:r w:rsidRPr="00F0239C">
              <w:t>defines ‘disabilities’ as impairments, activity limitations, and participation restrictions: an impairment is a problem in body function or structure; an activity limitation is a difficulty encountered by an individual in executing a task or action; and a participation restriction is a problem experienced by an individual in involvement in life situations. Disability is a complex phenomenon, reflecting an interaction between features of a person’s body and features of the society in which he or she lives (WHO 2</w:t>
            </w:r>
            <w:r w:rsidR="005547FD">
              <w:t> </w:t>
            </w:r>
            <w:r w:rsidRPr="00F0239C">
              <w:t xml:space="preserve">009). </w:t>
            </w:r>
          </w:p>
          <w:p w:rsidR="00CE0D31" w:rsidRPr="00F0239C" w:rsidRDefault="00CE0D31" w:rsidP="007D45DE">
            <w:pPr>
              <w:pStyle w:val="TableBodyText"/>
              <w:spacing w:before="60" w:after="60"/>
              <w:jc w:val="both"/>
            </w:pPr>
            <w:r w:rsidRPr="00F0239C">
              <w:t xml:space="preserve">In the </w:t>
            </w:r>
            <w:r w:rsidR="001F39F2" w:rsidRPr="00F0239C">
              <w:t xml:space="preserve">ABS SDAC </w:t>
            </w:r>
            <w:r w:rsidR="00CD1B6B" w:rsidRPr="00F0239C">
              <w:t xml:space="preserve">2012, </w:t>
            </w:r>
            <w:r w:rsidRPr="00F0239C">
              <w:t>a person has a disability if they ‘report they have a limitation, restriction or impairment, which has lasted, or is likely to last, for at least six months and restricts everyday activities. This includes:</w:t>
            </w:r>
          </w:p>
          <w:p w:rsidR="00CE0D31" w:rsidRPr="00F0239C" w:rsidRDefault="00CE0D31" w:rsidP="007D45DE">
            <w:pPr>
              <w:pStyle w:val="TableBullet"/>
              <w:jc w:val="both"/>
            </w:pPr>
            <w:r w:rsidRPr="00F0239C">
              <w:t>loss of sight (not corrected by glasses or contact lenses)</w:t>
            </w:r>
          </w:p>
          <w:p w:rsidR="00CE0D31" w:rsidRPr="00F0239C" w:rsidRDefault="00CE0D31" w:rsidP="007D45DE">
            <w:pPr>
              <w:pStyle w:val="TableBullet"/>
              <w:jc w:val="both"/>
            </w:pPr>
            <w:r w:rsidRPr="00F0239C">
              <w:t>loss of hearing where communication is restricted, or an aid to assist with, or substitute for, hearing is used</w:t>
            </w:r>
          </w:p>
          <w:p w:rsidR="00CE0D31" w:rsidRPr="00F0239C" w:rsidRDefault="00CE0D31" w:rsidP="007D45DE">
            <w:pPr>
              <w:pStyle w:val="TableBullet"/>
              <w:jc w:val="both"/>
            </w:pPr>
            <w:r w:rsidRPr="00F0239C">
              <w:t>speech difficulties</w:t>
            </w:r>
          </w:p>
          <w:p w:rsidR="00CE0D31" w:rsidRPr="00F0239C" w:rsidRDefault="00CE0D31" w:rsidP="007D45DE">
            <w:pPr>
              <w:pStyle w:val="TableBullet"/>
              <w:jc w:val="both"/>
            </w:pPr>
            <w:r w:rsidRPr="00F0239C">
              <w:lastRenderedPageBreak/>
              <w:t>shortness of breath or breathing difficulties causing restriction</w:t>
            </w:r>
          </w:p>
          <w:p w:rsidR="00CE0D31" w:rsidRPr="00F0239C" w:rsidRDefault="00CE0D31" w:rsidP="007D45DE">
            <w:pPr>
              <w:pStyle w:val="TableBullet"/>
              <w:jc w:val="both"/>
            </w:pPr>
            <w:r w:rsidRPr="00F0239C">
              <w:t>chronic or recurrent pain or discomfort causing restriction</w:t>
            </w:r>
          </w:p>
          <w:p w:rsidR="00CE0D31" w:rsidRPr="00F0239C" w:rsidRDefault="00CE0D31" w:rsidP="007D45DE">
            <w:pPr>
              <w:pStyle w:val="TableBullet"/>
              <w:jc w:val="both"/>
            </w:pPr>
            <w:r w:rsidRPr="00F0239C">
              <w:t>blackouts, seizures, or loss of consciousness</w:t>
            </w:r>
          </w:p>
          <w:p w:rsidR="00CE0D31" w:rsidRPr="00F0239C" w:rsidRDefault="00CE0D31" w:rsidP="007D45DE">
            <w:pPr>
              <w:pStyle w:val="TableBullet"/>
              <w:jc w:val="both"/>
            </w:pPr>
            <w:r w:rsidRPr="00F0239C">
              <w:t>difficulty learning or understanding</w:t>
            </w:r>
          </w:p>
          <w:p w:rsidR="00CE0D31" w:rsidRPr="00F0239C" w:rsidRDefault="00CE0D31" w:rsidP="007D45DE">
            <w:pPr>
              <w:pStyle w:val="TableBullet"/>
              <w:jc w:val="both"/>
            </w:pPr>
            <w:r w:rsidRPr="00F0239C">
              <w:t>incomplete use of arms or fingers</w:t>
            </w:r>
          </w:p>
          <w:p w:rsidR="00CE0D31" w:rsidRPr="00F0239C" w:rsidRDefault="00CE0D31" w:rsidP="007D45DE">
            <w:pPr>
              <w:pStyle w:val="TableBullet"/>
              <w:jc w:val="both"/>
            </w:pPr>
            <w:r w:rsidRPr="00F0239C">
              <w:t>difficulty gripping or holding things</w:t>
            </w:r>
          </w:p>
          <w:p w:rsidR="00CE0D31" w:rsidRPr="00F0239C" w:rsidRDefault="00CE0D31" w:rsidP="007D45DE">
            <w:pPr>
              <w:pStyle w:val="TableBullet"/>
              <w:jc w:val="both"/>
            </w:pPr>
            <w:r w:rsidRPr="00F0239C">
              <w:t>incomplete use of feet or legs</w:t>
            </w:r>
          </w:p>
          <w:p w:rsidR="00CE0D31" w:rsidRPr="00F0239C" w:rsidRDefault="00CE0D31" w:rsidP="007D45DE">
            <w:pPr>
              <w:pStyle w:val="TableBullet"/>
              <w:jc w:val="both"/>
            </w:pPr>
            <w:r w:rsidRPr="00F0239C">
              <w:t>nervous or emotional condition causing restriction</w:t>
            </w:r>
          </w:p>
          <w:p w:rsidR="00CE0D31" w:rsidRPr="00F0239C" w:rsidRDefault="00CE0D31" w:rsidP="007D45DE">
            <w:pPr>
              <w:pStyle w:val="TableBullet"/>
              <w:jc w:val="both"/>
            </w:pPr>
            <w:r w:rsidRPr="00F0239C">
              <w:t>restriction in physical activities or in doing physical work</w:t>
            </w:r>
          </w:p>
          <w:p w:rsidR="00CE0D31" w:rsidRPr="00F0239C" w:rsidRDefault="00CE0D31" w:rsidP="007D45DE">
            <w:pPr>
              <w:pStyle w:val="TableBullet"/>
              <w:jc w:val="both"/>
            </w:pPr>
            <w:r w:rsidRPr="00F0239C">
              <w:t>disfigurement or deformity</w:t>
            </w:r>
          </w:p>
          <w:p w:rsidR="00CE0D31" w:rsidRPr="00F0239C" w:rsidRDefault="00CE0D31" w:rsidP="007D45DE">
            <w:pPr>
              <w:pStyle w:val="TableBullet"/>
              <w:jc w:val="both"/>
            </w:pPr>
            <w:r w:rsidRPr="00F0239C">
              <w:t>mental illness or condition requiring help or supervision</w:t>
            </w:r>
          </w:p>
          <w:p w:rsidR="00CE0D31" w:rsidRPr="00F0239C" w:rsidRDefault="00CE0D31" w:rsidP="007D45DE">
            <w:pPr>
              <w:pStyle w:val="TableBullet"/>
              <w:jc w:val="both"/>
            </w:pPr>
            <w:r w:rsidRPr="00F0239C">
              <w:t>long</w:t>
            </w:r>
            <w:r w:rsidR="00B84AF2" w:rsidRPr="00F0239C">
              <w:noBreakHyphen/>
            </w:r>
            <w:r w:rsidRPr="00F0239C">
              <w:t>term effects of head injury, stroke or other brain damage causing restriction</w:t>
            </w:r>
          </w:p>
          <w:p w:rsidR="00CE0D31" w:rsidRPr="00F0239C" w:rsidRDefault="00CE0D31" w:rsidP="007D45DE">
            <w:pPr>
              <w:pStyle w:val="TableBullet"/>
              <w:jc w:val="both"/>
            </w:pPr>
            <w:r w:rsidRPr="00F0239C">
              <w:t>receiving treatment or medication for any other long</w:t>
            </w:r>
            <w:r w:rsidR="00B84AF2" w:rsidRPr="00F0239C">
              <w:noBreakHyphen/>
            </w:r>
            <w:r w:rsidRPr="00F0239C">
              <w:t>term conditions or ailments and still being restricted</w:t>
            </w:r>
          </w:p>
          <w:p w:rsidR="00E37D4C" w:rsidRPr="00F0239C" w:rsidRDefault="00CE0D31" w:rsidP="007D45DE">
            <w:pPr>
              <w:pStyle w:val="TableBullet"/>
              <w:jc w:val="both"/>
            </w:pPr>
            <w:r w:rsidRPr="00F0239C">
              <w:t>any other long</w:t>
            </w:r>
            <w:r w:rsidR="00B84AF2" w:rsidRPr="00F0239C">
              <w:noBreakHyphen/>
            </w:r>
            <w:r w:rsidRPr="00F0239C">
              <w:t>term conditions resulting in a restriction.</w:t>
            </w:r>
            <w:r w:rsidR="00570C28" w:rsidRPr="00F0239C">
              <w:t xml:space="preserve"> </w:t>
            </w:r>
          </w:p>
          <w:p w:rsidR="001F39F2" w:rsidRPr="00F0239C" w:rsidRDefault="001F39F2" w:rsidP="007D45DE">
            <w:pPr>
              <w:pStyle w:val="TableBodyText"/>
              <w:spacing w:before="60" w:after="60"/>
              <w:jc w:val="both"/>
            </w:pPr>
            <w:r w:rsidRPr="00F0239C">
              <w:t>The third CSTDA (2003, p.</w:t>
            </w:r>
            <w:r w:rsidR="00AE3578" w:rsidRPr="00F0239C">
              <w:t> </w:t>
            </w:r>
            <w:r w:rsidRPr="00F0239C">
              <w:t>9) defined ‘people with disabilities’ as those whose disability manifests itself before the age of 65 years and for which they require significant ongoing and/or long</w:t>
            </w:r>
            <w:r w:rsidR="00B84AF2" w:rsidRPr="00F0239C">
              <w:noBreakHyphen/>
            </w:r>
            <w:r w:rsidRPr="00F0239C">
              <w:t xml:space="preserve">term episodic support. For these people, the disability will be attributable to an intellectual, psychiatric, sensory, physical or neurological impairment or acquired brain injury (or some combination of these) which is likely to be permanent and results in substantially reduced capacity in at least one of the following: </w:t>
            </w:r>
            <w:r w:rsidR="00E37D4C" w:rsidRPr="00F0239C">
              <w:t>self</w:t>
            </w:r>
            <w:r w:rsidR="00B84AF2" w:rsidRPr="00F0239C">
              <w:noBreakHyphen/>
            </w:r>
            <w:r w:rsidR="00E37D4C" w:rsidRPr="00F0239C">
              <w:t>care</w:t>
            </w:r>
            <w:r w:rsidRPr="00F0239C">
              <w:t>/management, mobility and communication.</w:t>
            </w:r>
          </w:p>
        </w:tc>
      </w:tr>
      <w:tr w:rsidR="008F5F24" w:rsidRPr="00F0239C" w:rsidTr="00EC471A">
        <w:tc>
          <w:tcPr>
            <w:tcW w:w="2268" w:type="dxa"/>
          </w:tcPr>
          <w:p w:rsidR="005F5305" w:rsidRPr="00F0239C" w:rsidRDefault="005F5305" w:rsidP="00585E2C">
            <w:pPr>
              <w:pStyle w:val="TableBodyText"/>
              <w:spacing w:before="60" w:after="60"/>
              <w:ind w:left="0"/>
              <w:jc w:val="left"/>
              <w:rPr>
                <w:b/>
              </w:rPr>
            </w:pPr>
            <w:r w:rsidRPr="00F0239C">
              <w:rPr>
                <w:b/>
              </w:rPr>
              <w:lastRenderedPageBreak/>
              <w:t>Employment services</w:t>
            </w:r>
          </w:p>
        </w:tc>
        <w:tc>
          <w:tcPr>
            <w:tcW w:w="6521" w:type="dxa"/>
            <w:shd w:val="clear" w:color="auto" w:fill="auto"/>
          </w:tcPr>
          <w:p w:rsidR="005F5305" w:rsidRPr="00F0239C" w:rsidRDefault="005F5305" w:rsidP="007D45DE">
            <w:pPr>
              <w:pStyle w:val="TableBodyText"/>
              <w:spacing w:before="60" w:after="60"/>
              <w:jc w:val="both"/>
            </w:pPr>
            <w:r w:rsidRPr="00F0239C">
              <w:t>Employment services comprise open employment services and supported employment services. Where users of employment services are described without further qualification, this includes people who use either or both open and supported employment services.</w:t>
            </w:r>
          </w:p>
          <w:p w:rsidR="005F5305" w:rsidRPr="00F0239C" w:rsidRDefault="005F5305" w:rsidP="007D45DE">
            <w:pPr>
              <w:pStyle w:val="TableBodyText"/>
              <w:spacing w:before="60" w:after="60"/>
              <w:jc w:val="both"/>
            </w:pPr>
            <w:r w:rsidRPr="00F0239C">
              <w:t xml:space="preserve">All open employment services are now included in the Disability Employment Services (DES) program administered by the </w:t>
            </w:r>
            <w:r w:rsidR="001166B3" w:rsidRPr="00F0239C">
              <w:t>Department of Social Services (DSS</w:t>
            </w:r>
            <w:r w:rsidRPr="00F0239C">
              <w:t>).</w:t>
            </w:r>
            <w:r w:rsidR="00444C2A" w:rsidRPr="00F0239C">
              <w:t>Disability Employment Services has two parts: Disability Management Service is for job seekers with disability, injury or health condition who need assistance to find a job and occasional support to keep a job; and Employment Support Service provides assistance to people with permanent disability and who need regular, ongoing support to keep a job</w:t>
            </w:r>
            <w:r w:rsidRPr="00F0239C">
              <w:t xml:space="preserve">. Supported employment services are </w:t>
            </w:r>
            <w:r w:rsidR="00444C2A" w:rsidRPr="00F0239C">
              <w:t xml:space="preserve">administered by </w:t>
            </w:r>
            <w:r w:rsidR="006979F7" w:rsidRPr="00F0239C">
              <w:t xml:space="preserve">DSS (formerly </w:t>
            </w:r>
            <w:r w:rsidR="00444C2A" w:rsidRPr="00F0239C">
              <w:t>FaHCSIA</w:t>
            </w:r>
            <w:r w:rsidR="006979F7" w:rsidRPr="00F0239C">
              <w:t>)</w:t>
            </w:r>
            <w:r w:rsidR="00444C2A" w:rsidRPr="00F0239C">
              <w:t xml:space="preserve"> under the</w:t>
            </w:r>
            <w:r w:rsidR="006979F7" w:rsidRPr="00F0239C">
              <w:t xml:space="preserve"> Disability Employment Assistance activity as </w:t>
            </w:r>
            <w:r w:rsidR="00444C2A" w:rsidRPr="00F0239C">
              <w:t>Australian Disability Enterprise</w:t>
            </w:r>
            <w:r w:rsidR="006979F7" w:rsidRPr="00F0239C">
              <w:t>s</w:t>
            </w:r>
            <w:r w:rsidR="00444C2A" w:rsidRPr="00F0239C">
              <w:t>. Australian Disability Enterprises are commercial businesses that provide employment for people with disability in a supportive environment</w:t>
            </w:r>
            <w:r w:rsidRPr="00F0239C">
              <w:t>.</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Employment rate for people with a profound or severe core activity limitation</w:t>
            </w:r>
          </w:p>
        </w:tc>
        <w:tc>
          <w:tcPr>
            <w:tcW w:w="6521" w:type="dxa"/>
          </w:tcPr>
          <w:p w:rsidR="001F39F2" w:rsidRPr="00F0239C" w:rsidRDefault="001F39F2" w:rsidP="007D45DE">
            <w:pPr>
              <w:pStyle w:val="TableBodyText"/>
              <w:keepNext w:val="0"/>
              <w:spacing w:before="60" w:after="60"/>
              <w:ind w:left="0"/>
              <w:jc w:val="both"/>
            </w:pPr>
            <w:r w:rsidRPr="00F0239C">
              <w:t>Total estimated number of people aged 15–64 years with a profound or severe core activity limitation who are employed, divided by the total estimated number of people aged 15–64 years with a profound or severe core activity limitation in the labour force, multiplied by 100.</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Employment rate for total population</w:t>
            </w:r>
          </w:p>
        </w:tc>
        <w:tc>
          <w:tcPr>
            <w:tcW w:w="6521" w:type="dxa"/>
          </w:tcPr>
          <w:p w:rsidR="001F39F2" w:rsidRPr="00F0239C" w:rsidRDefault="001F39F2" w:rsidP="007D45DE">
            <w:pPr>
              <w:pStyle w:val="TableBodyText"/>
              <w:keepNext w:val="0"/>
              <w:spacing w:before="60" w:after="60"/>
              <w:ind w:left="0"/>
              <w:jc w:val="both"/>
            </w:pPr>
            <w:r w:rsidRPr="00F0239C">
              <w:t>Total estimated number of people aged 15–64 years who are employed, divided by the total number of people aged 15–64 years in the labour force, multiplied by 100.</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Funded agency</w:t>
            </w:r>
          </w:p>
        </w:tc>
        <w:tc>
          <w:tcPr>
            <w:tcW w:w="6521" w:type="dxa"/>
          </w:tcPr>
          <w:p w:rsidR="001F39F2" w:rsidRPr="00F0239C" w:rsidRDefault="001F39F2" w:rsidP="007D45DE">
            <w:pPr>
              <w:pStyle w:val="TableBodyText"/>
              <w:keepNext w:val="0"/>
              <w:spacing w:before="60" w:after="60"/>
              <w:ind w:left="0"/>
              <w:jc w:val="both"/>
            </w:pPr>
            <w:r w:rsidRPr="00F0239C">
              <w:t>An organisation that delivers one or more NDA service types (service type outlets). Funded agencies are usually legal entities. They are generally responsible for providing DS NMDS data to jurisdictions. Where a funded agency operates only one service type outlet, the service type outlet and the funded agency are the same entity.</w:t>
            </w:r>
          </w:p>
        </w:tc>
      </w:tr>
      <w:tr w:rsidR="00232292"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Geographic location</w:t>
            </w:r>
          </w:p>
        </w:tc>
        <w:tc>
          <w:tcPr>
            <w:tcW w:w="6521" w:type="dxa"/>
          </w:tcPr>
          <w:p w:rsidR="001F39F2" w:rsidRPr="00F0239C" w:rsidRDefault="001F39F2" w:rsidP="007D45DE">
            <w:pPr>
              <w:pStyle w:val="TableBodyText"/>
              <w:spacing w:before="60" w:after="60"/>
              <w:ind w:left="0"/>
              <w:jc w:val="both"/>
            </w:pPr>
            <w:r w:rsidRPr="00F0239C">
              <w:t xml:space="preserve">Geographic location is based on the </w:t>
            </w:r>
            <w:r w:rsidR="00465838" w:rsidRPr="00F0239C">
              <w:t>A</w:t>
            </w:r>
            <w:r w:rsidR="00FF3725" w:rsidRPr="00F0239C">
              <w:rPr>
                <w:rFonts w:cs="Arial"/>
                <w:shd w:val="clear" w:color="auto" w:fill="FFFFFF"/>
              </w:rPr>
              <w:t>ustralian Statistical Geography Standard</w:t>
            </w:r>
            <w:r w:rsidR="0019455A" w:rsidRPr="00F0239C">
              <w:t xml:space="preserve"> </w:t>
            </w:r>
            <w:r w:rsidRPr="00F0239C">
              <w:t>of Remoteness Areas, which categorises areas as ‘major cities’, ‘inner regional’, ‘outer regional’, ‘remote’, ‘very remote’ and ‘migratory’. The criteria for Remoteness Areas are based on the Accessibility/Remoteness Index of Australia, which measures the remoteness of a point based on the physical road distance to the nearest urban centre in each of five size classes (ABS</w:t>
            </w:r>
            <w:r w:rsidRPr="00F0239C">
              <w:rPr>
                <w:rFonts w:cs="Arial"/>
              </w:rPr>
              <w:t> </w:t>
            </w:r>
            <w:r w:rsidR="006731B7" w:rsidRPr="00F0239C">
              <w:t>2011b</w:t>
            </w:r>
            <w:r w:rsidRPr="00F0239C">
              <w:t xml:space="preserve">). The ‘outer regional and remote/very remote’ classification used in this Report </w:t>
            </w:r>
            <w:r w:rsidRPr="00F0239C">
              <w:lastRenderedPageBreak/>
              <w:t xml:space="preserve">was derived by adding outer regional, remote and very remote data. </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lastRenderedPageBreak/>
              <w:t>Government contribution per user of non</w:t>
            </w:r>
            <w:r w:rsidRPr="00F0239C">
              <w:rPr>
                <w:b/>
              </w:rPr>
              <w:noBreakHyphen/>
              <w:t>government provided employment services</w:t>
            </w:r>
          </w:p>
        </w:tc>
        <w:tc>
          <w:tcPr>
            <w:tcW w:w="6521" w:type="dxa"/>
          </w:tcPr>
          <w:p w:rsidR="001F39F2" w:rsidRPr="00F0239C" w:rsidRDefault="001F39F2" w:rsidP="007D45DE">
            <w:pPr>
              <w:pStyle w:val="TableBodyText"/>
              <w:spacing w:before="60" w:after="60"/>
              <w:ind w:left="0"/>
              <w:jc w:val="both"/>
            </w:pPr>
            <w:r w:rsidRPr="00F0239C">
              <w:t>The numerator — Australian Government grant and case based funding expenditure (accrual) on specialist disability employment services (as defined by DS NMDS service types 5.01 (open) and 5.02 (supported)) — divided by the denominator — number of service users who received assistance. (For data prior to 2005</w:t>
            </w:r>
            <w:r w:rsidR="00B84AF2" w:rsidRPr="00F0239C">
              <w:noBreakHyphen/>
            </w:r>
            <w:r w:rsidRPr="00F0239C">
              <w:t>06, service type 5.03 (combined open and supported) is also included.) See AIHW (</w:t>
            </w:r>
            <w:r w:rsidR="00AE4C30" w:rsidRPr="00F0239C">
              <w:t>201</w:t>
            </w:r>
            <w:r w:rsidR="00AE4C30">
              <w:t>5</w:t>
            </w:r>
            <w:r w:rsidR="00AE4C30" w:rsidRPr="00F0239C">
              <w:t>b</w:t>
            </w:r>
            <w:r w:rsidRPr="00F0239C">
              <w:t xml:space="preserve">) for more information on service types </w:t>
            </w:r>
            <w:r w:rsidR="00661A1B" w:rsidRPr="00F0239C">
              <w:br/>
            </w:r>
            <w:r w:rsidRPr="00F0239C">
              <w:t>5.01–5.03.</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br w:type="page"/>
            </w:r>
            <w:r w:rsidRPr="00F0239C">
              <w:rPr>
                <w:b/>
              </w:rPr>
              <w:t>Government contribution per user of non</w:t>
            </w:r>
            <w:r w:rsidRPr="00F0239C">
              <w:rPr>
                <w:b/>
              </w:rPr>
              <w:noBreakHyphen/>
              <w:t>government provided services — accommodation support in group homes</w:t>
            </w:r>
          </w:p>
        </w:tc>
        <w:tc>
          <w:tcPr>
            <w:tcW w:w="6521" w:type="dxa"/>
          </w:tcPr>
          <w:p w:rsidR="001F39F2" w:rsidRPr="00F0239C" w:rsidRDefault="001F39F2" w:rsidP="007D45DE">
            <w:pPr>
              <w:pStyle w:val="TableBodyText"/>
              <w:spacing w:before="60" w:after="60"/>
              <w:ind w:left="0"/>
              <w:jc w:val="both"/>
            </w:pPr>
            <w:r w:rsidRPr="00F0239C">
              <w:t>The numerator — government expenditure (accrual) on non</w:t>
            </w:r>
            <w:r w:rsidRPr="00F0239C">
              <w:noBreakHyphen/>
              <w:t>government provided accommodation support services in group homes (as defined by DS NMDS service type 1.04) — divided by the denominator — the number of users of non</w:t>
            </w:r>
            <w:r w:rsidRPr="00F0239C">
              <w:noBreakHyphen/>
              <w:t xml:space="preserve">government provided accommodation support services in group homes. </w:t>
            </w:r>
          </w:p>
        </w:tc>
      </w:tr>
      <w:tr w:rsidR="008F5F24" w:rsidRPr="00F0239C" w:rsidTr="00EC471A">
        <w:tc>
          <w:tcPr>
            <w:tcW w:w="2268" w:type="dxa"/>
          </w:tcPr>
          <w:p w:rsidR="001F39F2" w:rsidRPr="00F0239C" w:rsidRDefault="001F39F2" w:rsidP="00585E2C">
            <w:pPr>
              <w:pStyle w:val="TableBodyText"/>
              <w:spacing w:before="60" w:after="60"/>
              <w:ind w:left="0"/>
              <w:jc w:val="left"/>
              <w:rPr>
                <w:rFonts w:ascii="Times New Roman" w:hAnsi="Times New Roman"/>
                <w:b/>
                <w:sz w:val="26"/>
              </w:rPr>
            </w:pPr>
            <w:r w:rsidRPr="00F0239C">
              <w:rPr>
                <w:rFonts w:ascii="Times New Roman" w:hAnsi="Times New Roman"/>
                <w:sz w:val="26"/>
              </w:rPr>
              <w:br w:type="page"/>
            </w:r>
            <w:r w:rsidRPr="00F0239C">
              <w:rPr>
                <w:rFonts w:ascii="Times New Roman" w:hAnsi="Times New Roman"/>
                <w:sz w:val="26"/>
              </w:rPr>
              <w:br w:type="page"/>
            </w:r>
            <w:r w:rsidRPr="00F0239C">
              <w:rPr>
                <w:b/>
              </w:rPr>
              <w:t>Government contribution per user of non</w:t>
            </w:r>
            <w:r w:rsidRPr="00F0239C">
              <w:rPr>
                <w:b/>
              </w:rPr>
              <w:noBreakHyphen/>
              <w:t>government provided services — accommodation support in institutional/residential settings</w:t>
            </w:r>
            <w:r w:rsidRPr="00F0239C">
              <w:rPr>
                <w:rFonts w:ascii="Times New Roman" w:hAnsi="Times New Roman"/>
                <w:sz w:val="26"/>
              </w:rPr>
              <w:br w:type="page"/>
            </w:r>
            <w:r w:rsidRPr="00F0239C">
              <w:rPr>
                <w:rFonts w:ascii="Times New Roman" w:hAnsi="Times New Roman"/>
                <w:b/>
                <w:sz w:val="26"/>
              </w:rPr>
              <w:br w:type="page"/>
            </w:r>
            <w:r w:rsidRPr="00F0239C">
              <w:rPr>
                <w:rFonts w:ascii="Times New Roman" w:hAnsi="Times New Roman"/>
                <w:b/>
                <w:sz w:val="26"/>
              </w:rPr>
              <w:br w:type="page"/>
            </w:r>
          </w:p>
        </w:tc>
        <w:tc>
          <w:tcPr>
            <w:tcW w:w="6521" w:type="dxa"/>
          </w:tcPr>
          <w:p w:rsidR="001F39F2" w:rsidRPr="00F0239C" w:rsidRDefault="001F39F2" w:rsidP="007D45DE">
            <w:pPr>
              <w:pStyle w:val="TableBodyText"/>
              <w:spacing w:before="60" w:after="60"/>
              <w:ind w:left="0"/>
              <w:jc w:val="both"/>
            </w:pPr>
            <w:r w:rsidRPr="00F0239C">
              <w:t>The numerator — government expenditure (accrual) on non</w:t>
            </w:r>
            <w:r w:rsidRPr="00F0239C">
              <w:noBreakHyphen/>
              <w:t xml:space="preserve">government provided accommodation support services in institutional/residential settings (as defined by DS NMDS service types 1.01, 1.02 and 1.03) </w:t>
            </w:r>
            <w:r w:rsidRPr="00F0239C">
              <w:rPr>
                <w:rFonts w:cs="Arial"/>
              </w:rPr>
              <w:t>—</w:t>
            </w:r>
            <w:r w:rsidRPr="00F0239C">
              <w:t xml:space="preserve"> divided by the denominator — the number of users of non</w:t>
            </w:r>
            <w:r w:rsidRPr="00F0239C">
              <w:noBreakHyphen/>
              <w:t>government provided accommodation support services in institutional/residential settings.</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Government contribution per user of non</w:t>
            </w:r>
            <w:r w:rsidRPr="00F0239C">
              <w:rPr>
                <w:b/>
              </w:rPr>
              <w:noBreakHyphen/>
              <w:t>government provided services — accommodation support in other community settings</w:t>
            </w:r>
          </w:p>
        </w:tc>
        <w:tc>
          <w:tcPr>
            <w:tcW w:w="6521" w:type="dxa"/>
          </w:tcPr>
          <w:p w:rsidR="001F39F2" w:rsidRPr="00F0239C" w:rsidRDefault="001F39F2" w:rsidP="007D45DE">
            <w:pPr>
              <w:pStyle w:val="TableBodyText"/>
              <w:spacing w:before="60" w:after="60"/>
              <w:ind w:left="0"/>
              <w:jc w:val="both"/>
            </w:pPr>
            <w:r w:rsidRPr="00F0239C">
              <w:t>The numerator — government expenditure (accrual) on non</w:t>
            </w:r>
            <w:r w:rsidRPr="00F0239C">
              <w:noBreakHyphen/>
              <w:t xml:space="preserve">government provided accommodation support services in other community settings (as defined by DS NMDS service types </w:t>
            </w:r>
            <w:r w:rsidRPr="00F0239C">
              <w:br/>
              <w:t>1.05–1.08) — divided by the denominator — the number of users of non</w:t>
            </w:r>
            <w:r w:rsidRPr="00F0239C">
              <w:noBreakHyphen/>
              <w:t>government provided accommodation support services in other community settings.</w:t>
            </w:r>
          </w:p>
        </w:tc>
      </w:tr>
      <w:tr w:rsidR="006F166D" w:rsidRPr="00F0239C" w:rsidTr="00EC471A">
        <w:tc>
          <w:tcPr>
            <w:tcW w:w="2268" w:type="dxa"/>
          </w:tcPr>
          <w:p w:rsidR="001F39F2" w:rsidRPr="00F0239C" w:rsidRDefault="00904E97" w:rsidP="00585E2C">
            <w:pPr>
              <w:pStyle w:val="TableBodyText"/>
              <w:spacing w:before="60" w:after="60"/>
              <w:ind w:left="0"/>
              <w:jc w:val="left"/>
              <w:rPr>
                <w:b/>
              </w:rPr>
            </w:pPr>
            <w:r w:rsidRPr="00F0239C">
              <w:rPr>
                <w:b/>
              </w:rPr>
              <w:t>Aboriginal and Torres Strait Islander</w:t>
            </w:r>
            <w:r w:rsidR="001F39F2" w:rsidRPr="00F0239C">
              <w:rPr>
                <w:b/>
              </w:rPr>
              <w:t xml:space="preserve"> factor</w:t>
            </w:r>
          </w:p>
        </w:tc>
        <w:tc>
          <w:tcPr>
            <w:tcW w:w="6521" w:type="dxa"/>
          </w:tcPr>
          <w:p w:rsidR="001F39F2" w:rsidRPr="00F0239C" w:rsidRDefault="001F39F2" w:rsidP="007D45DE">
            <w:pPr>
              <w:pStyle w:val="TableBodyText"/>
              <w:spacing w:before="60" w:after="60"/>
              <w:ind w:left="0"/>
              <w:jc w:val="both"/>
            </w:pPr>
            <w:r w:rsidRPr="00F0239C">
              <w:t xml:space="preserve">The potential populations were estimated by applying the </w:t>
            </w:r>
            <w:r w:rsidR="005C51DD" w:rsidRPr="00F0239C">
              <w:t xml:space="preserve">2012 </w:t>
            </w:r>
            <w:r w:rsidRPr="00F0239C">
              <w:t>national age</w:t>
            </w:r>
            <w:r w:rsidR="00B84AF2" w:rsidRPr="00F0239C">
              <w:noBreakHyphen/>
            </w:r>
            <w:r w:rsidRPr="00F0239C">
              <w:t xml:space="preserve"> and sex</w:t>
            </w:r>
            <w:r w:rsidR="00B84AF2" w:rsidRPr="00F0239C">
              <w:noBreakHyphen/>
            </w:r>
            <w:r w:rsidRPr="00F0239C">
              <w:t xml:space="preserve"> specific </w:t>
            </w:r>
            <w:r w:rsidR="004C674F" w:rsidRPr="00F0239C">
              <w:t xml:space="preserve">rates of the </w:t>
            </w:r>
            <w:r w:rsidR="00D0796E" w:rsidRPr="00F0239C">
              <w:t>potential population</w:t>
            </w:r>
            <w:r w:rsidRPr="00F0239C">
              <w:t xml:space="preserve"> to the age and sex structure of each jurisdiction in the current year. As </w:t>
            </w:r>
            <w:r w:rsidR="00904E97" w:rsidRPr="00F0239C">
              <w:t xml:space="preserve">Aboriginal and Torres Strait </w:t>
            </w:r>
            <w:r w:rsidR="00C21DBC" w:rsidRPr="00F0239C">
              <w:t>Islander people</w:t>
            </w:r>
            <w:r w:rsidRPr="00F0239C">
              <w:t xml:space="preserve"> have significantly higher disability prevalence rates and greater representation in some NDA specialist disability services than non</w:t>
            </w:r>
            <w:r w:rsidR="00B84AF2" w:rsidRPr="00F0239C">
              <w:noBreakHyphen/>
            </w:r>
            <w:r w:rsidR="00ED3937" w:rsidRPr="00F0239C">
              <w:t>Indigenous people</w:t>
            </w:r>
            <w:r w:rsidRPr="00F0239C">
              <w:t xml:space="preserve">, and there are differences in the share of different jurisdictions’ populations who are </w:t>
            </w:r>
            <w:r w:rsidR="00904E97" w:rsidRPr="00F0239C">
              <w:t>Aboriginal and Torres Strait Islander</w:t>
            </w:r>
            <w:r w:rsidRPr="00F0239C">
              <w:t xml:space="preserve">, a further </w:t>
            </w:r>
            <w:r w:rsidR="00904E97" w:rsidRPr="00F0239C">
              <w:t>Aboriginal and Torres Strait Islander</w:t>
            </w:r>
            <w:r w:rsidRPr="00F0239C">
              <w:t xml:space="preserve"> factor adjustment was undertaken. The </w:t>
            </w:r>
            <w:r w:rsidR="00904E97" w:rsidRPr="00F0239C">
              <w:t>Aboriginal and Torres Strait Islander</w:t>
            </w:r>
            <w:r w:rsidRPr="00F0239C">
              <w:t xml:space="preserve"> factor was multiplied by the ‘expected current population estimate’ of people </w:t>
            </w:r>
            <w:r w:rsidR="00690472" w:rsidRPr="00F0239C">
              <w:t>in the potential population</w:t>
            </w:r>
            <w:r w:rsidRPr="00F0239C">
              <w:t xml:space="preserve"> in each jurisdiction to derive the ‘potential population’. </w:t>
            </w:r>
          </w:p>
          <w:p w:rsidR="001F39F2" w:rsidRPr="00F0239C" w:rsidRDefault="001F39F2" w:rsidP="007D45DE">
            <w:pPr>
              <w:pStyle w:val="TableBodyText"/>
              <w:spacing w:before="60" w:after="60"/>
              <w:ind w:left="0"/>
              <w:jc w:val="both"/>
            </w:pPr>
            <w:r w:rsidRPr="00F0239C">
              <w:t xml:space="preserve">The following steps were undertaken to estimate the </w:t>
            </w:r>
            <w:r w:rsidR="00904E97" w:rsidRPr="00F0239C">
              <w:t>Aboriginal and Torres Strait Islander</w:t>
            </w:r>
            <w:r w:rsidRPr="00F0239C">
              <w:t xml:space="preserve"> factors:</w:t>
            </w:r>
          </w:p>
          <w:p w:rsidR="001F39F2" w:rsidRPr="00F0239C" w:rsidRDefault="001F39F2" w:rsidP="007D45DE">
            <w:pPr>
              <w:pStyle w:val="TableBullet"/>
              <w:jc w:val="both"/>
            </w:pPr>
            <w:r w:rsidRPr="00F0239C">
              <w:t xml:space="preserve">Data for all people (weighted) were calculated by multiplying the data for </w:t>
            </w:r>
            <w:r w:rsidR="00904E97" w:rsidRPr="00F0239C">
              <w:t xml:space="preserve">Aboriginal and Torres Strait </w:t>
            </w:r>
            <w:r w:rsidR="00C21DBC" w:rsidRPr="00F0239C">
              <w:t>Islander people</w:t>
            </w:r>
            <w:r w:rsidRPr="00F0239C">
              <w:t xml:space="preserve"> by 2.4 and adding the data for non</w:t>
            </w:r>
            <w:r w:rsidRPr="00F0239C">
              <w:noBreakHyphen/>
            </w:r>
            <w:r w:rsidR="00ED3937" w:rsidRPr="00F0239C">
              <w:t>Indigenous people</w:t>
            </w:r>
            <w:r w:rsidRPr="00F0239C">
              <w:t xml:space="preserve">. Hence </w:t>
            </w:r>
            <w:r w:rsidR="00904E97" w:rsidRPr="00F0239C">
              <w:t xml:space="preserve">Aboriginal and Torres Strait </w:t>
            </w:r>
            <w:r w:rsidR="00C21DBC" w:rsidRPr="00F0239C">
              <w:t>Islander people</w:t>
            </w:r>
            <w:r w:rsidRPr="00F0239C">
              <w:t xml:space="preserve"> are weighted at 2.4 and non</w:t>
            </w:r>
            <w:r w:rsidR="00B84AF2" w:rsidRPr="00F0239C">
              <w:noBreakHyphen/>
            </w:r>
            <w:r w:rsidR="00ED3937" w:rsidRPr="00F0239C">
              <w:t>Indigenous people</w:t>
            </w:r>
            <w:r w:rsidRPr="00F0239C">
              <w:t xml:space="preserve"> at one</w:t>
            </w:r>
          </w:p>
          <w:p w:rsidR="001F39F2" w:rsidRPr="00F0239C" w:rsidRDefault="001F39F2" w:rsidP="007D45DE">
            <w:pPr>
              <w:pStyle w:val="TableBullet"/>
              <w:jc w:val="both"/>
            </w:pPr>
            <w:r w:rsidRPr="00F0239C">
              <w:t xml:space="preserve">Data for all people (weighted per person) were calculated by dividing the all people (weighted) data by the sum of the </w:t>
            </w:r>
            <w:r w:rsidR="00904E97" w:rsidRPr="00F0239C">
              <w:t xml:space="preserve">Aboriginal and Torres Strait </w:t>
            </w:r>
            <w:r w:rsidR="00C21DBC" w:rsidRPr="00F0239C">
              <w:t>Islander people</w:t>
            </w:r>
            <w:r w:rsidRPr="00F0239C">
              <w:t xml:space="preserve"> data and the non</w:t>
            </w:r>
            <w:r w:rsidR="00B84AF2" w:rsidRPr="00F0239C">
              <w:noBreakHyphen/>
            </w:r>
            <w:r w:rsidR="00ED3937" w:rsidRPr="00F0239C">
              <w:t>Indigenous people</w:t>
            </w:r>
            <w:r w:rsidRPr="00F0239C">
              <w:t xml:space="preserve"> data</w:t>
            </w:r>
          </w:p>
          <w:p w:rsidR="001F39F2" w:rsidRPr="00F0239C" w:rsidRDefault="001F39F2" w:rsidP="007D45DE">
            <w:pPr>
              <w:pStyle w:val="TableBullet"/>
              <w:numPr>
                <w:ilvl w:val="1"/>
                <w:numId w:val="12"/>
              </w:numPr>
              <w:jc w:val="both"/>
            </w:pPr>
            <w:r w:rsidRPr="00F0239C">
              <w:t xml:space="preserve">The </w:t>
            </w:r>
            <w:r w:rsidR="00904E97" w:rsidRPr="00F0239C">
              <w:t>Aboriginal and Torres Strait Islander</w:t>
            </w:r>
            <w:r w:rsidRPr="00F0239C">
              <w:t xml:space="preserve"> factors were then calculated by multiplying the all people (weighted per person) data by 100 and dividing by the all people (weighted per person)</w:t>
            </w:r>
            <w:r w:rsidR="005760EA" w:rsidRPr="00F0239C">
              <w:t xml:space="preserve"> total for Australia.</w:t>
            </w:r>
          </w:p>
        </w:tc>
      </w:tr>
      <w:tr w:rsidR="008F5F24" w:rsidRPr="00F0239C" w:rsidTr="00EC471A">
        <w:tc>
          <w:tcPr>
            <w:tcW w:w="2268" w:type="dxa"/>
          </w:tcPr>
          <w:p w:rsidR="001F39F2" w:rsidRPr="00F0239C" w:rsidRDefault="001F39F2" w:rsidP="00585E2C">
            <w:pPr>
              <w:pStyle w:val="TableBodyText"/>
              <w:numPr>
                <w:ilvl w:val="1"/>
                <w:numId w:val="13"/>
              </w:numPr>
              <w:spacing w:before="60" w:after="60"/>
              <w:ind w:left="0"/>
              <w:jc w:val="left"/>
              <w:rPr>
                <w:b/>
              </w:rPr>
            </w:pPr>
            <w:r w:rsidRPr="00F0239C">
              <w:rPr>
                <w:b/>
              </w:rPr>
              <w:t>Informal carer</w:t>
            </w:r>
          </w:p>
        </w:tc>
        <w:tc>
          <w:tcPr>
            <w:tcW w:w="6521" w:type="dxa"/>
          </w:tcPr>
          <w:p w:rsidR="001F39F2" w:rsidRPr="00F0239C" w:rsidRDefault="001F39F2" w:rsidP="007D45DE">
            <w:pPr>
              <w:pStyle w:val="TableBodyText"/>
              <w:numPr>
                <w:ilvl w:val="1"/>
                <w:numId w:val="13"/>
              </w:numPr>
              <w:spacing w:before="60" w:after="60"/>
              <w:ind w:left="6"/>
              <w:jc w:val="both"/>
            </w:pPr>
            <w:r w:rsidRPr="00F0239C">
              <w:rPr>
                <w:i/>
              </w:rPr>
              <w:t xml:space="preserve">ABS informal carer: </w:t>
            </w:r>
            <w:r w:rsidRPr="00F0239C">
              <w:t xml:space="preserve">A person of any age who provides any informal assistance, in terms of help or supervision, to </w:t>
            </w:r>
            <w:r w:rsidR="00ED3937" w:rsidRPr="00F0239C">
              <w:t>people</w:t>
            </w:r>
            <w:r w:rsidRPr="00F0239C">
              <w:t xml:space="preserve"> with disabilities or long</w:t>
            </w:r>
            <w:r w:rsidR="00B84AF2" w:rsidRPr="00F0239C">
              <w:noBreakHyphen/>
            </w:r>
            <w:r w:rsidRPr="00F0239C">
              <w:t xml:space="preserve">term conditions, or older </w:t>
            </w:r>
            <w:r w:rsidR="00ED3937" w:rsidRPr="00F0239C">
              <w:t>people</w:t>
            </w:r>
            <w:r w:rsidRPr="00F0239C">
              <w:t xml:space="preserve"> (that is, </w:t>
            </w:r>
            <w:r w:rsidR="009F6050" w:rsidRPr="00F0239C">
              <w:t>aged 65</w:t>
            </w:r>
            <w:r w:rsidRPr="00F0239C">
              <w:t xml:space="preserve"> years and over). This assistance has to be ongoing, or likely to be ongoing, for at least 6 months. Assistance to a person in a different household relates to </w:t>
            </w:r>
            <w:r w:rsidR="00B84AF2" w:rsidRPr="00F0239C">
              <w:t>‘</w:t>
            </w:r>
            <w:r w:rsidRPr="00F0239C">
              <w:t>everyday types of activities</w:t>
            </w:r>
            <w:r w:rsidR="00B84AF2" w:rsidRPr="00F0239C">
              <w:t>’</w:t>
            </w:r>
            <w:r w:rsidRPr="00F0239C">
              <w:t xml:space="preserve">, without specific information on the activities. Where the care recipient lives in the same household, the assistance is for one or more of the following activities: cognition or emotion, communication, health care, housework, meal preparation, mobility, </w:t>
            </w:r>
            <w:r w:rsidRPr="00F0239C">
              <w:lastRenderedPageBreak/>
              <w:t xml:space="preserve">paperwork, property maintenance, </w:t>
            </w:r>
            <w:r w:rsidR="00E37D4C" w:rsidRPr="00F0239C">
              <w:t>self</w:t>
            </w:r>
            <w:r w:rsidR="00B84AF2" w:rsidRPr="00F0239C">
              <w:noBreakHyphen/>
            </w:r>
            <w:r w:rsidR="00E37D4C" w:rsidRPr="00F0239C">
              <w:t>care</w:t>
            </w:r>
            <w:r w:rsidRPr="00F0239C">
              <w:t xml:space="preserve"> and transport (ABS 2011</w:t>
            </w:r>
            <w:r w:rsidR="00232292" w:rsidRPr="00F0239C">
              <w:t>a</w:t>
            </w:r>
            <w:r w:rsidRPr="00F0239C">
              <w:t xml:space="preserve">). </w:t>
            </w:r>
          </w:p>
          <w:p w:rsidR="001F39F2" w:rsidRPr="00F0239C" w:rsidRDefault="00D91F3B" w:rsidP="007D45DE">
            <w:pPr>
              <w:pStyle w:val="TableBodyText"/>
              <w:spacing w:before="60" w:after="60"/>
              <w:jc w:val="both"/>
            </w:pPr>
            <w:r w:rsidRPr="00F0239C">
              <w:rPr>
                <w:i/>
              </w:rPr>
              <w:t>DS NMDS informal carer:</w:t>
            </w:r>
            <w:r w:rsidRPr="00F0239C">
              <w:t xml:space="preserve"> an informal carer is a person such as a family member, friend or neighbour who provides regular and sustained care and assistance to the person requiring support (AIHW</w:t>
            </w:r>
            <w:r w:rsidR="008B45F0" w:rsidRPr="00F0239C">
              <w:t> </w:t>
            </w:r>
            <w:r w:rsidRPr="00F0239C">
              <w:t>2012). This includes people who may receive a pension or benefit associated with their caring role, but does not include people, either paid or voluntary, whose services are arranged by a formal service organisation. Informal carers can be defined as primary if they help with one or more of the activities of daily living: self</w:t>
            </w:r>
            <w:r w:rsidR="00B84AF2" w:rsidRPr="00F0239C">
              <w:noBreakHyphen/>
            </w:r>
            <w:r w:rsidRPr="00F0239C">
              <w:t>care, mobility or communication</w:t>
            </w:r>
            <w:r w:rsidR="001F39F2" w:rsidRPr="00F0239C">
              <w:t>.</w:t>
            </w:r>
          </w:p>
          <w:p w:rsidR="001F39F2" w:rsidRPr="00F0239C" w:rsidRDefault="001F39F2" w:rsidP="007D45DE">
            <w:pPr>
              <w:pStyle w:val="TableBodyText"/>
              <w:jc w:val="both"/>
            </w:pPr>
            <w:r w:rsidRPr="00F0239C">
              <w:t xml:space="preserve">See also primary carer. </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rFonts w:ascii="Times New Roman" w:hAnsi="Times New Roman"/>
                <w:sz w:val="26"/>
              </w:rPr>
              <w:lastRenderedPageBreak/>
              <w:br w:type="page"/>
            </w:r>
            <w:r w:rsidRPr="00F0239C">
              <w:rPr>
                <w:b/>
              </w:rPr>
              <w:t>Labour force participation rate for people with a profound or severe core activity limitation</w:t>
            </w:r>
          </w:p>
        </w:tc>
        <w:tc>
          <w:tcPr>
            <w:tcW w:w="6521" w:type="dxa"/>
          </w:tcPr>
          <w:p w:rsidR="001F39F2" w:rsidRPr="00F0239C" w:rsidRDefault="001F39F2" w:rsidP="007D45DE">
            <w:pPr>
              <w:pStyle w:val="TableBodyText"/>
              <w:spacing w:before="60" w:after="60"/>
              <w:ind w:left="0"/>
              <w:jc w:val="both"/>
            </w:pPr>
            <w:r w:rsidRPr="00F0239C">
              <w:t xml:space="preserve">The total number of people with a profound or severe core activity limitation in the labour force (where the labour force includes employed and unemployed people), divided by the total number of people with a profound or severe core activity limitation who are aged 15–64 years, multiplied by 100. </w:t>
            </w:r>
          </w:p>
          <w:p w:rsidR="001F39F2" w:rsidRPr="00F0239C" w:rsidRDefault="001F39F2" w:rsidP="007D45DE">
            <w:pPr>
              <w:pStyle w:val="TableBodyText"/>
              <w:spacing w:before="60" w:after="60"/>
              <w:ind w:left="0"/>
              <w:jc w:val="both"/>
            </w:pPr>
            <w:r w:rsidRPr="00F0239C">
              <w:t>An employed person is a person who, in his or her main job during the remuneration period (reference week):</w:t>
            </w:r>
          </w:p>
          <w:p w:rsidR="001F39F2" w:rsidRPr="00F0239C" w:rsidRDefault="001F39F2" w:rsidP="007D45DE">
            <w:pPr>
              <w:pStyle w:val="TableBullet"/>
              <w:jc w:val="both"/>
            </w:pPr>
            <w:r w:rsidRPr="00F0239C">
              <w:t>worked one hour or more for pay, profit, commission or payment in kind in a job or business, or on a farm (including employees, employers and self</w:t>
            </w:r>
            <w:r w:rsidRPr="00F0239C">
              <w:noBreakHyphen/>
              <w:t xml:space="preserve">employed </w:t>
            </w:r>
            <w:r w:rsidR="00ED3937" w:rsidRPr="00F0239C">
              <w:t>people</w:t>
            </w:r>
            <w:r w:rsidRPr="00F0239C">
              <w:t>)</w:t>
            </w:r>
          </w:p>
          <w:p w:rsidR="001F39F2" w:rsidRPr="00F0239C" w:rsidRDefault="001F39F2" w:rsidP="007D45DE">
            <w:pPr>
              <w:pStyle w:val="TableBullet"/>
              <w:jc w:val="both"/>
            </w:pPr>
            <w:r w:rsidRPr="00F0239C">
              <w:t xml:space="preserve">worked one hour or more without pay in a family business, or on a farm (excluding </w:t>
            </w:r>
            <w:r w:rsidR="00ED3937" w:rsidRPr="00F0239C">
              <w:t>people</w:t>
            </w:r>
            <w:r w:rsidRPr="00F0239C">
              <w:t xml:space="preserve"> undertaking other unpaid voluntary work), or</w:t>
            </w:r>
          </w:p>
          <w:p w:rsidR="001F39F2" w:rsidRPr="00F0239C" w:rsidRDefault="001F39F2" w:rsidP="007D45DE">
            <w:pPr>
              <w:pStyle w:val="TableBullet"/>
              <w:jc w:val="both"/>
            </w:pPr>
            <w:r w:rsidRPr="00F0239C">
              <w:t>was an employer, employee or self</w:t>
            </w:r>
            <w:r w:rsidRPr="00F0239C">
              <w:noBreakHyphen/>
              <w:t>employed person or unpaid family helper who had a job, business or farm, but was not at work.</w:t>
            </w:r>
          </w:p>
          <w:p w:rsidR="001F39F2" w:rsidRPr="00F0239C" w:rsidRDefault="001F39F2" w:rsidP="007D45DE">
            <w:pPr>
              <w:pStyle w:val="TableBodyText"/>
              <w:spacing w:before="60" w:after="60"/>
              <w:ind w:left="0"/>
              <w:jc w:val="both"/>
            </w:pPr>
            <w:r w:rsidRPr="00F0239C">
              <w:t>An unemployed person is a person aged 15–64 years who was not employed during the remuneration period, but was looking for work.</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Labour force participation rate for the total population</w:t>
            </w:r>
          </w:p>
        </w:tc>
        <w:tc>
          <w:tcPr>
            <w:tcW w:w="6521" w:type="dxa"/>
          </w:tcPr>
          <w:p w:rsidR="001F39F2" w:rsidRPr="00F0239C" w:rsidRDefault="001F39F2" w:rsidP="007D45DE">
            <w:pPr>
              <w:pStyle w:val="TableBodyText"/>
              <w:spacing w:before="60" w:after="60"/>
              <w:ind w:left="0"/>
              <w:jc w:val="both"/>
            </w:pPr>
            <w:r w:rsidRPr="00F0239C">
              <w:t>Total number of people aged 15–64 years in the labour force (where the labour force includes both employed and unemployed people) divided by the total number of people aged 15–64 years, multiplied by 100.</w:t>
            </w:r>
          </w:p>
        </w:tc>
      </w:tr>
      <w:tr w:rsidR="00D12AE0"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 xml:space="preserve">Mild core activity limitation </w:t>
            </w:r>
          </w:p>
        </w:tc>
        <w:tc>
          <w:tcPr>
            <w:tcW w:w="6521" w:type="dxa"/>
          </w:tcPr>
          <w:p w:rsidR="00D12AE0" w:rsidRPr="00F0239C" w:rsidRDefault="00D12AE0" w:rsidP="007D45DE">
            <w:pPr>
              <w:pStyle w:val="TableBodyText"/>
              <w:spacing w:before="60" w:after="60"/>
              <w:jc w:val="both"/>
            </w:pPr>
            <w:r w:rsidRPr="00F0239C">
              <w:t>The person needs no help and has no difficulty with any of the core activity tasks, but:</w:t>
            </w:r>
          </w:p>
          <w:p w:rsidR="00D12AE0" w:rsidRPr="00F0239C" w:rsidRDefault="00D12AE0" w:rsidP="007D45DE">
            <w:pPr>
              <w:pStyle w:val="TableBullet"/>
              <w:jc w:val="both"/>
            </w:pPr>
            <w:r w:rsidRPr="00F0239C">
              <w:t>uses aids or equipment, or has one or more of the following limitations</w:t>
            </w:r>
          </w:p>
          <w:p w:rsidR="00D12AE0" w:rsidRPr="00F0239C" w:rsidRDefault="00D12AE0" w:rsidP="007D45DE">
            <w:pPr>
              <w:pStyle w:val="TableBullet"/>
              <w:jc w:val="both"/>
            </w:pPr>
            <w:r w:rsidRPr="00F0239C">
              <w:t>cannot easily walk 200 metres</w:t>
            </w:r>
          </w:p>
          <w:p w:rsidR="00D12AE0" w:rsidRPr="00F0239C" w:rsidRDefault="00D12AE0" w:rsidP="007D45DE">
            <w:pPr>
              <w:pStyle w:val="TableBullet"/>
              <w:jc w:val="both"/>
            </w:pPr>
            <w:r w:rsidRPr="00F0239C">
              <w:t>cannot walk up and down stairs without a handrail</w:t>
            </w:r>
          </w:p>
          <w:p w:rsidR="00D12AE0" w:rsidRPr="00F0239C" w:rsidRDefault="00D12AE0" w:rsidP="007D45DE">
            <w:pPr>
              <w:pStyle w:val="TableBullet"/>
              <w:jc w:val="both"/>
            </w:pPr>
            <w:r w:rsidRPr="00F0239C">
              <w:t>cannot easily bend to pick up an object from the floor</w:t>
            </w:r>
          </w:p>
          <w:p w:rsidR="00D12AE0" w:rsidRPr="00F0239C" w:rsidRDefault="00D12AE0" w:rsidP="007D45DE">
            <w:pPr>
              <w:pStyle w:val="TableBullet"/>
              <w:jc w:val="both"/>
            </w:pPr>
            <w:r w:rsidRPr="00F0239C">
              <w:t>cannot use public transport</w:t>
            </w:r>
          </w:p>
          <w:p w:rsidR="00D12AE0" w:rsidRPr="00F0239C" w:rsidRDefault="00D12AE0" w:rsidP="007D45DE">
            <w:pPr>
              <w:pStyle w:val="TableBullet"/>
              <w:jc w:val="both"/>
            </w:pPr>
            <w:r w:rsidRPr="00F0239C">
              <w:t>can use public transport, but needs help or supervision</w:t>
            </w:r>
          </w:p>
          <w:p w:rsidR="001F39F2" w:rsidRPr="00F0239C" w:rsidRDefault="00D12AE0" w:rsidP="007D45DE">
            <w:pPr>
              <w:pStyle w:val="TableBullet"/>
              <w:jc w:val="both"/>
            </w:pPr>
            <w:r w:rsidRPr="00F0239C">
              <w:t>needs no help or supervision, but has difficulty using public transport.</w:t>
            </w:r>
            <w:r w:rsidRPr="00F0239C" w:rsidDel="00D12AE0">
              <w:t xml:space="preserve"> </w:t>
            </w:r>
            <w:r w:rsidR="001F39F2" w:rsidRPr="00F0239C">
              <w:t xml:space="preserve">(as per the </w:t>
            </w:r>
            <w:r w:rsidRPr="00F0239C">
              <w:t xml:space="preserve">2012 </w:t>
            </w:r>
            <w:r w:rsidR="001F39F2" w:rsidRPr="00F0239C">
              <w:t>SDAC).</w:t>
            </w:r>
          </w:p>
        </w:tc>
      </w:tr>
      <w:tr w:rsidR="00D12AE0"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 xml:space="preserve">Moderate core activity limitation </w:t>
            </w:r>
          </w:p>
        </w:tc>
        <w:tc>
          <w:tcPr>
            <w:tcW w:w="6521" w:type="dxa"/>
          </w:tcPr>
          <w:p w:rsidR="001F39F2" w:rsidRPr="00F0239C" w:rsidRDefault="00D12AE0" w:rsidP="007D45DE">
            <w:pPr>
              <w:pStyle w:val="TableBodyText"/>
              <w:spacing w:before="60" w:after="60"/>
              <w:ind w:left="0"/>
              <w:jc w:val="both"/>
            </w:pPr>
            <w:r w:rsidRPr="00F0239C">
              <w:t>The person needs no help, but has difficulty with a core activity task</w:t>
            </w:r>
            <w:r w:rsidR="002466CC" w:rsidRPr="00F0239C">
              <w:t xml:space="preserve"> </w:t>
            </w:r>
            <w:r w:rsidR="001F39F2" w:rsidRPr="00F0239C">
              <w:t xml:space="preserve">(as per the </w:t>
            </w:r>
            <w:r w:rsidRPr="00F0239C">
              <w:t xml:space="preserve">2012 </w:t>
            </w:r>
            <w:r w:rsidR="001F39F2" w:rsidRPr="00F0239C">
              <w:t>SDAC).</w:t>
            </w:r>
          </w:p>
        </w:tc>
      </w:tr>
      <w:tr w:rsidR="008F5F24" w:rsidRPr="00F0239C" w:rsidTr="00EC471A">
        <w:tc>
          <w:tcPr>
            <w:tcW w:w="2268" w:type="dxa"/>
          </w:tcPr>
          <w:p w:rsidR="001F39F2" w:rsidRPr="00F0239C" w:rsidRDefault="001F39F2" w:rsidP="00585E2C">
            <w:pPr>
              <w:pStyle w:val="TableBodyText"/>
              <w:numPr>
                <w:ilvl w:val="1"/>
                <w:numId w:val="13"/>
              </w:numPr>
              <w:spacing w:before="60" w:after="60"/>
              <w:ind w:left="0"/>
              <w:jc w:val="left"/>
              <w:rPr>
                <w:b/>
              </w:rPr>
            </w:pPr>
            <w:r w:rsidRPr="00F0239C">
              <w:rPr>
                <w:b/>
              </w:rPr>
              <w:t>Non</w:t>
            </w:r>
            <w:r w:rsidRPr="00F0239C">
              <w:rPr>
                <w:b/>
              </w:rPr>
              <w:noBreakHyphen/>
              <w:t xml:space="preserve">English speaking country of birth </w:t>
            </w:r>
          </w:p>
        </w:tc>
        <w:tc>
          <w:tcPr>
            <w:tcW w:w="6521" w:type="dxa"/>
          </w:tcPr>
          <w:p w:rsidR="001F39F2" w:rsidRPr="00F0239C" w:rsidRDefault="001F39F2" w:rsidP="007D45DE">
            <w:pPr>
              <w:pStyle w:val="TableBodyText"/>
              <w:spacing w:before="60" w:after="60"/>
              <w:ind w:left="0"/>
              <w:jc w:val="both"/>
            </w:pPr>
            <w:r w:rsidRPr="00F0239C">
              <w:t>People with a country of birth other than Australia and classified in English proficiency groups 2, 3 or 4 (DIMA 1999, 2003). For 2003</w:t>
            </w:r>
            <w:r w:rsidR="00B84AF2" w:rsidRPr="00F0239C">
              <w:noBreakHyphen/>
            </w:r>
            <w:r w:rsidRPr="00F0239C">
              <w:t>04 and 2004</w:t>
            </w:r>
            <w:r w:rsidR="00B84AF2" w:rsidRPr="00F0239C">
              <w:noBreakHyphen/>
            </w:r>
            <w:r w:rsidRPr="00F0239C">
              <w:t>05 data these countries include countries other than New Zealand, Canada, the United Kingdom, South Africa, Ireland and the United States. For 2005</w:t>
            </w:r>
            <w:r w:rsidR="00B84AF2" w:rsidRPr="00F0239C">
              <w:noBreakHyphen/>
            </w:r>
            <w:r w:rsidRPr="00F0239C">
              <w:t>06 onwards, data include Zimbabwe as an English</w:t>
            </w:r>
            <w:r w:rsidR="00B84AF2" w:rsidRPr="00F0239C">
              <w:noBreakHyphen/>
            </w:r>
            <w:r w:rsidRPr="00F0239C">
              <w:t>speaking country.</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Payroll tax</w:t>
            </w:r>
          </w:p>
        </w:tc>
        <w:tc>
          <w:tcPr>
            <w:tcW w:w="6521" w:type="dxa"/>
          </w:tcPr>
          <w:p w:rsidR="001F39F2" w:rsidRPr="00F0239C" w:rsidRDefault="001F39F2" w:rsidP="007D45DE">
            <w:pPr>
              <w:pStyle w:val="TableBodyText"/>
              <w:spacing w:before="60" w:after="60"/>
              <w:ind w:left="0"/>
              <w:jc w:val="both"/>
            </w:pPr>
            <w:r w:rsidRPr="00F0239C">
              <w:t>A tax levied on employers based on the value of wages and certain supplements paid or payable to, or on behalf of, their employees (SCRCSSP</w:t>
            </w:r>
            <w:r w:rsidR="005F06FB" w:rsidRPr="00F0239C">
              <w:t> </w:t>
            </w:r>
            <w:r w:rsidRPr="00F0239C">
              <w:t>1999). Payroll tax arrangements for government funded and delivered services differ across jurisdictions. Differences in the treatment of payroll tax can affect the comparability of unit costs across jurisdictions and services. These differences include payroll tax exemptions, marginal tax rates, tax</w:t>
            </w:r>
            <w:r w:rsidR="00B84AF2" w:rsidRPr="00F0239C">
              <w:noBreakHyphen/>
            </w:r>
            <w:r w:rsidRPr="00F0239C">
              <w:t xml:space="preserve">free thresholds and clawback arrangements (see SCRCSSP 1999). </w:t>
            </w:r>
          </w:p>
          <w:p w:rsidR="001F39F2" w:rsidRPr="00F0239C" w:rsidRDefault="001F39F2" w:rsidP="007D45DE">
            <w:pPr>
              <w:pStyle w:val="TableBodyText"/>
              <w:spacing w:before="60" w:after="60"/>
              <w:ind w:left="0"/>
              <w:jc w:val="both"/>
            </w:pPr>
            <w:r w:rsidRPr="00F0239C">
              <w:t>There are two forms of payroll tax reported:</w:t>
            </w:r>
          </w:p>
          <w:p w:rsidR="001F39F2" w:rsidRPr="00F0239C" w:rsidRDefault="001F39F2" w:rsidP="007D45DE">
            <w:pPr>
              <w:pStyle w:val="TableBullet"/>
              <w:jc w:val="both"/>
            </w:pPr>
            <w:r w:rsidRPr="00F0239C">
              <w:rPr>
                <w:i/>
              </w:rPr>
              <w:t>actual</w:t>
            </w:r>
            <w:r w:rsidRPr="00F0239C">
              <w:rPr>
                <w:i/>
                <w:sz w:val="24"/>
                <w:szCs w:val="24"/>
              </w:rPr>
              <w:t xml:space="preserve"> </w:t>
            </w:r>
            <w:r w:rsidRPr="00F0239C">
              <w:rPr>
                <w:rFonts w:cs="Arial"/>
                <w:sz w:val="24"/>
                <w:szCs w:val="24"/>
              </w:rPr>
              <w:t xml:space="preserve">— </w:t>
            </w:r>
            <w:r w:rsidRPr="00F0239C">
              <w:t>payroll tax actually paid by non</w:t>
            </w:r>
            <w:r w:rsidR="00B84AF2" w:rsidRPr="00F0239C">
              <w:noBreakHyphen/>
            </w:r>
            <w:r w:rsidRPr="00F0239C">
              <w:t>exempt services</w:t>
            </w:r>
          </w:p>
          <w:p w:rsidR="001F39F2" w:rsidRPr="00F0239C" w:rsidRDefault="001F39F2" w:rsidP="007D45DE">
            <w:pPr>
              <w:pStyle w:val="TableBullet"/>
              <w:jc w:val="both"/>
            </w:pPr>
            <w:r w:rsidRPr="00F0239C">
              <w:rPr>
                <w:i/>
              </w:rPr>
              <w:t>imputed</w:t>
            </w:r>
            <w:r w:rsidRPr="00F0239C">
              <w:t xml:space="preserve"> </w:t>
            </w:r>
            <w:r w:rsidRPr="00F0239C">
              <w:rPr>
                <w:rFonts w:cs="Arial"/>
                <w:sz w:val="24"/>
                <w:szCs w:val="24"/>
              </w:rPr>
              <w:t>—</w:t>
            </w:r>
            <w:r w:rsidRPr="00F0239C">
              <w:t xml:space="preserve"> a hypothetical payroll tax amount </w:t>
            </w:r>
            <w:r w:rsidRPr="00F0239C">
              <w:rPr>
                <w:snapToGrid w:val="0"/>
                <w:lang w:val="en-US"/>
              </w:rPr>
              <w:t>estimated</w:t>
            </w:r>
            <w:r w:rsidRPr="00F0239C">
              <w:t xml:space="preserve"> for exempt services. A jurisdiction’s estimate is based on the cost of salaries and salary related </w:t>
            </w:r>
            <w:r w:rsidRPr="00F0239C">
              <w:lastRenderedPageBreak/>
              <w:t>expenses, the payroll tax threshold and the tax rate.</w:t>
            </w:r>
          </w:p>
        </w:tc>
      </w:tr>
      <w:tr w:rsidR="008F5F24" w:rsidRPr="00F0239C" w:rsidTr="00EC471A">
        <w:tc>
          <w:tcPr>
            <w:tcW w:w="2268" w:type="dxa"/>
          </w:tcPr>
          <w:p w:rsidR="001F39F2" w:rsidRPr="00F0239C" w:rsidRDefault="00562E63" w:rsidP="00585E2C">
            <w:pPr>
              <w:pStyle w:val="TableBodyText"/>
              <w:spacing w:before="60" w:after="60"/>
              <w:ind w:left="0"/>
              <w:jc w:val="left"/>
              <w:rPr>
                <w:b/>
              </w:rPr>
            </w:pPr>
            <w:r w:rsidRPr="00F0239C">
              <w:rPr>
                <w:b/>
              </w:rPr>
              <w:lastRenderedPageBreak/>
              <w:t xml:space="preserve">Potential population </w:t>
            </w:r>
          </w:p>
        </w:tc>
        <w:tc>
          <w:tcPr>
            <w:tcW w:w="6521" w:type="dxa"/>
            <w:shd w:val="clear" w:color="auto" w:fill="auto"/>
          </w:tcPr>
          <w:p w:rsidR="00562E63" w:rsidRPr="00F0239C" w:rsidRDefault="00562E63" w:rsidP="007D45DE">
            <w:pPr>
              <w:pStyle w:val="TableBodyText"/>
              <w:spacing w:before="60" w:after="60"/>
              <w:ind w:left="0"/>
              <w:jc w:val="both"/>
            </w:pPr>
            <w:r w:rsidRPr="00F0239C">
              <w:t xml:space="preserve">Potential population estimates are used as the denominators for the performance measures reported under the indicator ‘access to NDA specialist disability services’. </w:t>
            </w:r>
          </w:p>
          <w:p w:rsidR="00562E63" w:rsidRPr="00F0239C" w:rsidRDefault="00562E63" w:rsidP="007D45DE">
            <w:pPr>
              <w:pStyle w:val="TableBodyText"/>
              <w:spacing w:before="60" w:after="60"/>
              <w:ind w:left="0"/>
              <w:jc w:val="both"/>
            </w:pPr>
            <w:r w:rsidRPr="00F0239C">
              <w:t xml:space="preserve">The ‘potential population’ is the number of people with the potential to require disability support services, including individuals who meet the service eligibility criteria but who do not demand the services. </w:t>
            </w:r>
          </w:p>
          <w:p w:rsidR="00562E63" w:rsidRPr="00F0239C" w:rsidRDefault="00562E63" w:rsidP="007D45DE">
            <w:pPr>
              <w:pStyle w:val="TableBodyText"/>
              <w:spacing w:before="60" w:after="60"/>
              <w:ind w:left="0"/>
              <w:jc w:val="both"/>
            </w:pPr>
            <w:r w:rsidRPr="00F0239C">
              <w:t>The potential population is the number of people aged 0</w:t>
            </w:r>
            <w:r w:rsidR="008B45F0" w:rsidRPr="00F0239C">
              <w:t>–</w:t>
            </w:r>
            <w:r w:rsidRPr="00F0239C">
              <w:t xml:space="preserve">64 </w:t>
            </w:r>
            <w:r w:rsidR="008B45F0" w:rsidRPr="00F0239C">
              <w:t xml:space="preserve">years </w:t>
            </w:r>
            <w:r w:rsidRPr="00F0239C">
              <w:t>who are most appropriately supported by disability services, require ongoing and/or long</w:t>
            </w:r>
            <w:r w:rsidR="00B84AF2" w:rsidRPr="00F0239C">
              <w:noBreakHyphen/>
            </w:r>
            <w:r w:rsidRPr="00F0239C">
              <w:t>term episodic support, have a permanent or chronic impairment and with a substantially reduced capacity in one or more core activities. For respite services, only those people with a primary carer were included. For supported employment services, only the potential population aged 15</w:t>
            </w:r>
            <w:r w:rsidR="008B45F0" w:rsidRPr="00F0239C">
              <w:t>–</w:t>
            </w:r>
            <w:r w:rsidRPr="00F0239C">
              <w:t xml:space="preserve">64 </w:t>
            </w:r>
            <w:r w:rsidR="008B45F0" w:rsidRPr="00F0239C">
              <w:t xml:space="preserve">years </w:t>
            </w:r>
            <w:r w:rsidRPr="00F0239C">
              <w:t xml:space="preserve">participating in the labour force are included. For open employment services, the potential population is not used; instead, an estimate of all </w:t>
            </w:r>
            <w:r w:rsidR="008B45F0" w:rsidRPr="00F0239C">
              <w:t xml:space="preserve">people </w:t>
            </w:r>
            <w:r w:rsidRPr="00F0239C">
              <w:t>with a disability and an employment restriction aged 15</w:t>
            </w:r>
            <w:r w:rsidR="008B45F0" w:rsidRPr="00F0239C">
              <w:t>–</w:t>
            </w:r>
            <w:r w:rsidRPr="00F0239C">
              <w:t>64 is used.</w:t>
            </w:r>
            <w:r w:rsidR="00690472" w:rsidRPr="00F0239C">
              <w:t xml:space="preserve"> Where combined employment services denominators or rates are presented, the supported employment potential population is used.</w:t>
            </w:r>
          </w:p>
          <w:p w:rsidR="00562E63" w:rsidRPr="00F0239C" w:rsidRDefault="00562E63" w:rsidP="007D45DE">
            <w:pPr>
              <w:pStyle w:val="TableBodyText"/>
              <w:spacing w:before="60" w:after="60"/>
              <w:ind w:left="0"/>
              <w:jc w:val="both"/>
            </w:pPr>
            <w:r w:rsidRPr="00F0239C">
              <w:t xml:space="preserve">The relatively high standard errors in the prevalence rates for smaller jurisdictions, as well as the need to adjust for the </w:t>
            </w:r>
            <w:r w:rsidR="00904E97" w:rsidRPr="00F0239C">
              <w:t>Aboriginal and Torres Strait Islander</w:t>
            </w:r>
            <w:r w:rsidRPr="00F0239C">
              <w:t xml:space="preserve"> population necessitated the preparation of special estimates of the ‘potential population’ for specialist disability services. </w:t>
            </w:r>
          </w:p>
          <w:p w:rsidR="00562E63" w:rsidRPr="00F0239C" w:rsidRDefault="00562E63" w:rsidP="007D45DE">
            <w:pPr>
              <w:pStyle w:val="TableBodyText"/>
              <w:spacing w:before="60" w:after="60"/>
              <w:ind w:left="0"/>
              <w:jc w:val="both"/>
            </w:pPr>
            <w:r w:rsidRPr="00F0239C">
              <w:t>Briefly, the potential population was estimated by applying the national age</w:t>
            </w:r>
            <w:r w:rsidR="00B84AF2" w:rsidRPr="00F0239C">
              <w:noBreakHyphen/>
            </w:r>
            <w:r w:rsidRPr="00F0239C">
              <w:t xml:space="preserve"> and sex</w:t>
            </w:r>
            <w:r w:rsidR="00B84AF2" w:rsidRPr="00F0239C">
              <w:noBreakHyphen/>
            </w:r>
            <w:r w:rsidRPr="00F0239C">
              <w:t xml:space="preserve">specific distribution of the potential population identified in the </w:t>
            </w:r>
            <w:r w:rsidR="005C51DD" w:rsidRPr="00F0239C">
              <w:t xml:space="preserve">2012 </w:t>
            </w:r>
            <w:r w:rsidRPr="00F0239C">
              <w:t xml:space="preserve">SDAC to the age and sex structure of each jurisdiction in the current year, to give an ‘expected current estimate’ of the potential population in that jurisdiction. These estimates were adjusted by the </w:t>
            </w:r>
            <w:r w:rsidR="00904E97" w:rsidRPr="00F0239C">
              <w:t>Aboriginal and Torres Strait Islander</w:t>
            </w:r>
            <w:r w:rsidRPr="00F0239C">
              <w:t xml:space="preserve"> factor to account for differences in the proportion of jurisdictions’ populations who are </w:t>
            </w:r>
            <w:r w:rsidR="00904E97" w:rsidRPr="00F0239C">
              <w:t>Aboriginal and Torres Strait Islander</w:t>
            </w:r>
            <w:r w:rsidRPr="00F0239C">
              <w:t xml:space="preserve">. </w:t>
            </w:r>
            <w:r w:rsidR="00904E97" w:rsidRPr="00F0239C">
              <w:t xml:space="preserve">Aboriginal and Torres Strait </w:t>
            </w:r>
            <w:r w:rsidR="00C21DBC" w:rsidRPr="00F0239C">
              <w:t>Islander people</w:t>
            </w:r>
            <w:r w:rsidRPr="00F0239C">
              <w:t xml:space="preserve"> have been given a weighting of 2.4 in these estimates, in recognition of their greater prevalence rates of disability and their relatively greater representation in NDA specialist disability services (AIHW 2006). </w:t>
            </w:r>
          </w:p>
          <w:p w:rsidR="0054638E" w:rsidRPr="00F0239C" w:rsidRDefault="00562E63" w:rsidP="007D45DE">
            <w:pPr>
              <w:pStyle w:val="TableBodyText"/>
              <w:numPr>
                <w:ilvl w:val="1"/>
                <w:numId w:val="13"/>
              </w:numPr>
              <w:spacing w:before="60" w:after="60"/>
              <w:ind w:left="0"/>
              <w:jc w:val="both"/>
            </w:pPr>
            <w:r w:rsidRPr="00F0239C">
              <w:t>The potential populations for 2004</w:t>
            </w:r>
            <w:r w:rsidR="00B84AF2" w:rsidRPr="00F0239C">
              <w:noBreakHyphen/>
            </w:r>
            <w:r w:rsidRPr="00F0239C">
              <w:t>05 to 2006</w:t>
            </w:r>
            <w:r w:rsidR="00B84AF2" w:rsidRPr="00F0239C">
              <w:noBreakHyphen/>
            </w:r>
            <w:r w:rsidRPr="00F0239C">
              <w:t>07 were calculated using national age</w:t>
            </w:r>
            <w:r w:rsidR="00B84AF2" w:rsidRPr="00F0239C">
              <w:noBreakHyphen/>
            </w:r>
            <w:r w:rsidRPr="00F0239C">
              <w:t xml:space="preserve"> and sex</w:t>
            </w:r>
            <w:r w:rsidR="00B84AF2" w:rsidRPr="00F0239C">
              <w:noBreakHyphen/>
            </w:r>
            <w:r w:rsidRPr="00F0239C">
              <w:t xml:space="preserve">specific rates of severe or profound core activity limitation from the ABS Survey of Disability, Ageing and Carers (SDAC) conducted in 2003. In 2011, the 2009 SDAC was released, </w:t>
            </w:r>
            <w:r w:rsidR="00A64C59" w:rsidRPr="00F0239C">
              <w:t xml:space="preserve">and </w:t>
            </w:r>
            <w:r w:rsidR="00470BF6" w:rsidRPr="00F0239C">
              <w:t xml:space="preserve">recalculation of the potential population has </w:t>
            </w:r>
            <w:r w:rsidRPr="00F0239C">
              <w:t>result</w:t>
            </w:r>
            <w:r w:rsidR="00470BF6" w:rsidRPr="00F0239C">
              <w:t>ed</w:t>
            </w:r>
            <w:r w:rsidRPr="00F0239C">
              <w:t xml:space="preserve"> in a break in series between the 2003 and 2009 surveys</w:t>
            </w:r>
            <w:r w:rsidR="00690472" w:rsidRPr="00F0239C">
              <w:t>.</w:t>
            </w:r>
            <w:r w:rsidR="004810BF" w:rsidRPr="00F0239C">
              <w:t xml:space="preserve"> In 2014, the 2012 SDAC was released, </w:t>
            </w:r>
            <w:r w:rsidR="00A64C59" w:rsidRPr="00F0239C">
              <w:t xml:space="preserve">and </w:t>
            </w:r>
            <w:r w:rsidR="004810BF" w:rsidRPr="00F0239C">
              <w:t>recalculation of the potential population has resulted in a break in series between the 2009 and 2012 surveys.</w:t>
            </w:r>
          </w:p>
          <w:p w:rsidR="0054638E" w:rsidRPr="00F0239C" w:rsidRDefault="0054638E" w:rsidP="007D45DE">
            <w:pPr>
              <w:pStyle w:val="TableBodyText"/>
              <w:spacing w:before="60" w:after="60"/>
              <w:ind w:left="0"/>
              <w:jc w:val="both"/>
            </w:pPr>
            <w:r w:rsidRPr="00F0239C">
              <w:t xml:space="preserve">Data measuring the potential population is not available for </w:t>
            </w:r>
            <w:r w:rsidR="00690472" w:rsidRPr="00F0239C">
              <w:t>each reported year</w:t>
            </w:r>
            <w:r w:rsidRPr="00F0239C">
              <w:t xml:space="preserve"> and so has been estimated from several sources based on the following assumptions:</w:t>
            </w:r>
          </w:p>
          <w:p w:rsidR="0054638E" w:rsidRPr="00F0239C" w:rsidRDefault="0054638E" w:rsidP="007D45DE">
            <w:pPr>
              <w:pStyle w:val="TableBodyText"/>
              <w:spacing w:before="60" w:after="60"/>
              <w:ind w:left="0"/>
              <w:jc w:val="both"/>
            </w:pPr>
            <w:r w:rsidRPr="00F0239C">
              <w:t xml:space="preserve">(a) </w:t>
            </w:r>
            <w:r w:rsidR="00785DC4" w:rsidRPr="00F0239C">
              <w:t>for the purposes of calculation, it is assumed that age</w:t>
            </w:r>
            <w:r w:rsidR="00B84AF2" w:rsidRPr="00F0239C">
              <w:noBreakHyphen/>
            </w:r>
            <w:r w:rsidR="00785DC4" w:rsidRPr="00F0239C">
              <w:t>sex specific proportions of the potential population changed smoothly from 2009 to 2012.</w:t>
            </w:r>
          </w:p>
          <w:p w:rsidR="001F39F2" w:rsidRPr="00F0239C" w:rsidRDefault="0054638E" w:rsidP="007D45DE">
            <w:pPr>
              <w:pStyle w:val="TableBodyText"/>
              <w:spacing w:before="60" w:after="60"/>
              <w:ind w:left="0"/>
              <w:jc w:val="both"/>
              <w:rPr>
                <w:rStyle w:val="DraftingNote"/>
                <w:color w:val="auto"/>
              </w:rPr>
            </w:pPr>
            <w:r w:rsidRPr="00F0239C">
              <w:t>(b) the assumption that national age</w:t>
            </w:r>
            <w:r w:rsidR="00B84AF2" w:rsidRPr="00F0239C">
              <w:noBreakHyphen/>
            </w:r>
            <w:r w:rsidRPr="00F0239C">
              <w:t>sex specific proportions of the potential population from SDAC 2009</w:t>
            </w:r>
            <w:r w:rsidR="004810BF" w:rsidRPr="00F0239C">
              <w:t xml:space="preserve"> and SDAC 2012</w:t>
            </w:r>
            <w:r w:rsidRPr="00F0239C">
              <w:t xml:space="preserve"> apply consistently across states/territories is untested.</w:t>
            </w:r>
          </w:p>
        </w:tc>
      </w:tr>
      <w:tr w:rsidR="00790BFD"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Primary carer</w:t>
            </w:r>
          </w:p>
        </w:tc>
        <w:tc>
          <w:tcPr>
            <w:tcW w:w="6521" w:type="dxa"/>
          </w:tcPr>
          <w:p w:rsidR="001F39F2" w:rsidRPr="00F0239C" w:rsidRDefault="001F39F2" w:rsidP="007D45DE">
            <w:pPr>
              <w:pStyle w:val="TableBodyText"/>
              <w:spacing w:before="60" w:after="60"/>
              <w:jc w:val="both"/>
            </w:pPr>
            <w:r w:rsidRPr="00F0239C">
              <w:rPr>
                <w:i/>
              </w:rPr>
              <w:t>ABS SDAC primary carer</w:t>
            </w:r>
            <w:r w:rsidRPr="00F0239C">
              <w:t xml:space="preserve">: </w:t>
            </w:r>
            <w:r w:rsidR="00E77E03" w:rsidRPr="00F0239C">
              <w:t>A primary carer is a person who provides the most informal assistance, in terms of help or supervision, to a person with one or more disabilities, with one or more of the core activities of mobility, self</w:t>
            </w:r>
            <w:r w:rsidR="00B84AF2" w:rsidRPr="00F0239C">
              <w:noBreakHyphen/>
            </w:r>
            <w:r w:rsidR="00E77E03" w:rsidRPr="00F0239C">
              <w:t xml:space="preserve">care or communication. In this survey, primary carers only include </w:t>
            </w:r>
            <w:r w:rsidR="00ED3937" w:rsidRPr="00F0239C">
              <w:t>people</w:t>
            </w:r>
            <w:r w:rsidR="00E77E03" w:rsidRPr="00F0239C">
              <w:t xml:space="preserve"> aged 15 years and over. </w:t>
            </w:r>
            <w:r w:rsidR="00ED3937" w:rsidRPr="00F0239C">
              <w:t>People</w:t>
            </w:r>
            <w:r w:rsidR="00E77E03" w:rsidRPr="00F0239C">
              <w:t xml:space="preserve"> aged 15 to 17 years were only interviewed personally if parental permission was granted</w:t>
            </w:r>
            <w:r w:rsidR="00E77E03" w:rsidRPr="00F0239C" w:rsidDel="00E77E03">
              <w:t xml:space="preserve"> </w:t>
            </w:r>
            <w:r w:rsidRPr="00F0239C">
              <w:t xml:space="preserve">(ABS </w:t>
            </w:r>
            <w:r w:rsidR="00E77E03" w:rsidRPr="00F0239C">
              <w:t>http://www.abs.gov.au/AUSSTATS/abs@.nsf/Latestproducts/4430.0Glossary602012?opendocument&amp;tabname=Notes&amp;prodno=4430.0&amp;issue=2012&amp;num=&amp;view=</w:t>
            </w:r>
            <w:r w:rsidRPr="00F0239C">
              <w:t xml:space="preserve">). </w:t>
            </w:r>
          </w:p>
          <w:p w:rsidR="00E37D4C" w:rsidRPr="00F0239C" w:rsidRDefault="001F39F2" w:rsidP="007D45DE">
            <w:pPr>
              <w:pStyle w:val="TableBodyText"/>
              <w:spacing w:before="60" w:after="60"/>
              <w:ind w:left="0"/>
              <w:jc w:val="both"/>
            </w:pPr>
            <w:r w:rsidRPr="00F0239C">
              <w:rPr>
                <w:i/>
              </w:rPr>
              <w:t>DS NMDS primary carer</w:t>
            </w:r>
            <w:r w:rsidRPr="00F0239C">
              <w:t xml:space="preserve">: an informal carer who assists the person requiring support, in one or more of the following ADL: </w:t>
            </w:r>
            <w:r w:rsidR="00785DC4" w:rsidRPr="00F0239C">
              <w:t>self</w:t>
            </w:r>
            <w:r w:rsidR="00B84AF2" w:rsidRPr="00F0239C">
              <w:noBreakHyphen/>
            </w:r>
            <w:r w:rsidR="00785DC4" w:rsidRPr="00F0239C">
              <w:t>care</w:t>
            </w:r>
            <w:r w:rsidRPr="00F0239C">
              <w:t>, mobility or communication.</w:t>
            </w:r>
          </w:p>
          <w:p w:rsidR="001F39F2" w:rsidRPr="00F0239C" w:rsidRDefault="001F39F2" w:rsidP="007D45DE">
            <w:pPr>
              <w:pStyle w:val="TableBodyText"/>
              <w:spacing w:before="60" w:after="60"/>
              <w:ind w:left="0"/>
              <w:jc w:val="both"/>
            </w:pPr>
            <w:r w:rsidRPr="00F0239C">
              <w:t xml:space="preserve">See also informal carer. </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lastRenderedPageBreak/>
              <w:t>Primary disability group</w:t>
            </w:r>
          </w:p>
        </w:tc>
        <w:tc>
          <w:tcPr>
            <w:tcW w:w="6521" w:type="dxa"/>
          </w:tcPr>
          <w:p w:rsidR="001F39F2" w:rsidRPr="00F0239C" w:rsidRDefault="001F39F2" w:rsidP="007D45DE">
            <w:pPr>
              <w:pStyle w:val="TableBodyText"/>
              <w:spacing w:before="60" w:after="60"/>
              <w:ind w:left="0"/>
              <w:jc w:val="both"/>
            </w:pPr>
            <w:r w:rsidRPr="00F0239C">
              <w:t>Disability group that most clearly expresses the experience of disability by a person. The primary disability group can also be considered as the disability group causing the most difficulty to the person (overall difficulty in daily life, not just within the context of the support offered by a particular service).</w:t>
            </w:r>
          </w:p>
        </w:tc>
      </w:tr>
      <w:tr w:rsidR="00D12AE0"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 xml:space="preserve">Profound core activity limitation </w:t>
            </w:r>
          </w:p>
        </w:tc>
        <w:tc>
          <w:tcPr>
            <w:tcW w:w="6521" w:type="dxa"/>
          </w:tcPr>
          <w:p w:rsidR="001F39F2" w:rsidRPr="00F0239C" w:rsidRDefault="00D12AE0" w:rsidP="007D45DE">
            <w:pPr>
              <w:pStyle w:val="TableBodyText"/>
              <w:spacing w:before="60" w:after="60"/>
              <w:ind w:left="0"/>
              <w:jc w:val="both"/>
            </w:pPr>
            <w:r w:rsidRPr="00F0239C">
              <w:t>The person is u</w:t>
            </w:r>
            <w:r w:rsidR="001F39F2" w:rsidRPr="00F0239C">
              <w:t>nable to</w:t>
            </w:r>
            <w:r w:rsidRPr="00F0239C">
              <w:t xml:space="preserve"> do</w:t>
            </w:r>
            <w:r w:rsidR="00785DC4" w:rsidRPr="00F0239C">
              <w:t xml:space="preserve"> </w:t>
            </w:r>
            <w:r w:rsidRPr="00F0239C">
              <w:t>or always needs help with, a core activity task.</w:t>
            </w:r>
            <w:r w:rsidRPr="00F0239C" w:rsidDel="00D12AE0">
              <w:t xml:space="preserve"> </w:t>
            </w:r>
            <w:r w:rsidR="001F39F2" w:rsidRPr="00F0239C">
              <w:t xml:space="preserve">(as per the </w:t>
            </w:r>
            <w:r w:rsidRPr="00F0239C">
              <w:t xml:space="preserve">2012 </w:t>
            </w:r>
            <w:r w:rsidR="001F39F2" w:rsidRPr="00F0239C">
              <w:t>SDAC).</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Real expenditure</w:t>
            </w:r>
          </w:p>
        </w:tc>
        <w:tc>
          <w:tcPr>
            <w:tcW w:w="6521" w:type="dxa"/>
          </w:tcPr>
          <w:p w:rsidR="001F39F2" w:rsidRPr="00F0239C" w:rsidRDefault="001F39F2" w:rsidP="007D45DE">
            <w:pPr>
              <w:pStyle w:val="TableBodyText"/>
              <w:spacing w:before="60" w:after="60"/>
              <w:ind w:left="0"/>
              <w:jc w:val="both"/>
            </w:pPr>
            <w:r w:rsidRPr="00F0239C">
              <w:t>Actual expenditure (accrual) adjusted for changes in prices, using the Gross Domestic P(E) price deflator, and expressed in terms of current year dollars.</w:t>
            </w:r>
          </w:p>
        </w:tc>
      </w:tr>
      <w:tr w:rsidR="00060ADF"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Schooling or employment restriction</w:t>
            </w:r>
          </w:p>
        </w:tc>
        <w:tc>
          <w:tcPr>
            <w:tcW w:w="6521" w:type="dxa"/>
          </w:tcPr>
          <w:p w:rsidR="001F39F2" w:rsidRPr="00F0239C" w:rsidRDefault="001F39F2" w:rsidP="007D45DE">
            <w:pPr>
              <w:pStyle w:val="TableBodyText"/>
              <w:spacing w:before="60" w:after="60"/>
              <w:ind w:left="0"/>
              <w:jc w:val="both"/>
            </w:pPr>
            <w:r w:rsidRPr="00F0239C">
              <w:rPr>
                <w:i/>
              </w:rPr>
              <w:t>Schooling restriction</w:t>
            </w:r>
            <w:r w:rsidRPr="00F0239C">
              <w:t>: as a result of disability, being unable to attend school; having to attend a special school; having to attend special classes at an ordinary school; needing at least one day a week off school on average; and/or having difficulty at school.</w:t>
            </w:r>
          </w:p>
          <w:p w:rsidR="001F39F2" w:rsidRPr="00F0239C" w:rsidRDefault="001F39F2" w:rsidP="007D45DE">
            <w:pPr>
              <w:pStyle w:val="TableBodyText"/>
              <w:spacing w:before="60" w:after="60"/>
              <w:ind w:left="0"/>
              <w:jc w:val="both"/>
            </w:pPr>
            <w:r w:rsidRPr="00F0239C">
              <w:rPr>
                <w:i/>
              </w:rPr>
              <w:t>Employment restriction</w:t>
            </w:r>
            <w:r w:rsidRPr="00F0239C">
              <w:t>: as a result of disability, being permanently unable to work; being restricted in the type of work they can do; needing at least one day a week off work on average; being restricted in the number of hours they can work; requiring an employer to provide special equipment, modify the work environment or make special arrangements; needing to be given ongoing assistance or supervision; and/or finding it difficult to change jobs or to get a preferred job.</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Service</w:t>
            </w:r>
          </w:p>
        </w:tc>
        <w:tc>
          <w:tcPr>
            <w:tcW w:w="6521" w:type="dxa"/>
          </w:tcPr>
          <w:p w:rsidR="001F39F2" w:rsidRPr="00F0239C" w:rsidRDefault="001F39F2" w:rsidP="007D45DE">
            <w:pPr>
              <w:pStyle w:val="TableBodyText"/>
              <w:tabs>
                <w:tab w:val="left" w:pos="1745"/>
              </w:tabs>
              <w:spacing w:before="60" w:after="60"/>
              <w:ind w:left="0"/>
              <w:jc w:val="both"/>
            </w:pPr>
            <w:r w:rsidRPr="00F0239C">
              <w:t>A service is a support activity provided to a service user, in accord with the NDA. Services within the scope of the collection are those for which funding has been provided during the specified period by a government organisation operating under the NDA.</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Service type</w:t>
            </w:r>
          </w:p>
        </w:tc>
        <w:tc>
          <w:tcPr>
            <w:tcW w:w="6521" w:type="dxa"/>
          </w:tcPr>
          <w:p w:rsidR="001F39F2" w:rsidRPr="00F0239C" w:rsidRDefault="001F39F2" w:rsidP="007D45DE">
            <w:pPr>
              <w:pStyle w:val="TableBodyText"/>
              <w:spacing w:before="60" w:after="60"/>
              <w:ind w:left="0"/>
              <w:jc w:val="both"/>
            </w:pPr>
            <w:r w:rsidRPr="00F0239C">
              <w:t xml:space="preserve">The support activity that the service type outlet has been funded to provide under the NDA. The DS NMDS classifies services according to ‘service type’. The service type classification groups services into seven categories: accommodation support; community support; community access; respite; employment; advocacy, information and </w:t>
            </w:r>
            <w:r w:rsidR="00785DC4" w:rsidRPr="00F0239C">
              <w:t>alternative forms of communication</w:t>
            </w:r>
            <w:r w:rsidRPr="00F0239C">
              <w:t xml:space="preserve">; and other support services. Each of these categories has subcategories. </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Service type outlet</w:t>
            </w:r>
          </w:p>
        </w:tc>
        <w:tc>
          <w:tcPr>
            <w:tcW w:w="6521" w:type="dxa"/>
          </w:tcPr>
          <w:p w:rsidR="001F39F2" w:rsidRPr="00F0239C" w:rsidRDefault="001F39F2" w:rsidP="007D45DE">
            <w:pPr>
              <w:pStyle w:val="TableBodyText"/>
              <w:spacing w:before="60" w:after="60"/>
              <w:ind w:left="0"/>
              <w:jc w:val="both"/>
            </w:pPr>
            <w:r w:rsidRPr="00F0239C">
              <w:t>A service type outlet is the unit of the funded agency that delivers a particular NDA service type at or from a discrete location. If a funded agency provides, for example, both accommodation support and respite services, it is counted as two service type outlets. Similarly, if an agency is funded to provide more than one accommodation support service type (for example, group homes and attendant care), then it is providing (and is usually separately funded for) two different service types — that is, there are two service type outlets for the funded agency.</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Service user</w:t>
            </w:r>
          </w:p>
        </w:tc>
        <w:tc>
          <w:tcPr>
            <w:tcW w:w="6521" w:type="dxa"/>
          </w:tcPr>
          <w:p w:rsidR="001F39F2" w:rsidRPr="00F0239C" w:rsidRDefault="001F39F2" w:rsidP="007D45DE">
            <w:pPr>
              <w:pStyle w:val="TableBodyText"/>
              <w:spacing w:before="60" w:after="60"/>
              <w:ind w:left="0"/>
              <w:jc w:val="both"/>
            </w:pPr>
            <w:r w:rsidRPr="00F0239C">
              <w:t>A service user is a person with disability who receives a NDA specialist disability service. A service user may receive more than one service over a period of time or on a single day.</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Service users with different levels of need for assistance with ADL</w:t>
            </w:r>
          </w:p>
        </w:tc>
        <w:tc>
          <w:tcPr>
            <w:tcW w:w="6521" w:type="dxa"/>
          </w:tcPr>
          <w:p w:rsidR="001F39F2" w:rsidRPr="00F0239C" w:rsidRDefault="001F39F2" w:rsidP="007D45DE">
            <w:pPr>
              <w:pStyle w:val="TableBodyText"/>
              <w:spacing w:before="60" w:after="60"/>
              <w:ind w:left="0"/>
              <w:jc w:val="both"/>
            </w:pPr>
            <w:r w:rsidRPr="00F0239C">
              <w:t xml:space="preserve">Data on service users with different levels of need for assistance with ADL are derived using information on the level of support needed in one or more of the core support areas: </w:t>
            </w:r>
            <w:r w:rsidR="00785DC4" w:rsidRPr="00F0239C">
              <w:t>self</w:t>
            </w:r>
            <w:r w:rsidR="00B84AF2" w:rsidRPr="00F0239C">
              <w:noBreakHyphen/>
            </w:r>
            <w:r w:rsidR="00785DC4" w:rsidRPr="00F0239C">
              <w:t>care</w:t>
            </w:r>
            <w:r w:rsidRPr="00F0239C">
              <w:t xml:space="preserve">, mobility, and communication. Service users who need help with ADL reported always/sometimes needing help in one or more of these areas (people who need help with ADL are ‘conceptually comparable’ with people who have a profound or severe core activity limitation). Service users who did not need </w:t>
            </w:r>
            <w:r w:rsidR="001166B3" w:rsidRPr="00F0239C">
              <w:t xml:space="preserve">help </w:t>
            </w:r>
            <w:r w:rsidRPr="00F0239C">
              <w:t xml:space="preserve">with ADL reported needing no support in all the core activity support areas. </w:t>
            </w:r>
          </w:p>
        </w:tc>
      </w:tr>
      <w:tr w:rsidR="00D12AE0"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 xml:space="preserve">Severe core activity limitation </w:t>
            </w:r>
          </w:p>
        </w:tc>
        <w:tc>
          <w:tcPr>
            <w:tcW w:w="6521" w:type="dxa"/>
          </w:tcPr>
          <w:p w:rsidR="001F39F2" w:rsidRPr="00F0239C" w:rsidRDefault="00D12AE0" w:rsidP="007D45DE">
            <w:pPr>
              <w:pStyle w:val="TableBodyText"/>
              <w:spacing w:before="60" w:after="60"/>
              <w:jc w:val="both"/>
            </w:pPr>
            <w:r w:rsidRPr="00F0239C">
              <w:t>The person sometimes needs help with a core activity task, and/or has difficulty understanding or being understood by family or friends, or can communicate more easily using sign language or other non</w:t>
            </w:r>
            <w:r w:rsidR="00B84AF2" w:rsidRPr="00F0239C">
              <w:noBreakHyphen/>
            </w:r>
            <w:r w:rsidRPr="00F0239C">
              <w:t>spoken forms of communication.</w:t>
            </w:r>
            <w:r w:rsidRPr="00F0239C" w:rsidDel="00D12AE0">
              <w:t xml:space="preserve"> </w:t>
            </w:r>
            <w:r w:rsidR="001F39F2" w:rsidRPr="00F0239C">
              <w:t xml:space="preserve">(as per the SDAC </w:t>
            </w:r>
            <w:r w:rsidRPr="00F0239C">
              <w:t>2012</w:t>
            </w:r>
            <w:r w:rsidR="001F39F2" w:rsidRPr="00F0239C">
              <w:t>).</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Users of NDA accommodation support services</w:t>
            </w:r>
          </w:p>
        </w:tc>
        <w:tc>
          <w:tcPr>
            <w:tcW w:w="6521" w:type="dxa"/>
          </w:tcPr>
          <w:p w:rsidR="001F39F2" w:rsidRPr="00F0239C" w:rsidRDefault="001F39F2" w:rsidP="007D45DE">
            <w:pPr>
              <w:pStyle w:val="TableBodyText"/>
              <w:spacing w:before="60" w:after="60"/>
              <w:ind w:left="0"/>
              <w:jc w:val="both"/>
            </w:pPr>
            <w:r w:rsidRPr="00F0239C">
              <w:t>People using one or more accommodation support services that correspond to the following DS NMDS service types: 1.01 large residentials/institutions (more than 20 places); 1.02 small residentials/institutions (7–20 places); 1.03 hostels; 1.04 group homes (</w:t>
            </w:r>
            <w:r w:rsidR="00A70B15" w:rsidRPr="00F0239C">
              <w:t xml:space="preserve">usually </w:t>
            </w:r>
            <w:r w:rsidRPr="00F0239C">
              <w:t>less than seven places); 1.05 attendant care/personal care; 1.06 in</w:t>
            </w:r>
            <w:r w:rsidRPr="00F0239C">
              <w:noBreakHyphen/>
              <w:t>home accommodation support; 1.07 alternative family placement; and 1.08 other accommodation support.</w:t>
            </w:r>
          </w:p>
        </w:tc>
      </w:tr>
    </w:tbl>
    <w:p w:rsidR="00E37D4C" w:rsidRPr="00B86C20" w:rsidRDefault="00E37D4C">
      <w:pPr>
        <w:rPr>
          <w:color w:val="808080" w:themeColor="background1" w:themeShade="80"/>
        </w:rPr>
      </w:pPr>
    </w:p>
    <w:tbl>
      <w:tblPr>
        <w:tblW w:w="0" w:type="auto"/>
        <w:tblLayout w:type="fixed"/>
        <w:tblCellMar>
          <w:left w:w="0" w:type="dxa"/>
          <w:right w:w="0" w:type="dxa"/>
        </w:tblCellMar>
        <w:tblLook w:val="0000" w:firstRow="0" w:lastRow="0" w:firstColumn="0" w:lastColumn="0" w:noHBand="0" w:noVBand="0"/>
      </w:tblPr>
      <w:tblGrid>
        <w:gridCol w:w="2268"/>
        <w:gridCol w:w="6521"/>
      </w:tblGrid>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lastRenderedPageBreak/>
              <w:t>Users of NDA community access services</w:t>
            </w:r>
          </w:p>
        </w:tc>
        <w:tc>
          <w:tcPr>
            <w:tcW w:w="6521" w:type="dxa"/>
          </w:tcPr>
          <w:p w:rsidR="001F39F2" w:rsidRPr="00F0239C" w:rsidRDefault="001F39F2" w:rsidP="00302BC1">
            <w:pPr>
              <w:pStyle w:val="TableBodyText"/>
              <w:spacing w:before="60" w:after="60"/>
              <w:ind w:left="0"/>
              <w:jc w:val="left"/>
            </w:pPr>
            <w:r w:rsidRPr="00F0239C">
              <w:t>People using one or more services that correspond to the following DS NMDS service types: 3.01 learning and life skills development; 3.02 recreation/holiday programs; and 3.03 other community access. See AIHW (</w:t>
            </w:r>
            <w:r w:rsidR="00302BC1" w:rsidRPr="00F0239C">
              <w:t>2014a</w:t>
            </w:r>
            <w:r w:rsidRPr="00F0239C">
              <w:t>) for more information on service types 3.01–3.03.</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Users of NDA community support services</w:t>
            </w:r>
          </w:p>
        </w:tc>
        <w:tc>
          <w:tcPr>
            <w:tcW w:w="6521" w:type="dxa"/>
          </w:tcPr>
          <w:p w:rsidR="001F39F2" w:rsidRPr="00F0239C" w:rsidRDefault="001F39F2" w:rsidP="00302BC1">
            <w:pPr>
              <w:pStyle w:val="TableBodyText"/>
              <w:spacing w:before="60" w:after="60"/>
              <w:ind w:left="0"/>
              <w:jc w:val="left"/>
            </w:pPr>
            <w:r w:rsidRPr="00F0239C">
              <w:t>People using one or more services that correspond to the following DS NMDS service types: 2.01 therapy support for individuals; 2.02 early childhood intervention; 2.03 behaviour/specialist intervention; 2.04 counselling; 2.05 regional resource and support teams; 2.06 case management, local coordination and development; and 2.07 other community support. See AIHW (</w:t>
            </w:r>
            <w:r w:rsidR="00302BC1" w:rsidRPr="00F0239C">
              <w:t>2014a</w:t>
            </w:r>
            <w:r w:rsidRPr="00F0239C">
              <w:t>) for more information on service types 2.01–2.07.</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Users of NDA employment services</w:t>
            </w:r>
          </w:p>
        </w:tc>
        <w:tc>
          <w:tcPr>
            <w:tcW w:w="6521" w:type="dxa"/>
          </w:tcPr>
          <w:p w:rsidR="001F39F2" w:rsidRPr="00F0239C" w:rsidRDefault="001F39F2" w:rsidP="00585E2C">
            <w:pPr>
              <w:pStyle w:val="TableBodyText"/>
              <w:spacing w:before="60" w:after="60"/>
              <w:ind w:left="0"/>
              <w:jc w:val="left"/>
            </w:pPr>
            <w:r w:rsidRPr="00F0239C">
              <w:t>People using one or more services that correspond to the following DS NMDS service types: 5.01 open employment and 5.02 supported employment. (For data prior to 2005</w:t>
            </w:r>
            <w:r w:rsidR="00B84AF2" w:rsidRPr="00F0239C">
              <w:noBreakHyphen/>
            </w:r>
            <w:r w:rsidRPr="00F0239C">
              <w:t>06, people using service type 5.03 [combined open and supported] are also included.)</w:t>
            </w:r>
          </w:p>
        </w:tc>
      </w:tr>
      <w:tr w:rsidR="008F5F24" w:rsidRPr="00F0239C" w:rsidTr="00EC471A">
        <w:tc>
          <w:tcPr>
            <w:tcW w:w="2268" w:type="dxa"/>
          </w:tcPr>
          <w:p w:rsidR="001F39F2" w:rsidRPr="00F0239C" w:rsidRDefault="001F39F2" w:rsidP="00585E2C">
            <w:pPr>
              <w:pStyle w:val="TableBodyText"/>
              <w:spacing w:before="60" w:after="60"/>
              <w:ind w:left="0"/>
              <w:jc w:val="left"/>
              <w:rPr>
                <w:b/>
              </w:rPr>
            </w:pPr>
            <w:r w:rsidRPr="00F0239C">
              <w:rPr>
                <w:b/>
              </w:rPr>
              <w:t>Users of NDA respite services</w:t>
            </w:r>
          </w:p>
        </w:tc>
        <w:tc>
          <w:tcPr>
            <w:tcW w:w="6521" w:type="dxa"/>
          </w:tcPr>
          <w:p w:rsidR="001F39F2" w:rsidRPr="00F0239C" w:rsidRDefault="001F39F2" w:rsidP="00A70B15">
            <w:pPr>
              <w:pStyle w:val="TableBodyText"/>
              <w:spacing w:before="60" w:after="60"/>
              <w:ind w:left="0"/>
              <w:jc w:val="left"/>
            </w:pPr>
            <w:r w:rsidRPr="00F0239C">
              <w:t>People using one or more services that correspond to the following DS NMDS service types: 4.01 own home respite; 4.02 centre</w:t>
            </w:r>
            <w:r w:rsidRPr="00F0239C">
              <w:noBreakHyphen/>
              <w:t>based respite/respite homes; 4.03 host family respite/peer support respite; 4.04 flexible/combination respite; and 4.05 other respite. See AIHW (</w:t>
            </w:r>
            <w:r w:rsidR="00302BC1" w:rsidRPr="00F0239C">
              <w:t>2014a</w:t>
            </w:r>
            <w:r w:rsidRPr="00F0239C">
              <w:t>) for more information on service types 4.01–4.05.</w:t>
            </w:r>
          </w:p>
        </w:tc>
      </w:tr>
    </w:tbl>
    <w:p w:rsidR="001F39F2" w:rsidRPr="00F0239C" w:rsidRDefault="00321568" w:rsidP="006C5F8E">
      <w:pPr>
        <w:pStyle w:val="Heading2"/>
      </w:pPr>
      <w:bookmarkStart w:id="64" w:name="_Toc248563909"/>
      <w:bookmarkStart w:id="65" w:name="_Toc397527180"/>
      <w:bookmarkStart w:id="66" w:name="_Toc432512542"/>
      <w:r w:rsidRPr="00F0239C">
        <w:t>14.</w:t>
      </w:r>
      <w:r w:rsidR="004B691F">
        <w:rPr>
          <w:noProof/>
        </w:rPr>
        <w:t>7</w:t>
      </w:r>
      <w:r w:rsidR="001F39F2" w:rsidRPr="00F0239C">
        <w:tab/>
        <w:t>List of attachment tables</w:t>
      </w:r>
      <w:bookmarkEnd w:id="64"/>
      <w:bookmarkEnd w:id="65"/>
      <w:bookmarkEnd w:id="66"/>
    </w:p>
    <w:p w:rsidR="00EA47EA" w:rsidRPr="00EA47EA" w:rsidRDefault="001F39F2" w:rsidP="00EA47EA">
      <w:pPr>
        <w:pStyle w:val="BodyText"/>
        <w:rPr>
          <w:rStyle w:val="DraftingNote"/>
          <w:b w:val="0"/>
          <w:color w:val="auto"/>
          <w:u w:val="none"/>
        </w:rPr>
      </w:pPr>
      <w:r w:rsidRPr="00F0239C">
        <w:t>Attachment tables are identified in references throughout this chapter by a ‘14A’ prefix (for example, table</w:t>
      </w:r>
      <w:r w:rsidR="00AE3578" w:rsidRPr="00F0239C">
        <w:t> </w:t>
      </w:r>
      <w:r w:rsidRPr="00F0239C">
        <w:t>14</w:t>
      </w:r>
      <w:r w:rsidR="00B47FAC" w:rsidRPr="00F0239C">
        <w:t>A</w:t>
      </w:r>
      <w:r w:rsidRPr="00F0239C">
        <w:t xml:space="preserve">.1). Attachment tables are available on the Review website </w:t>
      </w:r>
      <w:r w:rsidRPr="00EA47EA">
        <w:t>(</w:t>
      </w:r>
      <w:r w:rsidR="00EA47EA" w:rsidRPr="00EA47EA">
        <w:t>www.pc.gov.au/rogs/2016).</w:t>
      </w:r>
      <w:r w:rsidR="00EA47EA">
        <w:br/>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7280"/>
      </w:tblGrid>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Recipients of Disability Support Pension, Mobility Allowance, Carer Payment, Carer Allowance, Sickness Allowance, Child Disability Assistance Payment and Carer Supplement (</w:t>
            </w:r>
            <w:r w:rsidR="005547FD">
              <w:t>‘</w:t>
            </w:r>
            <w:r w:rsidRPr="00A24FC6">
              <w:t xml:space="preserve">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services, existence of an informal/primary carer, b</w:t>
            </w:r>
            <w:r w:rsidR="00C20C63">
              <w:t>y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services, existence of an informal/primary carer, by State</w:t>
            </w:r>
            <w:r w:rsidR="00C20C63">
              <w:t xml:space="preserve"> and Territory, by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services with a primary carer, age of primary carers, by remoteness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services with a primary carer, age of primary carers, by State and Territory, by remoteness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Government expenditure, by type ($</w:t>
            </w:r>
            <w:r w:rsidR="005547FD">
              <w:t>’</w:t>
            </w:r>
            <w:r w:rsidRPr="00A24FC6">
              <w:t xml:space="preserve">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Total real government expenditure, by source of funding (2014</w:t>
            </w:r>
            <w:r w:rsidR="005547FD">
              <w:noBreakHyphen/>
            </w:r>
            <w:r w:rsidRPr="00A24FC6">
              <w:t>15 dollars) ($</w:t>
            </w:r>
            <w:r w:rsidR="005547FD">
              <w:t>’</w:t>
            </w:r>
            <w:r w:rsidRPr="00A24FC6">
              <w:t>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Government expenditure, by source of funding (per cent)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Real government direct service delivery and total expenditure adjusted for payroll tax (2014</w:t>
            </w:r>
            <w:r w:rsidR="005547FD">
              <w:noBreakHyphen/>
            </w:r>
            <w:r w:rsidRPr="00A24FC6">
              <w:t>15 dollars) ($</w:t>
            </w:r>
            <w:r w:rsidR="005547FD">
              <w:t>’</w:t>
            </w:r>
            <w:r w:rsidRPr="00A24FC6">
              <w:t xml:space="preserve">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Real government direct service delivery expenditure, by service type (2014</w:t>
            </w:r>
            <w:r w:rsidR="005547FD">
              <w:noBreakHyphen/>
            </w:r>
            <w:r w:rsidRPr="00A24FC6">
              <w:t xml:space="preserve">15 dollars)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Government expenditure, by service type (per cent)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aged 5–64 years with disability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aged 0–4 years with disability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Estimated number of people aged 0–64 years with a profound or severe core activity limitation who received help as a proportion of those who needed help (per cent)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government and non-government provided services, by service type</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services, by primary disability group</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services, by disability group as a proportion of total users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Proportion of the potential population accessing NDA disability support services, by sex, by age, 2013-14</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accommodation support services (aged 0-64 years), as a proportion of the potential population for accommodation support services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lastRenderedPageBreak/>
              <w:t>Table 14A.20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support services (aged 0-64 years), as a proportion of the potential population for community support services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access services (aged 0-64 years), as a proportion of the potential population for community access services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respite services (aged 0-64 years), as a proportion of the potential population for respite services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open employment services/Employment Support Services aged 15-64 years, by sex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Disability Management Services aged 15-64 years, by sex</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supported employment services/Australian Disability Enterprises aged 15-64 years, by sex</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services aged 0-64 years, by need for help in life area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accommodation support services aged 0-64 years, by need for help in life area</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community support services aged 0-64 years, by need for help in life area</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14A.29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community access services aged 0-64 years, by need for help in life area</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respite services aged 0-64 years, by need for help in life area</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employment services aged 15 and over, by need for help in life area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open employment services/Employment Support Services aged 15-64 years, by need for help in life area</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supported employment services/Australian Disability Enterprises aged 15-64 years, by need for help in life area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accommodation support services, by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community support services, by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access services, by remoteness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respite services, by remoteness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employment services, by remoteness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14A.39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Indigenous users of state/territory delivered NDA services aged 0-64 years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accommodation support services, by Indigenous status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community support services, by Indigenous status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community access services, by Indigenous status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respite services, by Indigenous status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employment services (aged 15–64 years), by Indigenous status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Indigenous users of NDA open employment services/Employment Support Services aged 15-64 years, by age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Indigenous users of NDA Disability Management Services aged 15-64 years, by age</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Indigenous users of NDA supported employment services/ Australian Disability Enterprises aged 15-64 years, by age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accommodation support services, by country of birth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14A.49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support services, by country of birth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access services, by country of birth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respite services, by country of birth</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employment services, by country of birth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open employment services/ Employment Support Services aged 15-64 years, by country of birth and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Disability Management Services aged 15-64 years, by country of birth</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Users of NDA supported employment services/ Australian Disability Enterprises aged 15-64 years, by country of birth and remoteness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Users of NDA community accommodation and care services as a proportion of all accommodation support service users (per cent)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Permanent aged care residents aged under 65 years, 30 June</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People admitted to permanent residential aged care aged under 65 years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14A.59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Younger people who separated from permanent residential aged care to return to home/family</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YPIRAC service users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lastRenderedPageBreak/>
              <w:t>Table 14A.61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Estimated number of YPIRAC service users who have achieved program objectives since entry to the program, 30 June 2011</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Estimated number of YPIRAC service users who have achieved program objectives since entry to the program, by state and territory, 30 June 2011</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Rate of younger people admitted to permanent residential aged care per 10 000 potential population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Younger people who separated from permanent residential aged care to return to home/family</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Younger people receiving permanent residential aged care</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NSW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Victorian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Queensland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14A.69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WA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SA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Tasmanian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ACT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NT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Australian Government quality assurance processes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Comparability of expenditure estimates for government provided specialist disability services, by items i</w:t>
            </w:r>
            <w:r w:rsidR="00CA3E84">
              <w:t>ncluded, 2013-14</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People with reported disability aged 15–64 years who are satisfied with the quality of assistance received from organised and formal services in the last six months, by State/Territory, 2012</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reported disability aged 15–64 years who are satisfied with the quality of assistance received from organised and formal services in the last six months, by remoteness, by State/Territory,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reported disability aged 15–64 years who are satisfied with the quality of assistance received from organised and formal services in the last six months, by age,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14A.79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People with reported disability aged 15–64 years who are satisfied with the quality of assistance received from organised and formal services in the last six months, by country of birth, 2012</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are satisfied with the quality of formal services received to help in their caring role, by carer sex, by State and Territory,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are satisfied with the quality of formal services received to help in their caring role, by carer remoteness area, by State and Territory,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are satisfied with the quality of formal services received to help in their caring role, by age group,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are satisfied with the quality of formal services received to help in their caring role, by carer country of birth, 2012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Real government expenditure per user of NDA accommodation support services (2013</w:t>
            </w:r>
            <w:r w:rsidR="005547FD">
              <w:noBreakHyphen/>
            </w:r>
            <w:r w:rsidRPr="00A24FC6">
              <w:t>14 dollars)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Australian Government funding per user of non-government provided employment services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Real Australian Government funding per user of non-government provided employment services (2013</w:t>
            </w:r>
            <w:r w:rsidR="005547FD">
              <w:noBreakHyphen/>
            </w:r>
            <w:r w:rsidRPr="00A24FC6">
              <w:t xml:space="preserve">14 dollars)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Total estimated expenditure per service user, State and Territory government administered programs, 2013-14</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Government administrative expenditure as a proportion of total recurrent expenditure on services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14A.89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people with disability aged 15–64 years, by disability status,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Employment to population rate for people with disability aged 15–64 years, by disability status,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and employment, 2010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lastRenderedPageBreak/>
              <w:t>Table 14A.92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Unemployment rate for people with disability aged 15–64 years, all with reported disability, by disability status,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Labour force participation rate for people with disability aged 15–64 years, all with reported disability, by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people with disability aged 15–64 years, all with reported disability, by country of birth,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people with disability aged 15–64 years, all with reported disability, by sex by age group,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Employment to population rate for people with disability aged 15–64 years, all with reported disability, by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Employment to population rate for people with disability aged 15–64 years, all with reported disability, by country of birth,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Employment to population rate for people with disability aged 15–64 years, all with reported disability, by sex,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14A.99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Employment to population rate for people with disability aged 15–64 years, all with reported disability, by age group,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Labour force participation rate for primary carers (carers of people with disability aged 0–64 years) aged 15–64 years, by carer sex, by State/Territory (000's)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primary carers (carers of people with disability) aged 15–64 years, by carer age group,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all carers and non-carers a</w:t>
            </w:r>
            <w:r w:rsidR="00C20C63">
              <w:t xml:space="preserve">ged 15–64 years, by carer sex, </w:t>
            </w:r>
            <w:r w:rsidRPr="00A24FC6">
              <w:t>by State/Territory</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Employment rate for primary carers (carers of people with disability aged 0–64 years) aged 15–64 years, by carer sex, by State/Territory</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Labour force participation rate for primary carers (carers of people with disability aged 0–64 years) aged 15–64 years, by carer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Employment rate for primary carers (carers of people with disability) aged 15–64 years, by carer remoteness area, by State/Territory</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Labour force participation rate for primary carers (carers of people with disability) aged 15–64 years, by carer country of birth,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do not experience negative impacts on their wellbeing due to caring role, by carer sex, by carer age group, by State/Territory, 2009 ('000's)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do not experience negative impacts on their wellbeing due to their caring role, by carer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14A.109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do not experience negative impacts on their wellbeing due to their caring role, by main recipient of carer age group,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Proportion of primary carers (carers of people with disability aged 0–64 years) who report a need for further assistance in their caring roles, by carer sex, by State/Territory ('000's)</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Proportion of primary carers (carers of people with disability aged 0–64 years) who report a need for further assistance in their caring roles, by carer remoteness area, by State/Territory ('000's)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Proportion of primary carers (carers of people with disability aged 0–64 years) who report a need for further assistance in their caring roles, by main recipient of care age group, by State/Territory, 2009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14A.113</w:t>
            </w:r>
          </w:p>
        </w:tc>
        <w:tc>
          <w:tcPr>
            <w:tcW w:w="7280" w:type="dxa"/>
            <w:tcBorders>
              <w:top w:val="nil"/>
              <w:left w:val="nil"/>
              <w:bottom w:val="nil"/>
              <w:right w:val="nil"/>
            </w:tcBorders>
            <w:shd w:val="clear" w:color="auto" w:fill="auto"/>
          </w:tcPr>
          <w:p w:rsidR="000D69D9" w:rsidRPr="00E56B48" w:rsidRDefault="000D69D9" w:rsidP="00C20C63">
            <w:pPr>
              <w:pStyle w:val="TableBodyText"/>
              <w:keepNext w:val="0"/>
              <w:jc w:val="left"/>
            </w:pPr>
            <w:r w:rsidRPr="00A24FC6">
              <w:t xml:space="preserve">Social activities participated in by people with a profound or </w:t>
            </w:r>
            <w:r w:rsidR="00C20C63">
              <w:t>severe core activity limitation</w:t>
            </w:r>
            <w:r w:rsidRPr="00A24FC6">
              <w:t xml:space="preserve"> (per cent)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have had face-to-face contact with ex-household family or friends in the previous week, by disability status,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have had face-to-face contact with ex-household family or friends in the previous week, all with reported disability, by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have had face-to-face contact with ex-household family or friends in the previous week, all with reported disability, by country of birth, by State/Territory ('000) </w:t>
            </w:r>
          </w:p>
        </w:tc>
      </w:tr>
    </w:tbl>
    <w:p w:rsidR="0075048D" w:rsidRDefault="0075048D">
      <w:r>
        <w:br w:type="page"/>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7280"/>
      </w:tblGrid>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lastRenderedPageBreak/>
              <w:t>Table 14A.117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have had face-to-face contact with ex-household family or friends in the previous week, all with reported disability, by sex,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travelled to a social activity in the last two weeks, by disability status,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14A.119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travelled to a social activity in the last two weeks, all with reported disability, by remoteness area, by State/Territory, 2012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travelled to a social activity in the last two weeks, all with reported disability, by country of birth, by State/Territory, 2012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14A.121</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15–64 years who travelled to a social activity in the last two weeks, all with reported disability, by sex, by State/Territory, 2012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14A.122</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People with disability aged 5–64 years who report the main reason for not leaving home as often as they would like is their disability or condition, all with reported disability, by country of birth,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14A.123</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5–64 years who report the main reason for not leaving home as often as they would like is their disability or condition, all with reported disability, by disability status,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14A.124</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5–64 years who report the main reason for not leaving home as often as they would like is their disability or condition, all with reported disability, by remoteness area,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14A.125</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People with disability aged 5–64 years who report the main reason for not leaving home as often as they would like is their disability or condition, all with reported disability, by sex by age group, by State/Territory ('000) </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14A.126</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People who have contact with friends and family in whom they can confide or on whom they can rely, by disability status, 2007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14A.127</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Social participation, by disability status, 2010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14A.128</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Social participation, by limitation or restriction status, 2006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14A.129</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Participation in voluntary work for an organisation or group, by disability status, 2010 (per cent)</w:t>
            </w:r>
          </w:p>
        </w:tc>
      </w:tr>
      <w:tr w:rsidR="000D69D9" w:rsidRPr="00F0239C" w:rsidTr="008918BD">
        <w:tc>
          <w:tcPr>
            <w:tcW w:w="1509" w:type="dxa"/>
            <w:tcBorders>
              <w:top w:val="nil"/>
              <w:left w:val="nil"/>
              <w:bottom w:val="nil"/>
              <w:right w:val="nil"/>
            </w:tcBorders>
            <w:shd w:val="clear" w:color="auto" w:fill="auto"/>
            <w:noWrap/>
          </w:tcPr>
          <w:p w:rsidR="000D69D9" w:rsidRPr="00E56B48" w:rsidRDefault="000D69D9" w:rsidP="008918BD">
            <w:pPr>
              <w:pStyle w:val="TableBodyText"/>
              <w:keepNext w:val="0"/>
              <w:jc w:val="left"/>
            </w:pPr>
            <w:r w:rsidRPr="00A24FC6">
              <w:t>Table 14A.130</w:t>
            </w:r>
          </w:p>
        </w:tc>
        <w:tc>
          <w:tcPr>
            <w:tcW w:w="7280" w:type="dxa"/>
            <w:tcBorders>
              <w:top w:val="nil"/>
              <w:left w:val="nil"/>
              <w:bottom w:val="nil"/>
              <w:right w:val="nil"/>
            </w:tcBorders>
            <w:shd w:val="clear" w:color="auto" w:fill="auto"/>
          </w:tcPr>
          <w:p w:rsidR="000D69D9" w:rsidRPr="00E56B48" w:rsidRDefault="000D69D9" w:rsidP="008918BD">
            <w:pPr>
              <w:pStyle w:val="TableBodyText"/>
              <w:keepNext w:val="0"/>
              <w:jc w:val="left"/>
            </w:pPr>
            <w:r w:rsidRPr="00A24FC6">
              <w:t xml:space="preserve">Person living in dwellings, by tenure type, core activity need for assistance status and age, 2006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14A.131</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have taken action in the last twelve months to get more formal assistance but who still need more formal assistance, by sex,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14A.132</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have taken action in the last twelve months to get more formal assistance but who still need more formal assistance, by age group,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14A.133</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have taken action in the last twelve months to get more formal assistance but who still need more formal assistance, by remoteness area,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14A.134</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have taken action in the last twelve months to get more formal assistance but who still need more formal assistance, by country of birth,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14A.135</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People aged 0–64 years in potential population who need more formal assistance than they are currently receiving, by sex,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14A.136</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need more formal assistance than they are currently receiving, by age group,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14A.137</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People aged 0–64 years in potential population who need more formal assistance than they are currently receiving, by remoteness area, by State/Territory ('000)</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14A.138</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People aged 0–64 years in potential population who need more formal assistance than they are currently receiving, by country of birth, by State/Territory, 2009 ('000)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14A.139</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Participation in education and training, by need for assistance status (per cent)</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14A.140</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Participation in education and training, by disability status, 2009 (per cent)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14A.141</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Educational and training attainment, by need for assistance status, 2011 (per cent)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14A.142</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Educational and training attainment, by disability status, 2009 (per cent)</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14A.143</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14A.144</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within major cities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lastRenderedPageBreak/>
              <w:t>Table 14A.145</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within inner regional areas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14A.146</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within outer regional areas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14A.147</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within remote areas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132D32" w:rsidRDefault="000D69D9" w:rsidP="008918BD">
            <w:pPr>
              <w:pStyle w:val="TableBodyText"/>
              <w:keepNext w:val="0"/>
              <w:jc w:val="left"/>
            </w:pPr>
            <w:r w:rsidRPr="00A24FC6">
              <w:t>Table 14A.148</w:t>
            </w:r>
          </w:p>
        </w:tc>
        <w:tc>
          <w:tcPr>
            <w:tcW w:w="7280" w:type="dxa"/>
            <w:tcBorders>
              <w:top w:val="nil"/>
              <w:left w:val="nil"/>
              <w:bottom w:val="nil"/>
              <w:right w:val="nil"/>
            </w:tcBorders>
            <w:shd w:val="clear" w:color="auto" w:fill="auto"/>
          </w:tcPr>
          <w:p w:rsidR="000D69D9" w:rsidRPr="00132D32" w:rsidRDefault="000D69D9" w:rsidP="008918BD">
            <w:pPr>
              <w:pStyle w:val="TableBodyText"/>
              <w:keepNext w:val="0"/>
              <w:jc w:val="left"/>
            </w:pPr>
            <w:r w:rsidRPr="00A24FC6">
              <w:t xml:space="preserve">Basic community care services received within very remote areas by people aged under 65 years and Indigenous Australians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912CE2" w:rsidRDefault="000D69D9" w:rsidP="008918BD">
            <w:pPr>
              <w:pStyle w:val="TableBodyText"/>
              <w:keepNext w:val="0"/>
              <w:jc w:val="left"/>
            </w:pPr>
            <w:r w:rsidRPr="00912CE2">
              <w:t>Table 14A.149</w:t>
            </w:r>
          </w:p>
        </w:tc>
        <w:tc>
          <w:tcPr>
            <w:tcW w:w="7280" w:type="dxa"/>
            <w:tcBorders>
              <w:top w:val="nil"/>
              <w:left w:val="nil"/>
              <w:bottom w:val="nil"/>
              <w:right w:val="nil"/>
            </w:tcBorders>
            <w:shd w:val="clear" w:color="auto" w:fill="auto"/>
          </w:tcPr>
          <w:p w:rsidR="000D69D9" w:rsidRPr="00912CE2" w:rsidRDefault="000D69D9" w:rsidP="008918BD">
            <w:pPr>
              <w:pStyle w:val="TableBodyText"/>
              <w:keepNext w:val="0"/>
              <w:jc w:val="left"/>
            </w:pPr>
            <w:r w:rsidRPr="00912CE2">
              <w:t xml:space="preserve">Indigenous users of basic community care services under 50 years, users born in non-English speaking countries under 65 years and all users aged under 65 years and Indigenous users aged under 50 years </w:t>
            </w:r>
          </w:p>
        </w:tc>
      </w:tr>
      <w:tr w:rsidR="000D69D9" w:rsidRPr="00F0239C" w:rsidTr="008918BD">
        <w:tc>
          <w:tcPr>
            <w:tcW w:w="1509" w:type="dxa"/>
            <w:tcBorders>
              <w:top w:val="nil"/>
              <w:left w:val="nil"/>
              <w:bottom w:val="nil"/>
              <w:right w:val="nil"/>
            </w:tcBorders>
            <w:shd w:val="clear" w:color="auto" w:fill="auto"/>
            <w:noWrap/>
          </w:tcPr>
          <w:p w:rsidR="000D69D9" w:rsidRPr="00912CE2" w:rsidRDefault="000D69D9" w:rsidP="008918BD">
            <w:pPr>
              <w:pStyle w:val="TableBodyText"/>
              <w:keepNext w:val="0"/>
              <w:jc w:val="left"/>
            </w:pPr>
            <w:r w:rsidRPr="00912CE2">
              <w:t>Table 14A.150</w:t>
            </w:r>
          </w:p>
        </w:tc>
        <w:tc>
          <w:tcPr>
            <w:tcW w:w="7280" w:type="dxa"/>
            <w:tcBorders>
              <w:top w:val="nil"/>
              <w:left w:val="nil"/>
              <w:bottom w:val="nil"/>
              <w:right w:val="nil"/>
            </w:tcBorders>
            <w:shd w:val="clear" w:color="auto" w:fill="auto"/>
          </w:tcPr>
          <w:p w:rsidR="000D69D9" w:rsidRPr="00912CE2" w:rsidRDefault="000D69D9" w:rsidP="008918BD">
            <w:pPr>
              <w:pStyle w:val="TableBodyText"/>
              <w:keepNext w:val="0"/>
              <w:jc w:val="left"/>
            </w:pPr>
            <w:r w:rsidRPr="00912CE2">
              <w:t>National Disability Insurance Scheme roll out</w:t>
            </w:r>
          </w:p>
        </w:tc>
      </w:tr>
      <w:tr w:rsidR="00912CE2" w:rsidRPr="00F0239C" w:rsidTr="008918BD">
        <w:tc>
          <w:tcPr>
            <w:tcW w:w="1509" w:type="dxa"/>
            <w:tcBorders>
              <w:top w:val="nil"/>
              <w:left w:val="nil"/>
              <w:bottom w:val="nil"/>
              <w:right w:val="nil"/>
            </w:tcBorders>
            <w:shd w:val="clear" w:color="auto" w:fill="auto"/>
            <w:noWrap/>
          </w:tcPr>
          <w:p w:rsidR="00912CE2" w:rsidRPr="00912CE2" w:rsidRDefault="00912CE2" w:rsidP="00912CE2">
            <w:pPr>
              <w:pStyle w:val="TableBodyText"/>
              <w:keepNext w:val="0"/>
              <w:jc w:val="left"/>
            </w:pPr>
            <w:r w:rsidRPr="00912CE2">
              <w:t>Table 14A.151</w:t>
            </w:r>
          </w:p>
        </w:tc>
        <w:tc>
          <w:tcPr>
            <w:tcW w:w="7280" w:type="dxa"/>
            <w:tcBorders>
              <w:top w:val="nil"/>
              <w:left w:val="nil"/>
              <w:bottom w:val="nil"/>
              <w:right w:val="nil"/>
            </w:tcBorders>
            <w:shd w:val="clear" w:color="auto" w:fill="auto"/>
          </w:tcPr>
          <w:p w:rsidR="00912CE2" w:rsidRPr="00912CE2" w:rsidRDefault="00912CE2" w:rsidP="00912CE2">
            <w:pPr>
              <w:pStyle w:val="TableBodyText"/>
              <w:keepNext w:val="0"/>
              <w:jc w:val="left"/>
            </w:pPr>
            <w:r w:rsidRPr="00912CE2">
              <w:t>Proportion of NDIS participants with approved plans accessing mainstream services, 30 June</w:t>
            </w:r>
          </w:p>
        </w:tc>
      </w:tr>
      <w:tr w:rsidR="00912CE2" w:rsidRPr="00F0239C" w:rsidTr="008918BD">
        <w:tc>
          <w:tcPr>
            <w:tcW w:w="1509" w:type="dxa"/>
            <w:tcBorders>
              <w:top w:val="nil"/>
              <w:left w:val="nil"/>
              <w:bottom w:val="nil"/>
              <w:right w:val="nil"/>
            </w:tcBorders>
            <w:shd w:val="clear" w:color="auto" w:fill="auto"/>
            <w:noWrap/>
          </w:tcPr>
          <w:p w:rsidR="00912CE2" w:rsidRPr="00912CE2" w:rsidRDefault="00912CE2" w:rsidP="00912CE2">
            <w:pPr>
              <w:pStyle w:val="TableBodyText"/>
              <w:keepNext w:val="0"/>
              <w:jc w:val="left"/>
            </w:pPr>
            <w:r w:rsidRPr="00912CE2">
              <w:t>Table 14A.152</w:t>
            </w:r>
          </w:p>
        </w:tc>
        <w:tc>
          <w:tcPr>
            <w:tcW w:w="7280" w:type="dxa"/>
            <w:tcBorders>
              <w:top w:val="nil"/>
              <w:left w:val="nil"/>
              <w:bottom w:val="nil"/>
              <w:right w:val="nil"/>
            </w:tcBorders>
            <w:shd w:val="clear" w:color="auto" w:fill="auto"/>
          </w:tcPr>
          <w:p w:rsidR="00912CE2" w:rsidRPr="00912CE2" w:rsidRDefault="00912CE2" w:rsidP="00912CE2">
            <w:pPr>
              <w:pStyle w:val="TableBodyText"/>
              <w:keepNext w:val="0"/>
              <w:jc w:val="left"/>
            </w:pPr>
            <w:r w:rsidRPr="00912CE2">
              <w:t xml:space="preserve">NDIS participant satisfaction, 30 June </w:t>
            </w:r>
          </w:p>
        </w:tc>
      </w:tr>
      <w:tr w:rsidR="00912CE2" w:rsidRPr="00F0239C" w:rsidDel="00912CE2" w:rsidTr="008918BD">
        <w:tc>
          <w:tcPr>
            <w:tcW w:w="1509" w:type="dxa"/>
            <w:tcBorders>
              <w:top w:val="nil"/>
              <w:left w:val="nil"/>
              <w:bottom w:val="nil"/>
              <w:right w:val="nil"/>
            </w:tcBorders>
            <w:shd w:val="clear" w:color="auto" w:fill="auto"/>
            <w:noWrap/>
          </w:tcPr>
          <w:p w:rsidR="00912CE2" w:rsidRPr="00912CE2" w:rsidRDefault="00912CE2" w:rsidP="00912CE2">
            <w:pPr>
              <w:pStyle w:val="TableBodyText"/>
              <w:keepNext w:val="0"/>
              <w:jc w:val="left"/>
            </w:pPr>
            <w:r w:rsidRPr="00912CE2">
              <w:t>Table 14A.153</w:t>
            </w:r>
          </w:p>
        </w:tc>
        <w:tc>
          <w:tcPr>
            <w:tcW w:w="7280" w:type="dxa"/>
            <w:tcBorders>
              <w:top w:val="nil"/>
              <w:left w:val="nil"/>
              <w:bottom w:val="nil"/>
              <w:right w:val="nil"/>
            </w:tcBorders>
            <w:shd w:val="clear" w:color="auto" w:fill="auto"/>
          </w:tcPr>
          <w:p w:rsidR="00912CE2" w:rsidRPr="00912CE2" w:rsidRDefault="00912CE2" w:rsidP="00912CE2">
            <w:pPr>
              <w:pStyle w:val="TableBodyText"/>
              <w:keepNext w:val="0"/>
              <w:jc w:val="left"/>
            </w:pPr>
            <w:r w:rsidRPr="00912CE2">
              <w:t>General Government Final Consumption Expenditure (GGFCE) chain price deflator</w:t>
            </w:r>
            <w:r w:rsidR="00C20C63">
              <w:t xml:space="preserve"> </w:t>
            </w:r>
            <w:r w:rsidRPr="00912CE2">
              <w:t>(index)</w:t>
            </w:r>
          </w:p>
        </w:tc>
      </w:tr>
    </w:tbl>
    <w:p w:rsidR="001F39F2" w:rsidRPr="00021A47" w:rsidRDefault="00D709A0" w:rsidP="006D76E5">
      <w:pPr>
        <w:pStyle w:val="Heading2"/>
      </w:pPr>
      <w:bookmarkStart w:id="67" w:name="_Toc432512543"/>
      <w:r>
        <w:t>14.</w:t>
      </w:r>
      <w:bookmarkStart w:id="68" w:name="_Toc248563910"/>
      <w:bookmarkStart w:id="69" w:name="_Toc397527181"/>
      <w:r w:rsidR="004B691F">
        <w:rPr>
          <w:noProof/>
        </w:rPr>
        <w:t>8</w:t>
      </w:r>
      <w:r w:rsidR="001F39F2" w:rsidRPr="00021A47">
        <w:tab/>
        <w:t>References</w:t>
      </w:r>
      <w:bookmarkEnd w:id="67"/>
      <w:bookmarkEnd w:id="68"/>
      <w:bookmarkEnd w:id="69"/>
    </w:p>
    <w:p w:rsidR="00247082" w:rsidRPr="00367803" w:rsidRDefault="00247082" w:rsidP="00247082">
      <w:pPr>
        <w:pStyle w:val="Reference"/>
      </w:pPr>
      <w:r w:rsidRPr="00367803">
        <w:t>ABS (Aus</w:t>
      </w:r>
      <w:r w:rsidR="00692DA9">
        <w:t xml:space="preserve">tralian Bureau of Statistics) </w:t>
      </w:r>
      <w:r w:rsidRPr="00367803">
        <w:t>2011</w:t>
      </w:r>
      <w:r w:rsidR="006731B7" w:rsidRPr="00367803">
        <w:t>a</w:t>
      </w:r>
      <w:r w:rsidRPr="00367803">
        <w:t xml:space="preserve">, </w:t>
      </w:r>
      <w:r w:rsidRPr="00367803">
        <w:rPr>
          <w:i/>
        </w:rPr>
        <w:t>Disability, Ageing and Carers Australia: Summary of Findings 2009,</w:t>
      </w:r>
      <w:r w:rsidRPr="00367803">
        <w:t xml:space="preserve"> Cat. no. 4430.0, Canberra. </w:t>
      </w:r>
    </w:p>
    <w:p w:rsidR="006731B7" w:rsidRPr="00367803" w:rsidRDefault="006731B7" w:rsidP="00232292">
      <w:pPr>
        <w:pStyle w:val="Reference"/>
      </w:pPr>
      <w:r w:rsidRPr="00367803">
        <w:t xml:space="preserve">—— 2011b, </w:t>
      </w:r>
      <w:r w:rsidR="00232292" w:rsidRPr="00367803">
        <w:rPr>
          <w:i/>
        </w:rPr>
        <w:t xml:space="preserve">Australian Statistical Geography Standard (ASGS): Volume 5 </w:t>
      </w:r>
      <w:r w:rsidR="00B84AF2" w:rsidRPr="00367803">
        <w:rPr>
          <w:i/>
        </w:rPr>
        <w:noBreakHyphen/>
      </w:r>
      <w:r w:rsidR="00DF3B3B" w:rsidRPr="00367803">
        <w:rPr>
          <w:i/>
        </w:rPr>
        <w:t xml:space="preserve"> </w:t>
      </w:r>
      <w:r w:rsidR="00232292" w:rsidRPr="00367803">
        <w:rPr>
          <w:i/>
        </w:rPr>
        <w:t>Remoteness Structure</w:t>
      </w:r>
      <w:r w:rsidR="00232292" w:rsidRPr="00367803">
        <w:t xml:space="preserve">, Cat. no. 1270.0.55.005, Canberra. </w:t>
      </w:r>
    </w:p>
    <w:p w:rsidR="00247082" w:rsidRPr="00367803" w:rsidRDefault="00247082" w:rsidP="00247082">
      <w:pPr>
        <w:pStyle w:val="Reference"/>
      </w:pPr>
      <w:r w:rsidRPr="00367803">
        <w:t xml:space="preserve">—— 2013, </w:t>
      </w:r>
      <w:r w:rsidRPr="00367803">
        <w:rPr>
          <w:i/>
        </w:rPr>
        <w:t>Disability, Ageing and Carers Australia: Summary of Findings 2012,</w:t>
      </w:r>
      <w:r w:rsidRPr="00367803">
        <w:t xml:space="preserve"> Cat. no. 4430.0, Canberra. </w:t>
      </w:r>
    </w:p>
    <w:p w:rsidR="00247082" w:rsidRPr="00021A47" w:rsidRDefault="00247082" w:rsidP="00247082">
      <w:pPr>
        <w:pStyle w:val="Reference"/>
      </w:pPr>
      <w:r w:rsidRPr="00021A47">
        <w:t xml:space="preserve">AIHW (Australian Institute of Health and Welfare) 2006, </w:t>
      </w:r>
      <w:r w:rsidRPr="00021A47">
        <w:rPr>
          <w:i/>
        </w:rPr>
        <w:t>‘Potential Population’ — Updating the Indigenous Factor in Disability Services Performance Indicator Denominators</w:t>
      </w:r>
      <w:r w:rsidRPr="00021A47">
        <w:t>, Welfare Working Paper Series Number 50, Cat. no. DIS 45, Canberra.</w:t>
      </w:r>
    </w:p>
    <w:p w:rsidR="00247082" w:rsidRPr="00EF777A" w:rsidRDefault="00247082" w:rsidP="00247082">
      <w:pPr>
        <w:pStyle w:val="Reference"/>
      </w:pPr>
      <w:r w:rsidRPr="00021A47">
        <w:t xml:space="preserve">—— 2007, </w:t>
      </w:r>
      <w:r w:rsidRPr="00021A47">
        <w:rPr>
          <w:i/>
        </w:rPr>
        <w:t>Disability Support Services 2005</w:t>
      </w:r>
      <w:r w:rsidR="00B84AF2" w:rsidRPr="00021A47">
        <w:rPr>
          <w:i/>
        </w:rPr>
        <w:noBreakHyphen/>
      </w:r>
      <w:r w:rsidRPr="00021A47">
        <w:rPr>
          <w:i/>
        </w:rPr>
        <w:t xml:space="preserve">06: National Data on Services Provided </w:t>
      </w:r>
      <w:r w:rsidRPr="00EF777A">
        <w:rPr>
          <w:i/>
        </w:rPr>
        <w:t>under the CSTDA/NDA</w:t>
      </w:r>
      <w:r w:rsidRPr="00EF777A">
        <w:t>, Cat. no. DIS 51, Canberra.</w:t>
      </w:r>
    </w:p>
    <w:p w:rsidR="004D737D" w:rsidRPr="00021A47" w:rsidRDefault="004D737D" w:rsidP="001328F7">
      <w:pPr>
        <w:pStyle w:val="Reference"/>
      </w:pPr>
      <w:r w:rsidRPr="00EF777A">
        <w:t>—— 2012</w:t>
      </w:r>
      <w:r w:rsidR="001328F7" w:rsidRPr="00EF777A">
        <w:t xml:space="preserve">, </w:t>
      </w:r>
      <w:r w:rsidR="001328F7" w:rsidRPr="00EF777A">
        <w:rPr>
          <w:i/>
        </w:rPr>
        <w:t>Disability support services 2010</w:t>
      </w:r>
      <w:r w:rsidR="005547FD">
        <w:rPr>
          <w:i/>
        </w:rPr>
        <w:noBreakHyphen/>
      </w:r>
      <w:r w:rsidR="001328F7" w:rsidRPr="00EF777A">
        <w:rPr>
          <w:i/>
        </w:rPr>
        <w:t>11: Services provided under the</w:t>
      </w:r>
      <w:r w:rsidR="00EF777A" w:rsidRPr="00EF777A">
        <w:rPr>
          <w:i/>
        </w:rPr>
        <w:t xml:space="preserve"> </w:t>
      </w:r>
      <w:r w:rsidR="001328F7" w:rsidRPr="00EF777A">
        <w:rPr>
          <w:i/>
        </w:rPr>
        <w:t>National Disability Agreement.</w:t>
      </w:r>
      <w:r w:rsidR="001328F7" w:rsidRPr="00EF777A">
        <w:t xml:space="preserve"> DIS 60. Canberra.</w:t>
      </w:r>
    </w:p>
    <w:p w:rsidR="005F64DE" w:rsidRDefault="005F64DE" w:rsidP="005F64DE">
      <w:pPr>
        <w:pStyle w:val="Reference"/>
      </w:pPr>
      <w:r w:rsidRPr="00021A47">
        <w:t>—— </w:t>
      </w:r>
      <w:r>
        <w:t>2015</w:t>
      </w:r>
      <w:r w:rsidR="005E7EBC">
        <w:t>a</w:t>
      </w:r>
      <w:r>
        <w:t xml:space="preserve">, </w:t>
      </w:r>
      <w:r w:rsidRPr="005F64DE">
        <w:rPr>
          <w:i/>
        </w:rPr>
        <w:t xml:space="preserve">Disability support services: </w:t>
      </w:r>
      <w:r>
        <w:rPr>
          <w:i/>
        </w:rPr>
        <w:t>s</w:t>
      </w:r>
      <w:r w:rsidRPr="005F64DE">
        <w:rPr>
          <w:i/>
        </w:rPr>
        <w:t>ervices provided under the National Disability Agreement 2013</w:t>
      </w:r>
      <w:r w:rsidR="005547FD">
        <w:rPr>
          <w:i/>
        </w:rPr>
        <w:noBreakHyphen/>
      </w:r>
      <w:r w:rsidRPr="005F64DE">
        <w:rPr>
          <w:i/>
        </w:rPr>
        <w:t>14.</w:t>
      </w:r>
      <w:r>
        <w:t xml:space="preserve"> </w:t>
      </w:r>
      <w:r w:rsidRPr="005F64DE">
        <w:t>AIHW bulletin no. 130. Cat. no. AUS 192. Canberra: AIHW.</w:t>
      </w:r>
      <w:r>
        <w:t xml:space="preserve"> </w:t>
      </w:r>
      <w:r w:rsidRPr="005F64DE">
        <w:t>http://www.aihw.gov.au/WorkArea/DownloadAsset.aspx?id=60129551423</w:t>
      </w:r>
      <w:r>
        <w:t xml:space="preserve"> [Accessed 20 October 2015]</w:t>
      </w:r>
    </w:p>
    <w:p w:rsidR="005E7EBC" w:rsidRDefault="005E7EBC" w:rsidP="005E7EBC">
      <w:pPr>
        <w:pStyle w:val="Reference"/>
      </w:pPr>
      <w:r w:rsidRPr="00021A47">
        <w:t>—— </w:t>
      </w:r>
      <w:r>
        <w:t xml:space="preserve">2015b, </w:t>
      </w:r>
      <w:r w:rsidRPr="005E7EBC">
        <w:rPr>
          <w:i/>
        </w:rPr>
        <w:t>Services provided under the National Disability Agreement 2013</w:t>
      </w:r>
      <w:r w:rsidR="005547FD">
        <w:rPr>
          <w:i/>
        </w:rPr>
        <w:noBreakHyphen/>
      </w:r>
      <w:r w:rsidRPr="005E7EBC">
        <w:rPr>
          <w:i/>
        </w:rPr>
        <w:t>14:</w:t>
      </w:r>
      <w:r>
        <w:rPr>
          <w:i/>
        </w:rPr>
        <w:t xml:space="preserve"> </w:t>
      </w:r>
      <w:r w:rsidRPr="005E7EBC">
        <w:rPr>
          <w:i/>
        </w:rPr>
        <w:t>Appendix</w:t>
      </w:r>
      <w:r>
        <w:t>. AIHW Bulletin no. 130. Cat. no. AUS 192, Canberra.</w:t>
      </w:r>
    </w:p>
    <w:p w:rsidR="00247082" w:rsidRPr="00367803" w:rsidRDefault="00247082" w:rsidP="00247082">
      <w:pPr>
        <w:pStyle w:val="Reference"/>
      </w:pPr>
      <w:r w:rsidRPr="00021A47">
        <w:t xml:space="preserve">CSTDA (Commonwealth State/Territory Disability Agreement) 2003, </w:t>
      </w:r>
      <w:r w:rsidRPr="00021A47">
        <w:rPr>
          <w:i/>
        </w:rPr>
        <w:t>Agreement between the Commonwealth of Australia and the States and Territories of Australia in Relation to Disability Services,</w:t>
      </w:r>
      <w:r w:rsidRPr="00021A47">
        <w:t xml:space="preserve"> Australian Government Department of Family and Community </w:t>
      </w:r>
      <w:r w:rsidRPr="00367803">
        <w:t>Services, Canberra.</w:t>
      </w:r>
    </w:p>
    <w:p w:rsidR="00247082" w:rsidRPr="00367803" w:rsidRDefault="00247082" w:rsidP="00247082">
      <w:pPr>
        <w:pStyle w:val="Reference"/>
      </w:pPr>
      <w:r w:rsidRPr="00367803">
        <w:lastRenderedPageBreak/>
        <w:t xml:space="preserve">COAG (Council of Australian Governments) 2012a, </w:t>
      </w:r>
      <w:r w:rsidRPr="00367803">
        <w:rPr>
          <w:i/>
        </w:rPr>
        <w:t>National Disability Agreement</w:t>
      </w:r>
      <w:r w:rsidRPr="00367803">
        <w:t>, www.federalfinancialrelations.gov.au/content/npa/disability/national-agreement.rtf (accessed 15</w:t>
      </w:r>
      <w:r w:rsidR="00B84AF2" w:rsidRPr="00367803">
        <w:t> </w:t>
      </w:r>
      <w:r w:rsidRPr="00367803">
        <w:t>November 2012).</w:t>
      </w:r>
    </w:p>
    <w:p w:rsidR="00247082" w:rsidRPr="00367803" w:rsidRDefault="00247082" w:rsidP="00247082">
      <w:pPr>
        <w:pStyle w:val="Reference"/>
      </w:pPr>
      <w:r w:rsidRPr="00367803">
        <w:t xml:space="preserve">—— 2012b, </w:t>
      </w:r>
      <w:r w:rsidRPr="00367803">
        <w:rPr>
          <w:i/>
        </w:rPr>
        <w:t xml:space="preserve">Intergovernmental Agreement on the National Disability Insurance Scheme Launch, </w:t>
      </w:r>
      <w:proofErr w:type="spellStart"/>
      <w:r w:rsidRPr="00EA47EA">
        <w:t>www.coag.gov.au</w:t>
      </w:r>
      <w:proofErr w:type="spellEnd"/>
      <w:r w:rsidRPr="00EA47EA">
        <w:t>/node/485</w:t>
      </w:r>
      <w:r w:rsidRPr="00367803">
        <w:rPr>
          <w:i/>
        </w:rPr>
        <w:t xml:space="preserve"> </w:t>
      </w:r>
      <w:r w:rsidRPr="00367803">
        <w:t>(accessed 22</w:t>
      </w:r>
      <w:r w:rsidR="00B84AF2" w:rsidRPr="00367803">
        <w:t> </w:t>
      </w:r>
      <w:r w:rsidRPr="00367803">
        <w:t>September 2014)</w:t>
      </w:r>
    </w:p>
    <w:p w:rsidR="00247082" w:rsidRPr="005F06FB" w:rsidRDefault="00247082" w:rsidP="00247082">
      <w:pPr>
        <w:pStyle w:val="Reference"/>
      </w:pPr>
      <w:r w:rsidRPr="005F06FB">
        <w:t xml:space="preserve">DIMA (Department of Immigration and Multicultural Affairs) 1999, </w:t>
      </w:r>
      <w:r w:rsidRPr="005F06FB">
        <w:rPr>
          <w:i/>
        </w:rPr>
        <w:t>1996 Classification of Countries into English Proficiency Group</w:t>
      </w:r>
      <w:r w:rsidRPr="005F06FB">
        <w:t>, Statistical focus C96.1A revised, Australian Government, Canberra.</w:t>
      </w:r>
    </w:p>
    <w:p w:rsidR="00247082" w:rsidRPr="005F06FB" w:rsidRDefault="00247082" w:rsidP="00247082">
      <w:pPr>
        <w:pStyle w:val="Reference"/>
      </w:pPr>
      <w:r w:rsidRPr="005F06FB">
        <w:t xml:space="preserve">—— 2003, </w:t>
      </w:r>
      <w:r w:rsidRPr="005F06FB">
        <w:rPr>
          <w:i/>
        </w:rPr>
        <w:t>2001 classification of countries into English Proficiency Groups</w:t>
      </w:r>
      <w:r w:rsidRPr="005F06FB">
        <w:t>, Statistical focus C01.2.0, Australian Government, Canberra.</w:t>
      </w:r>
    </w:p>
    <w:p w:rsidR="00F164F6" w:rsidRDefault="00247082" w:rsidP="00247082">
      <w:pPr>
        <w:pStyle w:val="Reference"/>
      </w:pPr>
      <w:r w:rsidRPr="00906208">
        <w:t>NDIA (National D</w:t>
      </w:r>
      <w:r w:rsidR="007A3485" w:rsidRPr="00906208">
        <w:t xml:space="preserve">isability Insurance Agency) </w:t>
      </w:r>
      <w:r w:rsidR="00F164F6">
        <w:t xml:space="preserve">2014, </w:t>
      </w:r>
      <w:r w:rsidR="00F164F6" w:rsidRPr="00F164F6">
        <w:rPr>
          <w:i/>
        </w:rPr>
        <w:t>2013</w:t>
      </w:r>
      <w:r w:rsidR="005547FD">
        <w:rPr>
          <w:i/>
        </w:rPr>
        <w:noBreakHyphen/>
      </w:r>
      <w:r w:rsidR="00F164F6" w:rsidRPr="00F164F6">
        <w:rPr>
          <w:i/>
        </w:rPr>
        <w:t>14 Annual Report.</w:t>
      </w:r>
      <w:r w:rsidR="00F164F6">
        <w:t xml:space="preserve"> </w:t>
      </w:r>
      <w:r w:rsidR="00F164F6" w:rsidRPr="00F164F6">
        <w:t>http://www.ndis.gov.au/sites/default/files/documents/annual_report_2013_14.pdf</w:t>
      </w:r>
    </w:p>
    <w:p w:rsidR="007D5AAA" w:rsidRPr="00906208" w:rsidRDefault="00F164F6" w:rsidP="007D5AAA">
      <w:pPr>
        <w:pStyle w:val="Reference"/>
      </w:pPr>
      <w:r w:rsidRPr="00906208">
        <w:t>——</w:t>
      </w:r>
      <w:r w:rsidR="007A3485" w:rsidRPr="00906208">
        <w:t>2015</w:t>
      </w:r>
      <w:r w:rsidR="006A2450">
        <w:t xml:space="preserve">, </w:t>
      </w:r>
      <w:r w:rsidR="00774BC3" w:rsidRPr="00906208">
        <w:rPr>
          <w:i/>
        </w:rPr>
        <w:t>Quarterly Report to COAG Disability Reform Council, 30 June 2015</w:t>
      </w:r>
      <w:r w:rsidR="00774BC3" w:rsidRPr="00906208">
        <w:t xml:space="preserve">. </w:t>
      </w:r>
      <w:r w:rsidR="005F06FB" w:rsidRPr="00906208">
        <w:t>http://</w:t>
      </w:r>
      <w:proofErr w:type="spellStart"/>
      <w:r w:rsidR="005F06FB" w:rsidRPr="00906208">
        <w:t>www.ndis.gov.au</w:t>
      </w:r>
      <w:proofErr w:type="spellEnd"/>
      <w:r w:rsidR="005F06FB" w:rsidRPr="00906208">
        <w:t>/sites/default/files/</w:t>
      </w:r>
      <w:proofErr w:type="spellStart"/>
      <w:r w:rsidR="005F06FB" w:rsidRPr="00906208">
        <w:t>Q4</w:t>
      </w:r>
      <w:proofErr w:type="spellEnd"/>
      <w:r w:rsidR="005F06FB" w:rsidRPr="00906208">
        <w:t>-Report-to</w:t>
      </w:r>
      <w:r w:rsidR="005F06FB" w:rsidRPr="00906208" w:rsidDel="00774BC3">
        <w:rPr>
          <w:i/>
        </w:rPr>
        <w:t xml:space="preserve"> </w:t>
      </w:r>
      <w:r w:rsidR="005F06FB" w:rsidRPr="00906208">
        <w:t>(Accessed 6</w:t>
      </w:r>
      <w:r w:rsidR="005547FD">
        <w:t> </w:t>
      </w:r>
      <w:r w:rsidR="005F06FB" w:rsidRPr="00906208">
        <w:t>October 2015)</w:t>
      </w:r>
    </w:p>
    <w:p w:rsidR="00247082" w:rsidRPr="005F06FB" w:rsidRDefault="00247082" w:rsidP="00247082">
      <w:pPr>
        <w:pStyle w:val="Reference"/>
      </w:pPr>
      <w:r w:rsidRPr="005F06FB">
        <w:t xml:space="preserve">SCRCSSP (Steering Committee for the Review of Commonwealth/State Service Provision) 1999, </w:t>
      </w:r>
      <w:r w:rsidRPr="005F06FB">
        <w:rPr>
          <w:i/>
          <w:iCs/>
        </w:rPr>
        <w:t>Payroll Tax in the Costing of Government Services</w:t>
      </w:r>
      <w:r w:rsidRPr="005F06FB">
        <w:t xml:space="preserve">, </w:t>
      </w:r>
      <w:proofErr w:type="spellStart"/>
      <w:r w:rsidRPr="005F06FB">
        <w:t>AusInfo</w:t>
      </w:r>
      <w:proofErr w:type="spellEnd"/>
      <w:r w:rsidRPr="005F06FB">
        <w:t>, Canberra.</w:t>
      </w:r>
    </w:p>
    <w:p w:rsidR="00FE1C3B" w:rsidRPr="00021A47" w:rsidRDefault="00FE1C3B" w:rsidP="00FE1C3B">
      <w:pPr>
        <w:pStyle w:val="Reference"/>
        <w:rPr>
          <w:i/>
        </w:rPr>
      </w:pPr>
      <w:r w:rsidRPr="00021A47">
        <w:t xml:space="preserve">SCRGSP (Steering Committee for the Review of Government Service Provision) 2014, </w:t>
      </w:r>
      <w:r w:rsidRPr="00021A47">
        <w:rPr>
          <w:i/>
        </w:rPr>
        <w:t>Report on Government Services 2014</w:t>
      </w:r>
      <w:r w:rsidRPr="00021A47">
        <w:t>, Productivity Commission, Canberra.</w:t>
      </w:r>
    </w:p>
    <w:p w:rsidR="00F056FC" w:rsidRPr="00021A47" w:rsidRDefault="00247082">
      <w:pPr>
        <w:pStyle w:val="Reference"/>
      </w:pPr>
      <w:r w:rsidRPr="00021A47">
        <w:t xml:space="preserve">WHO (World Health Organisation) 2009, </w:t>
      </w:r>
      <w:r w:rsidRPr="00021A47">
        <w:rPr>
          <w:i/>
        </w:rPr>
        <w:t>Disabilities</w:t>
      </w:r>
      <w:r w:rsidRPr="00021A47">
        <w:t xml:space="preserve">, Health topics, Geneva, </w:t>
      </w:r>
      <w:proofErr w:type="spellStart"/>
      <w:r w:rsidRPr="00021A47">
        <w:t>www.who.int</w:t>
      </w:r>
      <w:proofErr w:type="spellEnd"/>
      <w:r w:rsidRPr="00021A47">
        <w:t>/topics/disabilities/en/ (accessed 13</w:t>
      </w:r>
      <w:r w:rsidR="005547FD">
        <w:t> </w:t>
      </w:r>
      <w:r w:rsidRPr="00021A47">
        <w:t xml:space="preserve">October 2009). </w:t>
      </w:r>
    </w:p>
    <w:sectPr w:rsidR="00F056FC" w:rsidRPr="00021A47" w:rsidSect="001C1622">
      <w:headerReference w:type="even" r:id="rId76"/>
      <w:headerReference w:type="default" r:id="rId77"/>
      <w:footerReference w:type="even" r:id="rId78"/>
      <w:footerReference w:type="default" r:id="rId79"/>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FBC" w:rsidRDefault="00187FBC">
      <w:r>
        <w:separator/>
      </w:r>
    </w:p>
  </w:endnote>
  <w:endnote w:type="continuationSeparator" w:id="0">
    <w:p w:rsidR="00187FBC" w:rsidRDefault="00187FBC">
      <w:r>
        <w:continuationSeparator/>
      </w:r>
    </w:p>
  </w:endnote>
  <w:endnote w:type="continuationNotice" w:id="1">
    <w:p w:rsidR="00187FBC" w:rsidRDefault="00187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7FBC" w:rsidTr="005B6793">
      <w:trPr>
        <w:trHeight w:hRule="exact" w:val="567"/>
      </w:trPr>
      <w:tc>
        <w:tcPr>
          <w:tcW w:w="510" w:type="dxa"/>
        </w:tcPr>
        <w:p w:rsidR="00187FBC" w:rsidRPr="00A24443" w:rsidRDefault="00187FBC" w:rsidP="0019293B">
          <w:pPr>
            <w:pStyle w:val="Footer"/>
            <w:tabs>
              <w:tab w:val="left" w:pos="0"/>
            </w:tabs>
            <w:ind w:right="0"/>
            <w:rPr>
              <w:rStyle w:val="PageNumbe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27DC">
            <w:rPr>
              <w:rStyle w:val="PageNumber"/>
              <w:caps w:val="0"/>
              <w:noProof/>
            </w:rPr>
            <w:t>84</w:t>
          </w:r>
          <w:r w:rsidRPr="00A24443">
            <w:rPr>
              <w:rStyle w:val="PageNumber"/>
              <w:caps w:val="0"/>
            </w:rPr>
            <w:fldChar w:fldCharType="end"/>
          </w:r>
        </w:p>
      </w:tc>
      <w:tc>
        <w:tcPr>
          <w:tcW w:w="7767" w:type="dxa"/>
        </w:tcPr>
        <w:p w:rsidR="00187FBC" w:rsidRPr="0013739A" w:rsidRDefault="00187FBC" w:rsidP="005B6793">
          <w:pPr>
            <w:pStyle w:val="Footer"/>
            <w:rPr>
              <w:rFonts w:cs="Arial"/>
            </w:rPr>
          </w:pPr>
          <w:r>
            <w:rPr>
              <w:rFonts w:cs="Arial"/>
            </w:rPr>
            <w:t>REPORT ON GOVERNMENT SERVICES 2016</w:t>
          </w:r>
          <w:bookmarkStart w:id="70" w:name="DraftReportEven"/>
          <w:bookmarkEnd w:id="70"/>
        </w:p>
      </w:tc>
      <w:tc>
        <w:tcPr>
          <w:tcW w:w="510" w:type="dxa"/>
        </w:tcPr>
        <w:p w:rsidR="00187FBC" w:rsidRDefault="00187FBC" w:rsidP="0019293B">
          <w:pPr>
            <w:pStyle w:val="Footer"/>
          </w:pPr>
        </w:p>
      </w:tc>
    </w:tr>
  </w:tbl>
  <w:p w:rsidR="00187FBC" w:rsidRDefault="00187FBC" w:rsidP="0019293B">
    <w:pPr>
      <w:pStyle w:val="FooterEnd"/>
    </w:pPr>
  </w:p>
  <w:p w:rsidR="00187FBC" w:rsidRDefault="00187FB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7FBC" w:rsidTr="0012485D">
      <w:trPr>
        <w:trHeight w:hRule="exact" w:val="567"/>
      </w:trPr>
      <w:tc>
        <w:tcPr>
          <w:tcW w:w="510" w:type="dxa"/>
        </w:tcPr>
        <w:p w:rsidR="00187FBC" w:rsidRDefault="00187FBC">
          <w:pPr>
            <w:pStyle w:val="Footer"/>
            <w:ind w:right="360" w:firstLine="360"/>
          </w:pPr>
        </w:p>
      </w:tc>
      <w:tc>
        <w:tcPr>
          <w:tcW w:w="7767" w:type="dxa"/>
        </w:tcPr>
        <w:p w:rsidR="00187FBC" w:rsidRPr="00BA5B14" w:rsidRDefault="00187FBC" w:rsidP="0012485D">
          <w:pPr>
            <w:pStyle w:val="Footer"/>
            <w:jc w:val="right"/>
            <w:rPr>
              <w:rFonts w:cs="Arial"/>
            </w:rPr>
          </w:pPr>
          <w:r>
            <w:rPr>
              <w:rFonts w:cs="Arial"/>
            </w:rPr>
            <w:t>Services for people with disability</w:t>
          </w:r>
          <w:bookmarkStart w:id="71" w:name="begin"/>
          <w:bookmarkEnd w:id="71"/>
        </w:p>
      </w:tc>
      <w:tc>
        <w:tcPr>
          <w:tcW w:w="510" w:type="dxa"/>
        </w:tcPr>
        <w:p w:rsidR="00187FBC" w:rsidRPr="00A24443" w:rsidRDefault="00187FBC">
          <w:pPr>
            <w:pStyle w:val="Footer"/>
            <w:jc w:val="right"/>
            <w:rPr>
              <w:caps w:val="0"/>
            </w:rPr>
          </w:pPr>
          <w:r>
            <w:rPr>
              <w:rStyle w:val="PageNumber"/>
              <w:caps w:val="0"/>
            </w:rPr>
            <w:t>14.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727DC">
            <w:rPr>
              <w:rStyle w:val="PageNumber"/>
              <w:caps w:val="0"/>
              <w:noProof/>
            </w:rPr>
            <w:t>17</w:t>
          </w:r>
          <w:r w:rsidRPr="00A24443">
            <w:rPr>
              <w:rStyle w:val="PageNumber"/>
              <w:caps w:val="0"/>
            </w:rPr>
            <w:fldChar w:fldCharType="end"/>
          </w:r>
        </w:p>
      </w:tc>
    </w:tr>
  </w:tbl>
  <w:p w:rsidR="00187FBC" w:rsidRDefault="00187FBC">
    <w:pPr>
      <w:pStyle w:val="FooterEnd"/>
    </w:pPr>
  </w:p>
  <w:p w:rsidR="00187FBC" w:rsidRDefault="00187FB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FBC" w:rsidRDefault="00187FBC">
      <w:r>
        <w:separator/>
      </w:r>
    </w:p>
  </w:footnote>
  <w:footnote w:type="continuationSeparator" w:id="0">
    <w:p w:rsidR="00187FBC" w:rsidRDefault="00187FBC">
      <w:r>
        <w:continuationSeparator/>
      </w:r>
    </w:p>
  </w:footnote>
  <w:footnote w:type="continuationNotice" w:id="1">
    <w:p w:rsidR="00187FBC" w:rsidRPr="000D0343" w:rsidRDefault="00187FBC" w:rsidP="000D0343">
      <w:pPr>
        <w:spacing w:line="20" w:lineRule="exact"/>
        <w:rPr>
          <w:sz w:val="12"/>
          <w:szCs w:val="12"/>
        </w:rPr>
      </w:pPr>
    </w:p>
  </w:footnote>
  <w:footnote w:id="2">
    <w:p w:rsidR="00187FBC" w:rsidRDefault="00187FBC" w:rsidP="0043577B">
      <w:pPr>
        <w:pStyle w:val="FootnoteText"/>
      </w:pPr>
      <w:r w:rsidRPr="009E411B">
        <w:rPr>
          <w:rStyle w:val="FootnoteReference"/>
        </w:rPr>
        <w:footnoteRef/>
      </w:r>
      <w:r w:rsidRPr="009E411B">
        <w:tab/>
        <w:t>The Commonwealth and the Western Australian Government have not yet agreed to full roll-out. Rather, the State is running a comparative trial based on its ‘My Way’ program.</w:t>
      </w:r>
    </w:p>
  </w:footnote>
  <w:footnote w:id="3">
    <w:p w:rsidR="00187FBC" w:rsidRDefault="00187FBC">
      <w:pPr>
        <w:pStyle w:val="FootnoteText"/>
      </w:pPr>
      <w:r>
        <w:rPr>
          <w:rStyle w:val="FootnoteReference"/>
        </w:rPr>
        <w:footnoteRef/>
      </w:r>
      <w:r>
        <w:tab/>
      </w:r>
      <w:r w:rsidRPr="009E411B">
        <w:t>The average annualised package cost is not an appropriate measure of NDIS performance when considered in isolation. Consideration should be given to factors such as the number of scheme participants, the distribution of packages committed to these participants and actual payments for supports provided which contribute to the overall cost (NDIA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87FBC">
      <w:tc>
        <w:tcPr>
          <w:tcW w:w="2155" w:type="dxa"/>
          <w:tcBorders>
            <w:top w:val="single" w:sz="24" w:space="0" w:color="auto"/>
          </w:tcBorders>
        </w:tcPr>
        <w:p w:rsidR="00187FBC" w:rsidRDefault="00187FBC" w:rsidP="0019293B">
          <w:pPr>
            <w:pStyle w:val="HeaderEven"/>
          </w:pPr>
        </w:p>
      </w:tc>
      <w:tc>
        <w:tcPr>
          <w:tcW w:w="6634" w:type="dxa"/>
          <w:tcBorders>
            <w:top w:val="single" w:sz="6" w:space="0" w:color="auto"/>
          </w:tcBorders>
        </w:tcPr>
        <w:p w:rsidR="00187FBC" w:rsidRDefault="00187FBC" w:rsidP="00232B46">
          <w:pPr>
            <w:pStyle w:val="HeaderEven"/>
            <w:jc w:val="right"/>
          </w:pPr>
        </w:p>
      </w:tc>
    </w:tr>
  </w:tbl>
  <w:p w:rsidR="00187FBC" w:rsidRDefault="00187FBC" w:rsidP="0019293B">
    <w:pPr>
      <w:pStyle w:val="HeaderEnd"/>
    </w:pPr>
  </w:p>
  <w:p w:rsidR="00187FBC" w:rsidRDefault="00187FB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7FBC">
      <w:tc>
        <w:tcPr>
          <w:tcW w:w="6634" w:type="dxa"/>
          <w:tcBorders>
            <w:top w:val="single" w:sz="6" w:space="0" w:color="auto"/>
          </w:tcBorders>
        </w:tcPr>
        <w:p w:rsidR="00187FBC" w:rsidRDefault="00187FBC" w:rsidP="007050A3">
          <w:pPr>
            <w:pStyle w:val="HeaderOdd"/>
          </w:pPr>
        </w:p>
      </w:tc>
      <w:tc>
        <w:tcPr>
          <w:tcW w:w="2155" w:type="dxa"/>
          <w:tcBorders>
            <w:top w:val="single" w:sz="24" w:space="0" w:color="auto"/>
          </w:tcBorders>
        </w:tcPr>
        <w:p w:rsidR="00187FBC" w:rsidRDefault="00187FBC" w:rsidP="00E669E2">
          <w:pPr>
            <w:pStyle w:val="HeaderOdd"/>
          </w:pPr>
        </w:p>
      </w:tc>
    </w:tr>
  </w:tbl>
  <w:p w:rsidR="00187FBC" w:rsidRDefault="00187FB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1B430ACF"/>
    <w:multiLevelType w:val="hybridMultilevel"/>
    <w:tmpl w:val="AD24ED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4">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7">
    <w:nsid w:val="51F74561"/>
    <w:multiLevelType w:val="singleLevel"/>
    <w:tmpl w:val="ED98921A"/>
    <w:lvl w:ilvl="0">
      <w:start w:val="1"/>
      <w:numFmt w:val="decimal"/>
      <w:lvlText w:val="%1."/>
      <w:legacy w:legacy="1" w:legacySpace="0" w:legacyIndent="340"/>
      <w:lvlJc w:val="left"/>
      <w:pPr>
        <w:ind w:left="340" w:hanging="340"/>
      </w:pPr>
    </w:lvl>
  </w:abstractNum>
  <w:abstractNum w:abstractNumId="2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2">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1320C1E"/>
    <w:multiLevelType w:val="singleLevel"/>
    <w:tmpl w:val="C444122C"/>
    <w:lvl w:ilvl="0">
      <w:start w:val="1"/>
      <w:numFmt w:val="decimal"/>
      <w:lvlText w:val="%1."/>
      <w:legacy w:legacy="1" w:legacySpace="0" w:legacyIndent="284"/>
      <w:lvlJc w:val="left"/>
      <w:pPr>
        <w:ind w:left="284" w:hanging="284"/>
      </w:pPr>
    </w:lvl>
  </w:abstractNum>
  <w:abstractNum w:abstractNumId="4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7F874190"/>
    <w:multiLevelType w:val="hybridMultilevel"/>
    <w:tmpl w:val="DD767326"/>
    <w:lvl w:ilvl="0" w:tplc="0C090001">
      <w:start w:val="1"/>
      <w:numFmt w:val="bullet"/>
      <w:lvlText w:val=""/>
      <w:lvlJc w:val="left"/>
      <w:pPr>
        <w:ind w:left="360" w:hanging="360"/>
      </w:pPr>
      <w:rPr>
        <w:rFonts w:ascii="Symbol" w:hAnsi="Symbol"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3"/>
  </w:num>
  <w:num w:numId="2">
    <w:abstractNumId w:val="10"/>
  </w:num>
  <w:num w:numId="3">
    <w:abstractNumId w:val="46"/>
  </w:num>
  <w:num w:numId="4">
    <w:abstractNumId w:val="7"/>
  </w:num>
  <w:num w:numId="5">
    <w:abstractNumId w:val="28"/>
  </w:num>
  <w:num w:numId="6">
    <w:abstractNumId w:val="9"/>
  </w:num>
  <w:num w:numId="7">
    <w:abstractNumId w:val="41"/>
  </w:num>
  <w:num w:numId="8">
    <w:abstractNumId w:val="31"/>
  </w:num>
  <w:num w:numId="9">
    <w:abstractNumId w:val="47"/>
  </w:num>
  <w:num w:numId="10">
    <w:abstractNumId w:val="20"/>
  </w:num>
  <w:num w:numId="11">
    <w:abstractNumId w:val="16"/>
  </w:num>
  <w:num w:numId="12">
    <w:abstractNumId w:val="29"/>
  </w:num>
  <w:num w:numId="13">
    <w:abstractNumId w:val="15"/>
  </w:num>
  <w:num w:numId="14">
    <w:abstractNumId w:val="14"/>
  </w:num>
  <w:num w:numId="15">
    <w:abstractNumId w:val="22"/>
  </w:num>
  <w:num w:numId="16">
    <w:abstractNumId w:val="25"/>
  </w:num>
  <w:num w:numId="17">
    <w:abstractNumId w:val="33"/>
  </w:num>
  <w:num w:numId="18">
    <w:abstractNumId w:val="18"/>
  </w:num>
  <w:num w:numId="19">
    <w:abstractNumId w:val="49"/>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7"/>
  </w:num>
  <w:num w:numId="28">
    <w:abstractNumId w:val="40"/>
  </w:num>
  <w:num w:numId="29">
    <w:abstractNumId w:val="27"/>
  </w:num>
  <w:num w:numId="30">
    <w:abstractNumId w:val="30"/>
  </w:num>
  <w:num w:numId="31">
    <w:abstractNumId w:val="32"/>
  </w:num>
  <w:num w:numId="32">
    <w:abstractNumId w:val="45"/>
  </w:num>
  <w:num w:numId="33">
    <w:abstractNumId w:val="36"/>
  </w:num>
  <w:num w:numId="34">
    <w:abstractNumId w:val="42"/>
  </w:num>
  <w:num w:numId="35">
    <w:abstractNumId w:val="43"/>
  </w:num>
  <w:num w:numId="36">
    <w:abstractNumId w:val="34"/>
  </w:num>
  <w:num w:numId="37">
    <w:abstractNumId w:val="24"/>
  </w:num>
  <w:num w:numId="38">
    <w:abstractNumId w:val="48"/>
  </w:num>
  <w:num w:numId="39">
    <w:abstractNumId w:val="8"/>
  </w:num>
  <w:num w:numId="40">
    <w:abstractNumId w:val="21"/>
  </w:num>
  <w:num w:numId="41">
    <w:abstractNumId w:val="44"/>
  </w:num>
  <w:num w:numId="42">
    <w:abstractNumId w:val="35"/>
  </w:num>
  <w:num w:numId="43">
    <w:abstractNumId w:val="13"/>
  </w:num>
  <w:num w:numId="44">
    <w:abstractNumId w:val="39"/>
  </w:num>
  <w:num w:numId="45">
    <w:abstractNumId w:val="26"/>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7"/>
  </w:num>
  <w:num w:numId="4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0">
    <w:abstractNumId w:val="38"/>
  </w:num>
  <w:num w:numId="51">
    <w:abstractNumId w:val="17"/>
  </w:num>
  <w:num w:numId="52">
    <w:abstractNumId w:val="28"/>
  </w:num>
  <w:num w:numId="53">
    <w:abstractNumId w:val="23"/>
  </w:num>
  <w:num w:numId="54">
    <w:abstractNumId w:val="19"/>
  </w:num>
  <w:num w:numId="55">
    <w:abstractNumId w:val="7"/>
  </w:num>
  <w:num w:numId="56">
    <w:abstractNumId w:val="28"/>
  </w:num>
  <w:num w:numId="57">
    <w:abstractNumId w:val="29"/>
  </w:num>
  <w:num w:numId="58">
    <w:abstractNumId w:val="28"/>
  </w:num>
  <w:num w:numId="59">
    <w:abstractNumId w:val="28"/>
  </w:num>
  <w:num w:numId="60">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rvices for people with disability"/>
    <w:docVar w:name="ShortReportTitle" w:val="REPORT ON GOVERNMENT SERVICES 2015"/>
  </w:docVars>
  <w:rsids>
    <w:rsidRoot w:val="001F39F2"/>
    <w:rsid w:val="00000665"/>
    <w:rsid w:val="000016A0"/>
    <w:rsid w:val="00002B03"/>
    <w:rsid w:val="00002BFD"/>
    <w:rsid w:val="00002E12"/>
    <w:rsid w:val="00003214"/>
    <w:rsid w:val="00003459"/>
    <w:rsid w:val="000038CE"/>
    <w:rsid w:val="00003E95"/>
    <w:rsid w:val="00005DAC"/>
    <w:rsid w:val="00006E23"/>
    <w:rsid w:val="00007329"/>
    <w:rsid w:val="00007C3B"/>
    <w:rsid w:val="000118F8"/>
    <w:rsid w:val="00012A51"/>
    <w:rsid w:val="00012C77"/>
    <w:rsid w:val="00013F71"/>
    <w:rsid w:val="00014029"/>
    <w:rsid w:val="00014A9A"/>
    <w:rsid w:val="00015031"/>
    <w:rsid w:val="0001512C"/>
    <w:rsid w:val="000152FC"/>
    <w:rsid w:val="0001702E"/>
    <w:rsid w:val="00021A47"/>
    <w:rsid w:val="00021B2E"/>
    <w:rsid w:val="00022DFD"/>
    <w:rsid w:val="00023284"/>
    <w:rsid w:val="000233CD"/>
    <w:rsid w:val="00024544"/>
    <w:rsid w:val="000245AA"/>
    <w:rsid w:val="00024CFE"/>
    <w:rsid w:val="0002561A"/>
    <w:rsid w:val="00025A38"/>
    <w:rsid w:val="000261E8"/>
    <w:rsid w:val="00026C51"/>
    <w:rsid w:val="000324AF"/>
    <w:rsid w:val="00033C37"/>
    <w:rsid w:val="00034645"/>
    <w:rsid w:val="00035A44"/>
    <w:rsid w:val="00035DF8"/>
    <w:rsid w:val="0003664B"/>
    <w:rsid w:val="00037301"/>
    <w:rsid w:val="0004111F"/>
    <w:rsid w:val="00043C8A"/>
    <w:rsid w:val="00044421"/>
    <w:rsid w:val="00044A51"/>
    <w:rsid w:val="00044F4B"/>
    <w:rsid w:val="00045024"/>
    <w:rsid w:val="000453A1"/>
    <w:rsid w:val="00046005"/>
    <w:rsid w:val="0004689D"/>
    <w:rsid w:val="00046B69"/>
    <w:rsid w:val="00047D9D"/>
    <w:rsid w:val="0005257C"/>
    <w:rsid w:val="00054363"/>
    <w:rsid w:val="000565B3"/>
    <w:rsid w:val="00056EC6"/>
    <w:rsid w:val="0005735B"/>
    <w:rsid w:val="00057D00"/>
    <w:rsid w:val="00060ADF"/>
    <w:rsid w:val="00060DC4"/>
    <w:rsid w:val="00061895"/>
    <w:rsid w:val="00062763"/>
    <w:rsid w:val="0006307A"/>
    <w:rsid w:val="00063660"/>
    <w:rsid w:val="00063C12"/>
    <w:rsid w:val="000650D6"/>
    <w:rsid w:val="00067AE2"/>
    <w:rsid w:val="0007150B"/>
    <w:rsid w:val="00071C47"/>
    <w:rsid w:val="00071FBD"/>
    <w:rsid w:val="000748BE"/>
    <w:rsid w:val="00074A53"/>
    <w:rsid w:val="00074C83"/>
    <w:rsid w:val="00074D20"/>
    <w:rsid w:val="000758C7"/>
    <w:rsid w:val="000761F8"/>
    <w:rsid w:val="00076EA6"/>
    <w:rsid w:val="000775F8"/>
    <w:rsid w:val="000802ED"/>
    <w:rsid w:val="000804BD"/>
    <w:rsid w:val="000807C4"/>
    <w:rsid w:val="00080D52"/>
    <w:rsid w:val="00082C62"/>
    <w:rsid w:val="0008320E"/>
    <w:rsid w:val="000835CA"/>
    <w:rsid w:val="00084826"/>
    <w:rsid w:val="00085A45"/>
    <w:rsid w:val="00086254"/>
    <w:rsid w:val="000873D0"/>
    <w:rsid w:val="0008743A"/>
    <w:rsid w:val="000874CB"/>
    <w:rsid w:val="00090CC8"/>
    <w:rsid w:val="00092653"/>
    <w:rsid w:val="00093828"/>
    <w:rsid w:val="000938F5"/>
    <w:rsid w:val="00094524"/>
    <w:rsid w:val="0009555A"/>
    <w:rsid w:val="0009576B"/>
    <w:rsid w:val="00096206"/>
    <w:rsid w:val="000A0334"/>
    <w:rsid w:val="000A0469"/>
    <w:rsid w:val="000A15B6"/>
    <w:rsid w:val="000A1D43"/>
    <w:rsid w:val="000A1DB4"/>
    <w:rsid w:val="000A1E0C"/>
    <w:rsid w:val="000A1FED"/>
    <w:rsid w:val="000A29DF"/>
    <w:rsid w:val="000A3996"/>
    <w:rsid w:val="000A3BDF"/>
    <w:rsid w:val="000A4175"/>
    <w:rsid w:val="000A53A8"/>
    <w:rsid w:val="000A5C73"/>
    <w:rsid w:val="000A68B6"/>
    <w:rsid w:val="000A7349"/>
    <w:rsid w:val="000A77A8"/>
    <w:rsid w:val="000B0D73"/>
    <w:rsid w:val="000B2C51"/>
    <w:rsid w:val="000B601B"/>
    <w:rsid w:val="000C207E"/>
    <w:rsid w:val="000C3E40"/>
    <w:rsid w:val="000C3E64"/>
    <w:rsid w:val="000C3E8A"/>
    <w:rsid w:val="000C4C65"/>
    <w:rsid w:val="000C5659"/>
    <w:rsid w:val="000C6A07"/>
    <w:rsid w:val="000C6A45"/>
    <w:rsid w:val="000D0343"/>
    <w:rsid w:val="000D11FA"/>
    <w:rsid w:val="000D2E3A"/>
    <w:rsid w:val="000D3220"/>
    <w:rsid w:val="000D3280"/>
    <w:rsid w:val="000D57CA"/>
    <w:rsid w:val="000D647C"/>
    <w:rsid w:val="000D69D9"/>
    <w:rsid w:val="000E0F9E"/>
    <w:rsid w:val="000E131A"/>
    <w:rsid w:val="000E17D9"/>
    <w:rsid w:val="000E231C"/>
    <w:rsid w:val="000E327B"/>
    <w:rsid w:val="000E3304"/>
    <w:rsid w:val="000E3BFA"/>
    <w:rsid w:val="000E41C8"/>
    <w:rsid w:val="000E4928"/>
    <w:rsid w:val="000E51C9"/>
    <w:rsid w:val="000E7D8A"/>
    <w:rsid w:val="000F005F"/>
    <w:rsid w:val="000F047B"/>
    <w:rsid w:val="000F1274"/>
    <w:rsid w:val="000F1C96"/>
    <w:rsid w:val="000F1F30"/>
    <w:rsid w:val="000F215F"/>
    <w:rsid w:val="000F24CE"/>
    <w:rsid w:val="000F35F4"/>
    <w:rsid w:val="000F436E"/>
    <w:rsid w:val="000F5B6E"/>
    <w:rsid w:val="000F777A"/>
    <w:rsid w:val="00100632"/>
    <w:rsid w:val="00101D23"/>
    <w:rsid w:val="00102AB0"/>
    <w:rsid w:val="00102FF7"/>
    <w:rsid w:val="00103DF5"/>
    <w:rsid w:val="0010521E"/>
    <w:rsid w:val="00106842"/>
    <w:rsid w:val="00106A49"/>
    <w:rsid w:val="0010712D"/>
    <w:rsid w:val="00107BC7"/>
    <w:rsid w:val="00107DAF"/>
    <w:rsid w:val="00110116"/>
    <w:rsid w:val="00110F6E"/>
    <w:rsid w:val="001111F3"/>
    <w:rsid w:val="001119F9"/>
    <w:rsid w:val="00111C33"/>
    <w:rsid w:val="00113F94"/>
    <w:rsid w:val="00114D99"/>
    <w:rsid w:val="001151BB"/>
    <w:rsid w:val="001166B3"/>
    <w:rsid w:val="0011697F"/>
    <w:rsid w:val="00116C9C"/>
    <w:rsid w:val="00116DE3"/>
    <w:rsid w:val="001170CF"/>
    <w:rsid w:val="001176EF"/>
    <w:rsid w:val="00117A96"/>
    <w:rsid w:val="00117EFA"/>
    <w:rsid w:val="001207A1"/>
    <w:rsid w:val="0012098D"/>
    <w:rsid w:val="00120C6C"/>
    <w:rsid w:val="00121636"/>
    <w:rsid w:val="0012355F"/>
    <w:rsid w:val="0012485D"/>
    <w:rsid w:val="00125346"/>
    <w:rsid w:val="00126EB8"/>
    <w:rsid w:val="00127366"/>
    <w:rsid w:val="0012788D"/>
    <w:rsid w:val="00127E74"/>
    <w:rsid w:val="00130A65"/>
    <w:rsid w:val="00131BC7"/>
    <w:rsid w:val="00131DBD"/>
    <w:rsid w:val="001326AF"/>
    <w:rsid w:val="001328DA"/>
    <w:rsid w:val="001328F7"/>
    <w:rsid w:val="00133131"/>
    <w:rsid w:val="00133E61"/>
    <w:rsid w:val="0013461D"/>
    <w:rsid w:val="00135600"/>
    <w:rsid w:val="00135903"/>
    <w:rsid w:val="001361A1"/>
    <w:rsid w:val="001361A3"/>
    <w:rsid w:val="001363AA"/>
    <w:rsid w:val="00137BED"/>
    <w:rsid w:val="00140388"/>
    <w:rsid w:val="00140B06"/>
    <w:rsid w:val="00140DE7"/>
    <w:rsid w:val="001414E7"/>
    <w:rsid w:val="00141970"/>
    <w:rsid w:val="00142E76"/>
    <w:rsid w:val="001459BE"/>
    <w:rsid w:val="001459E8"/>
    <w:rsid w:val="00145AA8"/>
    <w:rsid w:val="00145F03"/>
    <w:rsid w:val="00146039"/>
    <w:rsid w:val="00146874"/>
    <w:rsid w:val="001469BD"/>
    <w:rsid w:val="00146B50"/>
    <w:rsid w:val="00146CE5"/>
    <w:rsid w:val="00146E1D"/>
    <w:rsid w:val="00147D3B"/>
    <w:rsid w:val="00147FD2"/>
    <w:rsid w:val="00150D0A"/>
    <w:rsid w:val="00151167"/>
    <w:rsid w:val="001526EE"/>
    <w:rsid w:val="00160C69"/>
    <w:rsid w:val="00161261"/>
    <w:rsid w:val="00161353"/>
    <w:rsid w:val="001614F5"/>
    <w:rsid w:val="00161640"/>
    <w:rsid w:val="00164002"/>
    <w:rsid w:val="00164ACB"/>
    <w:rsid w:val="0016630B"/>
    <w:rsid w:val="001663C1"/>
    <w:rsid w:val="0017025C"/>
    <w:rsid w:val="00170497"/>
    <w:rsid w:val="00170C82"/>
    <w:rsid w:val="001721AE"/>
    <w:rsid w:val="0017269C"/>
    <w:rsid w:val="001736E6"/>
    <w:rsid w:val="001739DA"/>
    <w:rsid w:val="00173D10"/>
    <w:rsid w:val="0017544C"/>
    <w:rsid w:val="00176B98"/>
    <w:rsid w:val="00177211"/>
    <w:rsid w:val="001804E8"/>
    <w:rsid w:val="00180789"/>
    <w:rsid w:val="00180AA0"/>
    <w:rsid w:val="00181E58"/>
    <w:rsid w:val="00182D5B"/>
    <w:rsid w:val="001838F1"/>
    <w:rsid w:val="00183E82"/>
    <w:rsid w:val="001842DC"/>
    <w:rsid w:val="001847B8"/>
    <w:rsid w:val="00184F38"/>
    <w:rsid w:val="0018500D"/>
    <w:rsid w:val="00185DCC"/>
    <w:rsid w:val="00187FBC"/>
    <w:rsid w:val="00191413"/>
    <w:rsid w:val="0019293B"/>
    <w:rsid w:val="0019455A"/>
    <w:rsid w:val="00195449"/>
    <w:rsid w:val="00197F0A"/>
    <w:rsid w:val="001A00C8"/>
    <w:rsid w:val="001A0652"/>
    <w:rsid w:val="001A0797"/>
    <w:rsid w:val="001A0C68"/>
    <w:rsid w:val="001A0CA8"/>
    <w:rsid w:val="001A143E"/>
    <w:rsid w:val="001A2413"/>
    <w:rsid w:val="001A2F72"/>
    <w:rsid w:val="001A3A75"/>
    <w:rsid w:val="001A3B47"/>
    <w:rsid w:val="001A4377"/>
    <w:rsid w:val="001A4BAB"/>
    <w:rsid w:val="001A6949"/>
    <w:rsid w:val="001A7646"/>
    <w:rsid w:val="001A7BB8"/>
    <w:rsid w:val="001B0183"/>
    <w:rsid w:val="001B08FD"/>
    <w:rsid w:val="001B3857"/>
    <w:rsid w:val="001B3D75"/>
    <w:rsid w:val="001B5580"/>
    <w:rsid w:val="001B5643"/>
    <w:rsid w:val="001B5BCA"/>
    <w:rsid w:val="001B5ED6"/>
    <w:rsid w:val="001B654D"/>
    <w:rsid w:val="001B7576"/>
    <w:rsid w:val="001B7C37"/>
    <w:rsid w:val="001C0865"/>
    <w:rsid w:val="001C10C8"/>
    <w:rsid w:val="001C1622"/>
    <w:rsid w:val="001C2168"/>
    <w:rsid w:val="001C3ABA"/>
    <w:rsid w:val="001C512C"/>
    <w:rsid w:val="001C58B3"/>
    <w:rsid w:val="001C669E"/>
    <w:rsid w:val="001C7410"/>
    <w:rsid w:val="001C7EB9"/>
    <w:rsid w:val="001D0784"/>
    <w:rsid w:val="001D12A3"/>
    <w:rsid w:val="001D12B9"/>
    <w:rsid w:val="001D2A92"/>
    <w:rsid w:val="001D40AB"/>
    <w:rsid w:val="001D4AA7"/>
    <w:rsid w:val="001D4BEE"/>
    <w:rsid w:val="001D7212"/>
    <w:rsid w:val="001D785B"/>
    <w:rsid w:val="001D78F3"/>
    <w:rsid w:val="001E250B"/>
    <w:rsid w:val="001E2734"/>
    <w:rsid w:val="001E28AE"/>
    <w:rsid w:val="001E3437"/>
    <w:rsid w:val="001E3BA3"/>
    <w:rsid w:val="001E4978"/>
    <w:rsid w:val="001E5F0F"/>
    <w:rsid w:val="001E605C"/>
    <w:rsid w:val="001E643F"/>
    <w:rsid w:val="001E681F"/>
    <w:rsid w:val="001E7BE8"/>
    <w:rsid w:val="001F0248"/>
    <w:rsid w:val="001F26AE"/>
    <w:rsid w:val="001F2DEE"/>
    <w:rsid w:val="001F39F2"/>
    <w:rsid w:val="001F3EB3"/>
    <w:rsid w:val="001F4A13"/>
    <w:rsid w:val="001F5749"/>
    <w:rsid w:val="001F5A6D"/>
    <w:rsid w:val="00200978"/>
    <w:rsid w:val="00200E75"/>
    <w:rsid w:val="00201419"/>
    <w:rsid w:val="002027B5"/>
    <w:rsid w:val="00202C2C"/>
    <w:rsid w:val="0020654F"/>
    <w:rsid w:val="00206C4A"/>
    <w:rsid w:val="00207F01"/>
    <w:rsid w:val="002102F2"/>
    <w:rsid w:val="00210E53"/>
    <w:rsid w:val="00211C1B"/>
    <w:rsid w:val="00212976"/>
    <w:rsid w:val="002137AD"/>
    <w:rsid w:val="00213C0F"/>
    <w:rsid w:val="00214001"/>
    <w:rsid w:val="002140FA"/>
    <w:rsid w:val="00215106"/>
    <w:rsid w:val="00215454"/>
    <w:rsid w:val="00216270"/>
    <w:rsid w:val="002162CA"/>
    <w:rsid w:val="00217BD3"/>
    <w:rsid w:val="002208BA"/>
    <w:rsid w:val="00221478"/>
    <w:rsid w:val="002227C5"/>
    <w:rsid w:val="002229DE"/>
    <w:rsid w:val="002246E3"/>
    <w:rsid w:val="00225FCF"/>
    <w:rsid w:val="00226606"/>
    <w:rsid w:val="002276B3"/>
    <w:rsid w:val="00231774"/>
    <w:rsid w:val="00232292"/>
    <w:rsid w:val="00232B46"/>
    <w:rsid w:val="00235B9E"/>
    <w:rsid w:val="00237B77"/>
    <w:rsid w:val="00240443"/>
    <w:rsid w:val="002407D1"/>
    <w:rsid w:val="00240E57"/>
    <w:rsid w:val="00241689"/>
    <w:rsid w:val="00241794"/>
    <w:rsid w:val="00241C57"/>
    <w:rsid w:val="00242279"/>
    <w:rsid w:val="00242A87"/>
    <w:rsid w:val="00242FB0"/>
    <w:rsid w:val="00244072"/>
    <w:rsid w:val="002450EA"/>
    <w:rsid w:val="002452E8"/>
    <w:rsid w:val="00245596"/>
    <w:rsid w:val="002459A3"/>
    <w:rsid w:val="00245C82"/>
    <w:rsid w:val="002460F7"/>
    <w:rsid w:val="002466CC"/>
    <w:rsid w:val="00247082"/>
    <w:rsid w:val="00247BC9"/>
    <w:rsid w:val="00251348"/>
    <w:rsid w:val="00251435"/>
    <w:rsid w:val="0025199B"/>
    <w:rsid w:val="00254115"/>
    <w:rsid w:val="00255466"/>
    <w:rsid w:val="00255504"/>
    <w:rsid w:val="00255576"/>
    <w:rsid w:val="00256763"/>
    <w:rsid w:val="002617CF"/>
    <w:rsid w:val="00261A53"/>
    <w:rsid w:val="002637E0"/>
    <w:rsid w:val="002639E9"/>
    <w:rsid w:val="00263BEE"/>
    <w:rsid w:val="0026494E"/>
    <w:rsid w:val="00265FEB"/>
    <w:rsid w:val="002675F7"/>
    <w:rsid w:val="0027011A"/>
    <w:rsid w:val="002708C5"/>
    <w:rsid w:val="00270D7A"/>
    <w:rsid w:val="00271E5D"/>
    <w:rsid w:val="0027235C"/>
    <w:rsid w:val="00272FBC"/>
    <w:rsid w:val="002738EF"/>
    <w:rsid w:val="002749DD"/>
    <w:rsid w:val="00274F1A"/>
    <w:rsid w:val="00275112"/>
    <w:rsid w:val="0027537F"/>
    <w:rsid w:val="00275D8E"/>
    <w:rsid w:val="002772B4"/>
    <w:rsid w:val="002773D6"/>
    <w:rsid w:val="00277CBF"/>
    <w:rsid w:val="00280A73"/>
    <w:rsid w:val="0028249F"/>
    <w:rsid w:val="0028432F"/>
    <w:rsid w:val="00285EA8"/>
    <w:rsid w:val="00286A86"/>
    <w:rsid w:val="002875F6"/>
    <w:rsid w:val="00287B38"/>
    <w:rsid w:val="00290A7F"/>
    <w:rsid w:val="00290DAD"/>
    <w:rsid w:val="00291B40"/>
    <w:rsid w:val="0029274A"/>
    <w:rsid w:val="002937E4"/>
    <w:rsid w:val="00293CDD"/>
    <w:rsid w:val="00293D4E"/>
    <w:rsid w:val="00295375"/>
    <w:rsid w:val="0029594D"/>
    <w:rsid w:val="0029640C"/>
    <w:rsid w:val="00296B85"/>
    <w:rsid w:val="00297262"/>
    <w:rsid w:val="002977EB"/>
    <w:rsid w:val="002A0456"/>
    <w:rsid w:val="002A0E6E"/>
    <w:rsid w:val="002A132B"/>
    <w:rsid w:val="002A2F18"/>
    <w:rsid w:val="002A3276"/>
    <w:rsid w:val="002A3F57"/>
    <w:rsid w:val="002A3FE1"/>
    <w:rsid w:val="002A4F8D"/>
    <w:rsid w:val="002A682B"/>
    <w:rsid w:val="002A6A88"/>
    <w:rsid w:val="002A7855"/>
    <w:rsid w:val="002B3B2F"/>
    <w:rsid w:val="002B4008"/>
    <w:rsid w:val="002B4AA4"/>
    <w:rsid w:val="002B5074"/>
    <w:rsid w:val="002B526C"/>
    <w:rsid w:val="002B606A"/>
    <w:rsid w:val="002B6CF2"/>
    <w:rsid w:val="002C1E65"/>
    <w:rsid w:val="002C2225"/>
    <w:rsid w:val="002C3181"/>
    <w:rsid w:val="002C39D3"/>
    <w:rsid w:val="002C3F6A"/>
    <w:rsid w:val="002C4C86"/>
    <w:rsid w:val="002C5493"/>
    <w:rsid w:val="002C5F1D"/>
    <w:rsid w:val="002C683F"/>
    <w:rsid w:val="002C6D0F"/>
    <w:rsid w:val="002C7101"/>
    <w:rsid w:val="002D073B"/>
    <w:rsid w:val="002D0E8E"/>
    <w:rsid w:val="002D0F5B"/>
    <w:rsid w:val="002D248F"/>
    <w:rsid w:val="002D2523"/>
    <w:rsid w:val="002D2F95"/>
    <w:rsid w:val="002D3153"/>
    <w:rsid w:val="002D3FDA"/>
    <w:rsid w:val="002D5288"/>
    <w:rsid w:val="002D58FC"/>
    <w:rsid w:val="002E0FC3"/>
    <w:rsid w:val="002E1DB0"/>
    <w:rsid w:val="002E1E17"/>
    <w:rsid w:val="002E2D0C"/>
    <w:rsid w:val="002E5465"/>
    <w:rsid w:val="002E6026"/>
    <w:rsid w:val="002E6F95"/>
    <w:rsid w:val="002F0D25"/>
    <w:rsid w:val="002F1099"/>
    <w:rsid w:val="002F1649"/>
    <w:rsid w:val="002F528D"/>
    <w:rsid w:val="00301189"/>
    <w:rsid w:val="0030132A"/>
    <w:rsid w:val="00301DDD"/>
    <w:rsid w:val="00302015"/>
    <w:rsid w:val="00302BC1"/>
    <w:rsid w:val="00304D19"/>
    <w:rsid w:val="00304EE2"/>
    <w:rsid w:val="00305A0F"/>
    <w:rsid w:val="00305A72"/>
    <w:rsid w:val="00306720"/>
    <w:rsid w:val="003071FB"/>
    <w:rsid w:val="00310FA7"/>
    <w:rsid w:val="00311F7A"/>
    <w:rsid w:val="00312605"/>
    <w:rsid w:val="003136EA"/>
    <w:rsid w:val="00313BC1"/>
    <w:rsid w:val="00313C80"/>
    <w:rsid w:val="00314052"/>
    <w:rsid w:val="0031570D"/>
    <w:rsid w:val="00316C92"/>
    <w:rsid w:val="00320394"/>
    <w:rsid w:val="0032052D"/>
    <w:rsid w:val="0032063C"/>
    <w:rsid w:val="00321568"/>
    <w:rsid w:val="0032172A"/>
    <w:rsid w:val="0032218A"/>
    <w:rsid w:val="00322375"/>
    <w:rsid w:val="00323C68"/>
    <w:rsid w:val="00323E09"/>
    <w:rsid w:val="00324B1F"/>
    <w:rsid w:val="00324D25"/>
    <w:rsid w:val="00325E2A"/>
    <w:rsid w:val="00326211"/>
    <w:rsid w:val="00326ACD"/>
    <w:rsid w:val="00326B01"/>
    <w:rsid w:val="00326F45"/>
    <w:rsid w:val="00327856"/>
    <w:rsid w:val="003279F9"/>
    <w:rsid w:val="00330004"/>
    <w:rsid w:val="00330F61"/>
    <w:rsid w:val="00331A1E"/>
    <w:rsid w:val="00331CB8"/>
    <w:rsid w:val="00331E22"/>
    <w:rsid w:val="00332386"/>
    <w:rsid w:val="00332AA1"/>
    <w:rsid w:val="00332FE8"/>
    <w:rsid w:val="00333729"/>
    <w:rsid w:val="00333932"/>
    <w:rsid w:val="00334DB4"/>
    <w:rsid w:val="0033512D"/>
    <w:rsid w:val="00335296"/>
    <w:rsid w:val="00336140"/>
    <w:rsid w:val="00336380"/>
    <w:rsid w:val="00336864"/>
    <w:rsid w:val="003372AF"/>
    <w:rsid w:val="003404EE"/>
    <w:rsid w:val="00340E38"/>
    <w:rsid w:val="00341F3E"/>
    <w:rsid w:val="0034225C"/>
    <w:rsid w:val="00343E37"/>
    <w:rsid w:val="003441DE"/>
    <w:rsid w:val="00344A05"/>
    <w:rsid w:val="003454BE"/>
    <w:rsid w:val="003457C2"/>
    <w:rsid w:val="0034600B"/>
    <w:rsid w:val="00346417"/>
    <w:rsid w:val="003478B1"/>
    <w:rsid w:val="00347B8C"/>
    <w:rsid w:val="003518AA"/>
    <w:rsid w:val="003518E8"/>
    <w:rsid w:val="0035202D"/>
    <w:rsid w:val="00352165"/>
    <w:rsid w:val="00353182"/>
    <w:rsid w:val="003533A7"/>
    <w:rsid w:val="003549E6"/>
    <w:rsid w:val="003564A1"/>
    <w:rsid w:val="003565D9"/>
    <w:rsid w:val="003602E1"/>
    <w:rsid w:val="00361A05"/>
    <w:rsid w:val="00361EB7"/>
    <w:rsid w:val="003620F1"/>
    <w:rsid w:val="00362905"/>
    <w:rsid w:val="00362A4D"/>
    <w:rsid w:val="003633B0"/>
    <w:rsid w:val="003644A8"/>
    <w:rsid w:val="0036455E"/>
    <w:rsid w:val="003647E1"/>
    <w:rsid w:val="003649E8"/>
    <w:rsid w:val="00364A2E"/>
    <w:rsid w:val="00364F0D"/>
    <w:rsid w:val="00367803"/>
    <w:rsid w:val="0037026F"/>
    <w:rsid w:val="0037027C"/>
    <w:rsid w:val="00371240"/>
    <w:rsid w:val="00373031"/>
    <w:rsid w:val="00373205"/>
    <w:rsid w:val="00373248"/>
    <w:rsid w:val="00373B20"/>
    <w:rsid w:val="00374731"/>
    <w:rsid w:val="0037567C"/>
    <w:rsid w:val="0037592C"/>
    <w:rsid w:val="00375FFD"/>
    <w:rsid w:val="00376E50"/>
    <w:rsid w:val="003770C7"/>
    <w:rsid w:val="0038082D"/>
    <w:rsid w:val="00381116"/>
    <w:rsid w:val="003818BA"/>
    <w:rsid w:val="00381A2D"/>
    <w:rsid w:val="00381FA8"/>
    <w:rsid w:val="00382CD2"/>
    <w:rsid w:val="003838BB"/>
    <w:rsid w:val="003840B9"/>
    <w:rsid w:val="003855F6"/>
    <w:rsid w:val="00386F06"/>
    <w:rsid w:val="003900E3"/>
    <w:rsid w:val="003910A1"/>
    <w:rsid w:val="003910DC"/>
    <w:rsid w:val="003919F9"/>
    <w:rsid w:val="00391CC7"/>
    <w:rsid w:val="00392741"/>
    <w:rsid w:val="00392B14"/>
    <w:rsid w:val="00392C54"/>
    <w:rsid w:val="003939C4"/>
    <w:rsid w:val="00393E55"/>
    <w:rsid w:val="00394ACA"/>
    <w:rsid w:val="0039529D"/>
    <w:rsid w:val="003969A1"/>
    <w:rsid w:val="00396D87"/>
    <w:rsid w:val="00397AD4"/>
    <w:rsid w:val="003A085B"/>
    <w:rsid w:val="003A0A24"/>
    <w:rsid w:val="003A15E1"/>
    <w:rsid w:val="003A1782"/>
    <w:rsid w:val="003A2DFB"/>
    <w:rsid w:val="003A31D9"/>
    <w:rsid w:val="003A3AFF"/>
    <w:rsid w:val="003A3D09"/>
    <w:rsid w:val="003A3ED5"/>
    <w:rsid w:val="003A44D7"/>
    <w:rsid w:val="003A5155"/>
    <w:rsid w:val="003A5C1F"/>
    <w:rsid w:val="003A5E99"/>
    <w:rsid w:val="003B06BA"/>
    <w:rsid w:val="003B0FB4"/>
    <w:rsid w:val="003B12F3"/>
    <w:rsid w:val="003B3976"/>
    <w:rsid w:val="003B3BAE"/>
    <w:rsid w:val="003B417E"/>
    <w:rsid w:val="003B54EB"/>
    <w:rsid w:val="003B6657"/>
    <w:rsid w:val="003B688E"/>
    <w:rsid w:val="003B6BD6"/>
    <w:rsid w:val="003B7770"/>
    <w:rsid w:val="003C0F43"/>
    <w:rsid w:val="003C16CE"/>
    <w:rsid w:val="003C1FC3"/>
    <w:rsid w:val="003C29AC"/>
    <w:rsid w:val="003C38B5"/>
    <w:rsid w:val="003C3A16"/>
    <w:rsid w:val="003C3BBB"/>
    <w:rsid w:val="003C40EA"/>
    <w:rsid w:val="003C5D99"/>
    <w:rsid w:val="003C623D"/>
    <w:rsid w:val="003C6D16"/>
    <w:rsid w:val="003C6EE8"/>
    <w:rsid w:val="003C7344"/>
    <w:rsid w:val="003C7813"/>
    <w:rsid w:val="003C7BE0"/>
    <w:rsid w:val="003D02F7"/>
    <w:rsid w:val="003D0CDC"/>
    <w:rsid w:val="003D14F2"/>
    <w:rsid w:val="003D1C07"/>
    <w:rsid w:val="003D2205"/>
    <w:rsid w:val="003D309A"/>
    <w:rsid w:val="003D31DC"/>
    <w:rsid w:val="003D5C7D"/>
    <w:rsid w:val="003D619E"/>
    <w:rsid w:val="003D6EE6"/>
    <w:rsid w:val="003D74E0"/>
    <w:rsid w:val="003D7ED5"/>
    <w:rsid w:val="003D7F75"/>
    <w:rsid w:val="003E1186"/>
    <w:rsid w:val="003E207F"/>
    <w:rsid w:val="003E2B20"/>
    <w:rsid w:val="003E2B33"/>
    <w:rsid w:val="003E4234"/>
    <w:rsid w:val="003E5215"/>
    <w:rsid w:val="003E5CAC"/>
    <w:rsid w:val="003E6BB3"/>
    <w:rsid w:val="003E73FF"/>
    <w:rsid w:val="003F0789"/>
    <w:rsid w:val="003F2D49"/>
    <w:rsid w:val="003F3AD0"/>
    <w:rsid w:val="003F3DC1"/>
    <w:rsid w:val="003F4214"/>
    <w:rsid w:val="003F4E5B"/>
    <w:rsid w:val="003F51C4"/>
    <w:rsid w:val="003F53BE"/>
    <w:rsid w:val="003F6FF9"/>
    <w:rsid w:val="00401882"/>
    <w:rsid w:val="00401CBC"/>
    <w:rsid w:val="0040202F"/>
    <w:rsid w:val="004024A7"/>
    <w:rsid w:val="00402536"/>
    <w:rsid w:val="00402B1D"/>
    <w:rsid w:val="00402BE7"/>
    <w:rsid w:val="004032C5"/>
    <w:rsid w:val="00403B34"/>
    <w:rsid w:val="00405E42"/>
    <w:rsid w:val="00405FF5"/>
    <w:rsid w:val="00406311"/>
    <w:rsid w:val="0040650E"/>
    <w:rsid w:val="00406D39"/>
    <w:rsid w:val="004071BF"/>
    <w:rsid w:val="004100C8"/>
    <w:rsid w:val="0041043C"/>
    <w:rsid w:val="00412780"/>
    <w:rsid w:val="00412ACE"/>
    <w:rsid w:val="00413D48"/>
    <w:rsid w:val="00416F19"/>
    <w:rsid w:val="00417066"/>
    <w:rsid w:val="00417B0B"/>
    <w:rsid w:val="0042004C"/>
    <w:rsid w:val="004234DB"/>
    <w:rsid w:val="00423DEC"/>
    <w:rsid w:val="00424058"/>
    <w:rsid w:val="004271D8"/>
    <w:rsid w:val="00427C2A"/>
    <w:rsid w:val="00427F0F"/>
    <w:rsid w:val="00430027"/>
    <w:rsid w:val="004305A6"/>
    <w:rsid w:val="00430D4C"/>
    <w:rsid w:val="00431249"/>
    <w:rsid w:val="0043237B"/>
    <w:rsid w:val="00432A54"/>
    <w:rsid w:val="00434C19"/>
    <w:rsid w:val="00435137"/>
    <w:rsid w:val="0043577B"/>
    <w:rsid w:val="0043605A"/>
    <w:rsid w:val="00436916"/>
    <w:rsid w:val="00437EA5"/>
    <w:rsid w:val="00440BB2"/>
    <w:rsid w:val="0044132D"/>
    <w:rsid w:val="00442223"/>
    <w:rsid w:val="00442534"/>
    <w:rsid w:val="0044315A"/>
    <w:rsid w:val="00444BF4"/>
    <w:rsid w:val="00444C2A"/>
    <w:rsid w:val="00445BA2"/>
    <w:rsid w:val="00445BD4"/>
    <w:rsid w:val="00445E1C"/>
    <w:rsid w:val="00445EE0"/>
    <w:rsid w:val="0045065A"/>
    <w:rsid w:val="00450810"/>
    <w:rsid w:val="004516C0"/>
    <w:rsid w:val="00451AF4"/>
    <w:rsid w:val="004529A9"/>
    <w:rsid w:val="0045559C"/>
    <w:rsid w:val="0045593D"/>
    <w:rsid w:val="00455B62"/>
    <w:rsid w:val="004570CF"/>
    <w:rsid w:val="004611A3"/>
    <w:rsid w:val="0046304B"/>
    <w:rsid w:val="00465494"/>
    <w:rsid w:val="00465838"/>
    <w:rsid w:val="004659D8"/>
    <w:rsid w:val="00465C26"/>
    <w:rsid w:val="00465C68"/>
    <w:rsid w:val="00466280"/>
    <w:rsid w:val="004665E0"/>
    <w:rsid w:val="00466E1E"/>
    <w:rsid w:val="00467145"/>
    <w:rsid w:val="00470BF6"/>
    <w:rsid w:val="004714A2"/>
    <w:rsid w:val="004714AE"/>
    <w:rsid w:val="00472823"/>
    <w:rsid w:val="00472F57"/>
    <w:rsid w:val="00473EF8"/>
    <w:rsid w:val="004745A1"/>
    <w:rsid w:val="00475C0D"/>
    <w:rsid w:val="00476310"/>
    <w:rsid w:val="00477144"/>
    <w:rsid w:val="0047722A"/>
    <w:rsid w:val="00477D82"/>
    <w:rsid w:val="004810BF"/>
    <w:rsid w:val="004814B3"/>
    <w:rsid w:val="0048172D"/>
    <w:rsid w:val="00481A86"/>
    <w:rsid w:val="00481ECA"/>
    <w:rsid w:val="00482102"/>
    <w:rsid w:val="00482457"/>
    <w:rsid w:val="00483F99"/>
    <w:rsid w:val="004843D8"/>
    <w:rsid w:val="00485255"/>
    <w:rsid w:val="0048621C"/>
    <w:rsid w:val="0048643C"/>
    <w:rsid w:val="0048710E"/>
    <w:rsid w:val="00487207"/>
    <w:rsid w:val="0048778F"/>
    <w:rsid w:val="004878A1"/>
    <w:rsid w:val="00487B1D"/>
    <w:rsid w:val="0049144E"/>
    <w:rsid w:val="00491E83"/>
    <w:rsid w:val="00492129"/>
    <w:rsid w:val="004922E2"/>
    <w:rsid w:val="0049459F"/>
    <w:rsid w:val="00494E73"/>
    <w:rsid w:val="0049532F"/>
    <w:rsid w:val="004964B8"/>
    <w:rsid w:val="004964DB"/>
    <w:rsid w:val="00496DF4"/>
    <w:rsid w:val="0049705B"/>
    <w:rsid w:val="004A0228"/>
    <w:rsid w:val="004A1D0C"/>
    <w:rsid w:val="004A38DD"/>
    <w:rsid w:val="004A3F42"/>
    <w:rsid w:val="004A4486"/>
    <w:rsid w:val="004A4970"/>
    <w:rsid w:val="004A5086"/>
    <w:rsid w:val="004A52E3"/>
    <w:rsid w:val="004A559C"/>
    <w:rsid w:val="004A661E"/>
    <w:rsid w:val="004A7205"/>
    <w:rsid w:val="004A7743"/>
    <w:rsid w:val="004B1196"/>
    <w:rsid w:val="004B2198"/>
    <w:rsid w:val="004B2225"/>
    <w:rsid w:val="004B42C1"/>
    <w:rsid w:val="004B43AE"/>
    <w:rsid w:val="004B5618"/>
    <w:rsid w:val="004B60C8"/>
    <w:rsid w:val="004B691F"/>
    <w:rsid w:val="004B7037"/>
    <w:rsid w:val="004B76D5"/>
    <w:rsid w:val="004C10F7"/>
    <w:rsid w:val="004C134B"/>
    <w:rsid w:val="004C30ED"/>
    <w:rsid w:val="004C674F"/>
    <w:rsid w:val="004C7F59"/>
    <w:rsid w:val="004D1147"/>
    <w:rsid w:val="004D14FE"/>
    <w:rsid w:val="004D1756"/>
    <w:rsid w:val="004D35B9"/>
    <w:rsid w:val="004D3B73"/>
    <w:rsid w:val="004D5675"/>
    <w:rsid w:val="004D5714"/>
    <w:rsid w:val="004D6CC0"/>
    <w:rsid w:val="004D737D"/>
    <w:rsid w:val="004D73EE"/>
    <w:rsid w:val="004D7BF0"/>
    <w:rsid w:val="004E04A9"/>
    <w:rsid w:val="004E1123"/>
    <w:rsid w:val="004E196D"/>
    <w:rsid w:val="004E251C"/>
    <w:rsid w:val="004E413C"/>
    <w:rsid w:val="004E414E"/>
    <w:rsid w:val="004E549D"/>
    <w:rsid w:val="004E5CBA"/>
    <w:rsid w:val="004E5FD2"/>
    <w:rsid w:val="004E7B38"/>
    <w:rsid w:val="004F1834"/>
    <w:rsid w:val="004F2097"/>
    <w:rsid w:val="004F25C1"/>
    <w:rsid w:val="004F485C"/>
    <w:rsid w:val="004F5150"/>
    <w:rsid w:val="004F612E"/>
    <w:rsid w:val="004F6492"/>
    <w:rsid w:val="004F6A1E"/>
    <w:rsid w:val="004F750C"/>
    <w:rsid w:val="004F7EB9"/>
    <w:rsid w:val="0050037C"/>
    <w:rsid w:val="00500CB5"/>
    <w:rsid w:val="00501671"/>
    <w:rsid w:val="00501CBE"/>
    <w:rsid w:val="005035B1"/>
    <w:rsid w:val="00503D6E"/>
    <w:rsid w:val="00504AE9"/>
    <w:rsid w:val="00505678"/>
    <w:rsid w:val="00505B60"/>
    <w:rsid w:val="005109F7"/>
    <w:rsid w:val="00512DAF"/>
    <w:rsid w:val="00513E2B"/>
    <w:rsid w:val="005141DE"/>
    <w:rsid w:val="00514ABA"/>
    <w:rsid w:val="00515779"/>
    <w:rsid w:val="0051614A"/>
    <w:rsid w:val="00516C52"/>
    <w:rsid w:val="0051710D"/>
    <w:rsid w:val="00517B98"/>
    <w:rsid w:val="00520D14"/>
    <w:rsid w:val="00521306"/>
    <w:rsid w:val="00523639"/>
    <w:rsid w:val="0052417E"/>
    <w:rsid w:val="00524CD8"/>
    <w:rsid w:val="0052551C"/>
    <w:rsid w:val="005255E8"/>
    <w:rsid w:val="00525A0A"/>
    <w:rsid w:val="005266D2"/>
    <w:rsid w:val="00526F09"/>
    <w:rsid w:val="00530DEE"/>
    <w:rsid w:val="00532C33"/>
    <w:rsid w:val="00532D7E"/>
    <w:rsid w:val="00533FE6"/>
    <w:rsid w:val="00536A19"/>
    <w:rsid w:val="00536AEC"/>
    <w:rsid w:val="00540EE7"/>
    <w:rsid w:val="005414A3"/>
    <w:rsid w:val="00542CB2"/>
    <w:rsid w:val="005430A4"/>
    <w:rsid w:val="00544897"/>
    <w:rsid w:val="00544A81"/>
    <w:rsid w:val="0054632C"/>
    <w:rsid w:val="0054638E"/>
    <w:rsid w:val="005468A5"/>
    <w:rsid w:val="00546C7D"/>
    <w:rsid w:val="00547561"/>
    <w:rsid w:val="00547B21"/>
    <w:rsid w:val="00550542"/>
    <w:rsid w:val="00550C2A"/>
    <w:rsid w:val="00550DEF"/>
    <w:rsid w:val="005525BC"/>
    <w:rsid w:val="005526AD"/>
    <w:rsid w:val="005530C5"/>
    <w:rsid w:val="005538E6"/>
    <w:rsid w:val="00554393"/>
    <w:rsid w:val="005547FD"/>
    <w:rsid w:val="0055607D"/>
    <w:rsid w:val="00556562"/>
    <w:rsid w:val="00560255"/>
    <w:rsid w:val="0056028E"/>
    <w:rsid w:val="0056034A"/>
    <w:rsid w:val="005611F8"/>
    <w:rsid w:val="005615F2"/>
    <w:rsid w:val="00561687"/>
    <w:rsid w:val="00561CB9"/>
    <w:rsid w:val="00562084"/>
    <w:rsid w:val="00562ABE"/>
    <w:rsid w:val="00562C24"/>
    <w:rsid w:val="00562E63"/>
    <w:rsid w:val="005633AE"/>
    <w:rsid w:val="00566D61"/>
    <w:rsid w:val="00567316"/>
    <w:rsid w:val="00567C09"/>
    <w:rsid w:val="00567C2A"/>
    <w:rsid w:val="00570042"/>
    <w:rsid w:val="005700D0"/>
    <w:rsid w:val="00570C28"/>
    <w:rsid w:val="005721CF"/>
    <w:rsid w:val="00572284"/>
    <w:rsid w:val="00573424"/>
    <w:rsid w:val="005737A3"/>
    <w:rsid w:val="00573E6D"/>
    <w:rsid w:val="0057455E"/>
    <w:rsid w:val="005760EA"/>
    <w:rsid w:val="0057627A"/>
    <w:rsid w:val="005763DF"/>
    <w:rsid w:val="005763EC"/>
    <w:rsid w:val="00576908"/>
    <w:rsid w:val="005777E3"/>
    <w:rsid w:val="00577AC1"/>
    <w:rsid w:val="00580357"/>
    <w:rsid w:val="0058072E"/>
    <w:rsid w:val="0058186F"/>
    <w:rsid w:val="00582643"/>
    <w:rsid w:val="00583C39"/>
    <w:rsid w:val="00585E2C"/>
    <w:rsid w:val="005868D1"/>
    <w:rsid w:val="005876C7"/>
    <w:rsid w:val="005909CF"/>
    <w:rsid w:val="00590F00"/>
    <w:rsid w:val="00590FD3"/>
    <w:rsid w:val="00591C09"/>
    <w:rsid w:val="00591E71"/>
    <w:rsid w:val="00595760"/>
    <w:rsid w:val="00595B55"/>
    <w:rsid w:val="005964AA"/>
    <w:rsid w:val="0059718D"/>
    <w:rsid w:val="005A080A"/>
    <w:rsid w:val="005A0D41"/>
    <w:rsid w:val="005A12CF"/>
    <w:rsid w:val="005A2FB5"/>
    <w:rsid w:val="005A4405"/>
    <w:rsid w:val="005A65D0"/>
    <w:rsid w:val="005A7EF5"/>
    <w:rsid w:val="005B01DD"/>
    <w:rsid w:val="005B01E2"/>
    <w:rsid w:val="005B065A"/>
    <w:rsid w:val="005B097B"/>
    <w:rsid w:val="005B1357"/>
    <w:rsid w:val="005B136F"/>
    <w:rsid w:val="005B4041"/>
    <w:rsid w:val="005B409A"/>
    <w:rsid w:val="005B41A4"/>
    <w:rsid w:val="005B6471"/>
    <w:rsid w:val="005B6793"/>
    <w:rsid w:val="005B7885"/>
    <w:rsid w:val="005C02BD"/>
    <w:rsid w:val="005C042B"/>
    <w:rsid w:val="005C189D"/>
    <w:rsid w:val="005C1E7A"/>
    <w:rsid w:val="005C1FEA"/>
    <w:rsid w:val="005C20A2"/>
    <w:rsid w:val="005C36A7"/>
    <w:rsid w:val="005C4033"/>
    <w:rsid w:val="005C4150"/>
    <w:rsid w:val="005C4FBB"/>
    <w:rsid w:val="005C51DD"/>
    <w:rsid w:val="005C5F30"/>
    <w:rsid w:val="005C6A51"/>
    <w:rsid w:val="005C70FC"/>
    <w:rsid w:val="005D0D69"/>
    <w:rsid w:val="005D189E"/>
    <w:rsid w:val="005D1CC2"/>
    <w:rsid w:val="005D1D90"/>
    <w:rsid w:val="005D2AD1"/>
    <w:rsid w:val="005D438E"/>
    <w:rsid w:val="005D45EF"/>
    <w:rsid w:val="005D5B2B"/>
    <w:rsid w:val="005D67DF"/>
    <w:rsid w:val="005D6C8F"/>
    <w:rsid w:val="005E02FD"/>
    <w:rsid w:val="005E05BB"/>
    <w:rsid w:val="005E126E"/>
    <w:rsid w:val="005E19A6"/>
    <w:rsid w:val="005E1D0C"/>
    <w:rsid w:val="005E33A0"/>
    <w:rsid w:val="005E44F4"/>
    <w:rsid w:val="005E5120"/>
    <w:rsid w:val="005E78BB"/>
    <w:rsid w:val="005E7A9E"/>
    <w:rsid w:val="005E7EBC"/>
    <w:rsid w:val="005E7FE1"/>
    <w:rsid w:val="005F03FB"/>
    <w:rsid w:val="005F04A3"/>
    <w:rsid w:val="005F060E"/>
    <w:rsid w:val="005F06FB"/>
    <w:rsid w:val="005F0C2C"/>
    <w:rsid w:val="005F0D64"/>
    <w:rsid w:val="005F0E4F"/>
    <w:rsid w:val="005F4C6C"/>
    <w:rsid w:val="005F5305"/>
    <w:rsid w:val="005F62E2"/>
    <w:rsid w:val="005F64DE"/>
    <w:rsid w:val="005F749D"/>
    <w:rsid w:val="005F7915"/>
    <w:rsid w:val="005F7BA3"/>
    <w:rsid w:val="00600295"/>
    <w:rsid w:val="006012F0"/>
    <w:rsid w:val="00601595"/>
    <w:rsid w:val="00601BE2"/>
    <w:rsid w:val="006025BC"/>
    <w:rsid w:val="00602E9F"/>
    <w:rsid w:val="006036DD"/>
    <w:rsid w:val="00604140"/>
    <w:rsid w:val="0060435E"/>
    <w:rsid w:val="006055B1"/>
    <w:rsid w:val="00606909"/>
    <w:rsid w:val="00607BF1"/>
    <w:rsid w:val="00610020"/>
    <w:rsid w:val="00610515"/>
    <w:rsid w:val="0061162B"/>
    <w:rsid w:val="00612159"/>
    <w:rsid w:val="00612AF9"/>
    <w:rsid w:val="00612EA6"/>
    <w:rsid w:val="00613B98"/>
    <w:rsid w:val="00614FC2"/>
    <w:rsid w:val="006152DC"/>
    <w:rsid w:val="00615DC6"/>
    <w:rsid w:val="00617999"/>
    <w:rsid w:val="00620BF7"/>
    <w:rsid w:val="0062112F"/>
    <w:rsid w:val="00622D51"/>
    <w:rsid w:val="006248C4"/>
    <w:rsid w:val="00626455"/>
    <w:rsid w:val="00626A1F"/>
    <w:rsid w:val="00627800"/>
    <w:rsid w:val="006278FC"/>
    <w:rsid w:val="0063095F"/>
    <w:rsid w:val="00630D4D"/>
    <w:rsid w:val="00630FC8"/>
    <w:rsid w:val="00631DBC"/>
    <w:rsid w:val="00632029"/>
    <w:rsid w:val="00632A74"/>
    <w:rsid w:val="00632ED8"/>
    <w:rsid w:val="00633C6C"/>
    <w:rsid w:val="00634483"/>
    <w:rsid w:val="00634A44"/>
    <w:rsid w:val="00635249"/>
    <w:rsid w:val="006356CD"/>
    <w:rsid w:val="00635820"/>
    <w:rsid w:val="00636681"/>
    <w:rsid w:val="00636E5C"/>
    <w:rsid w:val="006372D4"/>
    <w:rsid w:val="00637F91"/>
    <w:rsid w:val="00643BA6"/>
    <w:rsid w:val="0064403E"/>
    <w:rsid w:val="00644D96"/>
    <w:rsid w:val="00644F92"/>
    <w:rsid w:val="0064601E"/>
    <w:rsid w:val="00647033"/>
    <w:rsid w:val="006517C8"/>
    <w:rsid w:val="00651C61"/>
    <w:rsid w:val="00652860"/>
    <w:rsid w:val="006530CA"/>
    <w:rsid w:val="00653D93"/>
    <w:rsid w:val="00654B4D"/>
    <w:rsid w:val="00655E3A"/>
    <w:rsid w:val="00657898"/>
    <w:rsid w:val="006606E4"/>
    <w:rsid w:val="00661A1B"/>
    <w:rsid w:val="00661A7A"/>
    <w:rsid w:val="00662C73"/>
    <w:rsid w:val="00662FDC"/>
    <w:rsid w:val="0066321D"/>
    <w:rsid w:val="00663BBF"/>
    <w:rsid w:val="00663EB3"/>
    <w:rsid w:val="00664256"/>
    <w:rsid w:val="00664405"/>
    <w:rsid w:val="00666154"/>
    <w:rsid w:val="00666392"/>
    <w:rsid w:val="006665C4"/>
    <w:rsid w:val="00667A85"/>
    <w:rsid w:val="0067005C"/>
    <w:rsid w:val="006703B1"/>
    <w:rsid w:val="00670DE9"/>
    <w:rsid w:val="00670FB9"/>
    <w:rsid w:val="00671BA1"/>
    <w:rsid w:val="00671FE4"/>
    <w:rsid w:val="006727D0"/>
    <w:rsid w:val="006727DC"/>
    <w:rsid w:val="00672CEC"/>
    <w:rsid w:val="006731B7"/>
    <w:rsid w:val="0067322D"/>
    <w:rsid w:val="00673BE8"/>
    <w:rsid w:val="0067540D"/>
    <w:rsid w:val="006757A1"/>
    <w:rsid w:val="00676FC8"/>
    <w:rsid w:val="00677397"/>
    <w:rsid w:val="0067750F"/>
    <w:rsid w:val="00677973"/>
    <w:rsid w:val="00677AFA"/>
    <w:rsid w:val="00677E6C"/>
    <w:rsid w:val="00683393"/>
    <w:rsid w:val="006838A1"/>
    <w:rsid w:val="006842DC"/>
    <w:rsid w:val="0068449D"/>
    <w:rsid w:val="00685295"/>
    <w:rsid w:val="006852C5"/>
    <w:rsid w:val="00685AE1"/>
    <w:rsid w:val="00686415"/>
    <w:rsid w:val="006873DA"/>
    <w:rsid w:val="006875D3"/>
    <w:rsid w:val="00687994"/>
    <w:rsid w:val="00687C15"/>
    <w:rsid w:val="00690472"/>
    <w:rsid w:val="00690E46"/>
    <w:rsid w:val="006923D9"/>
    <w:rsid w:val="00692DA9"/>
    <w:rsid w:val="00692E9C"/>
    <w:rsid w:val="00694B3B"/>
    <w:rsid w:val="00694CCF"/>
    <w:rsid w:val="00694D06"/>
    <w:rsid w:val="00697867"/>
    <w:rsid w:val="006979F7"/>
    <w:rsid w:val="006A1F45"/>
    <w:rsid w:val="006A2450"/>
    <w:rsid w:val="006A2C28"/>
    <w:rsid w:val="006A4655"/>
    <w:rsid w:val="006A5970"/>
    <w:rsid w:val="006A6FE4"/>
    <w:rsid w:val="006A73EF"/>
    <w:rsid w:val="006B0045"/>
    <w:rsid w:val="006B2B3C"/>
    <w:rsid w:val="006B3016"/>
    <w:rsid w:val="006B311C"/>
    <w:rsid w:val="006B33C9"/>
    <w:rsid w:val="006B3C61"/>
    <w:rsid w:val="006B3E8F"/>
    <w:rsid w:val="006B51BC"/>
    <w:rsid w:val="006B540B"/>
    <w:rsid w:val="006B69A1"/>
    <w:rsid w:val="006B6CE7"/>
    <w:rsid w:val="006B6E35"/>
    <w:rsid w:val="006C0C0A"/>
    <w:rsid w:val="006C15C4"/>
    <w:rsid w:val="006C1D9D"/>
    <w:rsid w:val="006C2651"/>
    <w:rsid w:val="006C28D0"/>
    <w:rsid w:val="006C292C"/>
    <w:rsid w:val="006C325E"/>
    <w:rsid w:val="006C3364"/>
    <w:rsid w:val="006C5F8E"/>
    <w:rsid w:val="006C61C3"/>
    <w:rsid w:val="006C6C5C"/>
    <w:rsid w:val="006C7038"/>
    <w:rsid w:val="006C7D95"/>
    <w:rsid w:val="006D25A6"/>
    <w:rsid w:val="006D3E4E"/>
    <w:rsid w:val="006D402D"/>
    <w:rsid w:val="006D5230"/>
    <w:rsid w:val="006D5A49"/>
    <w:rsid w:val="006D7251"/>
    <w:rsid w:val="006D752A"/>
    <w:rsid w:val="006D76E5"/>
    <w:rsid w:val="006D7BF2"/>
    <w:rsid w:val="006E0D52"/>
    <w:rsid w:val="006E200B"/>
    <w:rsid w:val="006E284A"/>
    <w:rsid w:val="006E2941"/>
    <w:rsid w:val="006E2990"/>
    <w:rsid w:val="006E55ED"/>
    <w:rsid w:val="006E6B7F"/>
    <w:rsid w:val="006E6CCC"/>
    <w:rsid w:val="006E73EF"/>
    <w:rsid w:val="006E7603"/>
    <w:rsid w:val="006F166D"/>
    <w:rsid w:val="006F273A"/>
    <w:rsid w:val="006F2E4D"/>
    <w:rsid w:val="006F31FA"/>
    <w:rsid w:val="006F38FE"/>
    <w:rsid w:val="006F39A7"/>
    <w:rsid w:val="006F3E9E"/>
    <w:rsid w:val="006F51F0"/>
    <w:rsid w:val="006F6DBB"/>
    <w:rsid w:val="00700A1C"/>
    <w:rsid w:val="00700A48"/>
    <w:rsid w:val="00701720"/>
    <w:rsid w:val="00701D17"/>
    <w:rsid w:val="00702AA6"/>
    <w:rsid w:val="007031C6"/>
    <w:rsid w:val="007041C8"/>
    <w:rsid w:val="007050A3"/>
    <w:rsid w:val="007058B9"/>
    <w:rsid w:val="00706F92"/>
    <w:rsid w:val="0070764C"/>
    <w:rsid w:val="00707B90"/>
    <w:rsid w:val="00710693"/>
    <w:rsid w:val="007109B6"/>
    <w:rsid w:val="00710FE2"/>
    <w:rsid w:val="0071133E"/>
    <w:rsid w:val="007114C5"/>
    <w:rsid w:val="00711D27"/>
    <w:rsid w:val="007135E8"/>
    <w:rsid w:val="00714D4D"/>
    <w:rsid w:val="00714F73"/>
    <w:rsid w:val="00715317"/>
    <w:rsid w:val="00715D99"/>
    <w:rsid w:val="0071748B"/>
    <w:rsid w:val="00717CE1"/>
    <w:rsid w:val="0072106B"/>
    <w:rsid w:val="00721E38"/>
    <w:rsid w:val="00722004"/>
    <w:rsid w:val="00722AE0"/>
    <w:rsid w:val="00722EEE"/>
    <w:rsid w:val="00724162"/>
    <w:rsid w:val="00724470"/>
    <w:rsid w:val="00725957"/>
    <w:rsid w:val="00725EC6"/>
    <w:rsid w:val="0072610D"/>
    <w:rsid w:val="007265EE"/>
    <w:rsid w:val="0072722A"/>
    <w:rsid w:val="00727B3B"/>
    <w:rsid w:val="00727C93"/>
    <w:rsid w:val="00730B6D"/>
    <w:rsid w:val="00730EA6"/>
    <w:rsid w:val="00731A54"/>
    <w:rsid w:val="007336AA"/>
    <w:rsid w:val="00734116"/>
    <w:rsid w:val="007343C6"/>
    <w:rsid w:val="007354C8"/>
    <w:rsid w:val="0073569E"/>
    <w:rsid w:val="00736BFE"/>
    <w:rsid w:val="00737134"/>
    <w:rsid w:val="007371B0"/>
    <w:rsid w:val="0074180A"/>
    <w:rsid w:val="00741A8F"/>
    <w:rsid w:val="00741A9B"/>
    <w:rsid w:val="00743448"/>
    <w:rsid w:val="007447B4"/>
    <w:rsid w:val="007451A6"/>
    <w:rsid w:val="007455E2"/>
    <w:rsid w:val="007461AC"/>
    <w:rsid w:val="0074679E"/>
    <w:rsid w:val="00746B8D"/>
    <w:rsid w:val="00746E13"/>
    <w:rsid w:val="00747B6A"/>
    <w:rsid w:val="0075048D"/>
    <w:rsid w:val="00750AC4"/>
    <w:rsid w:val="00750CA2"/>
    <w:rsid w:val="00751636"/>
    <w:rsid w:val="00754CD6"/>
    <w:rsid w:val="00754DCA"/>
    <w:rsid w:val="007554C2"/>
    <w:rsid w:val="00756294"/>
    <w:rsid w:val="00757C4D"/>
    <w:rsid w:val="007604BB"/>
    <w:rsid w:val="00761415"/>
    <w:rsid w:val="007623C2"/>
    <w:rsid w:val="00762EB0"/>
    <w:rsid w:val="00762FF4"/>
    <w:rsid w:val="00763503"/>
    <w:rsid w:val="0076443B"/>
    <w:rsid w:val="0076507C"/>
    <w:rsid w:val="0076678A"/>
    <w:rsid w:val="007678AB"/>
    <w:rsid w:val="00767CC1"/>
    <w:rsid w:val="0077044D"/>
    <w:rsid w:val="007717E7"/>
    <w:rsid w:val="0077191E"/>
    <w:rsid w:val="007732D8"/>
    <w:rsid w:val="007733FA"/>
    <w:rsid w:val="00773EB8"/>
    <w:rsid w:val="00774264"/>
    <w:rsid w:val="00774A5D"/>
    <w:rsid w:val="00774BC3"/>
    <w:rsid w:val="00774D3B"/>
    <w:rsid w:val="007756EF"/>
    <w:rsid w:val="00776064"/>
    <w:rsid w:val="0078212A"/>
    <w:rsid w:val="0078245D"/>
    <w:rsid w:val="00782DFB"/>
    <w:rsid w:val="00784223"/>
    <w:rsid w:val="00785232"/>
    <w:rsid w:val="00785CFA"/>
    <w:rsid w:val="00785D81"/>
    <w:rsid w:val="00785DC4"/>
    <w:rsid w:val="00786F34"/>
    <w:rsid w:val="0079022B"/>
    <w:rsid w:val="00790BFD"/>
    <w:rsid w:val="00790FC1"/>
    <w:rsid w:val="00792337"/>
    <w:rsid w:val="00792F9B"/>
    <w:rsid w:val="0079394C"/>
    <w:rsid w:val="00793A9A"/>
    <w:rsid w:val="0079434A"/>
    <w:rsid w:val="00795794"/>
    <w:rsid w:val="00795979"/>
    <w:rsid w:val="00796D39"/>
    <w:rsid w:val="007A051D"/>
    <w:rsid w:val="007A173E"/>
    <w:rsid w:val="007A17B6"/>
    <w:rsid w:val="007A1F4F"/>
    <w:rsid w:val="007A21EB"/>
    <w:rsid w:val="007A3485"/>
    <w:rsid w:val="007A3D67"/>
    <w:rsid w:val="007A51D2"/>
    <w:rsid w:val="007A555F"/>
    <w:rsid w:val="007A5BEA"/>
    <w:rsid w:val="007A6964"/>
    <w:rsid w:val="007A7C20"/>
    <w:rsid w:val="007B047D"/>
    <w:rsid w:val="007B05C6"/>
    <w:rsid w:val="007B14B1"/>
    <w:rsid w:val="007B7B66"/>
    <w:rsid w:val="007C1342"/>
    <w:rsid w:val="007C36C9"/>
    <w:rsid w:val="007C41B5"/>
    <w:rsid w:val="007C4B0F"/>
    <w:rsid w:val="007C6510"/>
    <w:rsid w:val="007C757D"/>
    <w:rsid w:val="007D044A"/>
    <w:rsid w:val="007D058F"/>
    <w:rsid w:val="007D184D"/>
    <w:rsid w:val="007D1FFF"/>
    <w:rsid w:val="007D403A"/>
    <w:rsid w:val="007D45DE"/>
    <w:rsid w:val="007D4C31"/>
    <w:rsid w:val="007D5AAA"/>
    <w:rsid w:val="007D611F"/>
    <w:rsid w:val="007D7687"/>
    <w:rsid w:val="007E01E4"/>
    <w:rsid w:val="007E0FDC"/>
    <w:rsid w:val="007E36F1"/>
    <w:rsid w:val="007E3795"/>
    <w:rsid w:val="007E4549"/>
    <w:rsid w:val="007E4B10"/>
    <w:rsid w:val="007E57E0"/>
    <w:rsid w:val="007E59D3"/>
    <w:rsid w:val="007E5BCD"/>
    <w:rsid w:val="007E6C6A"/>
    <w:rsid w:val="007E6C73"/>
    <w:rsid w:val="007E6D81"/>
    <w:rsid w:val="007F13CB"/>
    <w:rsid w:val="007F1A2B"/>
    <w:rsid w:val="007F2DAD"/>
    <w:rsid w:val="007F334A"/>
    <w:rsid w:val="007F3C76"/>
    <w:rsid w:val="007F5716"/>
    <w:rsid w:val="007F5C64"/>
    <w:rsid w:val="007F5E73"/>
    <w:rsid w:val="007F6032"/>
    <w:rsid w:val="007F7107"/>
    <w:rsid w:val="0080042E"/>
    <w:rsid w:val="00802A7D"/>
    <w:rsid w:val="00802B93"/>
    <w:rsid w:val="00803632"/>
    <w:rsid w:val="00803C75"/>
    <w:rsid w:val="00806AFF"/>
    <w:rsid w:val="00806EAF"/>
    <w:rsid w:val="0081030F"/>
    <w:rsid w:val="00810BD4"/>
    <w:rsid w:val="00810FF9"/>
    <w:rsid w:val="00811597"/>
    <w:rsid w:val="0081187C"/>
    <w:rsid w:val="0081279E"/>
    <w:rsid w:val="00813E97"/>
    <w:rsid w:val="008203BF"/>
    <w:rsid w:val="0082087D"/>
    <w:rsid w:val="00821B66"/>
    <w:rsid w:val="00821CE5"/>
    <w:rsid w:val="00821EB3"/>
    <w:rsid w:val="008244C0"/>
    <w:rsid w:val="00824DB2"/>
    <w:rsid w:val="008276B1"/>
    <w:rsid w:val="00827BAE"/>
    <w:rsid w:val="00831D4F"/>
    <w:rsid w:val="00831ED4"/>
    <w:rsid w:val="00832519"/>
    <w:rsid w:val="00833F46"/>
    <w:rsid w:val="00834CC4"/>
    <w:rsid w:val="00835A89"/>
    <w:rsid w:val="00836755"/>
    <w:rsid w:val="00836BD6"/>
    <w:rsid w:val="00837E56"/>
    <w:rsid w:val="008406C3"/>
    <w:rsid w:val="008410DC"/>
    <w:rsid w:val="008410EF"/>
    <w:rsid w:val="00841255"/>
    <w:rsid w:val="00841912"/>
    <w:rsid w:val="00841C3F"/>
    <w:rsid w:val="00842933"/>
    <w:rsid w:val="00843951"/>
    <w:rsid w:val="0084404E"/>
    <w:rsid w:val="00845A5C"/>
    <w:rsid w:val="008468D4"/>
    <w:rsid w:val="00846FA6"/>
    <w:rsid w:val="00847EFC"/>
    <w:rsid w:val="00850112"/>
    <w:rsid w:val="00850B9F"/>
    <w:rsid w:val="008515B1"/>
    <w:rsid w:val="0085284B"/>
    <w:rsid w:val="00853ABF"/>
    <w:rsid w:val="0086082C"/>
    <w:rsid w:val="0086127D"/>
    <w:rsid w:val="0086157F"/>
    <w:rsid w:val="0086285D"/>
    <w:rsid w:val="00864ADC"/>
    <w:rsid w:val="0086670B"/>
    <w:rsid w:val="008674E6"/>
    <w:rsid w:val="008704B6"/>
    <w:rsid w:val="00870952"/>
    <w:rsid w:val="00870997"/>
    <w:rsid w:val="0087424F"/>
    <w:rsid w:val="0087466F"/>
    <w:rsid w:val="0087571E"/>
    <w:rsid w:val="00875C9D"/>
    <w:rsid w:val="00877CCC"/>
    <w:rsid w:val="00877E4C"/>
    <w:rsid w:val="00880153"/>
    <w:rsid w:val="008807A1"/>
    <w:rsid w:val="00880F97"/>
    <w:rsid w:val="0088133A"/>
    <w:rsid w:val="00881804"/>
    <w:rsid w:val="008818B5"/>
    <w:rsid w:val="00882AA9"/>
    <w:rsid w:val="0088323A"/>
    <w:rsid w:val="00883F5C"/>
    <w:rsid w:val="00884173"/>
    <w:rsid w:val="0088495C"/>
    <w:rsid w:val="00884A6D"/>
    <w:rsid w:val="00884B97"/>
    <w:rsid w:val="008860C4"/>
    <w:rsid w:val="008866E8"/>
    <w:rsid w:val="00886762"/>
    <w:rsid w:val="008867B5"/>
    <w:rsid w:val="00886A55"/>
    <w:rsid w:val="008876A1"/>
    <w:rsid w:val="00890383"/>
    <w:rsid w:val="00890535"/>
    <w:rsid w:val="008918BD"/>
    <w:rsid w:val="0089285E"/>
    <w:rsid w:val="0089359D"/>
    <w:rsid w:val="00893F36"/>
    <w:rsid w:val="0089436C"/>
    <w:rsid w:val="00894BE1"/>
    <w:rsid w:val="008956CD"/>
    <w:rsid w:val="00896379"/>
    <w:rsid w:val="008A0D83"/>
    <w:rsid w:val="008A12F2"/>
    <w:rsid w:val="008A1B59"/>
    <w:rsid w:val="008A3CBC"/>
    <w:rsid w:val="008A6C71"/>
    <w:rsid w:val="008A77C9"/>
    <w:rsid w:val="008B11AA"/>
    <w:rsid w:val="008B15C5"/>
    <w:rsid w:val="008B33C9"/>
    <w:rsid w:val="008B45F0"/>
    <w:rsid w:val="008B56F9"/>
    <w:rsid w:val="008B5BEB"/>
    <w:rsid w:val="008B63B7"/>
    <w:rsid w:val="008B6F83"/>
    <w:rsid w:val="008B72B1"/>
    <w:rsid w:val="008B7B74"/>
    <w:rsid w:val="008B7FD1"/>
    <w:rsid w:val="008C1071"/>
    <w:rsid w:val="008C3F77"/>
    <w:rsid w:val="008C441A"/>
    <w:rsid w:val="008C4508"/>
    <w:rsid w:val="008C66CB"/>
    <w:rsid w:val="008C74C5"/>
    <w:rsid w:val="008C7B98"/>
    <w:rsid w:val="008D05B3"/>
    <w:rsid w:val="008D06E4"/>
    <w:rsid w:val="008D0E95"/>
    <w:rsid w:val="008D172F"/>
    <w:rsid w:val="008D2F3F"/>
    <w:rsid w:val="008D3452"/>
    <w:rsid w:val="008D365C"/>
    <w:rsid w:val="008D3E6A"/>
    <w:rsid w:val="008D4578"/>
    <w:rsid w:val="008D612A"/>
    <w:rsid w:val="008D7CDF"/>
    <w:rsid w:val="008E132C"/>
    <w:rsid w:val="008E2173"/>
    <w:rsid w:val="008E2CC0"/>
    <w:rsid w:val="008E3075"/>
    <w:rsid w:val="008E3618"/>
    <w:rsid w:val="008E6193"/>
    <w:rsid w:val="008E6CCE"/>
    <w:rsid w:val="008F0518"/>
    <w:rsid w:val="008F195B"/>
    <w:rsid w:val="008F2226"/>
    <w:rsid w:val="008F324D"/>
    <w:rsid w:val="008F5F24"/>
    <w:rsid w:val="008F638F"/>
    <w:rsid w:val="008F681D"/>
    <w:rsid w:val="008F6B5D"/>
    <w:rsid w:val="00900573"/>
    <w:rsid w:val="009009C4"/>
    <w:rsid w:val="00900D7F"/>
    <w:rsid w:val="00901BCD"/>
    <w:rsid w:val="00901E76"/>
    <w:rsid w:val="009020DB"/>
    <w:rsid w:val="009030BF"/>
    <w:rsid w:val="00904ADD"/>
    <w:rsid w:val="00904E97"/>
    <w:rsid w:val="00905166"/>
    <w:rsid w:val="00906208"/>
    <w:rsid w:val="00906694"/>
    <w:rsid w:val="00906844"/>
    <w:rsid w:val="00907360"/>
    <w:rsid w:val="00907A50"/>
    <w:rsid w:val="00911A66"/>
    <w:rsid w:val="00912CE2"/>
    <w:rsid w:val="00912E2B"/>
    <w:rsid w:val="00913967"/>
    <w:rsid w:val="00914152"/>
    <w:rsid w:val="00914368"/>
    <w:rsid w:val="009147D1"/>
    <w:rsid w:val="00914D1D"/>
    <w:rsid w:val="00914F3E"/>
    <w:rsid w:val="009155C2"/>
    <w:rsid w:val="00915FDB"/>
    <w:rsid w:val="00916679"/>
    <w:rsid w:val="0091689F"/>
    <w:rsid w:val="0091722F"/>
    <w:rsid w:val="009205E9"/>
    <w:rsid w:val="009208F9"/>
    <w:rsid w:val="00920D9B"/>
    <w:rsid w:val="00920E50"/>
    <w:rsid w:val="0092170C"/>
    <w:rsid w:val="009223C2"/>
    <w:rsid w:val="00923257"/>
    <w:rsid w:val="00923CA9"/>
    <w:rsid w:val="009257D7"/>
    <w:rsid w:val="009262E7"/>
    <w:rsid w:val="00926737"/>
    <w:rsid w:val="0092691B"/>
    <w:rsid w:val="00926E87"/>
    <w:rsid w:val="009273F8"/>
    <w:rsid w:val="0092782B"/>
    <w:rsid w:val="00927930"/>
    <w:rsid w:val="00927A21"/>
    <w:rsid w:val="00927C38"/>
    <w:rsid w:val="00927F7E"/>
    <w:rsid w:val="0093026C"/>
    <w:rsid w:val="00930BFD"/>
    <w:rsid w:val="00931076"/>
    <w:rsid w:val="00931612"/>
    <w:rsid w:val="00931730"/>
    <w:rsid w:val="00932094"/>
    <w:rsid w:val="009323BA"/>
    <w:rsid w:val="00933954"/>
    <w:rsid w:val="009345D9"/>
    <w:rsid w:val="0093488C"/>
    <w:rsid w:val="00934B15"/>
    <w:rsid w:val="00934B5D"/>
    <w:rsid w:val="00934C3F"/>
    <w:rsid w:val="009353E1"/>
    <w:rsid w:val="0093627B"/>
    <w:rsid w:val="009376B2"/>
    <w:rsid w:val="009376BE"/>
    <w:rsid w:val="00937D91"/>
    <w:rsid w:val="009402E8"/>
    <w:rsid w:val="00940B9F"/>
    <w:rsid w:val="00941AB6"/>
    <w:rsid w:val="00941DB9"/>
    <w:rsid w:val="0094263C"/>
    <w:rsid w:val="0094274D"/>
    <w:rsid w:val="00942B62"/>
    <w:rsid w:val="00944213"/>
    <w:rsid w:val="0094452E"/>
    <w:rsid w:val="00944872"/>
    <w:rsid w:val="00945E40"/>
    <w:rsid w:val="00945F7F"/>
    <w:rsid w:val="0094662A"/>
    <w:rsid w:val="00947242"/>
    <w:rsid w:val="009506B1"/>
    <w:rsid w:val="00952CC7"/>
    <w:rsid w:val="009532FD"/>
    <w:rsid w:val="009544D6"/>
    <w:rsid w:val="00954DCF"/>
    <w:rsid w:val="00955A61"/>
    <w:rsid w:val="0095697E"/>
    <w:rsid w:val="00956A0C"/>
    <w:rsid w:val="00956BD9"/>
    <w:rsid w:val="009603FD"/>
    <w:rsid w:val="0096082C"/>
    <w:rsid w:val="00960B72"/>
    <w:rsid w:val="00961CD5"/>
    <w:rsid w:val="00961DAB"/>
    <w:rsid w:val="00962300"/>
    <w:rsid w:val="00962489"/>
    <w:rsid w:val="0096382D"/>
    <w:rsid w:val="00965D0C"/>
    <w:rsid w:val="00966067"/>
    <w:rsid w:val="00966505"/>
    <w:rsid w:val="0096667F"/>
    <w:rsid w:val="00966883"/>
    <w:rsid w:val="00970D35"/>
    <w:rsid w:val="0097194C"/>
    <w:rsid w:val="009723A3"/>
    <w:rsid w:val="009730EC"/>
    <w:rsid w:val="00973203"/>
    <w:rsid w:val="009741F5"/>
    <w:rsid w:val="009744A5"/>
    <w:rsid w:val="00975AA0"/>
    <w:rsid w:val="00975BA7"/>
    <w:rsid w:val="0097737B"/>
    <w:rsid w:val="00977860"/>
    <w:rsid w:val="00980814"/>
    <w:rsid w:val="00980AE4"/>
    <w:rsid w:val="00980BD6"/>
    <w:rsid w:val="009828CC"/>
    <w:rsid w:val="00983609"/>
    <w:rsid w:val="00984C70"/>
    <w:rsid w:val="009857A6"/>
    <w:rsid w:val="00985857"/>
    <w:rsid w:val="009866EF"/>
    <w:rsid w:val="00990C2C"/>
    <w:rsid w:val="009928E0"/>
    <w:rsid w:val="00992F91"/>
    <w:rsid w:val="00993AEE"/>
    <w:rsid w:val="00993E34"/>
    <w:rsid w:val="00995B83"/>
    <w:rsid w:val="00995C6B"/>
    <w:rsid w:val="00996330"/>
    <w:rsid w:val="00996732"/>
    <w:rsid w:val="00997F81"/>
    <w:rsid w:val="009A2B81"/>
    <w:rsid w:val="009A4249"/>
    <w:rsid w:val="009A5C31"/>
    <w:rsid w:val="009A610F"/>
    <w:rsid w:val="009A740F"/>
    <w:rsid w:val="009B1364"/>
    <w:rsid w:val="009B249D"/>
    <w:rsid w:val="009B2713"/>
    <w:rsid w:val="009B2BD4"/>
    <w:rsid w:val="009B2F26"/>
    <w:rsid w:val="009B3D80"/>
    <w:rsid w:val="009B405C"/>
    <w:rsid w:val="009B4B99"/>
    <w:rsid w:val="009B5029"/>
    <w:rsid w:val="009B54FB"/>
    <w:rsid w:val="009B6F34"/>
    <w:rsid w:val="009B719A"/>
    <w:rsid w:val="009B72C8"/>
    <w:rsid w:val="009C02EC"/>
    <w:rsid w:val="009C03BD"/>
    <w:rsid w:val="009C0FC4"/>
    <w:rsid w:val="009C1D00"/>
    <w:rsid w:val="009C259D"/>
    <w:rsid w:val="009C2EC0"/>
    <w:rsid w:val="009C4949"/>
    <w:rsid w:val="009C4DBE"/>
    <w:rsid w:val="009C6115"/>
    <w:rsid w:val="009C74B1"/>
    <w:rsid w:val="009C77E2"/>
    <w:rsid w:val="009D29CA"/>
    <w:rsid w:val="009D34ED"/>
    <w:rsid w:val="009D46E6"/>
    <w:rsid w:val="009D47AA"/>
    <w:rsid w:val="009D541B"/>
    <w:rsid w:val="009D6D3D"/>
    <w:rsid w:val="009D762F"/>
    <w:rsid w:val="009E0A9E"/>
    <w:rsid w:val="009E18F4"/>
    <w:rsid w:val="009E2E21"/>
    <w:rsid w:val="009E3042"/>
    <w:rsid w:val="009E3044"/>
    <w:rsid w:val="009E36A9"/>
    <w:rsid w:val="009E411B"/>
    <w:rsid w:val="009E48F0"/>
    <w:rsid w:val="009F0C28"/>
    <w:rsid w:val="009F1400"/>
    <w:rsid w:val="009F1BC8"/>
    <w:rsid w:val="009F1FFF"/>
    <w:rsid w:val="009F228E"/>
    <w:rsid w:val="009F394B"/>
    <w:rsid w:val="009F455E"/>
    <w:rsid w:val="009F52C5"/>
    <w:rsid w:val="009F5385"/>
    <w:rsid w:val="009F6050"/>
    <w:rsid w:val="009F696D"/>
    <w:rsid w:val="009F6BC6"/>
    <w:rsid w:val="00A0153C"/>
    <w:rsid w:val="00A0204E"/>
    <w:rsid w:val="00A041D6"/>
    <w:rsid w:val="00A050F7"/>
    <w:rsid w:val="00A05861"/>
    <w:rsid w:val="00A067F3"/>
    <w:rsid w:val="00A072B2"/>
    <w:rsid w:val="00A07A59"/>
    <w:rsid w:val="00A108D2"/>
    <w:rsid w:val="00A10BB9"/>
    <w:rsid w:val="00A11584"/>
    <w:rsid w:val="00A119F5"/>
    <w:rsid w:val="00A12369"/>
    <w:rsid w:val="00A12A03"/>
    <w:rsid w:val="00A12C03"/>
    <w:rsid w:val="00A12D4D"/>
    <w:rsid w:val="00A140B4"/>
    <w:rsid w:val="00A14C13"/>
    <w:rsid w:val="00A15726"/>
    <w:rsid w:val="00A15ADD"/>
    <w:rsid w:val="00A1630C"/>
    <w:rsid w:val="00A17328"/>
    <w:rsid w:val="00A17D60"/>
    <w:rsid w:val="00A202EC"/>
    <w:rsid w:val="00A2076D"/>
    <w:rsid w:val="00A21513"/>
    <w:rsid w:val="00A21D67"/>
    <w:rsid w:val="00A225C2"/>
    <w:rsid w:val="00A23956"/>
    <w:rsid w:val="00A23A20"/>
    <w:rsid w:val="00A23E95"/>
    <w:rsid w:val="00A2517C"/>
    <w:rsid w:val="00A25E90"/>
    <w:rsid w:val="00A26149"/>
    <w:rsid w:val="00A26514"/>
    <w:rsid w:val="00A268B9"/>
    <w:rsid w:val="00A268D7"/>
    <w:rsid w:val="00A2703A"/>
    <w:rsid w:val="00A273A7"/>
    <w:rsid w:val="00A278D0"/>
    <w:rsid w:val="00A27D7B"/>
    <w:rsid w:val="00A30952"/>
    <w:rsid w:val="00A310EB"/>
    <w:rsid w:val="00A32C32"/>
    <w:rsid w:val="00A32EAB"/>
    <w:rsid w:val="00A3361B"/>
    <w:rsid w:val="00A33D95"/>
    <w:rsid w:val="00A33DFF"/>
    <w:rsid w:val="00A34487"/>
    <w:rsid w:val="00A35115"/>
    <w:rsid w:val="00A361B8"/>
    <w:rsid w:val="00A36833"/>
    <w:rsid w:val="00A36858"/>
    <w:rsid w:val="00A4140C"/>
    <w:rsid w:val="00A41EEC"/>
    <w:rsid w:val="00A42949"/>
    <w:rsid w:val="00A42B16"/>
    <w:rsid w:val="00A432DF"/>
    <w:rsid w:val="00A437BC"/>
    <w:rsid w:val="00A43C01"/>
    <w:rsid w:val="00A44129"/>
    <w:rsid w:val="00A45158"/>
    <w:rsid w:val="00A45230"/>
    <w:rsid w:val="00A458A7"/>
    <w:rsid w:val="00A46D86"/>
    <w:rsid w:val="00A47256"/>
    <w:rsid w:val="00A50256"/>
    <w:rsid w:val="00A50B78"/>
    <w:rsid w:val="00A519AA"/>
    <w:rsid w:val="00A5229F"/>
    <w:rsid w:val="00A52AE4"/>
    <w:rsid w:val="00A54755"/>
    <w:rsid w:val="00A54DB5"/>
    <w:rsid w:val="00A55082"/>
    <w:rsid w:val="00A554AB"/>
    <w:rsid w:val="00A60D58"/>
    <w:rsid w:val="00A62D2A"/>
    <w:rsid w:val="00A63CCF"/>
    <w:rsid w:val="00A64C59"/>
    <w:rsid w:val="00A65783"/>
    <w:rsid w:val="00A658D6"/>
    <w:rsid w:val="00A658F7"/>
    <w:rsid w:val="00A659AF"/>
    <w:rsid w:val="00A67259"/>
    <w:rsid w:val="00A67389"/>
    <w:rsid w:val="00A6770B"/>
    <w:rsid w:val="00A70B15"/>
    <w:rsid w:val="00A70CCD"/>
    <w:rsid w:val="00A72B9E"/>
    <w:rsid w:val="00A73AF6"/>
    <w:rsid w:val="00A73B87"/>
    <w:rsid w:val="00A74BA3"/>
    <w:rsid w:val="00A75363"/>
    <w:rsid w:val="00A7580B"/>
    <w:rsid w:val="00A75CB6"/>
    <w:rsid w:val="00A81367"/>
    <w:rsid w:val="00A82891"/>
    <w:rsid w:val="00A82999"/>
    <w:rsid w:val="00A83ED3"/>
    <w:rsid w:val="00A847DD"/>
    <w:rsid w:val="00A84DD1"/>
    <w:rsid w:val="00A85575"/>
    <w:rsid w:val="00A86268"/>
    <w:rsid w:val="00A8683A"/>
    <w:rsid w:val="00A86E6F"/>
    <w:rsid w:val="00A90A13"/>
    <w:rsid w:val="00A91E1E"/>
    <w:rsid w:val="00A92B53"/>
    <w:rsid w:val="00A92F15"/>
    <w:rsid w:val="00A93F0A"/>
    <w:rsid w:val="00A94164"/>
    <w:rsid w:val="00A9450C"/>
    <w:rsid w:val="00A9453C"/>
    <w:rsid w:val="00A94599"/>
    <w:rsid w:val="00A94FA6"/>
    <w:rsid w:val="00A95B9E"/>
    <w:rsid w:val="00A95CED"/>
    <w:rsid w:val="00AA012C"/>
    <w:rsid w:val="00AA0899"/>
    <w:rsid w:val="00AA09BF"/>
    <w:rsid w:val="00AA0B39"/>
    <w:rsid w:val="00AA1585"/>
    <w:rsid w:val="00AA18DE"/>
    <w:rsid w:val="00AA1D33"/>
    <w:rsid w:val="00AA24B8"/>
    <w:rsid w:val="00AA49A0"/>
    <w:rsid w:val="00AA55F4"/>
    <w:rsid w:val="00AA6531"/>
    <w:rsid w:val="00AA6710"/>
    <w:rsid w:val="00AA70EC"/>
    <w:rsid w:val="00AB0681"/>
    <w:rsid w:val="00AB0877"/>
    <w:rsid w:val="00AB0A80"/>
    <w:rsid w:val="00AB0C3B"/>
    <w:rsid w:val="00AB345E"/>
    <w:rsid w:val="00AB4510"/>
    <w:rsid w:val="00AB598B"/>
    <w:rsid w:val="00AB6848"/>
    <w:rsid w:val="00AB7604"/>
    <w:rsid w:val="00AB7E39"/>
    <w:rsid w:val="00AC1840"/>
    <w:rsid w:val="00AC230B"/>
    <w:rsid w:val="00AC43A4"/>
    <w:rsid w:val="00AC6C42"/>
    <w:rsid w:val="00AC6C97"/>
    <w:rsid w:val="00AC7487"/>
    <w:rsid w:val="00AC7ECB"/>
    <w:rsid w:val="00AD0007"/>
    <w:rsid w:val="00AD059B"/>
    <w:rsid w:val="00AD0984"/>
    <w:rsid w:val="00AD1B3A"/>
    <w:rsid w:val="00AD20B7"/>
    <w:rsid w:val="00AD2A4E"/>
    <w:rsid w:val="00AD3F2C"/>
    <w:rsid w:val="00AD44D5"/>
    <w:rsid w:val="00AD4C44"/>
    <w:rsid w:val="00AD5373"/>
    <w:rsid w:val="00AD5376"/>
    <w:rsid w:val="00AD5CE1"/>
    <w:rsid w:val="00AD7A60"/>
    <w:rsid w:val="00AE1445"/>
    <w:rsid w:val="00AE1A57"/>
    <w:rsid w:val="00AE2A38"/>
    <w:rsid w:val="00AE3578"/>
    <w:rsid w:val="00AE4C30"/>
    <w:rsid w:val="00AE560C"/>
    <w:rsid w:val="00AE6CDC"/>
    <w:rsid w:val="00AE71E5"/>
    <w:rsid w:val="00AE7783"/>
    <w:rsid w:val="00AF13FC"/>
    <w:rsid w:val="00AF23E5"/>
    <w:rsid w:val="00AF2946"/>
    <w:rsid w:val="00AF35E3"/>
    <w:rsid w:val="00AF3774"/>
    <w:rsid w:val="00AF5972"/>
    <w:rsid w:val="00AF5A59"/>
    <w:rsid w:val="00AF5B8C"/>
    <w:rsid w:val="00AF68AA"/>
    <w:rsid w:val="00B00AD9"/>
    <w:rsid w:val="00B017BD"/>
    <w:rsid w:val="00B018CB"/>
    <w:rsid w:val="00B02A7D"/>
    <w:rsid w:val="00B02DB0"/>
    <w:rsid w:val="00B04499"/>
    <w:rsid w:val="00B0457A"/>
    <w:rsid w:val="00B0500D"/>
    <w:rsid w:val="00B0519B"/>
    <w:rsid w:val="00B052BA"/>
    <w:rsid w:val="00B05325"/>
    <w:rsid w:val="00B05504"/>
    <w:rsid w:val="00B05789"/>
    <w:rsid w:val="00B12613"/>
    <w:rsid w:val="00B12BA2"/>
    <w:rsid w:val="00B14D63"/>
    <w:rsid w:val="00B173E1"/>
    <w:rsid w:val="00B1746C"/>
    <w:rsid w:val="00B174BF"/>
    <w:rsid w:val="00B177C7"/>
    <w:rsid w:val="00B17C28"/>
    <w:rsid w:val="00B20B3B"/>
    <w:rsid w:val="00B229D2"/>
    <w:rsid w:val="00B2421E"/>
    <w:rsid w:val="00B24491"/>
    <w:rsid w:val="00B249DB"/>
    <w:rsid w:val="00B258AD"/>
    <w:rsid w:val="00B26E47"/>
    <w:rsid w:val="00B27A00"/>
    <w:rsid w:val="00B309C3"/>
    <w:rsid w:val="00B30B50"/>
    <w:rsid w:val="00B30C6E"/>
    <w:rsid w:val="00B317C2"/>
    <w:rsid w:val="00B3276E"/>
    <w:rsid w:val="00B35D12"/>
    <w:rsid w:val="00B369AB"/>
    <w:rsid w:val="00B36BA4"/>
    <w:rsid w:val="00B3738B"/>
    <w:rsid w:val="00B374C0"/>
    <w:rsid w:val="00B41E27"/>
    <w:rsid w:val="00B424CE"/>
    <w:rsid w:val="00B429E4"/>
    <w:rsid w:val="00B440AD"/>
    <w:rsid w:val="00B451AF"/>
    <w:rsid w:val="00B453A7"/>
    <w:rsid w:val="00B45DE3"/>
    <w:rsid w:val="00B46555"/>
    <w:rsid w:val="00B46688"/>
    <w:rsid w:val="00B46C11"/>
    <w:rsid w:val="00B47FAC"/>
    <w:rsid w:val="00B5034D"/>
    <w:rsid w:val="00B53E7E"/>
    <w:rsid w:val="00B54AA1"/>
    <w:rsid w:val="00B54C66"/>
    <w:rsid w:val="00B54E11"/>
    <w:rsid w:val="00B55305"/>
    <w:rsid w:val="00B55385"/>
    <w:rsid w:val="00B55F70"/>
    <w:rsid w:val="00B56596"/>
    <w:rsid w:val="00B56DBF"/>
    <w:rsid w:val="00B62A6B"/>
    <w:rsid w:val="00B62F73"/>
    <w:rsid w:val="00B63172"/>
    <w:rsid w:val="00B6342E"/>
    <w:rsid w:val="00B635EB"/>
    <w:rsid w:val="00B63AF8"/>
    <w:rsid w:val="00B6433C"/>
    <w:rsid w:val="00B65C88"/>
    <w:rsid w:val="00B679D7"/>
    <w:rsid w:val="00B70B92"/>
    <w:rsid w:val="00B70DE2"/>
    <w:rsid w:val="00B7113F"/>
    <w:rsid w:val="00B7184E"/>
    <w:rsid w:val="00B72006"/>
    <w:rsid w:val="00B731DA"/>
    <w:rsid w:val="00B733A9"/>
    <w:rsid w:val="00B735A5"/>
    <w:rsid w:val="00B73D99"/>
    <w:rsid w:val="00B7659C"/>
    <w:rsid w:val="00B76D34"/>
    <w:rsid w:val="00B772AF"/>
    <w:rsid w:val="00B77AF7"/>
    <w:rsid w:val="00B803EF"/>
    <w:rsid w:val="00B832FF"/>
    <w:rsid w:val="00B83E02"/>
    <w:rsid w:val="00B8404B"/>
    <w:rsid w:val="00B841B6"/>
    <w:rsid w:val="00B84AF2"/>
    <w:rsid w:val="00B8510E"/>
    <w:rsid w:val="00B85CA7"/>
    <w:rsid w:val="00B85DD7"/>
    <w:rsid w:val="00B865A9"/>
    <w:rsid w:val="00B86C20"/>
    <w:rsid w:val="00B87C61"/>
    <w:rsid w:val="00B90190"/>
    <w:rsid w:val="00B9149D"/>
    <w:rsid w:val="00B92965"/>
    <w:rsid w:val="00B92FC6"/>
    <w:rsid w:val="00B947F0"/>
    <w:rsid w:val="00B95D8E"/>
    <w:rsid w:val="00B9634A"/>
    <w:rsid w:val="00B967AF"/>
    <w:rsid w:val="00B967FB"/>
    <w:rsid w:val="00BA1D8F"/>
    <w:rsid w:val="00BA2DDB"/>
    <w:rsid w:val="00BA34D3"/>
    <w:rsid w:val="00BA46E0"/>
    <w:rsid w:val="00BA5606"/>
    <w:rsid w:val="00BA671F"/>
    <w:rsid w:val="00BA6EC4"/>
    <w:rsid w:val="00BA726F"/>
    <w:rsid w:val="00BA73B6"/>
    <w:rsid w:val="00BA7709"/>
    <w:rsid w:val="00BA7A6B"/>
    <w:rsid w:val="00BA7BAE"/>
    <w:rsid w:val="00BB0A59"/>
    <w:rsid w:val="00BB0AC5"/>
    <w:rsid w:val="00BB0C47"/>
    <w:rsid w:val="00BB0CBB"/>
    <w:rsid w:val="00BB1BB4"/>
    <w:rsid w:val="00BB1D52"/>
    <w:rsid w:val="00BB381B"/>
    <w:rsid w:val="00BB4FCD"/>
    <w:rsid w:val="00BB5BA4"/>
    <w:rsid w:val="00BC1CC8"/>
    <w:rsid w:val="00BC24A6"/>
    <w:rsid w:val="00BC3C56"/>
    <w:rsid w:val="00BC3FDC"/>
    <w:rsid w:val="00BC485F"/>
    <w:rsid w:val="00BC4A68"/>
    <w:rsid w:val="00BC501F"/>
    <w:rsid w:val="00BC5C27"/>
    <w:rsid w:val="00BC6D9C"/>
    <w:rsid w:val="00BD05EB"/>
    <w:rsid w:val="00BD0C3B"/>
    <w:rsid w:val="00BD13EA"/>
    <w:rsid w:val="00BD1C57"/>
    <w:rsid w:val="00BD1E94"/>
    <w:rsid w:val="00BD1F59"/>
    <w:rsid w:val="00BD3222"/>
    <w:rsid w:val="00BD39EB"/>
    <w:rsid w:val="00BD41A1"/>
    <w:rsid w:val="00BD41DE"/>
    <w:rsid w:val="00BD429D"/>
    <w:rsid w:val="00BD493A"/>
    <w:rsid w:val="00BD4DD1"/>
    <w:rsid w:val="00BD4EBB"/>
    <w:rsid w:val="00BD53BA"/>
    <w:rsid w:val="00BD5720"/>
    <w:rsid w:val="00BD5C94"/>
    <w:rsid w:val="00BD65AC"/>
    <w:rsid w:val="00BD66E8"/>
    <w:rsid w:val="00BD725D"/>
    <w:rsid w:val="00BD726D"/>
    <w:rsid w:val="00BD796E"/>
    <w:rsid w:val="00BD7C3F"/>
    <w:rsid w:val="00BE12BE"/>
    <w:rsid w:val="00BE1D15"/>
    <w:rsid w:val="00BE25BB"/>
    <w:rsid w:val="00BE345B"/>
    <w:rsid w:val="00BE3808"/>
    <w:rsid w:val="00BE3E3B"/>
    <w:rsid w:val="00BE55B6"/>
    <w:rsid w:val="00BE588B"/>
    <w:rsid w:val="00BE6D44"/>
    <w:rsid w:val="00BF3533"/>
    <w:rsid w:val="00BF453C"/>
    <w:rsid w:val="00BF5C27"/>
    <w:rsid w:val="00BF6608"/>
    <w:rsid w:val="00BF7F5F"/>
    <w:rsid w:val="00C009C4"/>
    <w:rsid w:val="00C01037"/>
    <w:rsid w:val="00C010BE"/>
    <w:rsid w:val="00C03641"/>
    <w:rsid w:val="00C03783"/>
    <w:rsid w:val="00C03EC5"/>
    <w:rsid w:val="00C03FD7"/>
    <w:rsid w:val="00C0404F"/>
    <w:rsid w:val="00C0415F"/>
    <w:rsid w:val="00C04D41"/>
    <w:rsid w:val="00C04E9F"/>
    <w:rsid w:val="00C04EAE"/>
    <w:rsid w:val="00C050B4"/>
    <w:rsid w:val="00C05A6F"/>
    <w:rsid w:val="00C05EAF"/>
    <w:rsid w:val="00C061B2"/>
    <w:rsid w:val="00C062E9"/>
    <w:rsid w:val="00C063B4"/>
    <w:rsid w:val="00C07B64"/>
    <w:rsid w:val="00C07E5E"/>
    <w:rsid w:val="00C11810"/>
    <w:rsid w:val="00C1206E"/>
    <w:rsid w:val="00C1219A"/>
    <w:rsid w:val="00C12626"/>
    <w:rsid w:val="00C13721"/>
    <w:rsid w:val="00C13CC1"/>
    <w:rsid w:val="00C13E76"/>
    <w:rsid w:val="00C141FE"/>
    <w:rsid w:val="00C144D1"/>
    <w:rsid w:val="00C14596"/>
    <w:rsid w:val="00C154D6"/>
    <w:rsid w:val="00C170F1"/>
    <w:rsid w:val="00C175E9"/>
    <w:rsid w:val="00C20135"/>
    <w:rsid w:val="00C20847"/>
    <w:rsid w:val="00C20C63"/>
    <w:rsid w:val="00C20F0A"/>
    <w:rsid w:val="00C21202"/>
    <w:rsid w:val="00C21626"/>
    <w:rsid w:val="00C218AF"/>
    <w:rsid w:val="00C21DBC"/>
    <w:rsid w:val="00C22158"/>
    <w:rsid w:val="00C253AB"/>
    <w:rsid w:val="00C25BAA"/>
    <w:rsid w:val="00C25C21"/>
    <w:rsid w:val="00C25ED6"/>
    <w:rsid w:val="00C27C7E"/>
    <w:rsid w:val="00C27FED"/>
    <w:rsid w:val="00C3066D"/>
    <w:rsid w:val="00C30901"/>
    <w:rsid w:val="00C30C0C"/>
    <w:rsid w:val="00C31EEE"/>
    <w:rsid w:val="00C327E2"/>
    <w:rsid w:val="00C335BF"/>
    <w:rsid w:val="00C34CC6"/>
    <w:rsid w:val="00C34E51"/>
    <w:rsid w:val="00C359FE"/>
    <w:rsid w:val="00C362F9"/>
    <w:rsid w:val="00C36CDE"/>
    <w:rsid w:val="00C37BA0"/>
    <w:rsid w:val="00C4001D"/>
    <w:rsid w:val="00C448FA"/>
    <w:rsid w:val="00C44A04"/>
    <w:rsid w:val="00C458AE"/>
    <w:rsid w:val="00C46619"/>
    <w:rsid w:val="00C47CFB"/>
    <w:rsid w:val="00C47E90"/>
    <w:rsid w:val="00C505B0"/>
    <w:rsid w:val="00C51B73"/>
    <w:rsid w:val="00C52435"/>
    <w:rsid w:val="00C52DE4"/>
    <w:rsid w:val="00C543F4"/>
    <w:rsid w:val="00C5493C"/>
    <w:rsid w:val="00C57204"/>
    <w:rsid w:val="00C60675"/>
    <w:rsid w:val="00C61139"/>
    <w:rsid w:val="00C6185E"/>
    <w:rsid w:val="00C61A11"/>
    <w:rsid w:val="00C62223"/>
    <w:rsid w:val="00C6291C"/>
    <w:rsid w:val="00C633CB"/>
    <w:rsid w:val="00C643CF"/>
    <w:rsid w:val="00C653AC"/>
    <w:rsid w:val="00C6586E"/>
    <w:rsid w:val="00C661B3"/>
    <w:rsid w:val="00C67D73"/>
    <w:rsid w:val="00C67F44"/>
    <w:rsid w:val="00C715D2"/>
    <w:rsid w:val="00C71A45"/>
    <w:rsid w:val="00C720B8"/>
    <w:rsid w:val="00C737BE"/>
    <w:rsid w:val="00C73AAC"/>
    <w:rsid w:val="00C74279"/>
    <w:rsid w:val="00C74382"/>
    <w:rsid w:val="00C7444D"/>
    <w:rsid w:val="00C74D58"/>
    <w:rsid w:val="00C75E46"/>
    <w:rsid w:val="00C760D7"/>
    <w:rsid w:val="00C7636E"/>
    <w:rsid w:val="00C766D5"/>
    <w:rsid w:val="00C801A6"/>
    <w:rsid w:val="00C80824"/>
    <w:rsid w:val="00C809F1"/>
    <w:rsid w:val="00C819E3"/>
    <w:rsid w:val="00C827D5"/>
    <w:rsid w:val="00C83971"/>
    <w:rsid w:val="00C83BF5"/>
    <w:rsid w:val="00C83C82"/>
    <w:rsid w:val="00C83EFD"/>
    <w:rsid w:val="00C850C1"/>
    <w:rsid w:val="00C85277"/>
    <w:rsid w:val="00C86472"/>
    <w:rsid w:val="00C86983"/>
    <w:rsid w:val="00C869F8"/>
    <w:rsid w:val="00C8762C"/>
    <w:rsid w:val="00C91460"/>
    <w:rsid w:val="00C922CA"/>
    <w:rsid w:val="00C93543"/>
    <w:rsid w:val="00C93913"/>
    <w:rsid w:val="00C96342"/>
    <w:rsid w:val="00C97D91"/>
    <w:rsid w:val="00CA00F9"/>
    <w:rsid w:val="00CA0D6A"/>
    <w:rsid w:val="00CA28BE"/>
    <w:rsid w:val="00CA2961"/>
    <w:rsid w:val="00CA3E84"/>
    <w:rsid w:val="00CA500C"/>
    <w:rsid w:val="00CA589F"/>
    <w:rsid w:val="00CA68AF"/>
    <w:rsid w:val="00CA6C55"/>
    <w:rsid w:val="00CA6F06"/>
    <w:rsid w:val="00CB0629"/>
    <w:rsid w:val="00CB13F8"/>
    <w:rsid w:val="00CB1E57"/>
    <w:rsid w:val="00CB2022"/>
    <w:rsid w:val="00CB2E08"/>
    <w:rsid w:val="00CB3B3E"/>
    <w:rsid w:val="00CB4C57"/>
    <w:rsid w:val="00CB50D7"/>
    <w:rsid w:val="00CB54BE"/>
    <w:rsid w:val="00CB566F"/>
    <w:rsid w:val="00CB5AF6"/>
    <w:rsid w:val="00CB6747"/>
    <w:rsid w:val="00CB67AA"/>
    <w:rsid w:val="00CB70B5"/>
    <w:rsid w:val="00CB7177"/>
    <w:rsid w:val="00CB74DE"/>
    <w:rsid w:val="00CB78D9"/>
    <w:rsid w:val="00CB7C17"/>
    <w:rsid w:val="00CC0417"/>
    <w:rsid w:val="00CC0977"/>
    <w:rsid w:val="00CC09EC"/>
    <w:rsid w:val="00CC0CCD"/>
    <w:rsid w:val="00CC0FFD"/>
    <w:rsid w:val="00CC1998"/>
    <w:rsid w:val="00CC395C"/>
    <w:rsid w:val="00CC48AD"/>
    <w:rsid w:val="00CC4946"/>
    <w:rsid w:val="00CC49D9"/>
    <w:rsid w:val="00CC4A67"/>
    <w:rsid w:val="00CC5273"/>
    <w:rsid w:val="00CC54A3"/>
    <w:rsid w:val="00CC655C"/>
    <w:rsid w:val="00CC6C17"/>
    <w:rsid w:val="00CC7BA7"/>
    <w:rsid w:val="00CD0021"/>
    <w:rsid w:val="00CD13A1"/>
    <w:rsid w:val="00CD1B6B"/>
    <w:rsid w:val="00CD291E"/>
    <w:rsid w:val="00CD2BAB"/>
    <w:rsid w:val="00CD3933"/>
    <w:rsid w:val="00CD4006"/>
    <w:rsid w:val="00CD52C9"/>
    <w:rsid w:val="00CD5347"/>
    <w:rsid w:val="00CD664D"/>
    <w:rsid w:val="00CD6A38"/>
    <w:rsid w:val="00CD6F55"/>
    <w:rsid w:val="00CE0D31"/>
    <w:rsid w:val="00CE15BA"/>
    <w:rsid w:val="00CE1A41"/>
    <w:rsid w:val="00CE2BA5"/>
    <w:rsid w:val="00CE3DAC"/>
    <w:rsid w:val="00CE3F9F"/>
    <w:rsid w:val="00CE51EB"/>
    <w:rsid w:val="00CE5834"/>
    <w:rsid w:val="00CE6379"/>
    <w:rsid w:val="00CE6FDB"/>
    <w:rsid w:val="00CF04C9"/>
    <w:rsid w:val="00CF34B6"/>
    <w:rsid w:val="00CF44B8"/>
    <w:rsid w:val="00CF50E4"/>
    <w:rsid w:val="00CF6FAF"/>
    <w:rsid w:val="00CF7536"/>
    <w:rsid w:val="00CF7795"/>
    <w:rsid w:val="00D007B2"/>
    <w:rsid w:val="00D00D42"/>
    <w:rsid w:val="00D0305E"/>
    <w:rsid w:val="00D04143"/>
    <w:rsid w:val="00D04DE1"/>
    <w:rsid w:val="00D04F1C"/>
    <w:rsid w:val="00D06B8F"/>
    <w:rsid w:val="00D0700C"/>
    <w:rsid w:val="00D0796E"/>
    <w:rsid w:val="00D11345"/>
    <w:rsid w:val="00D113DD"/>
    <w:rsid w:val="00D118F4"/>
    <w:rsid w:val="00D11B6D"/>
    <w:rsid w:val="00D12AE0"/>
    <w:rsid w:val="00D12D52"/>
    <w:rsid w:val="00D1330C"/>
    <w:rsid w:val="00D13F7B"/>
    <w:rsid w:val="00D142DE"/>
    <w:rsid w:val="00D1488B"/>
    <w:rsid w:val="00D1494C"/>
    <w:rsid w:val="00D14B8D"/>
    <w:rsid w:val="00D152E3"/>
    <w:rsid w:val="00D1603E"/>
    <w:rsid w:val="00D166B5"/>
    <w:rsid w:val="00D202A6"/>
    <w:rsid w:val="00D21085"/>
    <w:rsid w:val="00D21FDC"/>
    <w:rsid w:val="00D221B0"/>
    <w:rsid w:val="00D23088"/>
    <w:rsid w:val="00D2374D"/>
    <w:rsid w:val="00D24649"/>
    <w:rsid w:val="00D24B1B"/>
    <w:rsid w:val="00D26C0A"/>
    <w:rsid w:val="00D270A4"/>
    <w:rsid w:val="00D2716E"/>
    <w:rsid w:val="00D27959"/>
    <w:rsid w:val="00D27A04"/>
    <w:rsid w:val="00D27C9A"/>
    <w:rsid w:val="00D32585"/>
    <w:rsid w:val="00D32CC1"/>
    <w:rsid w:val="00D3306D"/>
    <w:rsid w:val="00D34CCC"/>
    <w:rsid w:val="00D34E1B"/>
    <w:rsid w:val="00D34F97"/>
    <w:rsid w:val="00D3621B"/>
    <w:rsid w:val="00D37252"/>
    <w:rsid w:val="00D375E2"/>
    <w:rsid w:val="00D376BA"/>
    <w:rsid w:val="00D40573"/>
    <w:rsid w:val="00D43C92"/>
    <w:rsid w:val="00D44BA1"/>
    <w:rsid w:val="00D46DE8"/>
    <w:rsid w:val="00D478A3"/>
    <w:rsid w:val="00D478AD"/>
    <w:rsid w:val="00D50A71"/>
    <w:rsid w:val="00D51392"/>
    <w:rsid w:val="00D51F73"/>
    <w:rsid w:val="00D5568A"/>
    <w:rsid w:val="00D56491"/>
    <w:rsid w:val="00D5781F"/>
    <w:rsid w:val="00D57B98"/>
    <w:rsid w:val="00D606D9"/>
    <w:rsid w:val="00D60A9B"/>
    <w:rsid w:val="00D61CEA"/>
    <w:rsid w:val="00D62CD8"/>
    <w:rsid w:val="00D63229"/>
    <w:rsid w:val="00D639A9"/>
    <w:rsid w:val="00D63CDD"/>
    <w:rsid w:val="00D63D73"/>
    <w:rsid w:val="00D658BD"/>
    <w:rsid w:val="00D65A47"/>
    <w:rsid w:val="00D65C2A"/>
    <w:rsid w:val="00D66443"/>
    <w:rsid w:val="00D66996"/>
    <w:rsid w:val="00D66E1E"/>
    <w:rsid w:val="00D66EBD"/>
    <w:rsid w:val="00D67961"/>
    <w:rsid w:val="00D706F4"/>
    <w:rsid w:val="00D709A0"/>
    <w:rsid w:val="00D725E3"/>
    <w:rsid w:val="00D726F8"/>
    <w:rsid w:val="00D7346D"/>
    <w:rsid w:val="00D734E4"/>
    <w:rsid w:val="00D739B9"/>
    <w:rsid w:val="00D74493"/>
    <w:rsid w:val="00D75722"/>
    <w:rsid w:val="00D7722F"/>
    <w:rsid w:val="00D801C1"/>
    <w:rsid w:val="00D8387F"/>
    <w:rsid w:val="00D841E9"/>
    <w:rsid w:val="00D85093"/>
    <w:rsid w:val="00D851D4"/>
    <w:rsid w:val="00D872A6"/>
    <w:rsid w:val="00D87FCF"/>
    <w:rsid w:val="00D90D1B"/>
    <w:rsid w:val="00D90D49"/>
    <w:rsid w:val="00D91B51"/>
    <w:rsid w:val="00D91F3B"/>
    <w:rsid w:val="00D92707"/>
    <w:rsid w:val="00D92885"/>
    <w:rsid w:val="00D93951"/>
    <w:rsid w:val="00D94732"/>
    <w:rsid w:val="00D94C59"/>
    <w:rsid w:val="00D95EC5"/>
    <w:rsid w:val="00D9643F"/>
    <w:rsid w:val="00D967E0"/>
    <w:rsid w:val="00D972C7"/>
    <w:rsid w:val="00D973F8"/>
    <w:rsid w:val="00DA0DAF"/>
    <w:rsid w:val="00DA246C"/>
    <w:rsid w:val="00DA3101"/>
    <w:rsid w:val="00DA33CA"/>
    <w:rsid w:val="00DA381E"/>
    <w:rsid w:val="00DA4905"/>
    <w:rsid w:val="00DA4EF0"/>
    <w:rsid w:val="00DA4F01"/>
    <w:rsid w:val="00DA58C6"/>
    <w:rsid w:val="00DA5BBA"/>
    <w:rsid w:val="00DA5D20"/>
    <w:rsid w:val="00DB16D0"/>
    <w:rsid w:val="00DB1727"/>
    <w:rsid w:val="00DB1BD6"/>
    <w:rsid w:val="00DB20FC"/>
    <w:rsid w:val="00DB2B11"/>
    <w:rsid w:val="00DB2B7E"/>
    <w:rsid w:val="00DB2EA4"/>
    <w:rsid w:val="00DB3517"/>
    <w:rsid w:val="00DB3A32"/>
    <w:rsid w:val="00DB67C9"/>
    <w:rsid w:val="00DB6A3F"/>
    <w:rsid w:val="00DB6BC8"/>
    <w:rsid w:val="00DB6DCF"/>
    <w:rsid w:val="00DB7BA2"/>
    <w:rsid w:val="00DC0A4C"/>
    <w:rsid w:val="00DC0C95"/>
    <w:rsid w:val="00DC19B9"/>
    <w:rsid w:val="00DC1FC9"/>
    <w:rsid w:val="00DC2445"/>
    <w:rsid w:val="00DC26E8"/>
    <w:rsid w:val="00DC2B82"/>
    <w:rsid w:val="00DC4615"/>
    <w:rsid w:val="00DC4A2F"/>
    <w:rsid w:val="00DC4E0F"/>
    <w:rsid w:val="00DC537E"/>
    <w:rsid w:val="00DC62A0"/>
    <w:rsid w:val="00DC6375"/>
    <w:rsid w:val="00DC6AD0"/>
    <w:rsid w:val="00DC6F84"/>
    <w:rsid w:val="00DC701D"/>
    <w:rsid w:val="00DD2380"/>
    <w:rsid w:val="00DD2686"/>
    <w:rsid w:val="00DD31C3"/>
    <w:rsid w:val="00DD33DF"/>
    <w:rsid w:val="00DD35DF"/>
    <w:rsid w:val="00DD365E"/>
    <w:rsid w:val="00DD6580"/>
    <w:rsid w:val="00DD6866"/>
    <w:rsid w:val="00DD6C0A"/>
    <w:rsid w:val="00DD6C93"/>
    <w:rsid w:val="00DD7396"/>
    <w:rsid w:val="00DE0EAB"/>
    <w:rsid w:val="00DE0ECB"/>
    <w:rsid w:val="00DE22BC"/>
    <w:rsid w:val="00DE2F96"/>
    <w:rsid w:val="00DE331A"/>
    <w:rsid w:val="00DE363A"/>
    <w:rsid w:val="00DE4901"/>
    <w:rsid w:val="00DE524A"/>
    <w:rsid w:val="00DE5A0C"/>
    <w:rsid w:val="00DE659D"/>
    <w:rsid w:val="00DE6D35"/>
    <w:rsid w:val="00DE6F3C"/>
    <w:rsid w:val="00DE741C"/>
    <w:rsid w:val="00DE7C7A"/>
    <w:rsid w:val="00DF0013"/>
    <w:rsid w:val="00DF055D"/>
    <w:rsid w:val="00DF0AAA"/>
    <w:rsid w:val="00DF1129"/>
    <w:rsid w:val="00DF2CB1"/>
    <w:rsid w:val="00DF3894"/>
    <w:rsid w:val="00DF3B3B"/>
    <w:rsid w:val="00DF3F46"/>
    <w:rsid w:val="00DF418E"/>
    <w:rsid w:val="00DF4B8F"/>
    <w:rsid w:val="00DF5879"/>
    <w:rsid w:val="00DF61E7"/>
    <w:rsid w:val="00DF6CDF"/>
    <w:rsid w:val="00DF6DD6"/>
    <w:rsid w:val="00DF7B1C"/>
    <w:rsid w:val="00DF7BCE"/>
    <w:rsid w:val="00E033DE"/>
    <w:rsid w:val="00E05AC4"/>
    <w:rsid w:val="00E1061B"/>
    <w:rsid w:val="00E10AC5"/>
    <w:rsid w:val="00E10EEA"/>
    <w:rsid w:val="00E10FAC"/>
    <w:rsid w:val="00E110A8"/>
    <w:rsid w:val="00E15ABB"/>
    <w:rsid w:val="00E16210"/>
    <w:rsid w:val="00E169FE"/>
    <w:rsid w:val="00E16D99"/>
    <w:rsid w:val="00E17301"/>
    <w:rsid w:val="00E17C72"/>
    <w:rsid w:val="00E17E85"/>
    <w:rsid w:val="00E20497"/>
    <w:rsid w:val="00E20851"/>
    <w:rsid w:val="00E20BB6"/>
    <w:rsid w:val="00E20C11"/>
    <w:rsid w:val="00E20C59"/>
    <w:rsid w:val="00E21429"/>
    <w:rsid w:val="00E21FC6"/>
    <w:rsid w:val="00E22772"/>
    <w:rsid w:val="00E22E6D"/>
    <w:rsid w:val="00E25294"/>
    <w:rsid w:val="00E268F2"/>
    <w:rsid w:val="00E3179F"/>
    <w:rsid w:val="00E333CD"/>
    <w:rsid w:val="00E33476"/>
    <w:rsid w:val="00E33512"/>
    <w:rsid w:val="00E3374A"/>
    <w:rsid w:val="00E340C1"/>
    <w:rsid w:val="00E346DF"/>
    <w:rsid w:val="00E35508"/>
    <w:rsid w:val="00E360FF"/>
    <w:rsid w:val="00E36A60"/>
    <w:rsid w:val="00E373DF"/>
    <w:rsid w:val="00E37D4C"/>
    <w:rsid w:val="00E41766"/>
    <w:rsid w:val="00E43475"/>
    <w:rsid w:val="00E43DC3"/>
    <w:rsid w:val="00E44170"/>
    <w:rsid w:val="00E45FE6"/>
    <w:rsid w:val="00E512BB"/>
    <w:rsid w:val="00E51DD8"/>
    <w:rsid w:val="00E52470"/>
    <w:rsid w:val="00E53020"/>
    <w:rsid w:val="00E532D6"/>
    <w:rsid w:val="00E54BBA"/>
    <w:rsid w:val="00E5504B"/>
    <w:rsid w:val="00E55F2A"/>
    <w:rsid w:val="00E570C6"/>
    <w:rsid w:val="00E573B8"/>
    <w:rsid w:val="00E57452"/>
    <w:rsid w:val="00E6086E"/>
    <w:rsid w:val="00E60DF9"/>
    <w:rsid w:val="00E615A2"/>
    <w:rsid w:val="00E61E43"/>
    <w:rsid w:val="00E62331"/>
    <w:rsid w:val="00E62ED5"/>
    <w:rsid w:val="00E6381F"/>
    <w:rsid w:val="00E63AE3"/>
    <w:rsid w:val="00E65093"/>
    <w:rsid w:val="00E654B2"/>
    <w:rsid w:val="00E65C8B"/>
    <w:rsid w:val="00E669E2"/>
    <w:rsid w:val="00E66B81"/>
    <w:rsid w:val="00E70BF9"/>
    <w:rsid w:val="00E721E2"/>
    <w:rsid w:val="00E72F1E"/>
    <w:rsid w:val="00E72F70"/>
    <w:rsid w:val="00E7499D"/>
    <w:rsid w:val="00E74ED2"/>
    <w:rsid w:val="00E74F0A"/>
    <w:rsid w:val="00E7526E"/>
    <w:rsid w:val="00E76135"/>
    <w:rsid w:val="00E76F5F"/>
    <w:rsid w:val="00E77E03"/>
    <w:rsid w:val="00E8167B"/>
    <w:rsid w:val="00E82C3D"/>
    <w:rsid w:val="00E83052"/>
    <w:rsid w:val="00E83B42"/>
    <w:rsid w:val="00E84BC3"/>
    <w:rsid w:val="00E8577A"/>
    <w:rsid w:val="00E8670C"/>
    <w:rsid w:val="00E86795"/>
    <w:rsid w:val="00E86F12"/>
    <w:rsid w:val="00E873C0"/>
    <w:rsid w:val="00E87609"/>
    <w:rsid w:val="00E90A6B"/>
    <w:rsid w:val="00E90D54"/>
    <w:rsid w:val="00E91AD7"/>
    <w:rsid w:val="00E91B78"/>
    <w:rsid w:val="00E926E6"/>
    <w:rsid w:val="00E93087"/>
    <w:rsid w:val="00E933A3"/>
    <w:rsid w:val="00E938E2"/>
    <w:rsid w:val="00E95509"/>
    <w:rsid w:val="00E95796"/>
    <w:rsid w:val="00E95C3A"/>
    <w:rsid w:val="00E97E28"/>
    <w:rsid w:val="00EA27F1"/>
    <w:rsid w:val="00EA2E7B"/>
    <w:rsid w:val="00EA47EA"/>
    <w:rsid w:val="00EA591F"/>
    <w:rsid w:val="00EA635D"/>
    <w:rsid w:val="00EA6C96"/>
    <w:rsid w:val="00EB1775"/>
    <w:rsid w:val="00EB3052"/>
    <w:rsid w:val="00EB36BE"/>
    <w:rsid w:val="00EB53CC"/>
    <w:rsid w:val="00EB5B8F"/>
    <w:rsid w:val="00EB72AB"/>
    <w:rsid w:val="00EC2844"/>
    <w:rsid w:val="00EC4290"/>
    <w:rsid w:val="00EC459B"/>
    <w:rsid w:val="00EC45F9"/>
    <w:rsid w:val="00EC471A"/>
    <w:rsid w:val="00EC5754"/>
    <w:rsid w:val="00EC578F"/>
    <w:rsid w:val="00EC5EBC"/>
    <w:rsid w:val="00EC6ADD"/>
    <w:rsid w:val="00ED0396"/>
    <w:rsid w:val="00ED2424"/>
    <w:rsid w:val="00ED38AC"/>
    <w:rsid w:val="00ED3937"/>
    <w:rsid w:val="00ED3E35"/>
    <w:rsid w:val="00ED3E95"/>
    <w:rsid w:val="00ED41F4"/>
    <w:rsid w:val="00ED4850"/>
    <w:rsid w:val="00ED4A28"/>
    <w:rsid w:val="00ED66E1"/>
    <w:rsid w:val="00ED72B7"/>
    <w:rsid w:val="00ED753D"/>
    <w:rsid w:val="00ED75D5"/>
    <w:rsid w:val="00ED7679"/>
    <w:rsid w:val="00EE0AFB"/>
    <w:rsid w:val="00EE1773"/>
    <w:rsid w:val="00EE1C09"/>
    <w:rsid w:val="00EE2399"/>
    <w:rsid w:val="00EE483D"/>
    <w:rsid w:val="00EE6164"/>
    <w:rsid w:val="00EF28AC"/>
    <w:rsid w:val="00EF395A"/>
    <w:rsid w:val="00EF3AD2"/>
    <w:rsid w:val="00EF413D"/>
    <w:rsid w:val="00EF559A"/>
    <w:rsid w:val="00EF6C6C"/>
    <w:rsid w:val="00EF777A"/>
    <w:rsid w:val="00EF7F41"/>
    <w:rsid w:val="00F0168F"/>
    <w:rsid w:val="00F01B8E"/>
    <w:rsid w:val="00F02228"/>
    <w:rsid w:val="00F0239C"/>
    <w:rsid w:val="00F02BED"/>
    <w:rsid w:val="00F033FE"/>
    <w:rsid w:val="00F03B5E"/>
    <w:rsid w:val="00F0465F"/>
    <w:rsid w:val="00F048D3"/>
    <w:rsid w:val="00F054C1"/>
    <w:rsid w:val="00F0553D"/>
    <w:rsid w:val="00F056FC"/>
    <w:rsid w:val="00F059DF"/>
    <w:rsid w:val="00F06656"/>
    <w:rsid w:val="00F10476"/>
    <w:rsid w:val="00F12307"/>
    <w:rsid w:val="00F12EAE"/>
    <w:rsid w:val="00F135D8"/>
    <w:rsid w:val="00F16101"/>
    <w:rsid w:val="00F162C6"/>
    <w:rsid w:val="00F164F6"/>
    <w:rsid w:val="00F17008"/>
    <w:rsid w:val="00F17581"/>
    <w:rsid w:val="00F20007"/>
    <w:rsid w:val="00F21046"/>
    <w:rsid w:val="00F21474"/>
    <w:rsid w:val="00F23D17"/>
    <w:rsid w:val="00F24D03"/>
    <w:rsid w:val="00F24EAC"/>
    <w:rsid w:val="00F25421"/>
    <w:rsid w:val="00F25B51"/>
    <w:rsid w:val="00F2619B"/>
    <w:rsid w:val="00F27CD7"/>
    <w:rsid w:val="00F30597"/>
    <w:rsid w:val="00F30D2A"/>
    <w:rsid w:val="00F31299"/>
    <w:rsid w:val="00F314B8"/>
    <w:rsid w:val="00F31504"/>
    <w:rsid w:val="00F31918"/>
    <w:rsid w:val="00F3241C"/>
    <w:rsid w:val="00F333E7"/>
    <w:rsid w:val="00F34F8D"/>
    <w:rsid w:val="00F350F3"/>
    <w:rsid w:val="00F3534A"/>
    <w:rsid w:val="00F3684D"/>
    <w:rsid w:val="00F37073"/>
    <w:rsid w:val="00F40546"/>
    <w:rsid w:val="00F43005"/>
    <w:rsid w:val="00F43BC7"/>
    <w:rsid w:val="00F449F0"/>
    <w:rsid w:val="00F44AA9"/>
    <w:rsid w:val="00F4560D"/>
    <w:rsid w:val="00F46BB7"/>
    <w:rsid w:val="00F4787F"/>
    <w:rsid w:val="00F50665"/>
    <w:rsid w:val="00F52610"/>
    <w:rsid w:val="00F54162"/>
    <w:rsid w:val="00F554D6"/>
    <w:rsid w:val="00F55821"/>
    <w:rsid w:val="00F55920"/>
    <w:rsid w:val="00F560F5"/>
    <w:rsid w:val="00F561AA"/>
    <w:rsid w:val="00F6022C"/>
    <w:rsid w:val="00F60C5B"/>
    <w:rsid w:val="00F61907"/>
    <w:rsid w:val="00F61E05"/>
    <w:rsid w:val="00F63E00"/>
    <w:rsid w:val="00F640AD"/>
    <w:rsid w:val="00F64353"/>
    <w:rsid w:val="00F65738"/>
    <w:rsid w:val="00F65788"/>
    <w:rsid w:val="00F657DF"/>
    <w:rsid w:val="00F65A76"/>
    <w:rsid w:val="00F66327"/>
    <w:rsid w:val="00F67C18"/>
    <w:rsid w:val="00F714A5"/>
    <w:rsid w:val="00F71AC5"/>
    <w:rsid w:val="00F7248C"/>
    <w:rsid w:val="00F7530C"/>
    <w:rsid w:val="00F81BD3"/>
    <w:rsid w:val="00F82D6B"/>
    <w:rsid w:val="00F83558"/>
    <w:rsid w:val="00F83B07"/>
    <w:rsid w:val="00F83D9E"/>
    <w:rsid w:val="00F844D6"/>
    <w:rsid w:val="00F850D0"/>
    <w:rsid w:val="00F85325"/>
    <w:rsid w:val="00F879A4"/>
    <w:rsid w:val="00F90613"/>
    <w:rsid w:val="00F90A9F"/>
    <w:rsid w:val="00F914DA"/>
    <w:rsid w:val="00F91503"/>
    <w:rsid w:val="00F93C35"/>
    <w:rsid w:val="00F9427F"/>
    <w:rsid w:val="00F94BC1"/>
    <w:rsid w:val="00F94F4D"/>
    <w:rsid w:val="00F97F41"/>
    <w:rsid w:val="00FA0A23"/>
    <w:rsid w:val="00FA16C2"/>
    <w:rsid w:val="00FA2023"/>
    <w:rsid w:val="00FA270A"/>
    <w:rsid w:val="00FA33CF"/>
    <w:rsid w:val="00FA3CF6"/>
    <w:rsid w:val="00FA446A"/>
    <w:rsid w:val="00FA4670"/>
    <w:rsid w:val="00FB1396"/>
    <w:rsid w:val="00FB2D03"/>
    <w:rsid w:val="00FB3B17"/>
    <w:rsid w:val="00FB44A8"/>
    <w:rsid w:val="00FB6787"/>
    <w:rsid w:val="00FB69A6"/>
    <w:rsid w:val="00FB6B6C"/>
    <w:rsid w:val="00FB6C7C"/>
    <w:rsid w:val="00FC0943"/>
    <w:rsid w:val="00FC0F04"/>
    <w:rsid w:val="00FC109A"/>
    <w:rsid w:val="00FC17DE"/>
    <w:rsid w:val="00FC30A5"/>
    <w:rsid w:val="00FC3972"/>
    <w:rsid w:val="00FC3D41"/>
    <w:rsid w:val="00FC3D4A"/>
    <w:rsid w:val="00FC5886"/>
    <w:rsid w:val="00FC5ED1"/>
    <w:rsid w:val="00FC608D"/>
    <w:rsid w:val="00FC73D0"/>
    <w:rsid w:val="00FC7A8D"/>
    <w:rsid w:val="00FC7B15"/>
    <w:rsid w:val="00FD1608"/>
    <w:rsid w:val="00FD1771"/>
    <w:rsid w:val="00FD1EF3"/>
    <w:rsid w:val="00FD22B1"/>
    <w:rsid w:val="00FD3B36"/>
    <w:rsid w:val="00FD4B90"/>
    <w:rsid w:val="00FD547A"/>
    <w:rsid w:val="00FD5AE3"/>
    <w:rsid w:val="00FD74B3"/>
    <w:rsid w:val="00FD76C0"/>
    <w:rsid w:val="00FE00B6"/>
    <w:rsid w:val="00FE03D7"/>
    <w:rsid w:val="00FE0B9E"/>
    <w:rsid w:val="00FE0EF3"/>
    <w:rsid w:val="00FE16B7"/>
    <w:rsid w:val="00FE1AF0"/>
    <w:rsid w:val="00FE1C3B"/>
    <w:rsid w:val="00FE2478"/>
    <w:rsid w:val="00FE27DC"/>
    <w:rsid w:val="00FE2F97"/>
    <w:rsid w:val="00FE33CC"/>
    <w:rsid w:val="00FE382F"/>
    <w:rsid w:val="00FE40E3"/>
    <w:rsid w:val="00FE6D99"/>
    <w:rsid w:val="00FF0B53"/>
    <w:rsid w:val="00FF0E4D"/>
    <w:rsid w:val="00FF17D5"/>
    <w:rsid w:val="00FF1A97"/>
    <w:rsid w:val="00FF1DB3"/>
    <w:rsid w:val="00FF233C"/>
    <w:rsid w:val="00FF28A7"/>
    <w:rsid w:val="00FF332E"/>
    <w:rsid w:val="00FF3725"/>
    <w:rsid w:val="00FF6647"/>
    <w:rsid w:val="00FF70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512C"/>
    <w:rPr>
      <w:sz w:val="24"/>
      <w:szCs w:val="24"/>
    </w:rPr>
  </w:style>
  <w:style w:type="paragraph" w:styleId="Heading1">
    <w:name w:val="heading 1"/>
    <w:basedOn w:val="BodyText"/>
    <w:next w:val="BodyText"/>
    <w:rsid w:val="0001512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1512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1512C"/>
    <w:pPr>
      <w:spacing w:before="560" w:line="320" w:lineRule="exact"/>
      <w:ind w:left="0" w:firstLine="0"/>
      <w:outlineLvl w:val="2"/>
    </w:pPr>
    <w:rPr>
      <w:sz w:val="26"/>
    </w:rPr>
  </w:style>
  <w:style w:type="paragraph" w:styleId="Heading4">
    <w:name w:val="heading 4"/>
    <w:basedOn w:val="Heading3"/>
    <w:next w:val="BodyText"/>
    <w:qFormat/>
    <w:rsid w:val="0001512C"/>
    <w:pPr>
      <w:spacing w:before="480"/>
      <w:outlineLvl w:val="3"/>
    </w:pPr>
    <w:rPr>
      <w:b w:val="0"/>
      <w:sz w:val="24"/>
    </w:rPr>
  </w:style>
  <w:style w:type="paragraph" w:styleId="Heading5">
    <w:name w:val="heading 5"/>
    <w:basedOn w:val="Heading4"/>
    <w:next w:val="BodyText"/>
    <w:link w:val="Heading5Char"/>
    <w:qFormat/>
    <w:rsid w:val="0001512C"/>
    <w:pPr>
      <w:outlineLvl w:val="4"/>
    </w:pPr>
    <w:rPr>
      <w:i/>
      <w:sz w:val="22"/>
    </w:rPr>
  </w:style>
  <w:style w:type="paragraph" w:styleId="Heading6">
    <w:name w:val="heading 6"/>
    <w:basedOn w:val="BodyText"/>
    <w:next w:val="BodyText"/>
    <w:rsid w:val="0001512C"/>
    <w:pPr>
      <w:spacing w:after="60"/>
      <w:jc w:val="left"/>
      <w:outlineLvl w:val="5"/>
    </w:pPr>
    <w:rPr>
      <w:i/>
      <w:sz w:val="22"/>
    </w:rPr>
  </w:style>
  <w:style w:type="paragraph" w:styleId="Heading7">
    <w:name w:val="heading 7"/>
    <w:basedOn w:val="BodyText"/>
    <w:next w:val="BodyText"/>
    <w:rsid w:val="0001512C"/>
    <w:pPr>
      <w:spacing w:after="60" w:line="240" w:lineRule="auto"/>
      <w:jc w:val="left"/>
      <w:outlineLvl w:val="6"/>
    </w:pPr>
    <w:rPr>
      <w:rFonts w:ascii="Arial" w:hAnsi="Arial"/>
      <w:sz w:val="20"/>
    </w:rPr>
  </w:style>
  <w:style w:type="paragraph" w:styleId="Heading8">
    <w:name w:val="heading 8"/>
    <w:basedOn w:val="BodyText"/>
    <w:next w:val="BodyText"/>
    <w:rsid w:val="0001512C"/>
    <w:pPr>
      <w:spacing w:after="60" w:line="240" w:lineRule="auto"/>
      <w:jc w:val="left"/>
      <w:outlineLvl w:val="7"/>
    </w:pPr>
    <w:rPr>
      <w:rFonts w:ascii="Arial" w:hAnsi="Arial"/>
      <w:i/>
      <w:sz w:val="20"/>
    </w:rPr>
  </w:style>
  <w:style w:type="paragraph" w:styleId="Heading9">
    <w:name w:val="heading 9"/>
    <w:basedOn w:val="BodyText"/>
    <w:next w:val="BodyText"/>
    <w:rsid w:val="0001512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51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12C"/>
  </w:style>
  <w:style w:type="paragraph" w:styleId="BodyText">
    <w:name w:val="Body Text"/>
    <w:link w:val="BodyTextChar"/>
    <w:qFormat/>
    <w:rsid w:val="0001512C"/>
    <w:pPr>
      <w:spacing w:before="240" w:line="300" w:lineRule="atLeast"/>
      <w:jc w:val="both"/>
    </w:pPr>
    <w:rPr>
      <w:sz w:val="24"/>
    </w:rPr>
  </w:style>
  <w:style w:type="character" w:customStyle="1" w:styleId="BodyTextChar">
    <w:name w:val="Body Text Char"/>
    <w:basedOn w:val="DefaultParagraphFont"/>
    <w:link w:val="BodyText"/>
    <w:rsid w:val="0001512C"/>
    <w:rPr>
      <w:sz w:val="24"/>
    </w:rPr>
  </w:style>
  <w:style w:type="paragraph" w:customStyle="1" w:styleId="Chapter">
    <w:name w:val="Chapter"/>
    <w:basedOn w:val="Heading1"/>
    <w:next w:val="BodyText"/>
    <w:link w:val="ChapterChar"/>
    <w:semiHidden/>
    <w:rsid w:val="0001512C"/>
    <w:pPr>
      <w:ind w:left="0" w:firstLine="0"/>
      <w:outlineLvl w:val="9"/>
    </w:pPr>
  </w:style>
  <w:style w:type="character" w:customStyle="1" w:styleId="ChapterChar">
    <w:name w:val="Chapter Char"/>
    <w:link w:val="Chapter"/>
    <w:semiHidden/>
    <w:rsid w:val="001F39F2"/>
    <w:rPr>
      <w:sz w:val="52"/>
    </w:rPr>
  </w:style>
  <w:style w:type="paragraph" w:styleId="Footer">
    <w:name w:val="footer"/>
    <w:basedOn w:val="BodyText"/>
    <w:link w:val="FooterChar"/>
    <w:rsid w:val="0001512C"/>
    <w:pPr>
      <w:spacing w:before="80" w:line="200" w:lineRule="exact"/>
      <w:ind w:right="6"/>
      <w:jc w:val="left"/>
    </w:pPr>
    <w:rPr>
      <w:rFonts w:ascii="Arial" w:hAnsi="Arial"/>
      <w:caps/>
      <w:spacing w:val="-4"/>
      <w:sz w:val="16"/>
    </w:rPr>
  </w:style>
  <w:style w:type="paragraph" w:customStyle="1" w:styleId="FooterEnd">
    <w:name w:val="Footer End"/>
    <w:basedOn w:val="Footer"/>
    <w:rsid w:val="0001512C"/>
    <w:pPr>
      <w:spacing w:before="0" w:line="20" w:lineRule="exact"/>
    </w:pPr>
  </w:style>
  <w:style w:type="paragraph" w:styleId="Header">
    <w:name w:val="header"/>
    <w:basedOn w:val="BodyText"/>
    <w:rsid w:val="0001512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512C"/>
    <w:pPr>
      <w:spacing w:line="20" w:lineRule="exact"/>
    </w:pPr>
    <w:rPr>
      <w:sz w:val="16"/>
    </w:rPr>
  </w:style>
  <w:style w:type="paragraph" w:customStyle="1" w:styleId="HeaderEven">
    <w:name w:val="Header Even"/>
    <w:basedOn w:val="Header"/>
    <w:rsid w:val="0001512C"/>
  </w:style>
  <w:style w:type="paragraph" w:customStyle="1" w:styleId="HeaderOdd">
    <w:name w:val="Header Odd"/>
    <w:basedOn w:val="Header"/>
    <w:rsid w:val="0001512C"/>
  </w:style>
  <w:style w:type="character" w:styleId="PageNumber">
    <w:name w:val="page number"/>
    <w:basedOn w:val="DefaultParagraphFont"/>
    <w:rsid w:val="0001512C"/>
    <w:rPr>
      <w:rFonts w:ascii="Arial" w:hAnsi="Arial"/>
      <w:b/>
      <w:sz w:val="16"/>
    </w:rPr>
  </w:style>
  <w:style w:type="paragraph" w:customStyle="1" w:styleId="Abbreviation">
    <w:name w:val="Abbreviation"/>
    <w:basedOn w:val="BodyText"/>
    <w:rsid w:val="0001512C"/>
    <w:pPr>
      <w:spacing w:before="120"/>
      <w:ind w:left="2381" w:hanging="2381"/>
      <w:jc w:val="left"/>
    </w:pPr>
  </w:style>
  <w:style w:type="paragraph" w:customStyle="1" w:styleId="Box">
    <w:name w:val="Box"/>
    <w:basedOn w:val="BodyText"/>
    <w:link w:val="BoxChar"/>
    <w:qFormat/>
    <w:rsid w:val="0001512C"/>
    <w:pPr>
      <w:keepNext/>
      <w:spacing w:before="120" w:line="260" w:lineRule="atLeast"/>
    </w:pPr>
    <w:rPr>
      <w:rFonts w:ascii="Arial" w:hAnsi="Arial"/>
      <w:sz w:val="20"/>
    </w:rPr>
  </w:style>
  <w:style w:type="character" w:customStyle="1" w:styleId="BoxChar">
    <w:name w:val="Box Char"/>
    <w:link w:val="Box"/>
    <w:rsid w:val="001F39F2"/>
    <w:rPr>
      <w:rFonts w:ascii="Arial" w:hAnsi="Arial"/>
    </w:rPr>
  </w:style>
  <w:style w:type="paragraph" w:customStyle="1" w:styleId="BoxContinued">
    <w:name w:val="Box Continued"/>
    <w:basedOn w:val="BodyText"/>
    <w:next w:val="BodyText"/>
    <w:semiHidden/>
    <w:rsid w:val="0001512C"/>
    <w:pPr>
      <w:spacing w:before="180" w:line="220" w:lineRule="exact"/>
      <w:jc w:val="right"/>
    </w:pPr>
    <w:rPr>
      <w:rFonts w:ascii="Arial" w:hAnsi="Arial"/>
      <w:sz w:val="18"/>
    </w:rPr>
  </w:style>
  <w:style w:type="paragraph" w:customStyle="1" w:styleId="BoxHeading1">
    <w:name w:val="Box Heading 1"/>
    <w:basedOn w:val="BodyText"/>
    <w:next w:val="Box"/>
    <w:rsid w:val="0001512C"/>
    <w:pPr>
      <w:keepNext/>
      <w:spacing w:before="200" w:line="280" w:lineRule="atLeast"/>
    </w:pPr>
    <w:rPr>
      <w:rFonts w:ascii="Arial" w:hAnsi="Arial"/>
      <w:b/>
      <w:sz w:val="22"/>
    </w:rPr>
  </w:style>
  <w:style w:type="paragraph" w:customStyle="1" w:styleId="BoxHeading2">
    <w:name w:val="Box Heading 2"/>
    <w:basedOn w:val="BoxHeading1"/>
    <w:next w:val="Normal"/>
    <w:rsid w:val="0001512C"/>
    <w:rPr>
      <w:b w:val="0"/>
      <w:i/>
    </w:rPr>
  </w:style>
  <w:style w:type="paragraph" w:customStyle="1" w:styleId="BoxListBullet">
    <w:name w:val="Box List Bullet"/>
    <w:basedOn w:val="BodyText"/>
    <w:rsid w:val="0001512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512C"/>
    <w:pPr>
      <w:numPr>
        <w:numId w:val="2"/>
      </w:numPr>
      <w:ind w:left="568" w:hanging="284"/>
    </w:pPr>
  </w:style>
  <w:style w:type="paragraph" w:customStyle="1" w:styleId="BoxListNumber">
    <w:name w:val="Box List Number"/>
    <w:basedOn w:val="BodyText"/>
    <w:rsid w:val="0001512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1512C"/>
    <w:pPr>
      <w:numPr>
        <w:ilvl w:val="1"/>
      </w:numPr>
      <w:ind w:left="681" w:hanging="397"/>
    </w:pPr>
  </w:style>
  <w:style w:type="paragraph" w:customStyle="1" w:styleId="BoxQuote">
    <w:name w:val="Box Quote"/>
    <w:basedOn w:val="BodyText"/>
    <w:next w:val="Box"/>
    <w:link w:val="BoxQuoteChar"/>
    <w:qFormat/>
    <w:rsid w:val="0001512C"/>
    <w:pPr>
      <w:keepNext/>
      <w:spacing w:before="60" w:line="240" w:lineRule="exact"/>
      <w:ind w:left="284"/>
    </w:pPr>
    <w:rPr>
      <w:rFonts w:ascii="Arial" w:hAnsi="Arial"/>
      <w:sz w:val="18"/>
    </w:rPr>
  </w:style>
  <w:style w:type="character" w:customStyle="1" w:styleId="BoxQuoteChar">
    <w:name w:val="Box Quote Char"/>
    <w:link w:val="BoxQuote"/>
    <w:rsid w:val="001F39F2"/>
    <w:rPr>
      <w:rFonts w:ascii="Arial" w:hAnsi="Arial"/>
      <w:sz w:val="18"/>
    </w:rPr>
  </w:style>
  <w:style w:type="paragraph" w:customStyle="1" w:styleId="Note">
    <w:name w:val="Note"/>
    <w:basedOn w:val="BodyText"/>
    <w:next w:val="BodyText"/>
    <w:link w:val="NoteChar"/>
    <w:rsid w:val="0001512C"/>
    <w:pPr>
      <w:keepLines/>
      <w:spacing w:before="80" w:line="220" w:lineRule="exact"/>
    </w:pPr>
    <w:rPr>
      <w:rFonts w:ascii="Arial" w:hAnsi="Arial"/>
      <w:sz w:val="18"/>
    </w:rPr>
  </w:style>
  <w:style w:type="character" w:customStyle="1" w:styleId="NoteChar">
    <w:name w:val="Note Char"/>
    <w:link w:val="Note"/>
    <w:rsid w:val="001F39F2"/>
    <w:rPr>
      <w:rFonts w:ascii="Arial" w:hAnsi="Arial"/>
      <w:sz w:val="18"/>
    </w:rPr>
  </w:style>
  <w:style w:type="paragraph" w:customStyle="1" w:styleId="Source">
    <w:name w:val="Source"/>
    <w:basedOn w:val="Normal"/>
    <w:next w:val="BodyText"/>
    <w:link w:val="SourceChar"/>
    <w:rsid w:val="0001512C"/>
    <w:pPr>
      <w:keepLines/>
      <w:spacing w:before="80" w:line="220" w:lineRule="exact"/>
      <w:jc w:val="both"/>
    </w:pPr>
    <w:rPr>
      <w:rFonts w:ascii="Arial" w:hAnsi="Arial"/>
      <w:sz w:val="18"/>
      <w:szCs w:val="20"/>
    </w:rPr>
  </w:style>
  <w:style w:type="character" w:customStyle="1" w:styleId="SourceChar">
    <w:name w:val="Source Char"/>
    <w:basedOn w:val="NoteChar"/>
    <w:link w:val="Source"/>
    <w:rsid w:val="001F39F2"/>
    <w:rPr>
      <w:rFonts w:ascii="Arial" w:hAnsi="Arial"/>
      <w:sz w:val="18"/>
    </w:rPr>
  </w:style>
  <w:style w:type="paragraph" w:customStyle="1" w:styleId="BoxSource">
    <w:name w:val="Box Source"/>
    <w:basedOn w:val="Source"/>
    <w:next w:val="BodyText"/>
    <w:rsid w:val="0001512C"/>
    <w:pPr>
      <w:spacing w:before="120"/>
    </w:pPr>
  </w:style>
  <w:style w:type="paragraph" w:customStyle="1" w:styleId="BoxSpace">
    <w:name w:val="Box Space"/>
    <w:basedOn w:val="BodyText"/>
    <w:link w:val="BoxSpaceChar"/>
    <w:rsid w:val="00B83E02"/>
    <w:pPr>
      <w:keepNext/>
      <w:spacing w:before="360" w:line="80" w:lineRule="exact"/>
      <w:jc w:val="left"/>
    </w:pPr>
  </w:style>
  <w:style w:type="character" w:customStyle="1" w:styleId="BoxSpaceChar">
    <w:name w:val="Box Space Char"/>
    <w:basedOn w:val="DefaultParagraphFont"/>
    <w:link w:val="BoxSpace"/>
    <w:rsid w:val="00B772AF"/>
    <w:rPr>
      <w:sz w:val="26"/>
    </w:rPr>
  </w:style>
  <w:style w:type="paragraph" w:styleId="Caption">
    <w:name w:val="caption"/>
    <w:basedOn w:val="Normal"/>
    <w:next w:val="BodyText"/>
    <w:rsid w:val="0001512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1512C"/>
    <w:pPr>
      <w:spacing w:before="120" w:after="0"/>
    </w:pPr>
  </w:style>
  <w:style w:type="paragraph" w:customStyle="1" w:styleId="BoxSubtitle">
    <w:name w:val="Box Subtitle"/>
    <w:basedOn w:val="BoxTitle"/>
    <w:next w:val="Normal"/>
    <w:rsid w:val="0001512C"/>
    <w:pPr>
      <w:spacing w:after="80" w:line="200" w:lineRule="exact"/>
      <w:ind w:firstLine="0"/>
    </w:pPr>
    <w:rPr>
      <w:b w:val="0"/>
      <w:sz w:val="20"/>
    </w:rPr>
  </w:style>
  <w:style w:type="character" w:customStyle="1" w:styleId="BoxTitleChar">
    <w:name w:val="Box Title Char"/>
    <w:link w:val="BoxTitle"/>
    <w:rsid w:val="001F39F2"/>
    <w:rPr>
      <w:rFonts w:ascii="Arial" w:hAnsi="Arial"/>
      <w:b/>
      <w:sz w:val="24"/>
      <w:szCs w:val="24"/>
    </w:rPr>
  </w:style>
  <w:style w:type="paragraph" w:customStyle="1" w:styleId="ChapterSummary">
    <w:name w:val="Chapter Summary"/>
    <w:basedOn w:val="BodyText"/>
    <w:rsid w:val="0001512C"/>
    <w:pPr>
      <w:spacing w:line="280" w:lineRule="atLeast"/>
      <w:ind w:left="907"/>
    </w:pPr>
    <w:rPr>
      <w:rFonts w:ascii="Arial" w:hAnsi="Arial"/>
      <w:b/>
      <w:sz w:val="20"/>
    </w:rPr>
  </w:style>
  <w:style w:type="character" w:styleId="CommentReference">
    <w:name w:val="annotation reference"/>
    <w:basedOn w:val="DefaultParagraphFont"/>
    <w:semiHidden/>
    <w:rsid w:val="0001512C"/>
    <w:rPr>
      <w:b/>
      <w:vanish/>
      <w:color w:val="FF00FF"/>
      <w:sz w:val="20"/>
    </w:rPr>
  </w:style>
  <w:style w:type="paragraph" w:styleId="CommentText">
    <w:name w:val="annotation text"/>
    <w:basedOn w:val="Normal"/>
    <w:link w:val="CommentTextChar"/>
    <w:semiHidden/>
    <w:rsid w:val="0001512C"/>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F39F2"/>
    <w:rPr>
      <w:szCs w:val="24"/>
    </w:rPr>
  </w:style>
  <w:style w:type="paragraph" w:customStyle="1" w:styleId="Continued">
    <w:name w:val="Continued"/>
    <w:basedOn w:val="BoxContinued"/>
    <w:next w:val="BodyText"/>
    <w:link w:val="ContinuedChar"/>
    <w:rsid w:val="0001512C"/>
  </w:style>
  <w:style w:type="character" w:customStyle="1" w:styleId="ContinuedChar">
    <w:name w:val="Continued Char"/>
    <w:link w:val="Continued"/>
    <w:rsid w:val="001F39F2"/>
    <w:rPr>
      <w:rFonts w:ascii="Arial" w:hAnsi="Arial"/>
      <w:sz w:val="18"/>
    </w:rPr>
  </w:style>
  <w:style w:type="character" w:customStyle="1" w:styleId="DocumentInfo">
    <w:name w:val="Document Info"/>
    <w:basedOn w:val="DefaultParagraphFont"/>
    <w:semiHidden/>
    <w:rsid w:val="0001512C"/>
    <w:rPr>
      <w:rFonts w:ascii="Arial" w:hAnsi="Arial"/>
      <w:sz w:val="14"/>
    </w:rPr>
  </w:style>
  <w:style w:type="character" w:customStyle="1" w:styleId="DraftingNote">
    <w:name w:val="Drafting Note"/>
    <w:basedOn w:val="DefaultParagraphFont"/>
    <w:rsid w:val="0001512C"/>
    <w:rPr>
      <w:b/>
      <w:color w:val="FF0000"/>
      <w:sz w:val="24"/>
      <w:u w:val="dotted"/>
    </w:rPr>
  </w:style>
  <w:style w:type="paragraph" w:customStyle="1" w:styleId="Figure">
    <w:name w:val="Figure"/>
    <w:basedOn w:val="BodyText"/>
    <w:link w:val="FigureChar"/>
    <w:rsid w:val="0001512C"/>
    <w:pPr>
      <w:keepNext/>
      <w:spacing w:before="120" w:after="120" w:line="240" w:lineRule="atLeast"/>
      <w:jc w:val="center"/>
    </w:pPr>
  </w:style>
  <w:style w:type="character" w:customStyle="1" w:styleId="FigureChar">
    <w:name w:val="Figure Char"/>
    <w:link w:val="Figure"/>
    <w:rsid w:val="001F39F2"/>
    <w:rPr>
      <w:sz w:val="24"/>
    </w:rPr>
  </w:style>
  <w:style w:type="paragraph" w:customStyle="1" w:styleId="FigureTitle">
    <w:name w:val="Figure Title"/>
    <w:basedOn w:val="Caption"/>
    <w:next w:val="Subtitle"/>
    <w:link w:val="FigureTitleChar"/>
    <w:rsid w:val="0001512C"/>
    <w:pPr>
      <w:spacing w:before="120"/>
    </w:pPr>
  </w:style>
  <w:style w:type="paragraph" w:styleId="Subtitle">
    <w:name w:val="Subtitle"/>
    <w:basedOn w:val="Caption"/>
    <w:link w:val="SubtitleChar"/>
    <w:qFormat/>
    <w:rsid w:val="0001512C"/>
    <w:pPr>
      <w:spacing w:before="0" w:line="200" w:lineRule="exact"/>
      <w:ind w:firstLine="0"/>
    </w:pPr>
    <w:rPr>
      <w:b w:val="0"/>
      <w:sz w:val="20"/>
    </w:rPr>
  </w:style>
  <w:style w:type="character" w:customStyle="1" w:styleId="SubtitleChar">
    <w:name w:val="Subtitle Char"/>
    <w:basedOn w:val="DefaultParagraphFont"/>
    <w:link w:val="Subtitle"/>
    <w:rsid w:val="0001512C"/>
    <w:rPr>
      <w:rFonts w:ascii="Arial" w:hAnsi="Arial"/>
      <w:szCs w:val="24"/>
    </w:rPr>
  </w:style>
  <w:style w:type="character" w:customStyle="1" w:styleId="FigureTitleChar">
    <w:name w:val="Figure Title Char"/>
    <w:link w:val="FigureTitle"/>
    <w:rsid w:val="001F39F2"/>
    <w:rPr>
      <w:rFonts w:ascii="Arial" w:hAnsi="Arial"/>
      <w:b/>
      <w:sz w:val="24"/>
      <w:szCs w:val="24"/>
    </w:rPr>
  </w:style>
  <w:style w:type="paragraph" w:customStyle="1" w:styleId="Finding">
    <w:name w:val="Finding"/>
    <w:basedOn w:val="BodyText"/>
    <w:rsid w:val="0001512C"/>
    <w:pPr>
      <w:keepLines/>
      <w:spacing w:before="120" w:line="280" w:lineRule="atLeast"/>
    </w:pPr>
    <w:rPr>
      <w:rFonts w:ascii="Arial" w:hAnsi="Arial"/>
      <w:sz w:val="22"/>
    </w:rPr>
  </w:style>
  <w:style w:type="paragraph" w:customStyle="1" w:styleId="FindingBullet">
    <w:name w:val="Finding Bullet"/>
    <w:basedOn w:val="Finding"/>
    <w:rsid w:val="0001512C"/>
    <w:pPr>
      <w:numPr>
        <w:numId w:val="3"/>
      </w:numPr>
      <w:spacing w:before="80"/>
    </w:pPr>
  </w:style>
  <w:style w:type="paragraph" w:customStyle="1" w:styleId="FindingNoTitle">
    <w:name w:val="Finding NoTitle"/>
    <w:basedOn w:val="Finding"/>
    <w:rsid w:val="0001512C"/>
    <w:pPr>
      <w:spacing w:before="240"/>
    </w:pPr>
  </w:style>
  <w:style w:type="paragraph" w:customStyle="1" w:styleId="RecTitle">
    <w:name w:val="Rec Title"/>
    <w:basedOn w:val="BodyText"/>
    <w:next w:val="Rec"/>
    <w:qFormat/>
    <w:rsid w:val="0001512C"/>
    <w:pPr>
      <w:keepNext/>
      <w:keepLines/>
      <w:spacing w:line="280" w:lineRule="atLeast"/>
    </w:pPr>
    <w:rPr>
      <w:rFonts w:ascii="Arial" w:hAnsi="Arial"/>
      <w:caps/>
      <w:sz w:val="18"/>
    </w:rPr>
  </w:style>
  <w:style w:type="paragraph" w:customStyle="1" w:styleId="FindingTitle">
    <w:name w:val="Finding Title"/>
    <w:basedOn w:val="RecTitle"/>
    <w:next w:val="Finding"/>
    <w:rsid w:val="0001512C"/>
  </w:style>
  <w:style w:type="character" w:styleId="FootnoteReference">
    <w:name w:val="footnote reference"/>
    <w:basedOn w:val="DefaultParagraphFont"/>
    <w:rsid w:val="0001512C"/>
    <w:rPr>
      <w:rFonts w:ascii="Times New Roman" w:hAnsi="Times New Roman"/>
      <w:position w:val="6"/>
      <w:sz w:val="20"/>
      <w:vertAlign w:val="baseline"/>
    </w:rPr>
  </w:style>
  <w:style w:type="paragraph" w:styleId="FootnoteText">
    <w:name w:val="footnote text"/>
    <w:basedOn w:val="BodyText"/>
    <w:link w:val="FootnoteTextChar"/>
    <w:rsid w:val="0001512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512C"/>
    <w:rPr>
      <w:i/>
    </w:rPr>
  </w:style>
  <w:style w:type="paragraph" w:customStyle="1" w:styleId="Jurisdictioncommentsbodytext">
    <w:name w:val="Jurisdiction comments body text"/>
    <w:rsid w:val="0001512C"/>
    <w:pPr>
      <w:spacing w:after="140"/>
      <w:jc w:val="both"/>
    </w:pPr>
    <w:rPr>
      <w:rFonts w:ascii="Arial" w:hAnsi="Arial"/>
      <w:sz w:val="24"/>
      <w:lang w:eastAsia="en-US"/>
    </w:rPr>
  </w:style>
  <w:style w:type="paragraph" w:customStyle="1" w:styleId="Jurisdictioncommentsheading">
    <w:name w:val="Jurisdiction comments heading"/>
    <w:rsid w:val="0001512C"/>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1512C"/>
    <w:pPr>
      <w:numPr>
        <w:numId w:val="4"/>
      </w:numPr>
      <w:spacing w:after="140"/>
      <w:jc w:val="both"/>
    </w:pPr>
    <w:rPr>
      <w:rFonts w:ascii="Arial" w:hAnsi="Arial"/>
      <w:sz w:val="24"/>
      <w:lang w:eastAsia="en-US"/>
    </w:rPr>
  </w:style>
  <w:style w:type="character" w:customStyle="1" w:styleId="JurisdictioncommentslistbulletChar">
    <w:name w:val="Jurisdiction comments list bullet Char"/>
    <w:link w:val="Jurisdictioncommentslistbullet"/>
    <w:rsid w:val="001F39F2"/>
    <w:rPr>
      <w:rFonts w:ascii="Arial" w:hAnsi="Arial"/>
      <w:sz w:val="24"/>
      <w:lang w:eastAsia="en-US"/>
    </w:rPr>
  </w:style>
  <w:style w:type="paragraph" w:styleId="ListBullet">
    <w:name w:val="List Bullet"/>
    <w:basedOn w:val="BodyText"/>
    <w:link w:val="ListBulletChar"/>
    <w:rsid w:val="0001512C"/>
    <w:pPr>
      <w:numPr>
        <w:numId w:val="5"/>
      </w:numPr>
      <w:spacing w:before="120"/>
    </w:pPr>
  </w:style>
  <w:style w:type="character" w:customStyle="1" w:styleId="ListBulletChar">
    <w:name w:val="List Bullet Char"/>
    <w:link w:val="ListBullet"/>
    <w:rsid w:val="001F39F2"/>
    <w:rPr>
      <w:sz w:val="24"/>
    </w:rPr>
  </w:style>
  <w:style w:type="paragraph" w:styleId="ListBullet2">
    <w:name w:val="List Bullet 2"/>
    <w:basedOn w:val="BodyText"/>
    <w:rsid w:val="0001512C"/>
    <w:pPr>
      <w:numPr>
        <w:numId w:val="6"/>
      </w:numPr>
      <w:spacing w:before="120"/>
    </w:pPr>
  </w:style>
  <w:style w:type="paragraph" w:styleId="ListBullet3">
    <w:name w:val="List Bullet 3"/>
    <w:basedOn w:val="BodyText"/>
    <w:rsid w:val="0001512C"/>
    <w:pPr>
      <w:numPr>
        <w:numId w:val="7"/>
      </w:numPr>
      <w:spacing w:before="120"/>
      <w:ind w:left="1020" w:hanging="340"/>
    </w:pPr>
  </w:style>
  <w:style w:type="paragraph" w:styleId="ListNumber">
    <w:name w:val="List Number"/>
    <w:basedOn w:val="BodyText"/>
    <w:rsid w:val="0001512C"/>
    <w:pPr>
      <w:numPr>
        <w:numId w:val="13"/>
      </w:numPr>
      <w:spacing w:before="120"/>
    </w:pPr>
  </w:style>
  <w:style w:type="paragraph" w:styleId="ListNumber2">
    <w:name w:val="List Number 2"/>
    <w:basedOn w:val="ListNumber"/>
    <w:rsid w:val="0001512C"/>
    <w:pPr>
      <w:numPr>
        <w:ilvl w:val="1"/>
      </w:numPr>
    </w:pPr>
  </w:style>
  <w:style w:type="paragraph" w:styleId="ListNumber3">
    <w:name w:val="List Number 3"/>
    <w:basedOn w:val="ListNumber2"/>
    <w:rsid w:val="0001512C"/>
    <w:pPr>
      <w:numPr>
        <w:ilvl w:val="2"/>
      </w:numPr>
    </w:pPr>
  </w:style>
  <w:style w:type="character" w:customStyle="1" w:styleId="NoteLabel">
    <w:name w:val="Note Label"/>
    <w:basedOn w:val="DefaultParagraphFont"/>
    <w:rsid w:val="0001512C"/>
    <w:rPr>
      <w:rFonts w:ascii="Arial" w:hAnsi="Arial"/>
      <w:b/>
      <w:position w:val="6"/>
      <w:sz w:val="18"/>
    </w:rPr>
  </w:style>
  <w:style w:type="paragraph" w:customStyle="1" w:styleId="PartDivider">
    <w:name w:val="Part Divider"/>
    <w:basedOn w:val="BodyText"/>
    <w:next w:val="BodyText"/>
    <w:semiHidden/>
    <w:rsid w:val="0001512C"/>
    <w:pPr>
      <w:spacing w:before="0" w:line="40" w:lineRule="exact"/>
      <w:jc w:val="right"/>
    </w:pPr>
    <w:rPr>
      <w:smallCaps/>
      <w:sz w:val="16"/>
    </w:rPr>
  </w:style>
  <w:style w:type="paragraph" w:customStyle="1" w:styleId="PartNumber">
    <w:name w:val="Part Number"/>
    <w:basedOn w:val="BodyText"/>
    <w:next w:val="BodyText"/>
    <w:semiHidden/>
    <w:rsid w:val="0001512C"/>
    <w:pPr>
      <w:spacing w:before="4000" w:line="320" w:lineRule="exact"/>
      <w:ind w:left="6634"/>
      <w:jc w:val="right"/>
    </w:pPr>
    <w:rPr>
      <w:smallCaps/>
      <w:spacing w:val="60"/>
      <w:sz w:val="32"/>
    </w:rPr>
  </w:style>
  <w:style w:type="paragraph" w:customStyle="1" w:styleId="PartTitle">
    <w:name w:val="Part Title"/>
    <w:basedOn w:val="BodyText"/>
    <w:semiHidden/>
    <w:rsid w:val="0001512C"/>
    <w:pPr>
      <w:spacing w:before="160" w:after="1360" w:line="520" w:lineRule="exact"/>
      <w:ind w:right="2381"/>
      <w:jc w:val="right"/>
    </w:pPr>
    <w:rPr>
      <w:smallCaps/>
      <w:sz w:val="52"/>
    </w:rPr>
  </w:style>
  <w:style w:type="paragraph" w:styleId="Quote">
    <w:name w:val="Quote"/>
    <w:basedOn w:val="BodyText"/>
    <w:next w:val="BodyText"/>
    <w:qFormat/>
    <w:rsid w:val="0001512C"/>
    <w:pPr>
      <w:spacing w:before="120" w:line="280" w:lineRule="exact"/>
      <w:ind w:left="340"/>
    </w:pPr>
    <w:rPr>
      <w:sz w:val="22"/>
    </w:rPr>
  </w:style>
  <w:style w:type="paragraph" w:customStyle="1" w:styleId="QuoteBullet">
    <w:name w:val="Quote Bullet"/>
    <w:basedOn w:val="Quote"/>
    <w:rsid w:val="0001512C"/>
    <w:pPr>
      <w:numPr>
        <w:numId w:val="8"/>
      </w:numPr>
    </w:pPr>
  </w:style>
  <w:style w:type="paragraph" w:customStyle="1" w:styleId="Rec">
    <w:name w:val="Rec"/>
    <w:basedOn w:val="BodyText"/>
    <w:qFormat/>
    <w:rsid w:val="0001512C"/>
    <w:pPr>
      <w:keepLines/>
      <w:spacing w:before="120" w:line="280" w:lineRule="atLeast"/>
    </w:pPr>
    <w:rPr>
      <w:rFonts w:ascii="Arial" w:hAnsi="Arial"/>
      <w:sz w:val="22"/>
    </w:rPr>
  </w:style>
  <w:style w:type="paragraph" w:customStyle="1" w:styleId="RecBullet">
    <w:name w:val="Rec Bullet"/>
    <w:basedOn w:val="Rec"/>
    <w:rsid w:val="0001512C"/>
    <w:pPr>
      <w:numPr>
        <w:numId w:val="9"/>
      </w:numPr>
      <w:spacing w:before="80"/>
    </w:pPr>
  </w:style>
  <w:style w:type="paragraph" w:customStyle="1" w:styleId="RecB">
    <w:name w:val="RecB"/>
    <w:basedOn w:val="Normal"/>
    <w:rsid w:val="0001512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1512C"/>
    <w:pPr>
      <w:numPr>
        <w:numId w:val="10"/>
      </w:numPr>
      <w:spacing w:before="80"/>
    </w:pPr>
  </w:style>
  <w:style w:type="paragraph" w:customStyle="1" w:styleId="RecBNoTitle">
    <w:name w:val="RecB NoTitle"/>
    <w:basedOn w:val="RecB"/>
    <w:rsid w:val="0001512C"/>
    <w:pPr>
      <w:spacing w:before="240"/>
    </w:pPr>
  </w:style>
  <w:style w:type="paragraph" w:customStyle="1" w:styleId="Reference">
    <w:name w:val="Reference"/>
    <w:basedOn w:val="BodyText"/>
    <w:rsid w:val="0001512C"/>
    <w:pPr>
      <w:spacing w:before="120"/>
      <w:ind w:left="340" w:hanging="340"/>
    </w:pPr>
  </w:style>
  <w:style w:type="paragraph" w:customStyle="1" w:styleId="SequenceInfo">
    <w:name w:val="Sequence Info"/>
    <w:basedOn w:val="BodyText"/>
    <w:semiHidden/>
    <w:rsid w:val="0001512C"/>
    <w:rPr>
      <w:vanish/>
      <w:sz w:val="16"/>
    </w:rPr>
  </w:style>
  <w:style w:type="paragraph" w:customStyle="1" w:styleId="SideNote">
    <w:name w:val="Side Note"/>
    <w:basedOn w:val="BodyText"/>
    <w:next w:val="BodyText"/>
    <w:semiHidden/>
    <w:rsid w:val="0001512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512C"/>
    <w:pPr>
      <w:framePr w:wrap="around"/>
      <w:numPr>
        <w:numId w:val="11"/>
      </w:numPr>
      <w:tabs>
        <w:tab w:val="left" w:pos="227"/>
      </w:tabs>
    </w:pPr>
  </w:style>
  <w:style w:type="paragraph" w:customStyle="1" w:styleId="SideNoteGraphic">
    <w:name w:val="Side Note Graphic"/>
    <w:basedOn w:val="SideNote"/>
    <w:next w:val="BodyText"/>
    <w:semiHidden/>
    <w:rsid w:val="0001512C"/>
    <w:pPr>
      <w:framePr w:wrap="around"/>
    </w:pPr>
  </w:style>
  <w:style w:type="paragraph" w:customStyle="1" w:styleId="TableBodyText">
    <w:name w:val="Table Body Text"/>
    <w:basedOn w:val="BodyText"/>
    <w:link w:val="TableBodyTextChar"/>
    <w:rsid w:val="0001512C"/>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rsid w:val="001F39F2"/>
    <w:rPr>
      <w:rFonts w:ascii="Arial" w:hAnsi="Arial"/>
      <w:sz w:val="18"/>
    </w:rPr>
  </w:style>
  <w:style w:type="paragraph" w:customStyle="1" w:styleId="TableBullet">
    <w:name w:val="Table Bullet"/>
    <w:basedOn w:val="TableBodyText"/>
    <w:rsid w:val="0001512C"/>
    <w:pPr>
      <w:numPr>
        <w:numId w:val="12"/>
      </w:numPr>
      <w:jc w:val="left"/>
    </w:pPr>
  </w:style>
  <w:style w:type="paragraph" w:customStyle="1" w:styleId="TableColumnHeading">
    <w:name w:val="Table Column Heading"/>
    <w:basedOn w:val="TableBodyText"/>
    <w:link w:val="TableColumnHeadingChar"/>
    <w:rsid w:val="0001512C"/>
    <w:pPr>
      <w:spacing w:before="80" w:after="80"/>
    </w:pPr>
    <w:rPr>
      <w:i/>
    </w:rPr>
  </w:style>
  <w:style w:type="character" w:customStyle="1" w:styleId="TableColumnHeadingChar">
    <w:name w:val="Table Column Heading Char"/>
    <w:basedOn w:val="TableBodyTextChar"/>
    <w:link w:val="TableColumnHeading"/>
    <w:rsid w:val="005E1D0C"/>
    <w:rPr>
      <w:rFonts w:ascii="Arial" w:hAnsi="Arial"/>
      <w:i/>
      <w:sz w:val="18"/>
    </w:rPr>
  </w:style>
  <w:style w:type="paragraph" w:styleId="TOC2">
    <w:name w:val="toc 2"/>
    <w:basedOn w:val="TOC1"/>
    <w:rsid w:val="0001512C"/>
    <w:pPr>
      <w:ind w:left="1134" w:hanging="624"/>
    </w:pPr>
    <w:rPr>
      <w:b w:val="0"/>
    </w:rPr>
  </w:style>
  <w:style w:type="paragraph" w:styleId="TOC3">
    <w:name w:val="toc 3"/>
    <w:basedOn w:val="TOC2"/>
    <w:rsid w:val="0001512C"/>
    <w:pPr>
      <w:spacing w:before="60"/>
      <w:ind w:left="1190" w:hanging="680"/>
    </w:pPr>
  </w:style>
  <w:style w:type="paragraph" w:styleId="TableofFigures">
    <w:name w:val="table of figures"/>
    <w:basedOn w:val="TOC3"/>
    <w:next w:val="BodyText"/>
    <w:semiHidden/>
    <w:rsid w:val="0001512C"/>
    <w:pPr>
      <w:ind w:left="737" w:hanging="737"/>
    </w:pPr>
  </w:style>
  <w:style w:type="paragraph" w:customStyle="1" w:styleId="TableTitle">
    <w:name w:val="Table Title"/>
    <w:basedOn w:val="Caption"/>
    <w:next w:val="Subtitle"/>
    <w:link w:val="TableTitleChar"/>
    <w:qFormat/>
    <w:rsid w:val="0001512C"/>
    <w:pPr>
      <w:spacing w:before="120"/>
    </w:pPr>
  </w:style>
  <w:style w:type="character" w:customStyle="1" w:styleId="TableTitleChar">
    <w:name w:val="Table Title Char"/>
    <w:basedOn w:val="DefaultParagraphFont"/>
    <w:link w:val="TableTitle"/>
    <w:rsid w:val="005E1D0C"/>
    <w:rPr>
      <w:rFonts w:ascii="Arial" w:hAnsi="Arial"/>
      <w:b/>
      <w:sz w:val="24"/>
      <w:szCs w:val="24"/>
    </w:rPr>
  </w:style>
  <w:style w:type="paragraph" w:customStyle="1" w:styleId="TableUnitsRow">
    <w:name w:val="Table Units Row"/>
    <w:basedOn w:val="TableBodyText"/>
    <w:rsid w:val="0001512C"/>
    <w:pPr>
      <w:spacing w:before="40"/>
    </w:pPr>
  </w:style>
  <w:style w:type="paragraph" w:styleId="TOC1">
    <w:name w:val="toc 1"/>
    <w:basedOn w:val="Normal"/>
    <w:next w:val="TOC2"/>
    <w:link w:val="TOC1Char"/>
    <w:rsid w:val="0001512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1512C"/>
    <w:pPr>
      <w:ind w:left="1191" w:firstLine="0"/>
    </w:pPr>
  </w:style>
  <w:style w:type="paragraph" w:customStyle="1" w:styleId="RecBBullet2">
    <w:name w:val="RecB Bullet 2"/>
    <w:basedOn w:val="ListBullet2"/>
    <w:rsid w:val="0001512C"/>
    <w:pPr>
      <w:pBdr>
        <w:left w:val="single" w:sz="24" w:space="29" w:color="C0C0C0"/>
      </w:pBdr>
    </w:pPr>
    <w:rPr>
      <w:b/>
      <w:i/>
    </w:rPr>
  </w:style>
  <w:style w:type="paragraph" w:styleId="BalloonText">
    <w:name w:val="Balloon Text"/>
    <w:basedOn w:val="Normal"/>
    <w:link w:val="BalloonTextChar"/>
    <w:rsid w:val="0001512C"/>
    <w:rPr>
      <w:rFonts w:ascii="Tahoma" w:hAnsi="Tahoma" w:cs="Tahoma"/>
      <w:sz w:val="16"/>
      <w:szCs w:val="16"/>
    </w:rPr>
  </w:style>
  <w:style w:type="character" w:customStyle="1" w:styleId="BalloonTextChar">
    <w:name w:val="Balloon Text Char"/>
    <w:basedOn w:val="DefaultParagraphFont"/>
    <w:link w:val="BalloonText"/>
    <w:rsid w:val="0001512C"/>
    <w:rPr>
      <w:rFonts w:ascii="Tahoma" w:hAnsi="Tahoma" w:cs="Tahoma"/>
      <w:sz w:val="16"/>
      <w:szCs w:val="16"/>
    </w:rPr>
  </w:style>
  <w:style w:type="paragraph" w:customStyle="1" w:styleId="BoxListBullet3">
    <w:name w:val="Box List Bullet 3"/>
    <w:basedOn w:val="ListBullet3"/>
    <w:rsid w:val="0001512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512C"/>
    <w:rPr>
      <w:i/>
      <w:iCs/>
    </w:rPr>
  </w:style>
  <w:style w:type="paragraph" w:customStyle="1" w:styleId="SOC">
    <w:name w:val="SOC"/>
    <w:basedOn w:val="Normal"/>
    <w:rsid w:val="001F39F2"/>
    <w:pPr>
      <w:spacing w:after="140"/>
      <w:jc w:val="both"/>
    </w:pPr>
    <w:rPr>
      <w:rFonts w:ascii="Arial" w:hAnsi="Arial"/>
      <w:szCs w:val="20"/>
    </w:rPr>
  </w:style>
  <w:style w:type="character" w:styleId="Hyperlink">
    <w:name w:val="Hyperlink"/>
    <w:uiPriority w:val="99"/>
    <w:rsid w:val="001F39F2"/>
    <w:rPr>
      <w:color w:val="0000FF"/>
      <w:u w:val="single"/>
    </w:rPr>
  </w:style>
  <w:style w:type="table" w:styleId="TableGrid">
    <w:name w:val="Table Grid"/>
    <w:basedOn w:val="TableNormal"/>
    <w:rsid w:val="00015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1F39F2"/>
    <w:rPr>
      <w:b/>
      <w:bCs/>
    </w:rPr>
  </w:style>
  <w:style w:type="paragraph" w:customStyle="1" w:styleId="DocInfo">
    <w:name w:val="Doc Info"/>
    <w:basedOn w:val="Normal"/>
    <w:next w:val="Normal"/>
    <w:rsid w:val="001F39F2"/>
    <w:pPr>
      <w:jc w:val="center"/>
    </w:pPr>
    <w:rPr>
      <w:rFonts w:ascii="Arial" w:hAnsi="Arial"/>
      <w:sz w:val="14"/>
    </w:rPr>
  </w:style>
  <w:style w:type="paragraph" w:customStyle="1" w:styleId="Heading2NotTOC">
    <w:name w:val="Heading 2 Not TOC"/>
    <w:basedOn w:val="Heading2"/>
    <w:next w:val="Normal"/>
    <w:rsid w:val="001F39F2"/>
    <w:pPr>
      <w:outlineLvl w:val="9"/>
    </w:pPr>
  </w:style>
  <w:style w:type="paragraph" w:customStyle="1" w:styleId="TableFigText">
    <w:name w:val="Table/Fig: Text"/>
    <w:basedOn w:val="Normal"/>
    <w:link w:val="TableFigTextChar"/>
    <w:rsid w:val="001F39F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1F39F2"/>
    <w:rPr>
      <w:rFonts w:ascii="Arial" w:hAnsi="Arial"/>
      <w:color w:val="000000"/>
      <w:sz w:val="16"/>
      <w:lang w:eastAsia="en-US"/>
    </w:rPr>
  </w:style>
  <w:style w:type="table" w:styleId="Table3Deffects1">
    <w:name w:val="Table 3D effects 1"/>
    <w:basedOn w:val="TableNormal"/>
    <w:rsid w:val="001F39F2"/>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1F39F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F39F2"/>
    <w:rPr>
      <w:rFonts w:ascii="Tahoma" w:hAnsi="Tahoma" w:cs="Tahoma"/>
      <w:shd w:val="clear" w:color="auto" w:fill="000080"/>
    </w:rPr>
  </w:style>
  <w:style w:type="paragraph" w:customStyle="1" w:styleId="Pa1">
    <w:name w:val="Pa1"/>
    <w:basedOn w:val="Normal"/>
    <w:next w:val="Normal"/>
    <w:rsid w:val="001F39F2"/>
    <w:pPr>
      <w:autoSpaceDE w:val="0"/>
      <w:autoSpaceDN w:val="0"/>
      <w:adjustRightInd w:val="0"/>
      <w:spacing w:line="241" w:lineRule="atLeast"/>
    </w:pPr>
    <w:rPr>
      <w:rFonts w:ascii="Arial" w:hAnsi="Arial"/>
    </w:rPr>
  </w:style>
  <w:style w:type="paragraph" w:styleId="CommentSubject">
    <w:name w:val="annotation subject"/>
    <w:basedOn w:val="CommentText"/>
    <w:next w:val="CommentText"/>
    <w:link w:val="CommentSubjectChar"/>
    <w:rsid w:val="001F39F2"/>
    <w:pPr>
      <w:spacing w:before="0" w:line="240" w:lineRule="auto"/>
      <w:ind w:left="0" w:firstLine="0"/>
    </w:pPr>
    <w:rPr>
      <w:b/>
      <w:bCs/>
      <w:szCs w:val="20"/>
    </w:rPr>
  </w:style>
  <w:style w:type="character" w:customStyle="1" w:styleId="CommentSubjectChar">
    <w:name w:val="Comment Subject Char"/>
    <w:basedOn w:val="CommentTextChar"/>
    <w:link w:val="CommentSubject"/>
    <w:rsid w:val="001F39F2"/>
    <w:rPr>
      <w:b/>
      <w:bCs/>
      <w:szCs w:val="24"/>
    </w:rPr>
  </w:style>
  <w:style w:type="paragraph" w:customStyle="1" w:styleId="BoxQuoteBullet">
    <w:name w:val="Box Quote Bullet"/>
    <w:basedOn w:val="BoxQuote"/>
    <w:next w:val="Box"/>
    <w:rsid w:val="0001512C"/>
    <w:pPr>
      <w:numPr>
        <w:numId w:val="15"/>
      </w:numPr>
      <w:ind w:left="568" w:hanging="284"/>
    </w:pPr>
  </w:style>
  <w:style w:type="paragraph" w:customStyle="1" w:styleId="InformationRequestBullet">
    <w:name w:val="Information Request Bullet"/>
    <w:basedOn w:val="ListBullet"/>
    <w:next w:val="BodyText"/>
    <w:rsid w:val="0001512C"/>
    <w:pPr>
      <w:numPr>
        <w:numId w:val="16"/>
      </w:numPr>
      <w:spacing w:before="80" w:line="280" w:lineRule="atLeast"/>
      <w:ind w:left="357" w:hanging="357"/>
    </w:pPr>
    <w:rPr>
      <w:rFonts w:ascii="Arial" w:hAnsi="Arial"/>
      <w:i/>
      <w:sz w:val="22"/>
    </w:rPr>
  </w:style>
  <w:style w:type="paragraph" w:styleId="NormalWeb">
    <w:name w:val="Normal (Web)"/>
    <w:basedOn w:val="Normal"/>
    <w:uiPriority w:val="99"/>
    <w:unhideWhenUsed/>
    <w:rsid w:val="00710693"/>
    <w:pPr>
      <w:spacing w:before="100" w:beforeAutospacing="1" w:after="100" w:afterAutospacing="1"/>
    </w:pPr>
  </w:style>
  <w:style w:type="paragraph" w:styleId="Revision">
    <w:name w:val="Revision"/>
    <w:hidden/>
    <w:uiPriority w:val="99"/>
    <w:semiHidden/>
    <w:rsid w:val="00FD1608"/>
    <w:rPr>
      <w:sz w:val="26"/>
      <w:szCs w:val="24"/>
    </w:rPr>
  </w:style>
  <w:style w:type="paragraph" w:customStyle="1" w:styleId="BoxSpaceAbove">
    <w:name w:val="Box Space Above"/>
    <w:basedOn w:val="BodyText"/>
    <w:rsid w:val="0001512C"/>
    <w:pPr>
      <w:keepNext/>
      <w:spacing w:before="360" w:line="80" w:lineRule="exact"/>
      <w:jc w:val="left"/>
    </w:pPr>
  </w:style>
  <w:style w:type="paragraph" w:customStyle="1" w:styleId="BoxSpaceBelow">
    <w:name w:val="Box Space Below"/>
    <w:basedOn w:val="Box"/>
    <w:rsid w:val="0001512C"/>
    <w:pPr>
      <w:keepNext w:val="0"/>
      <w:spacing w:before="60" w:after="60" w:line="80" w:lineRule="exact"/>
    </w:pPr>
    <w:rPr>
      <w:sz w:val="14"/>
    </w:rPr>
  </w:style>
  <w:style w:type="paragraph" w:styleId="List">
    <w:name w:val="List"/>
    <w:basedOn w:val="Normal"/>
    <w:rsid w:val="0054638E"/>
    <w:pPr>
      <w:ind w:left="283" w:hanging="283"/>
      <w:contextualSpacing/>
    </w:pPr>
  </w:style>
  <w:style w:type="paragraph" w:customStyle="1" w:styleId="AIHWbodytext">
    <w:name w:val="AIHW body text"/>
    <w:basedOn w:val="Normal"/>
    <w:link w:val="AIHWbodytextChar"/>
    <w:qFormat/>
    <w:rsid w:val="009730EC"/>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9730EC"/>
    <w:pPr>
      <w:numPr>
        <w:numId w:val="18"/>
      </w:numPr>
      <w:spacing w:before="40" w:after="80"/>
    </w:pPr>
  </w:style>
  <w:style w:type="character" w:customStyle="1" w:styleId="AIHWbodytextChar">
    <w:name w:val="AIHW body text Char"/>
    <w:link w:val="AIHWbodytext"/>
    <w:locked/>
    <w:rsid w:val="009730EC"/>
    <w:rPr>
      <w:rFonts w:ascii="Book Antiqua" w:hAnsi="Book Antiqua"/>
      <w:sz w:val="22"/>
      <w:lang w:eastAsia="en-US"/>
    </w:rPr>
  </w:style>
  <w:style w:type="paragraph" w:customStyle="1" w:styleId="AIHWbodytextintable">
    <w:name w:val="AIHW body text in table"/>
    <w:basedOn w:val="AIHWbodytext"/>
    <w:next w:val="AIHWbodytext"/>
    <w:rsid w:val="009730EC"/>
    <w:pPr>
      <w:spacing w:before="80" w:after="80"/>
    </w:pPr>
  </w:style>
  <w:style w:type="character" w:customStyle="1" w:styleId="Bullet1Char">
    <w:name w:val="Bullet 1 Char"/>
    <w:link w:val="Bullet1"/>
    <w:rsid w:val="009730EC"/>
    <w:rPr>
      <w:rFonts w:ascii="Book Antiqua" w:hAnsi="Book Antiqua"/>
      <w:sz w:val="22"/>
      <w:lang w:eastAsia="en-US"/>
    </w:rPr>
  </w:style>
  <w:style w:type="paragraph" w:styleId="ListParagraph">
    <w:name w:val="List Paragraph"/>
    <w:basedOn w:val="Normal"/>
    <w:qFormat/>
    <w:rsid w:val="000F215F"/>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DB6DCF"/>
    <w:pPr>
      <w:autoSpaceDE w:val="0"/>
      <w:autoSpaceDN w:val="0"/>
      <w:adjustRightInd w:val="0"/>
    </w:pPr>
    <w:rPr>
      <w:rFonts w:eastAsiaTheme="minorHAnsi"/>
      <w:color w:val="000000"/>
      <w:sz w:val="24"/>
      <w:szCs w:val="24"/>
      <w:lang w:eastAsia="en-US"/>
    </w:rPr>
  </w:style>
  <w:style w:type="paragraph" w:customStyle="1" w:styleId="KeyPointsListBullet">
    <w:name w:val="Key Points List Bullet"/>
    <w:basedOn w:val="Normal"/>
    <w:qFormat/>
    <w:rsid w:val="0001512C"/>
    <w:pPr>
      <w:keepNext/>
      <w:numPr>
        <w:numId w:val="5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512C"/>
    <w:pPr>
      <w:numPr>
        <w:numId w:val="51"/>
      </w:numPr>
      <w:ind w:left="568" w:hanging="284"/>
    </w:pPr>
  </w:style>
  <w:style w:type="paragraph" w:customStyle="1" w:styleId="InformationRequestTitle">
    <w:name w:val="Information Request Title"/>
    <w:basedOn w:val="FindingTitle"/>
    <w:next w:val="InformationRequest"/>
    <w:rsid w:val="0001512C"/>
    <w:rPr>
      <w:i/>
    </w:rPr>
  </w:style>
  <w:style w:type="paragraph" w:customStyle="1" w:styleId="Space">
    <w:name w:val="Space"/>
    <w:basedOn w:val="Normal"/>
    <w:rsid w:val="0001512C"/>
    <w:pPr>
      <w:keepNext/>
      <w:spacing w:line="120" w:lineRule="exact"/>
      <w:jc w:val="both"/>
    </w:pPr>
    <w:rPr>
      <w:rFonts w:ascii="Arial" w:hAnsi="Arial"/>
      <w:sz w:val="20"/>
      <w:szCs w:val="20"/>
    </w:rPr>
  </w:style>
  <w:style w:type="paragraph" w:customStyle="1" w:styleId="Heading1nochapterno">
    <w:name w:val="Heading 1 (no chapter no.)"/>
    <w:basedOn w:val="Heading1"/>
    <w:rsid w:val="0001512C"/>
    <w:pPr>
      <w:spacing w:before="0"/>
      <w:ind w:left="0" w:firstLine="0"/>
    </w:pPr>
  </w:style>
  <w:style w:type="paragraph" w:customStyle="1" w:styleId="Heading2nosectionno">
    <w:name w:val="Heading 2 (no section no.)"/>
    <w:basedOn w:val="Heading2"/>
    <w:rsid w:val="0001512C"/>
    <w:pPr>
      <w:ind w:left="0" w:firstLine="0"/>
    </w:pPr>
  </w:style>
  <w:style w:type="character" w:customStyle="1" w:styleId="Heading5Char">
    <w:name w:val="Heading 5 Char"/>
    <w:basedOn w:val="DefaultParagraphFont"/>
    <w:link w:val="Heading5"/>
    <w:rsid w:val="0001512C"/>
    <w:rPr>
      <w:rFonts w:ascii="Arial" w:hAnsi="Arial"/>
      <w:i/>
      <w:sz w:val="22"/>
    </w:rPr>
  </w:style>
  <w:style w:type="paragraph" w:customStyle="1" w:styleId="Figurespace">
    <w:name w:val="Figure space"/>
    <w:basedOn w:val="Box"/>
    <w:rsid w:val="0001512C"/>
    <w:pPr>
      <w:spacing w:before="0" w:line="120" w:lineRule="exact"/>
    </w:pPr>
  </w:style>
  <w:style w:type="paragraph" w:customStyle="1" w:styleId="FooterDraftReport">
    <w:name w:val="FooterDraftReport"/>
    <w:basedOn w:val="Footer"/>
    <w:link w:val="FooterDraftReportChar"/>
    <w:rsid w:val="0001512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1512C"/>
    <w:rPr>
      <w:rFonts w:ascii="Arial" w:hAnsi="Arial"/>
      <w:caps/>
      <w:spacing w:val="-4"/>
      <w:sz w:val="16"/>
    </w:rPr>
  </w:style>
  <w:style w:type="character" w:customStyle="1" w:styleId="FooterDraftReportChar">
    <w:name w:val="FooterDraftReport Char"/>
    <w:basedOn w:val="FooterChar"/>
    <w:link w:val="FooterDraftReport"/>
    <w:rsid w:val="0001512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1512C"/>
    <w:rPr>
      <w:rFonts w:ascii="Arial" w:hAnsi="Arial"/>
      <w:b/>
      <w:sz w:val="26"/>
      <w:szCs w:val="26"/>
      <w:lang w:eastAsia="en-US"/>
    </w:rPr>
  </w:style>
  <w:style w:type="paragraph" w:customStyle="1" w:styleId="Heading1NotTOC">
    <w:name w:val="Heading 1 Not TOC"/>
    <w:basedOn w:val="Heading1"/>
    <w:next w:val="BodyText"/>
    <w:rsid w:val="00391CC7"/>
    <w:rPr>
      <w:kern w:val="28"/>
      <w:szCs w:val="26"/>
      <w:lang w:eastAsia="en-US"/>
    </w:rPr>
  </w:style>
  <w:style w:type="character" w:customStyle="1" w:styleId="FootnoteTextChar">
    <w:name w:val="Footnote Text Char"/>
    <w:basedOn w:val="DefaultParagraphFont"/>
    <w:link w:val="FootnoteText"/>
    <w:rsid w:val="00A11584"/>
  </w:style>
  <w:style w:type="character" w:customStyle="1" w:styleId="ARitalic">
    <w:name w:val="AR italic"/>
    <w:basedOn w:val="DefaultParagraphFont"/>
    <w:rsid w:val="000F1274"/>
    <w:rPr>
      <w:rFonts w:ascii="Arial" w:hAnsi="Arial" w:cs="Arial" w:hint="default"/>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512C"/>
    <w:rPr>
      <w:sz w:val="24"/>
      <w:szCs w:val="24"/>
    </w:rPr>
  </w:style>
  <w:style w:type="paragraph" w:styleId="Heading1">
    <w:name w:val="heading 1"/>
    <w:basedOn w:val="BodyText"/>
    <w:next w:val="BodyText"/>
    <w:rsid w:val="0001512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1512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1512C"/>
    <w:pPr>
      <w:spacing w:before="560" w:line="320" w:lineRule="exact"/>
      <w:ind w:left="0" w:firstLine="0"/>
      <w:outlineLvl w:val="2"/>
    </w:pPr>
    <w:rPr>
      <w:sz w:val="26"/>
    </w:rPr>
  </w:style>
  <w:style w:type="paragraph" w:styleId="Heading4">
    <w:name w:val="heading 4"/>
    <w:basedOn w:val="Heading3"/>
    <w:next w:val="BodyText"/>
    <w:qFormat/>
    <w:rsid w:val="0001512C"/>
    <w:pPr>
      <w:spacing w:before="480"/>
      <w:outlineLvl w:val="3"/>
    </w:pPr>
    <w:rPr>
      <w:b w:val="0"/>
      <w:sz w:val="24"/>
    </w:rPr>
  </w:style>
  <w:style w:type="paragraph" w:styleId="Heading5">
    <w:name w:val="heading 5"/>
    <w:basedOn w:val="Heading4"/>
    <w:next w:val="BodyText"/>
    <w:link w:val="Heading5Char"/>
    <w:qFormat/>
    <w:rsid w:val="0001512C"/>
    <w:pPr>
      <w:outlineLvl w:val="4"/>
    </w:pPr>
    <w:rPr>
      <w:i/>
      <w:sz w:val="22"/>
    </w:rPr>
  </w:style>
  <w:style w:type="paragraph" w:styleId="Heading6">
    <w:name w:val="heading 6"/>
    <w:basedOn w:val="BodyText"/>
    <w:next w:val="BodyText"/>
    <w:rsid w:val="0001512C"/>
    <w:pPr>
      <w:spacing w:after="60"/>
      <w:jc w:val="left"/>
      <w:outlineLvl w:val="5"/>
    </w:pPr>
    <w:rPr>
      <w:i/>
      <w:sz w:val="22"/>
    </w:rPr>
  </w:style>
  <w:style w:type="paragraph" w:styleId="Heading7">
    <w:name w:val="heading 7"/>
    <w:basedOn w:val="BodyText"/>
    <w:next w:val="BodyText"/>
    <w:rsid w:val="0001512C"/>
    <w:pPr>
      <w:spacing w:after="60" w:line="240" w:lineRule="auto"/>
      <w:jc w:val="left"/>
      <w:outlineLvl w:val="6"/>
    </w:pPr>
    <w:rPr>
      <w:rFonts w:ascii="Arial" w:hAnsi="Arial"/>
      <w:sz w:val="20"/>
    </w:rPr>
  </w:style>
  <w:style w:type="paragraph" w:styleId="Heading8">
    <w:name w:val="heading 8"/>
    <w:basedOn w:val="BodyText"/>
    <w:next w:val="BodyText"/>
    <w:rsid w:val="0001512C"/>
    <w:pPr>
      <w:spacing w:after="60" w:line="240" w:lineRule="auto"/>
      <w:jc w:val="left"/>
      <w:outlineLvl w:val="7"/>
    </w:pPr>
    <w:rPr>
      <w:rFonts w:ascii="Arial" w:hAnsi="Arial"/>
      <w:i/>
      <w:sz w:val="20"/>
    </w:rPr>
  </w:style>
  <w:style w:type="paragraph" w:styleId="Heading9">
    <w:name w:val="heading 9"/>
    <w:basedOn w:val="BodyText"/>
    <w:next w:val="BodyText"/>
    <w:rsid w:val="0001512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51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512C"/>
  </w:style>
  <w:style w:type="paragraph" w:styleId="BodyText">
    <w:name w:val="Body Text"/>
    <w:link w:val="BodyTextChar"/>
    <w:qFormat/>
    <w:rsid w:val="0001512C"/>
    <w:pPr>
      <w:spacing w:before="240" w:line="300" w:lineRule="atLeast"/>
      <w:jc w:val="both"/>
    </w:pPr>
    <w:rPr>
      <w:sz w:val="24"/>
    </w:rPr>
  </w:style>
  <w:style w:type="character" w:customStyle="1" w:styleId="BodyTextChar">
    <w:name w:val="Body Text Char"/>
    <w:basedOn w:val="DefaultParagraphFont"/>
    <w:link w:val="BodyText"/>
    <w:rsid w:val="0001512C"/>
    <w:rPr>
      <w:sz w:val="24"/>
    </w:rPr>
  </w:style>
  <w:style w:type="paragraph" w:customStyle="1" w:styleId="Chapter">
    <w:name w:val="Chapter"/>
    <w:basedOn w:val="Heading1"/>
    <w:next w:val="BodyText"/>
    <w:link w:val="ChapterChar"/>
    <w:semiHidden/>
    <w:rsid w:val="0001512C"/>
    <w:pPr>
      <w:ind w:left="0" w:firstLine="0"/>
      <w:outlineLvl w:val="9"/>
    </w:pPr>
  </w:style>
  <w:style w:type="character" w:customStyle="1" w:styleId="ChapterChar">
    <w:name w:val="Chapter Char"/>
    <w:link w:val="Chapter"/>
    <w:semiHidden/>
    <w:rsid w:val="001F39F2"/>
    <w:rPr>
      <w:sz w:val="52"/>
    </w:rPr>
  </w:style>
  <w:style w:type="paragraph" w:styleId="Footer">
    <w:name w:val="footer"/>
    <w:basedOn w:val="BodyText"/>
    <w:link w:val="FooterChar"/>
    <w:rsid w:val="0001512C"/>
    <w:pPr>
      <w:spacing w:before="80" w:line="200" w:lineRule="exact"/>
      <w:ind w:right="6"/>
      <w:jc w:val="left"/>
    </w:pPr>
    <w:rPr>
      <w:rFonts w:ascii="Arial" w:hAnsi="Arial"/>
      <w:caps/>
      <w:spacing w:val="-4"/>
      <w:sz w:val="16"/>
    </w:rPr>
  </w:style>
  <w:style w:type="paragraph" w:customStyle="1" w:styleId="FooterEnd">
    <w:name w:val="Footer End"/>
    <w:basedOn w:val="Footer"/>
    <w:rsid w:val="0001512C"/>
    <w:pPr>
      <w:spacing w:before="0" w:line="20" w:lineRule="exact"/>
    </w:pPr>
  </w:style>
  <w:style w:type="paragraph" w:styleId="Header">
    <w:name w:val="header"/>
    <w:basedOn w:val="BodyText"/>
    <w:rsid w:val="0001512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512C"/>
    <w:pPr>
      <w:spacing w:line="20" w:lineRule="exact"/>
    </w:pPr>
    <w:rPr>
      <w:sz w:val="16"/>
    </w:rPr>
  </w:style>
  <w:style w:type="paragraph" w:customStyle="1" w:styleId="HeaderEven">
    <w:name w:val="Header Even"/>
    <w:basedOn w:val="Header"/>
    <w:rsid w:val="0001512C"/>
  </w:style>
  <w:style w:type="paragraph" w:customStyle="1" w:styleId="HeaderOdd">
    <w:name w:val="Header Odd"/>
    <w:basedOn w:val="Header"/>
    <w:rsid w:val="0001512C"/>
  </w:style>
  <w:style w:type="character" w:styleId="PageNumber">
    <w:name w:val="page number"/>
    <w:basedOn w:val="DefaultParagraphFont"/>
    <w:rsid w:val="0001512C"/>
    <w:rPr>
      <w:rFonts w:ascii="Arial" w:hAnsi="Arial"/>
      <w:b/>
      <w:sz w:val="16"/>
    </w:rPr>
  </w:style>
  <w:style w:type="paragraph" w:customStyle="1" w:styleId="Abbreviation">
    <w:name w:val="Abbreviation"/>
    <w:basedOn w:val="BodyText"/>
    <w:rsid w:val="0001512C"/>
    <w:pPr>
      <w:spacing w:before="120"/>
      <w:ind w:left="2381" w:hanging="2381"/>
      <w:jc w:val="left"/>
    </w:pPr>
  </w:style>
  <w:style w:type="paragraph" w:customStyle="1" w:styleId="Box">
    <w:name w:val="Box"/>
    <w:basedOn w:val="BodyText"/>
    <w:link w:val="BoxChar"/>
    <w:qFormat/>
    <w:rsid w:val="0001512C"/>
    <w:pPr>
      <w:keepNext/>
      <w:spacing w:before="120" w:line="260" w:lineRule="atLeast"/>
    </w:pPr>
    <w:rPr>
      <w:rFonts w:ascii="Arial" w:hAnsi="Arial"/>
      <w:sz w:val="20"/>
    </w:rPr>
  </w:style>
  <w:style w:type="character" w:customStyle="1" w:styleId="BoxChar">
    <w:name w:val="Box Char"/>
    <w:link w:val="Box"/>
    <w:rsid w:val="001F39F2"/>
    <w:rPr>
      <w:rFonts w:ascii="Arial" w:hAnsi="Arial"/>
    </w:rPr>
  </w:style>
  <w:style w:type="paragraph" w:customStyle="1" w:styleId="BoxContinued">
    <w:name w:val="Box Continued"/>
    <w:basedOn w:val="BodyText"/>
    <w:next w:val="BodyText"/>
    <w:semiHidden/>
    <w:rsid w:val="0001512C"/>
    <w:pPr>
      <w:spacing w:before="180" w:line="220" w:lineRule="exact"/>
      <w:jc w:val="right"/>
    </w:pPr>
    <w:rPr>
      <w:rFonts w:ascii="Arial" w:hAnsi="Arial"/>
      <w:sz w:val="18"/>
    </w:rPr>
  </w:style>
  <w:style w:type="paragraph" w:customStyle="1" w:styleId="BoxHeading1">
    <w:name w:val="Box Heading 1"/>
    <w:basedOn w:val="BodyText"/>
    <w:next w:val="Box"/>
    <w:rsid w:val="0001512C"/>
    <w:pPr>
      <w:keepNext/>
      <w:spacing w:before="200" w:line="280" w:lineRule="atLeast"/>
    </w:pPr>
    <w:rPr>
      <w:rFonts w:ascii="Arial" w:hAnsi="Arial"/>
      <w:b/>
      <w:sz w:val="22"/>
    </w:rPr>
  </w:style>
  <w:style w:type="paragraph" w:customStyle="1" w:styleId="BoxHeading2">
    <w:name w:val="Box Heading 2"/>
    <w:basedOn w:val="BoxHeading1"/>
    <w:next w:val="Normal"/>
    <w:rsid w:val="0001512C"/>
    <w:rPr>
      <w:b w:val="0"/>
      <w:i/>
    </w:rPr>
  </w:style>
  <w:style w:type="paragraph" w:customStyle="1" w:styleId="BoxListBullet">
    <w:name w:val="Box List Bullet"/>
    <w:basedOn w:val="BodyText"/>
    <w:rsid w:val="0001512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512C"/>
    <w:pPr>
      <w:numPr>
        <w:numId w:val="2"/>
      </w:numPr>
      <w:ind w:left="568" w:hanging="284"/>
    </w:pPr>
  </w:style>
  <w:style w:type="paragraph" w:customStyle="1" w:styleId="BoxListNumber">
    <w:name w:val="Box List Number"/>
    <w:basedOn w:val="BodyText"/>
    <w:rsid w:val="0001512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1512C"/>
    <w:pPr>
      <w:numPr>
        <w:ilvl w:val="1"/>
      </w:numPr>
      <w:ind w:left="681" w:hanging="397"/>
    </w:pPr>
  </w:style>
  <w:style w:type="paragraph" w:customStyle="1" w:styleId="BoxQuote">
    <w:name w:val="Box Quote"/>
    <w:basedOn w:val="BodyText"/>
    <w:next w:val="Box"/>
    <w:link w:val="BoxQuoteChar"/>
    <w:qFormat/>
    <w:rsid w:val="0001512C"/>
    <w:pPr>
      <w:keepNext/>
      <w:spacing w:before="60" w:line="240" w:lineRule="exact"/>
      <w:ind w:left="284"/>
    </w:pPr>
    <w:rPr>
      <w:rFonts w:ascii="Arial" w:hAnsi="Arial"/>
      <w:sz w:val="18"/>
    </w:rPr>
  </w:style>
  <w:style w:type="character" w:customStyle="1" w:styleId="BoxQuoteChar">
    <w:name w:val="Box Quote Char"/>
    <w:link w:val="BoxQuote"/>
    <w:rsid w:val="001F39F2"/>
    <w:rPr>
      <w:rFonts w:ascii="Arial" w:hAnsi="Arial"/>
      <w:sz w:val="18"/>
    </w:rPr>
  </w:style>
  <w:style w:type="paragraph" w:customStyle="1" w:styleId="Note">
    <w:name w:val="Note"/>
    <w:basedOn w:val="BodyText"/>
    <w:next w:val="BodyText"/>
    <w:link w:val="NoteChar"/>
    <w:rsid w:val="0001512C"/>
    <w:pPr>
      <w:keepLines/>
      <w:spacing w:before="80" w:line="220" w:lineRule="exact"/>
    </w:pPr>
    <w:rPr>
      <w:rFonts w:ascii="Arial" w:hAnsi="Arial"/>
      <w:sz w:val="18"/>
    </w:rPr>
  </w:style>
  <w:style w:type="character" w:customStyle="1" w:styleId="NoteChar">
    <w:name w:val="Note Char"/>
    <w:link w:val="Note"/>
    <w:rsid w:val="001F39F2"/>
    <w:rPr>
      <w:rFonts w:ascii="Arial" w:hAnsi="Arial"/>
      <w:sz w:val="18"/>
    </w:rPr>
  </w:style>
  <w:style w:type="paragraph" w:customStyle="1" w:styleId="Source">
    <w:name w:val="Source"/>
    <w:basedOn w:val="Normal"/>
    <w:next w:val="BodyText"/>
    <w:link w:val="SourceChar"/>
    <w:rsid w:val="0001512C"/>
    <w:pPr>
      <w:keepLines/>
      <w:spacing w:before="80" w:line="220" w:lineRule="exact"/>
      <w:jc w:val="both"/>
    </w:pPr>
    <w:rPr>
      <w:rFonts w:ascii="Arial" w:hAnsi="Arial"/>
      <w:sz w:val="18"/>
      <w:szCs w:val="20"/>
    </w:rPr>
  </w:style>
  <w:style w:type="character" w:customStyle="1" w:styleId="SourceChar">
    <w:name w:val="Source Char"/>
    <w:basedOn w:val="NoteChar"/>
    <w:link w:val="Source"/>
    <w:rsid w:val="001F39F2"/>
    <w:rPr>
      <w:rFonts w:ascii="Arial" w:hAnsi="Arial"/>
      <w:sz w:val="18"/>
    </w:rPr>
  </w:style>
  <w:style w:type="paragraph" w:customStyle="1" w:styleId="BoxSource">
    <w:name w:val="Box Source"/>
    <w:basedOn w:val="Source"/>
    <w:next w:val="BodyText"/>
    <w:rsid w:val="0001512C"/>
    <w:pPr>
      <w:spacing w:before="120"/>
    </w:pPr>
  </w:style>
  <w:style w:type="paragraph" w:customStyle="1" w:styleId="BoxSpace">
    <w:name w:val="Box Space"/>
    <w:basedOn w:val="BodyText"/>
    <w:link w:val="BoxSpaceChar"/>
    <w:rsid w:val="00B83E02"/>
    <w:pPr>
      <w:keepNext/>
      <w:spacing w:before="360" w:line="80" w:lineRule="exact"/>
      <w:jc w:val="left"/>
    </w:pPr>
  </w:style>
  <w:style w:type="character" w:customStyle="1" w:styleId="BoxSpaceChar">
    <w:name w:val="Box Space Char"/>
    <w:basedOn w:val="DefaultParagraphFont"/>
    <w:link w:val="BoxSpace"/>
    <w:rsid w:val="00B772AF"/>
    <w:rPr>
      <w:sz w:val="26"/>
    </w:rPr>
  </w:style>
  <w:style w:type="paragraph" w:styleId="Caption">
    <w:name w:val="caption"/>
    <w:basedOn w:val="Normal"/>
    <w:next w:val="BodyText"/>
    <w:rsid w:val="0001512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01512C"/>
    <w:pPr>
      <w:spacing w:before="120" w:after="0"/>
    </w:pPr>
  </w:style>
  <w:style w:type="paragraph" w:customStyle="1" w:styleId="BoxSubtitle">
    <w:name w:val="Box Subtitle"/>
    <w:basedOn w:val="BoxTitle"/>
    <w:next w:val="Normal"/>
    <w:rsid w:val="0001512C"/>
    <w:pPr>
      <w:spacing w:after="80" w:line="200" w:lineRule="exact"/>
      <w:ind w:firstLine="0"/>
    </w:pPr>
    <w:rPr>
      <w:b w:val="0"/>
      <w:sz w:val="20"/>
    </w:rPr>
  </w:style>
  <w:style w:type="character" w:customStyle="1" w:styleId="BoxTitleChar">
    <w:name w:val="Box Title Char"/>
    <w:link w:val="BoxTitle"/>
    <w:rsid w:val="001F39F2"/>
    <w:rPr>
      <w:rFonts w:ascii="Arial" w:hAnsi="Arial"/>
      <w:b/>
      <w:sz w:val="24"/>
      <w:szCs w:val="24"/>
    </w:rPr>
  </w:style>
  <w:style w:type="paragraph" w:customStyle="1" w:styleId="ChapterSummary">
    <w:name w:val="Chapter Summary"/>
    <w:basedOn w:val="BodyText"/>
    <w:rsid w:val="0001512C"/>
    <w:pPr>
      <w:spacing w:line="280" w:lineRule="atLeast"/>
      <w:ind w:left="907"/>
    </w:pPr>
    <w:rPr>
      <w:rFonts w:ascii="Arial" w:hAnsi="Arial"/>
      <w:b/>
      <w:sz w:val="20"/>
    </w:rPr>
  </w:style>
  <w:style w:type="character" w:styleId="CommentReference">
    <w:name w:val="annotation reference"/>
    <w:basedOn w:val="DefaultParagraphFont"/>
    <w:semiHidden/>
    <w:rsid w:val="0001512C"/>
    <w:rPr>
      <w:b/>
      <w:vanish/>
      <w:color w:val="FF00FF"/>
      <w:sz w:val="20"/>
    </w:rPr>
  </w:style>
  <w:style w:type="paragraph" w:styleId="CommentText">
    <w:name w:val="annotation text"/>
    <w:basedOn w:val="Normal"/>
    <w:link w:val="CommentTextChar"/>
    <w:semiHidden/>
    <w:rsid w:val="0001512C"/>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F39F2"/>
    <w:rPr>
      <w:szCs w:val="24"/>
    </w:rPr>
  </w:style>
  <w:style w:type="paragraph" w:customStyle="1" w:styleId="Continued">
    <w:name w:val="Continued"/>
    <w:basedOn w:val="BoxContinued"/>
    <w:next w:val="BodyText"/>
    <w:link w:val="ContinuedChar"/>
    <w:rsid w:val="0001512C"/>
  </w:style>
  <w:style w:type="character" w:customStyle="1" w:styleId="ContinuedChar">
    <w:name w:val="Continued Char"/>
    <w:link w:val="Continued"/>
    <w:rsid w:val="001F39F2"/>
    <w:rPr>
      <w:rFonts w:ascii="Arial" w:hAnsi="Arial"/>
      <w:sz w:val="18"/>
    </w:rPr>
  </w:style>
  <w:style w:type="character" w:customStyle="1" w:styleId="DocumentInfo">
    <w:name w:val="Document Info"/>
    <w:basedOn w:val="DefaultParagraphFont"/>
    <w:semiHidden/>
    <w:rsid w:val="0001512C"/>
    <w:rPr>
      <w:rFonts w:ascii="Arial" w:hAnsi="Arial"/>
      <w:sz w:val="14"/>
    </w:rPr>
  </w:style>
  <w:style w:type="character" w:customStyle="1" w:styleId="DraftingNote">
    <w:name w:val="Drafting Note"/>
    <w:basedOn w:val="DefaultParagraphFont"/>
    <w:rsid w:val="0001512C"/>
    <w:rPr>
      <w:b/>
      <w:color w:val="FF0000"/>
      <w:sz w:val="24"/>
      <w:u w:val="dotted"/>
    </w:rPr>
  </w:style>
  <w:style w:type="paragraph" w:customStyle="1" w:styleId="Figure">
    <w:name w:val="Figure"/>
    <w:basedOn w:val="BodyText"/>
    <w:link w:val="FigureChar"/>
    <w:rsid w:val="0001512C"/>
    <w:pPr>
      <w:keepNext/>
      <w:spacing w:before="120" w:after="120" w:line="240" w:lineRule="atLeast"/>
      <w:jc w:val="center"/>
    </w:pPr>
  </w:style>
  <w:style w:type="character" w:customStyle="1" w:styleId="FigureChar">
    <w:name w:val="Figure Char"/>
    <w:link w:val="Figure"/>
    <w:rsid w:val="001F39F2"/>
    <w:rPr>
      <w:sz w:val="24"/>
    </w:rPr>
  </w:style>
  <w:style w:type="paragraph" w:customStyle="1" w:styleId="FigureTitle">
    <w:name w:val="Figure Title"/>
    <w:basedOn w:val="Caption"/>
    <w:next w:val="Subtitle"/>
    <w:link w:val="FigureTitleChar"/>
    <w:rsid w:val="0001512C"/>
    <w:pPr>
      <w:spacing w:before="120"/>
    </w:pPr>
  </w:style>
  <w:style w:type="paragraph" w:styleId="Subtitle">
    <w:name w:val="Subtitle"/>
    <w:basedOn w:val="Caption"/>
    <w:link w:val="SubtitleChar"/>
    <w:qFormat/>
    <w:rsid w:val="0001512C"/>
    <w:pPr>
      <w:spacing w:before="0" w:line="200" w:lineRule="exact"/>
      <w:ind w:firstLine="0"/>
    </w:pPr>
    <w:rPr>
      <w:b w:val="0"/>
      <w:sz w:val="20"/>
    </w:rPr>
  </w:style>
  <w:style w:type="character" w:customStyle="1" w:styleId="SubtitleChar">
    <w:name w:val="Subtitle Char"/>
    <w:basedOn w:val="DefaultParagraphFont"/>
    <w:link w:val="Subtitle"/>
    <w:rsid w:val="0001512C"/>
    <w:rPr>
      <w:rFonts w:ascii="Arial" w:hAnsi="Arial"/>
      <w:szCs w:val="24"/>
    </w:rPr>
  </w:style>
  <w:style w:type="character" w:customStyle="1" w:styleId="FigureTitleChar">
    <w:name w:val="Figure Title Char"/>
    <w:link w:val="FigureTitle"/>
    <w:rsid w:val="001F39F2"/>
    <w:rPr>
      <w:rFonts w:ascii="Arial" w:hAnsi="Arial"/>
      <w:b/>
      <w:sz w:val="24"/>
      <w:szCs w:val="24"/>
    </w:rPr>
  </w:style>
  <w:style w:type="paragraph" w:customStyle="1" w:styleId="Finding">
    <w:name w:val="Finding"/>
    <w:basedOn w:val="BodyText"/>
    <w:rsid w:val="0001512C"/>
    <w:pPr>
      <w:keepLines/>
      <w:spacing w:before="120" w:line="280" w:lineRule="atLeast"/>
    </w:pPr>
    <w:rPr>
      <w:rFonts w:ascii="Arial" w:hAnsi="Arial"/>
      <w:sz w:val="22"/>
    </w:rPr>
  </w:style>
  <w:style w:type="paragraph" w:customStyle="1" w:styleId="FindingBullet">
    <w:name w:val="Finding Bullet"/>
    <w:basedOn w:val="Finding"/>
    <w:rsid w:val="0001512C"/>
    <w:pPr>
      <w:numPr>
        <w:numId w:val="3"/>
      </w:numPr>
      <w:spacing w:before="80"/>
    </w:pPr>
  </w:style>
  <w:style w:type="paragraph" w:customStyle="1" w:styleId="FindingNoTitle">
    <w:name w:val="Finding NoTitle"/>
    <w:basedOn w:val="Finding"/>
    <w:rsid w:val="0001512C"/>
    <w:pPr>
      <w:spacing w:before="240"/>
    </w:pPr>
  </w:style>
  <w:style w:type="paragraph" w:customStyle="1" w:styleId="RecTitle">
    <w:name w:val="Rec Title"/>
    <w:basedOn w:val="BodyText"/>
    <w:next w:val="Rec"/>
    <w:qFormat/>
    <w:rsid w:val="0001512C"/>
    <w:pPr>
      <w:keepNext/>
      <w:keepLines/>
      <w:spacing w:line="280" w:lineRule="atLeast"/>
    </w:pPr>
    <w:rPr>
      <w:rFonts w:ascii="Arial" w:hAnsi="Arial"/>
      <w:caps/>
      <w:sz w:val="18"/>
    </w:rPr>
  </w:style>
  <w:style w:type="paragraph" w:customStyle="1" w:styleId="FindingTitle">
    <w:name w:val="Finding Title"/>
    <w:basedOn w:val="RecTitle"/>
    <w:next w:val="Finding"/>
    <w:rsid w:val="0001512C"/>
  </w:style>
  <w:style w:type="character" w:styleId="FootnoteReference">
    <w:name w:val="footnote reference"/>
    <w:basedOn w:val="DefaultParagraphFont"/>
    <w:rsid w:val="0001512C"/>
    <w:rPr>
      <w:rFonts w:ascii="Times New Roman" w:hAnsi="Times New Roman"/>
      <w:position w:val="6"/>
      <w:sz w:val="20"/>
      <w:vertAlign w:val="baseline"/>
    </w:rPr>
  </w:style>
  <w:style w:type="paragraph" w:styleId="FootnoteText">
    <w:name w:val="footnote text"/>
    <w:basedOn w:val="BodyText"/>
    <w:link w:val="FootnoteTextChar"/>
    <w:rsid w:val="0001512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512C"/>
    <w:rPr>
      <w:i/>
    </w:rPr>
  </w:style>
  <w:style w:type="paragraph" w:customStyle="1" w:styleId="Jurisdictioncommentsbodytext">
    <w:name w:val="Jurisdiction comments body text"/>
    <w:rsid w:val="0001512C"/>
    <w:pPr>
      <w:spacing w:after="140"/>
      <w:jc w:val="both"/>
    </w:pPr>
    <w:rPr>
      <w:rFonts w:ascii="Arial" w:hAnsi="Arial"/>
      <w:sz w:val="24"/>
      <w:lang w:eastAsia="en-US"/>
    </w:rPr>
  </w:style>
  <w:style w:type="paragraph" w:customStyle="1" w:styleId="Jurisdictioncommentsheading">
    <w:name w:val="Jurisdiction comments heading"/>
    <w:rsid w:val="0001512C"/>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01512C"/>
    <w:pPr>
      <w:numPr>
        <w:numId w:val="4"/>
      </w:numPr>
      <w:spacing w:after="140"/>
      <w:jc w:val="both"/>
    </w:pPr>
    <w:rPr>
      <w:rFonts w:ascii="Arial" w:hAnsi="Arial"/>
      <w:sz w:val="24"/>
      <w:lang w:eastAsia="en-US"/>
    </w:rPr>
  </w:style>
  <w:style w:type="character" w:customStyle="1" w:styleId="JurisdictioncommentslistbulletChar">
    <w:name w:val="Jurisdiction comments list bullet Char"/>
    <w:link w:val="Jurisdictioncommentslistbullet"/>
    <w:rsid w:val="001F39F2"/>
    <w:rPr>
      <w:rFonts w:ascii="Arial" w:hAnsi="Arial"/>
      <w:sz w:val="24"/>
      <w:lang w:eastAsia="en-US"/>
    </w:rPr>
  </w:style>
  <w:style w:type="paragraph" w:styleId="ListBullet">
    <w:name w:val="List Bullet"/>
    <w:basedOn w:val="BodyText"/>
    <w:link w:val="ListBulletChar"/>
    <w:rsid w:val="0001512C"/>
    <w:pPr>
      <w:numPr>
        <w:numId w:val="5"/>
      </w:numPr>
      <w:spacing w:before="120"/>
    </w:pPr>
  </w:style>
  <w:style w:type="character" w:customStyle="1" w:styleId="ListBulletChar">
    <w:name w:val="List Bullet Char"/>
    <w:link w:val="ListBullet"/>
    <w:rsid w:val="001F39F2"/>
    <w:rPr>
      <w:sz w:val="24"/>
    </w:rPr>
  </w:style>
  <w:style w:type="paragraph" w:styleId="ListBullet2">
    <w:name w:val="List Bullet 2"/>
    <w:basedOn w:val="BodyText"/>
    <w:rsid w:val="0001512C"/>
    <w:pPr>
      <w:numPr>
        <w:numId w:val="6"/>
      </w:numPr>
      <w:spacing w:before="120"/>
    </w:pPr>
  </w:style>
  <w:style w:type="paragraph" w:styleId="ListBullet3">
    <w:name w:val="List Bullet 3"/>
    <w:basedOn w:val="BodyText"/>
    <w:rsid w:val="0001512C"/>
    <w:pPr>
      <w:numPr>
        <w:numId w:val="7"/>
      </w:numPr>
      <w:spacing w:before="120"/>
      <w:ind w:left="1020" w:hanging="340"/>
    </w:pPr>
  </w:style>
  <w:style w:type="paragraph" w:styleId="ListNumber">
    <w:name w:val="List Number"/>
    <w:basedOn w:val="BodyText"/>
    <w:rsid w:val="0001512C"/>
    <w:pPr>
      <w:numPr>
        <w:numId w:val="13"/>
      </w:numPr>
      <w:spacing w:before="120"/>
    </w:pPr>
  </w:style>
  <w:style w:type="paragraph" w:styleId="ListNumber2">
    <w:name w:val="List Number 2"/>
    <w:basedOn w:val="ListNumber"/>
    <w:rsid w:val="0001512C"/>
    <w:pPr>
      <w:numPr>
        <w:ilvl w:val="1"/>
      </w:numPr>
    </w:pPr>
  </w:style>
  <w:style w:type="paragraph" w:styleId="ListNumber3">
    <w:name w:val="List Number 3"/>
    <w:basedOn w:val="ListNumber2"/>
    <w:rsid w:val="0001512C"/>
    <w:pPr>
      <w:numPr>
        <w:ilvl w:val="2"/>
      </w:numPr>
    </w:pPr>
  </w:style>
  <w:style w:type="character" w:customStyle="1" w:styleId="NoteLabel">
    <w:name w:val="Note Label"/>
    <w:basedOn w:val="DefaultParagraphFont"/>
    <w:rsid w:val="0001512C"/>
    <w:rPr>
      <w:rFonts w:ascii="Arial" w:hAnsi="Arial"/>
      <w:b/>
      <w:position w:val="6"/>
      <w:sz w:val="18"/>
    </w:rPr>
  </w:style>
  <w:style w:type="paragraph" w:customStyle="1" w:styleId="PartDivider">
    <w:name w:val="Part Divider"/>
    <w:basedOn w:val="BodyText"/>
    <w:next w:val="BodyText"/>
    <w:semiHidden/>
    <w:rsid w:val="0001512C"/>
    <w:pPr>
      <w:spacing w:before="0" w:line="40" w:lineRule="exact"/>
      <w:jc w:val="right"/>
    </w:pPr>
    <w:rPr>
      <w:smallCaps/>
      <w:sz w:val="16"/>
    </w:rPr>
  </w:style>
  <w:style w:type="paragraph" w:customStyle="1" w:styleId="PartNumber">
    <w:name w:val="Part Number"/>
    <w:basedOn w:val="BodyText"/>
    <w:next w:val="BodyText"/>
    <w:semiHidden/>
    <w:rsid w:val="0001512C"/>
    <w:pPr>
      <w:spacing w:before="4000" w:line="320" w:lineRule="exact"/>
      <w:ind w:left="6634"/>
      <w:jc w:val="right"/>
    </w:pPr>
    <w:rPr>
      <w:smallCaps/>
      <w:spacing w:val="60"/>
      <w:sz w:val="32"/>
    </w:rPr>
  </w:style>
  <w:style w:type="paragraph" w:customStyle="1" w:styleId="PartTitle">
    <w:name w:val="Part Title"/>
    <w:basedOn w:val="BodyText"/>
    <w:semiHidden/>
    <w:rsid w:val="0001512C"/>
    <w:pPr>
      <w:spacing w:before="160" w:after="1360" w:line="520" w:lineRule="exact"/>
      <w:ind w:right="2381"/>
      <w:jc w:val="right"/>
    </w:pPr>
    <w:rPr>
      <w:smallCaps/>
      <w:sz w:val="52"/>
    </w:rPr>
  </w:style>
  <w:style w:type="paragraph" w:styleId="Quote">
    <w:name w:val="Quote"/>
    <w:basedOn w:val="BodyText"/>
    <w:next w:val="BodyText"/>
    <w:qFormat/>
    <w:rsid w:val="0001512C"/>
    <w:pPr>
      <w:spacing w:before="120" w:line="280" w:lineRule="exact"/>
      <w:ind w:left="340"/>
    </w:pPr>
    <w:rPr>
      <w:sz w:val="22"/>
    </w:rPr>
  </w:style>
  <w:style w:type="paragraph" w:customStyle="1" w:styleId="QuoteBullet">
    <w:name w:val="Quote Bullet"/>
    <w:basedOn w:val="Quote"/>
    <w:rsid w:val="0001512C"/>
    <w:pPr>
      <w:numPr>
        <w:numId w:val="8"/>
      </w:numPr>
    </w:pPr>
  </w:style>
  <w:style w:type="paragraph" w:customStyle="1" w:styleId="Rec">
    <w:name w:val="Rec"/>
    <w:basedOn w:val="BodyText"/>
    <w:qFormat/>
    <w:rsid w:val="0001512C"/>
    <w:pPr>
      <w:keepLines/>
      <w:spacing w:before="120" w:line="280" w:lineRule="atLeast"/>
    </w:pPr>
    <w:rPr>
      <w:rFonts w:ascii="Arial" w:hAnsi="Arial"/>
      <w:sz w:val="22"/>
    </w:rPr>
  </w:style>
  <w:style w:type="paragraph" w:customStyle="1" w:styleId="RecBullet">
    <w:name w:val="Rec Bullet"/>
    <w:basedOn w:val="Rec"/>
    <w:rsid w:val="0001512C"/>
    <w:pPr>
      <w:numPr>
        <w:numId w:val="9"/>
      </w:numPr>
      <w:spacing w:before="80"/>
    </w:pPr>
  </w:style>
  <w:style w:type="paragraph" w:customStyle="1" w:styleId="RecB">
    <w:name w:val="RecB"/>
    <w:basedOn w:val="Normal"/>
    <w:rsid w:val="0001512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1512C"/>
    <w:pPr>
      <w:numPr>
        <w:numId w:val="10"/>
      </w:numPr>
      <w:spacing w:before="80"/>
    </w:pPr>
  </w:style>
  <w:style w:type="paragraph" w:customStyle="1" w:styleId="RecBNoTitle">
    <w:name w:val="RecB NoTitle"/>
    <w:basedOn w:val="RecB"/>
    <w:rsid w:val="0001512C"/>
    <w:pPr>
      <w:spacing w:before="240"/>
    </w:pPr>
  </w:style>
  <w:style w:type="paragraph" w:customStyle="1" w:styleId="Reference">
    <w:name w:val="Reference"/>
    <w:basedOn w:val="BodyText"/>
    <w:rsid w:val="0001512C"/>
    <w:pPr>
      <w:spacing w:before="120"/>
      <w:ind w:left="340" w:hanging="340"/>
    </w:pPr>
  </w:style>
  <w:style w:type="paragraph" w:customStyle="1" w:styleId="SequenceInfo">
    <w:name w:val="Sequence Info"/>
    <w:basedOn w:val="BodyText"/>
    <w:semiHidden/>
    <w:rsid w:val="0001512C"/>
    <w:rPr>
      <w:vanish/>
      <w:sz w:val="16"/>
    </w:rPr>
  </w:style>
  <w:style w:type="paragraph" w:customStyle="1" w:styleId="SideNote">
    <w:name w:val="Side Note"/>
    <w:basedOn w:val="BodyText"/>
    <w:next w:val="BodyText"/>
    <w:semiHidden/>
    <w:rsid w:val="0001512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512C"/>
    <w:pPr>
      <w:framePr w:wrap="around"/>
      <w:numPr>
        <w:numId w:val="11"/>
      </w:numPr>
      <w:tabs>
        <w:tab w:val="left" w:pos="227"/>
      </w:tabs>
    </w:pPr>
  </w:style>
  <w:style w:type="paragraph" w:customStyle="1" w:styleId="SideNoteGraphic">
    <w:name w:val="Side Note Graphic"/>
    <w:basedOn w:val="SideNote"/>
    <w:next w:val="BodyText"/>
    <w:semiHidden/>
    <w:rsid w:val="0001512C"/>
    <w:pPr>
      <w:framePr w:wrap="around"/>
    </w:pPr>
  </w:style>
  <w:style w:type="paragraph" w:customStyle="1" w:styleId="TableBodyText">
    <w:name w:val="Table Body Text"/>
    <w:basedOn w:val="BodyText"/>
    <w:link w:val="TableBodyTextChar"/>
    <w:rsid w:val="0001512C"/>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rsid w:val="001F39F2"/>
    <w:rPr>
      <w:rFonts w:ascii="Arial" w:hAnsi="Arial"/>
      <w:sz w:val="18"/>
    </w:rPr>
  </w:style>
  <w:style w:type="paragraph" w:customStyle="1" w:styleId="TableBullet">
    <w:name w:val="Table Bullet"/>
    <w:basedOn w:val="TableBodyText"/>
    <w:rsid w:val="0001512C"/>
    <w:pPr>
      <w:numPr>
        <w:numId w:val="12"/>
      </w:numPr>
      <w:jc w:val="left"/>
    </w:pPr>
  </w:style>
  <w:style w:type="paragraph" w:customStyle="1" w:styleId="TableColumnHeading">
    <w:name w:val="Table Column Heading"/>
    <w:basedOn w:val="TableBodyText"/>
    <w:link w:val="TableColumnHeadingChar"/>
    <w:rsid w:val="0001512C"/>
    <w:pPr>
      <w:spacing w:before="80" w:after="80"/>
    </w:pPr>
    <w:rPr>
      <w:i/>
    </w:rPr>
  </w:style>
  <w:style w:type="character" w:customStyle="1" w:styleId="TableColumnHeadingChar">
    <w:name w:val="Table Column Heading Char"/>
    <w:basedOn w:val="TableBodyTextChar"/>
    <w:link w:val="TableColumnHeading"/>
    <w:rsid w:val="005E1D0C"/>
    <w:rPr>
      <w:rFonts w:ascii="Arial" w:hAnsi="Arial"/>
      <w:i/>
      <w:sz w:val="18"/>
    </w:rPr>
  </w:style>
  <w:style w:type="paragraph" w:styleId="TOC2">
    <w:name w:val="toc 2"/>
    <w:basedOn w:val="TOC1"/>
    <w:rsid w:val="0001512C"/>
    <w:pPr>
      <w:ind w:left="1134" w:hanging="624"/>
    </w:pPr>
    <w:rPr>
      <w:b w:val="0"/>
    </w:rPr>
  </w:style>
  <w:style w:type="paragraph" w:styleId="TOC3">
    <w:name w:val="toc 3"/>
    <w:basedOn w:val="TOC2"/>
    <w:rsid w:val="0001512C"/>
    <w:pPr>
      <w:spacing w:before="60"/>
      <w:ind w:left="1190" w:hanging="680"/>
    </w:pPr>
  </w:style>
  <w:style w:type="paragraph" w:styleId="TableofFigures">
    <w:name w:val="table of figures"/>
    <w:basedOn w:val="TOC3"/>
    <w:next w:val="BodyText"/>
    <w:semiHidden/>
    <w:rsid w:val="0001512C"/>
    <w:pPr>
      <w:ind w:left="737" w:hanging="737"/>
    </w:pPr>
  </w:style>
  <w:style w:type="paragraph" w:customStyle="1" w:styleId="TableTitle">
    <w:name w:val="Table Title"/>
    <w:basedOn w:val="Caption"/>
    <w:next w:val="Subtitle"/>
    <w:link w:val="TableTitleChar"/>
    <w:qFormat/>
    <w:rsid w:val="0001512C"/>
    <w:pPr>
      <w:spacing w:before="120"/>
    </w:pPr>
  </w:style>
  <w:style w:type="character" w:customStyle="1" w:styleId="TableTitleChar">
    <w:name w:val="Table Title Char"/>
    <w:basedOn w:val="DefaultParagraphFont"/>
    <w:link w:val="TableTitle"/>
    <w:rsid w:val="005E1D0C"/>
    <w:rPr>
      <w:rFonts w:ascii="Arial" w:hAnsi="Arial"/>
      <w:b/>
      <w:sz w:val="24"/>
      <w:szCs w:val="24"/>
    </w:rPr>
  </w:style>
  <w:style w:type="paragraph" w:customStyle="1" w:styleId="TableUnitsRow">
    <w:name w:val="Table Units Row"/>
    <w:basedOn w:val="TableBodyText"/>
    <w:rsid w:val="0001512C"/>
    <w:pPr>
      <w:spacing w:before="40"/>
    </w:pPr>
  </w:style>
  <w:style w:type="paragraph" w:styleId="TOC1">
    <w:name w:val="toc 1"/>
    <w:basedOn w:val="Normal"/>
    <w:next w:val="TOC2"/>
    <w:link w:val="TOC1Char"/>
    <w:rsid w:val="0001512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1512C"/>
    <w:pPr>
      <w:ind w:left="1191" w:firstLine="0"/>
    </w:pPr>
  </w:style>
  <w:style w:type="paragraph" w:customStyle="1" w:styleId="RecBBullet2">
    <w:name w:val="RecB Bullet 2"/>
    <w:basedOn w:val="ListBullet2"/>
    <w:rsid w:val="0001512C"/>
    <w:pPr>
      <w:pBdr>
        <w:left w:val="single" w:sz="24" w:space="29" w:color="C0C0C0"/>
      </w:pBdr>
    </w:pPr>
    <w:rPr>
      <w:b/>
      <w:i/>
    </w:rPr>
  </w:style>
  <w:style w:type="paragraph" w:styleId="BalloonText">
    <w:name w:val="Balloon Text"/>
    <w:basedOn w:val="Normal"/>
    <w:link w:val="BalloonTextChar"/>
    <w:rsid w:val="0001512C"/>
    <w:rPr>
      <w:rFonts w:ascii="Tahoma" w:hAnsi="Tahoma" w:cs="Tahoma"/>
      <w:sz w:val="16"/>
      <w:szCs w:val="16"/>
    </w:rPr>
  </w:style>
  <w:style w:type="character" w:customStyle="1" w:styleId="BalloonTextChar">
    <w:name w:val="Balloon Text Char"/>
    <w:basedOn w:val="DefaultParagraphFont"/>
    <w:link w:val="BalloonText"/>
    <w:rsid w:val="0001512C"/>
    <w:rPr>
      <w:rFonts w:ascii="Tahoma" w:hAnsi="Tahoma" w:cs="Tahoma"/>
      <w:sz w:val="16"/>
      <w:szCs w:val="16"/>
    </w:rPr>
  </w:style>
  <w:style w:type="paragraph" w:customStyle="1" w:styleId="BoxListBullet3">
    <w:name w:val="Box List Bullet 3"/>
    <w:basedOn w:val="ListBullet3"/>
    <w:rsid w:val="0001512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512C"/>
    <w:rPr>
      <w:i/>
      <w:iCs/>
    </w:rPr>
  </w:style>
  <w:style w:type="paragraph" w:customStyle="1" w:styleId="SOC">
    <w:name w:val="SOC"/>
    <w:basedOn w:val="Normal"/>
    <w:rsid w:val="001F39F2"/>
    <w:pPr>
      <w:spacing w:after="140"/>
      <w:jc w:val="both"/>
    </w:pPr>
    <w:rPr>
      <w:rFonts w:ascii="Arial" w:hAnsi="Arial"/>
      <w:szCs w:val="20"/>
    </w:rPr>
  </w:style>
  <w:style w:type="character" w:styleId="Hyperlink">
    <w:name w:val="Hyperlink"/>
    <w:uiPriority w:val="99"/>
    <w:rsid w:val="001F39F2"/>
    <w:rPr>
      <w:color w:val="0000FF"/>
      <w:u w:val="single"/>
    </w:rPr>
  </w:style>
  <w:style w:type="table" w:styleId="TableGrid">
    <w:name w:val="Table Grid"/>
    <w:basedOn w:val="TableNormal"/>
    <w:rsid w:val="00015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1F39F2"/>
    <w:rPr>
      <w:b/>
      <w:bCs/>
    </w:rPr>
  </w:style>
  <w:style w:type="paragraph" w:customStyle="1" w:styleId="DocInfo">
    <w:name w:val="Doc Info"/>
    <w:basedOn w:val="Normal"/>
    <w:next w:val="Normal"/>
    <w:rsid w:val="001F39F2"/>
    <w:pPr>
      <w:jc w:val="center"/>
    </w:pPr>
    <w:rPr>
      <w:rFonts w:ascii="Arial" w:hAnsi="Arial"/>
      <w:sz w:val="14"/>
    </w:rPr>
  </w:style>
  <w:style w:type="paragraph" w:customStyle="1" w:styleId="Heading2NotTOC">
    <w:name w:val="Heading 2 Not TOC"/>
    <w:basedOn w:val="Heading2"/>
    <w:next w:val="Normal"/>
    <w:rsid w:val="001F39F2"/>
    <w:pPr>
      <w:outlineLvl w:val="9"/>
    </w:pPr>
  </w:style>
  <w:style w:type="paragraph" w:customStyle="1" w:styleId="TableFigText">
    <w:name w:val="Table/Fig: Text"/>
    <w:basedOn w:val="Normal"/>
    <w:link w:val="TableFigTextChar"/>
    <w:rsid w:val="001F39F2"/>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1F39F2"/>
    <w:rPr>
      <w:rFonts w:ascii="Arial" w:hAnsi="Arial"/>
      <w:color w:val="000000"/>
      <w:sz w:val="16"/>
      <w:lang w:eastAsia="en-US"/>
    </w:rPr>
  </w:style>
  <w:style w:type="table" w:styleId="Table3Deffects1">
    <w:name w:val="Table 3D effects 1"/>
    <w:basedOn w:val="TableNormal"/>
    <w:rsid w:val="001F39F2"/>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1F39F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F39F2"/>
    <w:rPr>
      <w:rFonts w:ascii="Tahoma" w:hAnsi="Tahoma" w:cs="Tahoma"/>
      <w:shd w:val="clear" w:color="auto" w:fill="000080"/>
    </w:rPr>
  </w:style>
  <w:style w:type="paragraph" w:customStyle="1" w:styleId="Pa1">
    <w:name w:val="Pa1"/>
    <w:basedOn w:val="Normal"/>
    <w:next w:val="Normal"/>
    <w:rsid w:val="001F39F2"/>
    <w:pPr>
      <w:autoSpaceDE w:val="0"/>
      <w:autoSpaceDN w:val="0"/>
      <w:adjustRightInd w:val="0"/>
      <w:spacing w:line="241" w:lineRule="atLeast"/>
    </w:pPr>
    <w:rPr>
      <w:rFonts w:ascii="Arial" w:hAnsi="Arial"/>
    </w:rPr>
  </w:style>
  <w:style w:type="paragraph" w:styleId="CommentSubject">
    <w:name w:val="annotation subject"/>
    <w:basedOn w:val="CommentText"/>
    <w:next w:val="CommentText"/>
    <w:link w:val="CommentSubjectChar"/>
    <w:rsid w:val="001F39F2"/>
    <w:pPr>
      <w:spacing w:before="0" w:line="240" w:lineRule="auto"/>
      <w:ind w:left="0" w:firstLine="0"/>
    </w:pPr>
    <w:rPr>
      <w:b/>
      <w:bCs/>
      <w:szCs w:val="20"/>
    </w:rPr>
  </w:style>
  <w:style w:type="character" w:customStyle="1" w:styleId="CommentSubjectChar">
    <w:name w:val="Comment Subject Char"/>
    <w:basedOn w:val="CommentTextChar"/>
    <w:link w:val="CommentSubject"/>
    <w:rsid w:val="001F39F2"/>
    <w:rPr>
      <w:b/>
      <w:bCs/>
      <w:szCs w:val="24"/>
    </w:rPr>
  </w:style>
  <w:style w:type="paragraph" w:customStyle="1" w:styleId="BoxQuoteBullet">
    <w:name w:val="Box Quote Bullet"/>
    <w:basedOn w:val="BoxQuote"/>
    <w:next w:val="Box"/>
    <w:rsid w:val="0001512C"/>
    <w:pPr>
      <w:numPr>
        <w:numId w:val="15"/>
      </w:numPr>
      <w:ind w:left="568" w:hanging="284"/>
    </w:pPr>
  </w:style>
  <w:style w:type="paragraph" w:customStyle="1" w:styleId="InformationRequestBullet">
    <w:name w:val="Information Request Bullet"/>
    <w:basedOn w:val="ListBullet"/>
    <w:next w:val="BodyText"/>
    <w:rsid w:val="0001512C"/>
    <w:pPr>
      <w:numPr>
        <w:numId w:val="16"/>
      </w:numPr>
      <w:spacing w:before="80" w:line="280" w:lineRule="atLeast"/>
      <w:ind w:left="357" w:hanging="357"/>
    </w:pPr>
    <w:rPr>
      <w:rFonts w:ascii="Arial" w:hAnsi="Arial"/>
      <w:i/>
      <w:sz w:val="22"/>
    </w:rPr>
  </w:style>
  <w:style w:type="paragraph" w:styleId="NormalWeb">
    <w:name w:val="Normal (Web)"/>
    <w:basedOn w:val="Normal"/>
    <w:uiPriority w:val="99"/>
    <w:unhideWhenUsed/>
    <w:rsid w:val="00710693"/>
    <w:pPr>
      <w:spacing w:before="100" w:beforeAutospacing="1" w:after="100" w:afterAutospacing="1"/>
    </w:pPr>
  </w:style>
  <w:style w:type="paragraph" w:styleId="Revision">
    <w:name w:val="Revision"/>
    <w:hidden/>
    <w:uiPriority w:val="99"/>
    <w:semiHidden/>
    <w:rsid w:val="00FD1608"/>
    <w:rPr>
      <w:sz w:val="26"/>
      <w:szCs w:val="24"/>
    </w:rPr>
  </w:style>
  <w:style w:type="paragraph" w:customStyle="1" w:styleId="BoxSpaceAbove">
    <w:name w:val="Box Space Above"/>
    <w:basedOn w:val="BodyText"/>
    <w:rsid w:val="0001512C"/>
    <w:pPr>
      <w:keepNext/>
      <w:spacing w:before="360" w:line="80" w:lineRule="exact"/>
      <w:jc w:val="left"/>
    </w:pPr>
  </w:style>
  <w:style w:type="paragraph" w:customStyle="1" w:styleId="BoxSpaceBelow">
    <w:name w:val="Box Space Below"/>
    <w:basedOn w:val="Box"/>
    <w:rsid w:val="0001512C"/>
    <w:pPr>
      <w:keepNext w:val="0"/>
      <w:spacing w:before="60" w:after="60" w:line="80" w:lineRule="exact"/>
    </w:pPr>
    <w:rPr>
      <w:sz w:val="14"/>
    </w:rPr>
  </w:style>
  <w:style w:type="paragraph" w:styleId="List">
    <w:name w:val="List"/>
    <w:basedOn w:val="Normal"/>
    <w:rsid w:val="0054638E"/>
    <w:pPr>
      <w:ind w:left="283" w:hanging="283"/>
      <w:contextualSpacing/>
    </w:pPr>
  </w:style>
  <w:style w:type="paragraph" w:customStyle="1" w:styleId="AIHWbodytext">
    <w:name w:val="AIHW body text"/>
    <w:basedOn w:val="Normal"/>
    <w:link w:val="AIHWbodytextChar"/>
    <w:qFormat/>
    <w:rsid w:val="009730EC"/>
    <w:pPr>
      <w:spacing w:before="60" w:after="120" w:line="260" w:lineRule="atLeast"/>
    </w:pPr>
    <w:rPr>
      <w:rFonts w:ascii="Book Antiqua" w:hAnsi="Book Antiqua"/>
      <w:sz w:val="22"/>
      <w:szCs w:val="20"/>
      <w:lang w:eastAsia="en-US"/>
    </w:rPr>
  </w:style>
  <w:style w:type="paragraph" w:customStyle="1" w:styleId="Bullet1">
    <w:name w:val="Bullet 1"/>
    <w:basedOn w:val="AIHWbodytext"/>
    <w:link w:val="Bullet1Char"/>
    <w:uiPriority w:val="2"/>
    <w:qFormat/>
    <w:rsid w:val="009730EC"/>
    <w:pPr>
      <w:numPr>
        <w:numId w:val="18"/>
      </w:numPr>
      <w:spacing w:before="40" w:after="80"/>
    </w:pPr>
  </w:style>
  <w:style w:type="character" w:customStyle="1" w:styleId="AIHWbodytextChar">
    <w:name w:val="AIHW body text Char"/>
    <w:link w:val="AIHWbodytext"/>
    <w:locked/>
    <w:rsid w:val="009730EC"/>
    <w:rPr>
      <w:rFonts w:ascii="Book Antiqua" w:hAnsi="Book Antiqua"/>
      <w:sz w:val="22"/>
      <w:lang w:eastAsia="en-US"/>
    </w:rPr>
  </w:style>
  <w:style w:type="paragraph" w:customStyle="1" w:styleId="AIHWbodytextintable">
    <w:name w:val="AIHW body text in table"/>
    <w:basedOn w:val="AIHWbodytext"/>
    <w:next w:val="AIHWbodytext"/>
    <w:rsid w:val="009730EC"/>
    <w:pPr>
      <w:spacing w:before="80" w:after="80"/>
    </w:pPr>
  </w:style>
  <w:style w:type="character" w:customStyle="1" w:styleId="Bullet1Char">
    <w:name w:val="Bullet 1 Char"/>
    <w:link w:val="Bullet1"/>
    <w:rsid w:val="009730EC"/>
    <w:rPr>
      <w:rFonts w:ascii="Book Antiqua" w:hAnsi="Book Antiqua"/>
      <w:sz w:val="22"/>
      <w:lang w:eastAsia="en-US"/>
    </w:rPr>
  </w:style>
  <w:style w:type="paragraph" w:styleId="ListParagraph">
    <w:name w:val="List Paragraph"/>
    <w:basedOn w:val="Normal"/>
    <w:qFormat/>
    <w:rsid w:val="000F215F"/>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DB6DCF"/>
    <w:pPr>
      <w:autoSpaceDE w:val="0"/>
      <w:autoSpaceDN w:val="0"/>
      <w:adjustRightInd w:val="0"/>
    </w:pPr>
    <w:rPr>
      <w:rFonts w:eastAsiaTheme="minorHAnsi"/>
      <w:color w:val="000000"/>
      <w:sz w:val="24"/>
      <w:szCs w:val="24"/>
      <w:lang w:eastAsia="en-US"/>
    </w:rPr>
  </w:style>
  <w:style w:type="paragraph" w:customStyle="1" w:styleId="KeyPointsListBullet">
    <w:name w:val="Key Points List Bullet"/>
    <w:basedOn w:val="Normal"/>
    <w:qFormat/>
    <w:rsid w:val="0001512C"/>
    <w:pPr>
      <w:keepNext/>
      <w:numPr>
        <w:numId w:val="5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512C"/>
    <w:pPr>
      <w:numPr>
        <w:numId w:val="51"/>
      </w:numPr>
      <w:ind w:left="568" w:hanging="284"/>
    </w:pPr>
  </w:style>
  <w:style w:type="paragraph" w:customStyle="1" w:styleId="InformationRequestTitle">
    <w:name w:val="Information Request Title"/>
    <w:basedOn w:val="FindingTitle"/>
    <w:next w:val="InformationRequest"/>
    <w:rsid w:val="0001512C"/>
    <w:rPr>
      <w:i/>
    </w:rPr>
  </w:style>
  <w:style w:type="paragraph" w:customStyle="1" w:styleId="Space">
    <w:name w:val="Space"/>
    <w:basedOn w:val="Normal"/>
    <w:rsid w:val="0001512C"/>
    <w:pPr>
      <w:keepNext/>
      <w:spacing w:line="120" w:lineRule="exact"/>
      <w:jc w:val="both"/>
    </w:pPr>
    <w:rPr>
      <w:rFonts w:ascii="Arial" w:hAnsi="Arial"/>
      <w:sz w:val="20"/>
      <w:szCs w:val="20"/>
    </w:rPr>
  </w:style>
  <w:style w:type="paragraph" w:customStyle="1" w:styleId="Heading1nochapterno">
    <w:name w:val="Heading 1 (no chapter no.)"/>
    <w:basedOn w:val="Heading1"/>
    <w:rsid w:val="0001512C"/>
    <w:pPr>
      <w:spacing w:before="0"/>
      <w:ind w:left="0" w:firstLine="0"/>
    </w:pPr>
  </w:style>
  <w:style w:type="paragraph" w:customStyle="1" w:styleId="Heading2nosectionno">
    <w:name w:val="Heading 2 (no section no.)"/>
    <w:basedOn w:val="Heading2"/>
    <w:rsid w:val="0001512C"/>
    <w:pPr>
      <w:ind w:left="0" w:firstLine="0"/>
    </w:pPr>
  </w:style>
  <w:style w:type="character" w:customStyle="1" w:styleId="Heading5Char">
    <w:name w:val="Heading 5 Char"/>
    <w:basedOn w:val="DefaultParagraphFont"/>
    <w:link w:val="Heading5"/>
    <w:rsid w:val="0001512C"/>
    <w:rPr>
      <w:rFonts w:ascii="Arial" w:hAnsi="Arial"/>
      <w:i/>
      <w:sz w:val="22"/>
    </w:rPr>
  </w:style>
  <w:style w:type="paragraph" w:customStyle="1" w:styleId="Figurespace">
    <w:name w:val="Figure space"/>
    <w:basedOn w:val="Box"/>
    <w:rsid w:val="0001512C"/>
    <w:pPr>
      <w:spacing w:before="0" w:line="120" w:lineRule="exact"/>
    </w:pPr>
  </w:style>
  <w:style w:type="paragraph" w:customStyle="1" w:styleId="FooterDraftReport">
    <w:name w:val="FooterDraftReport"/>
    <w:basedOn w:val="Footer"/>
    <w:link w:val="FooterDraftReportChar"/>
    <w:rsid w:val="0001512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1512C"/>
    <w:rPr>
      <w:rFonts w:ascii="Arial" w:hAnsi="Arial"/>
      <w:caps/>
      <w:spacing w:val="-4"/>
      <w:sz w:val="16"/>
    </w:rPr>
  </w:style>
  <w:style w:type="character" w:customStyle="1" w:styleId="FooterDraftReportChar">
    <w:name w:val="FooterDraftReport Char"/>
    <w:basedOn w:val="FooterChar"/>
    <w:link w:val="FooterDraftReport"/>
    <w:rsid w:val="0001512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1512C"/>
    <w:rPr>
      <w:rFonts w:ascii="Arial" w:hAnsi="Arial"/>
      <w:b/>
      <w:sz w:val="26"/>
      <w:szCs w:val="26"/>
      <w:lang w:eastAsia="en-US"/>
    </w:rPr>
  </w:style>
  <w:style w:type="paragraph" w:customStyle="1" w:styleId="Heading1NotTOC">
    <w:name w:val="Heading 1 Not TOC"/>
    <w:basedOn w:val="Heading1"/>
    <w:next w:val="BodyText"/>
    <w:rsid w:val="00391CC7"/>
    <w:rPr>
      <w:kern w:val="28"/>
      <w:szCs w:val="26"/>
      <w:lang w:eastAsia="en-US"/>
    </w:rPr>
  </w:style>
  <w:style w:type="character" w:customStyle="1" w:styleId="FootnoteTextChar">
    <w:name w:val="Footnote Text Char"/>
    <w:basedOn w:val="DefaultParagraphFont"/>
    <w:link w:val="FootnoteText"/>
    <w:rsid w:val="00A11584"/>
  </w:style>
  <w:style w:type="character" w:customStyle="1" w:styleId="ARitalic">
    <w:name w:val="AR italic"/>
    <w:basedOn w:val="DefaultParagraphFont"/>
    <w:rsid w:val="000F1274"/>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2890">
      <w:bodyDiv w:val="1"/>
      <w:marLeft w:val="0"/>
      <w:marRight w:val="0"/>
      <w:marTop w:val="0"/>
      <w:marBottom w:val="0"/>
      <w:divBdr>
        <w:top w:val="none" w:sz="0" w:space="0" w:color="auto"/>
        <w:left w:val="none" w:sz="0" w:space="0" w:color="auto"/>
        <w:bottom w:val="none" w:sz="0" w:space="0" w:color="auto"/>
        <w:right w:val="none" w:sz="0" w:space="0" w:color="auto"/>
      </w:divBdr>
      <w:divsChild>
        <w:div w:id="2087340224">
          <w:marLeft w:val="0"/>
          <w:marRight w:val="0"/>
          <w:marTop w:val="0"/>
          <w:marBottom w:val="0"/>
          <w:divBdr>
            <w:top w:val="none" w:sz="0" w:space="0" w:color="auto"/>
            <w:left w:val="none" w:sz="0" w:space="0" w:color="auto"/>
            <w:bottom w:val="none" w:sz="0" w:space="0" w:color="auto"/>
            <w:right w:val="none" w:sz="0" w:space="0" w:color="auto"/>
          </w:divBdr>
          <w:divsChild>
            <w:div w:id="274555027">
              <w:marLeft w:val="0"/>
              <w:marRight w:val="0"/>
              <w:marTop w:val="0"/>
              <w:marBottom w:val="0"/>
              <w:divBdr>
                <w:top w:val="none" w:sz="0" w:space="0" w:color="auto"/>
                <w:left w:val="none" w:sz="0" w:space="0" w:color="auto"/>
                <w:bottom w:val="none" w:sz="0" w:space="0" w:color="auto"/>
                <w:right w:val="none" w:sz="0" w:space="0" w:color="auto"/>
              </w:divBdr>
              <w:divsChild>
                <w:div w:id="6865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925831">
      <w:bodyDiv w:val="1"/>
      <w:marLeft w:val="0"/>
      <w:marRight w:val="0"/>
      <w:marTop w:val="0"/>
      <w:marBottom w:val="0"/>
      <w:divBdr>
        <w:top w:val="none" w:sz="0" w:space="0" w:color="auto"/>
        <w:left w:val="none" w:sz="0" w:space="0" w:color="auto"/>
        <w:bottom w:val="none" w:sz="0" w:space="0" w:color="auto"/>
        <w:right w:val="none" w:sz="0" w:space="0" w:color="auto"/>
      </w:divBdr>
      <w:divsChild>
        <w:div w:id="2031686484">
          <w:marLeft w:val="0"/>
          <w:marRight w:val="0"/>
          <w:marTop w:val="0"/>
          <w:marBottom w:val="0"/>
          <w:divBdr>
            <w:top w:val="none" w:sz="0" w:space="0" w:color="auto"/>
            <w:left w:val="none" w:sz="0" w:space="0" w:color="auto"/>
            <w:bottom w:val="none" w:sz="0" w:space="0" w:color="auto"/>
            <w:right w:val="none" w:sz="0" w:space="0" w:color="auto"/>
          </w:divBdr>
          <w:divsChild>
            <w:div w:id="772167586">
              <w:marLeft w:val="0"/>
              <w:marRight w:val="0"/>
              <w:marTop w:val="0"/>
              <w:marBottom w:val="0"/>
              <w:divBdr>
                <w:top w:val="none" w:sz="0" w:space="0" w:color="auto"/>
                <w:left w:val="none" w:sz="0" w:space="0" w:color="auto"/>
                <w:bottom w:val="none" w:sz="0" w:space="0" w:color="auto"/>
                <w:right w:val="none" w:sz="0" w:space="0" w:color="auto"/>
              </w:divBdr>
              <w:divsChild>
                <w:div w:id="67852279">
                  <w:marLeft w:val="0"/>
                  <w:marRight w:val="0"/>
                  <w:marTop w:val="0"/>
                  <w:marBottom w:val="0"/>
                  <w:divBdr>
                    <w:top w:val="none" w:sz="0" w:space="0" w:color="auto"/>
                    <w:left w:val="none" w:sz="0" w:space="0" w:color="auto"/>
                    <w:bottom w:val="none" w:sz="0" w:space="0" w:color="auto"/>
                    <w:right w:val="none" w:sz="0" w:space="0" w:color="auto"/>
                  </w:divBdr>
                  <w:divsChild>
                    <w:div w:id="1608728831">
                      <w:marLeft w:val="0"/>
                      <w:marRight w:val="0"/>
                      <w:marTop w:val="0"/>
                      <w:marBottom w:val="0"/>
                      <w:divBdr>
                        <w:top w:val="none" w:sz="0" w:space="0" w:color="auto"/>
                        <w:left w:val="none" w:sz="0" w:space="0" w:color="auto"/>
                        <w:bottom w:val="none" w:sz="0" w:space="0" w:color="auto"/>
                        <w:right w:val="none" w:sz="0" w:space="0" w:color="auto"/>
                      </w:divBdr>
                      <w:divsChild>
                        <w:div w:id="2137483414">
                          <w:marLeft w:val="0"/>
                          <w:marRight w:val="0"/>
                          <w:marTop w:val="0"/>
                          <w:marBottom w:val="0"/>
                          <w:divBdr>
                            <w:top w:val="none" w:sz="0" w:space="0" w:color="auto"/>
                            <w:left w:val="none" w:sz="0" w:space="0" w:color="auto"/>
                            <w:bottom w:val="none" w:sz="0" w:space="0" w:color="auto"/>
                            <w:right w:val="none" w:sz="0" w:space="0" w:color="auto"/>
                          </w:divBdr>
                          <w:divsChild>
                            <w:div w:id="282613075">
                              <w:marLeft w:val="0"/>
                              <w:marRight w:val="0"/>
                              <w:marTop w:val="0"/>
                              <w:marBottom w:val="0"/>
                              <w:divBdr>
                                <w:top w:val="none" w:sz="0" w:space="0" w:color="auto"/>
                                <w:left w:val="none" w:sz="0" w:space="0" w:color="auto"/>
                                <w:bottom w:val="none" w:sz="0" w:space="0" w:color="auto"/>
                                <w:right w:val="none" w:sz="0" w:space="0" w:color="auto"/>
                              </w:divBdr>
                              <w:divsChild>
                                <w:div w:id="542865670">
                                  <w:marLeft w:val="0"/>
                                  <w:marRight w:val="0"/>
                                  <w:marTop w:val="0"/>
                                  <w:marBottom w:val="0"/>
                                  <w:divBdr>
                                    <w:top w:val="none" w:sz="0" w:space="0" w:color="auto"/>
                                    <w:left w:val="none" w:sz="0" w:space="0" w:color="auto"/>
                                    <w:bottom w:val="none" w:sz="0" w:space="0" w:color="auto"/>
                                    <w:right w:val="none" w:sz="0" w:space="0" w:color="auto"/>
                                  </w:divBdr>
                                  <w:divsChild>
                                    <w:div w:id="783769998">
                                      <w:marLeft w:val="0"/>
                                      <w:marRight w:val="0"/>
                                      <w:marTop w:val="0"/>
                                      <w:marBottom w:val="0"/>
                                      <w:divBdr>
                                        <w:top w:val="none" w:sz="0" w:space="0" w:color="auto"/>
                                        <w:left w:val="none" w:sz="0" w:space="0" w:color="auto"/>
                                        <w:bottom w:val="none" w:sz="0" w:space="0" w:color="auto"/>
                                        <w:right w:val="none" w:sz="0" w:space="0" w:color="auto"/>
                                      </w:divBdr>
                                      <w:divsChild>
                                        <w:div w:id="1743064586">
                                          <w:marLeft w:val="0"/>
                                          <w:marRight w:val="0"/>
                                          <w:marTop w:val="0"/>
                                          <w:marBottom w:val="0"/>
                                          <w:divBdr>
                                            <w:top w:val="none" w:sz="0" w:space="0" w:color="auto"/>
                                            <w:left w:val="none" w:sz="0" w:space="0" w:color="auto"/>
                                            <w:bottom w:val="none" w:sz="0" w:space="0" w:color="auto"/>
                                            <w:right w:val="none" w:sz="0" w:space="0" w:color="auto"/>
                                          </w:divBdr>
                                          <w:divsChild>
                                            <w:div w:id="6229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8047434">
      <w:bodyDiv w:val="1"/>
      <w:marLeft w:val="0"/>
      <w:marRight w:val="0"/>
      <w:marTop w:val="0"/>
      <w:marBottom w:val="0"/>
      <w:divBdr>
        <w:top w:val="none" w:sz="0" w:space="0" w:color="auto"/>
        <w:left w:val="none" w:sz="0" w:space="0" w:color="auto"/>
        <w:bottom w:val="none" w:sz="0" w:space="0" w:color="auto"/>
        <w:right w:val="none" w:sz="0" w:space="0" w:color="auto"/>
      </w:divBdr>
      <w:divsChild>
        <w:div w:id="1857116494">
          <w:marLeft w:val="0"/>
          <w:marRight w:val="0"/>
          <w:marTop w:val="0"/>
          <w:marBottom w:val="0"/>
          <w:divBdr>
            <w:top w:val="none" w:sz="0" w:space="0" w:color="auto"/>
            <w:left w:val="none" w:sz="0" w:space="0" w:color="auto"/>
            <w:bottom w:val="none" w:sz="0" w:space="0" w:color="auto"/>
            <w:right w:val="none" w:sz="0" w:space="0" w:color="auto"/>
          </w:divBdr>
          <w:divsChild>
            <w:div w:id="1005791024">
              <w:marLeft w:val="0"/>
              <w:marRight w:val="0"/>
              <w:marTop w:val="0"/>
              <w:marBottom w:val="0"/>
              <w:divBdr>
                <w:top w:val="none" w:sz="0" w:space="0" w:color="auto"/>
                <w:left w:val="none" w:sz="0" w:space="0" w:color="auto"/>
                <w:bottom w:val="none" w:sz="0" w:space="0" w:color="auto"/>
                <w:right w:val="none" w:sz="0" w:space="0" w:color="auto"/>
              </w:divBdr>
              <w:divsChild>
                <w:div w:id="5367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822737">
      <w:bodyDiv w:val="1"/>
      <w:marLeft w:val="0"/>
      <w:marRight w:val="0"/>
      <w:marTop w:val="0"/>
      <w:marBottom w:val="0"/>
      <w:divBdr>
        <w:top w:val="none" w:sz="0" w:space="0" w:color="auto"/>
        <w:left w:val="none" w:sz="0" w:space="0" w:color="auto"/>
        <w:bottom w:val="none" w:sz="0" w:space="0" w:color="auto"/>
        <w:right w:val="none" w:sz="0" w:space="0" w:color="auto"/>
      </w:divBdr>
    </w:div>
    <w:div w:id="401611212">
      <w:bodyDiv w:val="1"/>
      <w:marLeft w:val="0"/>
      <w:marRight w:val="0"/>
      <w:marTop w:val="0"/>
      <w:marBottom w:val="0"/>
      <w:divBdr>
        <w:top w:val="none" w:sz="0" w:space="0" w:color="auto"/>
        <w:left w:val="none" w:sz="0" w:space="0" w:color="auto"/>
        <w:bottom w:val="none" w:sz="0" w:space="0" w:color="auto"/>
        <w:right w:val="none" w:sz="0" w:space="0" w:color="auto"/>
      </w:divBdr>
    </w:div>
    <w:div w:id="490102270">
      <w:bodyDiv w:val="1"/>
      <w:marLeft w:val="0"/>
      <w:marRight w:val="0"/>
      <w:marTop w:val="0"/>
      <w:marBottom w:val="0"/>
      <w:divBdr>
        <w:top w:val="none" w:sz="0" w:space="0" w:color="auto"/>
        <w:left w:val="none" w:sz="0" w:space="0" w:color="auto"/>
        <w:bottom w:val="none" w:sz="0" w:space="0" w:color="auto"/>
        <w:right w:val="none" w:sz="0" w:space="0" w:color="auto"/>
      </w:divBdr>
    </w:div>
    <w:div w:id="521356022">
      <w:bodyDiv w:val="1"/>
      <w:marLeft w:val="0"/>
      <w:marRight w:val="0"/>
      <w:marTop w:val="0"/>
      <w:marBottom w:val="0"/>
      <w:divBdr>
        <w:top w:val="none" w:sz="0" w:space="0" w:color="auto"/>
        <w:left w:val="none" w:sz="0" w:space="0" w:color="auto"/>
        <w:bottom w:val="none" w:sz="0" w:space="0" w:color="auto"/>
        <w:right w:val="none" w:sz="0" w:space="0" w:color="auto"/>
      </w:divBdr>
    </w:div>
    <w:div w:id="543442032">
      <w:bodyDiv w:val="1"/>
      <w:marLeft w:val="0"/>
      <w:marRight w:val="0"/>
      <w:marTop w:val="0"/>
      <w:marBottom w:val="0"/>
      <w:divBdr>
        <w:top w:val="none" w:sz="0" w:space="0" w:color="auto"/>
        <w:left w:val="none" w:sz="0" w:space="0" w:color="auto"/>
        <w:bottom w:val="none" w:sz="0" w:space="0" w:color="auto"/>
        <w:right w:val="none" w:sz="0" w:space="0" w:color="auto"/>
      </w:divBdr>
      <w:divsChild>
        <w:div w:id="456528751">
          <w:marLeft w:val="0"/>
          <w:marRight w:val="0"/>
          <w:marTop w:val="0"/>
          <w:marBottom w:val="0"/>
          <w:divBdr>
            <w:top w:val="none" w:sz="0" w:space="0" w:color="auto"/>
            <w:left w:val="none" w:sz="0" w:space="0" w:color="auto"/>
            <w:bottom w:val="none" w:sz="0" w:space="0" w:color="auto"/>
            <w:right w:val="none" w:sz="0" w:space="0" w:color="auto"/>
          </w:divBdr>
          <w:divsChild>
            <w:div w:id="39012778">
              <w:marLeft w:val="0"/>
              <w:marRight w:val="0"/>
              <w:marTop w:val="0"/>
              <w:marBottom w:val="0"/>
              <w:divBdr>
                <w:top w:val="none" w:sz="0" w:space="0" w:color="auto"/>
                <w:left w:val="none" w:sz="0" w:space="0" w:color="auto"/>
                <w:bottom w:val="none" w:sz="0" w:space="0" w:color="auto"/>
                <w:right w:val="none" w:sz="0" w:space="0" w:color="auto"/>
              </w:divBdr>
              <w:divsChild>
                <w:div w:id="5207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621411">
      <w:bodyDiv w:val="1"/>
      <w:marLeft w:val="0"/>
      <w:marRight w:val="0"/>
      <w:marTop w:val="0"/>
      <w:marBottom w:val="0"/>
      <w:divBdr>
        <w:top w:val="none" w:sz="0" w:space="0" w:color="auto"/>
        <w:left w:val="none" w:sz="0" w:space="0" w:color="auto"/>
        <w:bottom w:val="none" w:sz="0" w:space="0" w:color="auto"/>
        <w:right w:val="none" w:sz="0" w:space="0" w:color="auto"/>
      </w:divBdr>
    </w:div>
    <w:div w:id="779303377">
      <w:bodyDiv w:val="1"/>
      <w:marLeft w:val="0"/>
      <w:marRight w:val="0"/>
      <w:marTop w:val="0"/>
      <w:marBottom w:val="0"/>
      <w:divBdr>
        <w:top w:val="none" w:sz="0" w:space="0" w:color="auto"/>
        <w:left w:val="none" w:sz="0" w:space="0" w:color="auto"/>
        <w:bottom w:val="none" w:sz="0" w:space="0" w:color="auto"/>
        <w:right w:val="none" w:sz="0" w:space="0" w:color="auto"/>
      </w:divBdr>
    </w:div>
    <w:div w:id="869412116">
      <w:bodyDiv w:val="1"/>
      <w:marLeft w:val="0"/>
      <w:marRight w:val="0"/>
      <w:marTop w:val="0"/>
      <w:marBottom w:val="0"/>
      <w:divBdr>
        <w:top w:val="none" w:sz="0" w:space="0" w:color="auto"/>
        <w:left w:val="none" w:sz="0" w:space="0" w:color="auto"/>
        <w:bottom w:val="none" w:sz="0" w:space="0" w:color="auto"/>
        <w:right w:val="none" w:sz="0" w:space="0" w:color="auto"/>
      </w:divBdr>
      <w:divsChild>
        <w:div w:id="1705131851">
          <w:marLeft w:val="0"/>
          <w:marRight w:val="0"/>
          <w:marTop w:val="0"/>
          <w:marBottom w:val="0"/>
          <w:divBdr>
            <w:top w:val="none" w:sz="0" w:space="0" w:color="auto"/>
            <w:left w:val="none" w:sz="0" w:space="0" w:color="auto"/>
            <w:bottom w:val="none" w:sz="0" w:space="0" w:color="auto"/>
            <w:right w:val="none" w:sz="0" w:space="0" w:color="auto"/>
          </w:divBdr>
          <w:divsChild>
            <w:div w:id="707031144">
              <w:marLeft w:val="0"/>
              <w:marRight w:val="0"/>
              <w:marTop w:val="0"/>
              <w:marBottom w:val="0"/>
              <w:divBdr>
                <w:top w:val="none" w:sz="0" w:space="0" w:color="auto"/>
                <w:left w:val="none" w:sz="0" w:space="0" w:color="auto"/>
                <w:bottom w:val="none" w:sz="0" w:space="0" w:color="auto"/>
                <w:right w:val="none" w:sz="0" w:space="0" w:color="auto"/>
              </w:divBdr>
              <w:divsChild>
                <w:div w:id="169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19728">
      <w:bodyDiv w:val="1"/>
      <w:marLeft w:val="0"/>
      <w:marRight w:val="0"/>
      <w:marTop w:val="0"/>
      <w:marBottom w:val="0"/>
      <w:divBdr>
        <w:top w:val="none" w:sz="0" w:space="0" w:color="auto"/>
        <w:left w:val="none" w:sz="0" w:space="0" w:color="auto"/>
        <w:bottom w:val="none" w:sz="0" w:space="0" w:color="auto"/>
        <w:right w:val="none" w:sz="0" w:space="0" w:color="auto"/>
      </w:divBdr>
    </w:div>
    <w:div w:id="999501768">
      <w:bodyDiv w:val="1"/>
      <w:marLeft w:val="0"/>
      <w:marRight w:val="0"/>
      <w:marTop w:val="0"/>
      <w:marBottom w:val="0"/>
      <w:divBdr>
        <w:top w:val="none" w:sz="0" w:space="0" w:color="auto"/>
        <w:left w:val="none" w:sz="0" w:space="0" w:color="auto"/>
        <w:bottom w:val="none" w:sz="0" w:space="0" w:color="auto"/>
        <w:right w:val="none" w:sz="0" w:space="0" w:color="auto"/>
      </w:divBdr>
    </w:div>
    <w:div w:id="1056276155">
      <w:bodyDiv w:val="1"/>
      <w:marLeft w:val="0"/>
      <w:marRight w:val="0"/>
      <w:marTop w:val="0"/>
      <w:marBottom w:val="0"/>
      <w:divBdr>
        <w:top w:val="none" w:sz="0" w:space="0" w:color="auto"/>
        <w:left w:val="none" w:sz="0" w:space="0" w:color="auto"/>
        <w:bottom w:val="none" w:sz="0" w:space="0" w:color="auto"/>
        <w:right w:val="none" w:sz="0" w:space="0" w:color="auto"/>
      </w:divBdr>
      <w:divsChild>
        <w:div w:id="71707556">
          <w:marLeft w:val="0"/>
          <w:marRight w:val="0"/>
          <w:marTop w:val="0"/>
          <w:marBottom w:val="0"/>
          <w:divBdr>
            <w:top w:val="none" w:sz="0" w:space="0" w:color="auto"/>
            <w:left w:val="none" w:sz="0" w:space="0" w:color="auto"/>
            <w:bottom w:val="none" w:sz="0" w:space="0" w:color="auto"/>
            <w:right w:val="none" w:sz="0" w:space="0" w:color="auto"/>
          </w:divBdr>
          <w:divsChild>
            <w:div w:id="1021005553">
              <w:marLeft w:val="0"/>
              <w:marRight w:val="0"/>
              <w:marTop w:val="0"/>
              <w:marBottom w:val="0"/>
              <w:divBdr>
                <w:top w:val="none" w:sz="0" w:space="0" w:color="auto"/>
                <w:left w:val="none" w:sz="0" w:space="0" w:color="auto"/>
                <w:bottom w:val="none" w:sz="0" w:space="0" w:color="auto"/>
                <w:right w:val="none" w:sz="0" w:space="0" w:color="auto"/>
              </w:divBdr>
              <w:divsChild>
                <w:div w:id="45626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289150">
      <w:bodyDiv w:val="1"/>
      <w:marLeft w:val="0"/>
      <w:marRight w:val="0"/>
      <w:marTop w:val="0"/>
      <w:marBottom w:val="0"/>
      <w:divBdr>
        <w:top w:val="none" w:sz="0" w:space="0" w:color="auto"/>
        <w:left w:val="none" w:sz="0" w:space="0" w:color="auto"/>
        <w:bottom w:val="none" w:sz="0" w:space="0" w:color="auto"/>
        <w:right w:val="none" w:sz="0" w:space="0" w:color="auto"/>
      </w:divBdr>
    </w:div>
    <w:div w:id="1069958052">
      <w:bodyDiv w:val="1"/>
      <w:marLeft w:val="0"/>
      <w:marRight w:val="0"/>
      <w:marTop w:val="0"/>
      <w:marBottom w:val="0"/>
      <w:divBdr>
        <w:top w:val="none" w:sz="0" w:space="0" w:color="auto"/>
        <w:left w:val="none" w:sz="0" w:space="0" w:color="auto"/>
        <w:bottom w:val="none" w:sz="0" w:space="0" w:color="auto"/>
        <w:right w:val="none" w:sz="0" w:space="0" w:color="auto"/>
      </w:divBdr>
      <w:divsChild>
        <w:div w:id="842545294">
          <w:marLeft w:val="0"/>
          <w:marRight w:val="0"/>
          <w:marTop w:val="0"/>
          <w:marBottom w:val="0"/>
          <w:divBdr>
            <w:top w:val="none" w:sz="0" w:space="0" w:color="auto"/>
            <w:left w:val="none" w:sz="0" w:space="0" w:color="auto"/>
            <w:bottom w:val="none" w:sz="0" w:space="0" w:color="auto"/>
            <w:right w:val="none" w:sz="0" w:space="0" w:color="auto"/>
          </w:divBdr>
          <w:divsChild>
            <w:div w:id="1541163872">
              <w:marLeft w:val="0"/>
              <w:marRight w:val="0"/>
              <w:marTop w:val="0"/>
              <w:marBottom w:val="0"/>
              <w:divBdr>
                <w:top w:val="none" w:sz="0" w:space="0" w:color="auto"/>
                <w:left w:val="none" w:sz="0" w:space="0" w:color="auto"/>
                <w:bottom w:val="none" w:sz="0" w:space="0" w:color="auto"/>
                <w:right w:val="none" w:sz="0" w:space="0" w:color="auto"/>
              </w:divBdr>
              <w:divsChild>
                <w:div w:id="116662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76624">
      <w:bodyDiv w:val="1"/>
      <w:marLeft w:val="0"/>
      <w:marRight w:val="0"/>
      <w:marTop w:val="0"/>
      <w:marBottom w:val="0"/>
      <w:divBdr>
        <w:top w:val="none" w:sz="0" w:space="0" w:color="auto"/>
        <w:left w:val="none" w:sz="0" w:space="0" w:color="auto"/>
        <w:bottom w:val="none" w:sz="0" w:space="0" w:color="auto"/>
        <w:right w:val="none" w:sz="0" w:space="0" w:color="auto"/>
      </w:divBdr>
    </w:div>
    <w:div w:id="1193761252">
      <w:bodyDiv w:val="1"/>
      <w:marLeft w:val="0"/>
      <w:marRight w:val="0"/>
      <w:marTop w:val="0"/>
      <w:marBottom w:val="0"/>
      <w:divBdr>
        <w:top w:val="none" w:sz="0" w:space="0" w:color="auto"/>
        <w:left w:val="none" w:sz="0" w:space="0" w:color="auto"/>
        <w:bottom w:val="none" w:sz="0" w:space="0" w:color="auto"/>
        <w:right w:val="none" w:sz="0" w:space="0" w:color="auto"/>
      </w:divBdr>
    </w:div>
    <w:div w:id="1329287201">
      <w:bodyDiv w:val="1"/>
      <w:marLeft w:val="0"/>
      <w:marRight w:val="0"/>
      <w:marTop w:val="0"/>
      <w:marBottom w:val="0"/>
      <w:divBdr>
        <w:top w:val="none" w:sz="0" w:space="0" w:color="auto"/>
        <w:left w:val="none" w:sz="0" w:space="0" w:color="auto"/>
        <w:bottom w:val="none" w:sz="0" w:space="0" w:color="auto"/>
        <w:right w:val="none" w:sz="0" w:space="0" w:color="auto"/>
      </w:divBdr>
    </w:div>
    <w:div w:id="1364474490">
      <w:bodyDiv w:val="1"/>
      <w:marLeft w:val="0"/>
      <w:marRight w:val="0"/>
      <w:marTop w:val="0"/>
      <w:marBottom w:val="0"/>
      <w:divBdr>
        <w:top w:val="none" w:sz="0" w:space="0" w:color="auto"/>
        <w:left w:val="none" w:sz="0" w:space="0" w:color="auto"/>
        <w:bottom w:val="none" w:sz="0" w:space="0" w:color="auto"/>
        <w:right w:val="none" w:sz="0" w:space="0" w:color="auto"/>
      </w:divBdr>
      <w:divsChild>
        <w:div w:id="1427729858">
          <w:marLeft w:val="0"/>
          <w:marRight w:val="0"/>
          <w:marTop w:val="0"/>
          <w:marBottom w:val="0"/>
          <w:divBdr>
            <w:top w:val="none" w:sz="0" w:space="0" w:color="auto"/>
            <w:left w:val="none" w:sz="0" w:space="0" w:color="auto"/>
            <w:bottom w:val="none" w:sz="0" w:space="0" w:color="auto"/>
            <w:right w:val="none" w:sz="0" w:space="0" w:color="auto"/>
          </w:divBdr>
          <w:divsChild>
            <w:div w:id="1792897344">
              <w:marLeft w:val="0"/>
              <w:marRight w:val="0"/>
              <w:marTop w:val="0"/>
              <w:marBottom w:val="0"/>
              <w:divBdr>
                <w:top w:val="none" w:sz="0" w:space="0" w:color="auto"/>
                <w:left w:val="none" w:sz="0" w:space="0" w:color="auto"/>
                <w:bottom w:val="none" w:sz="0" w:space="0" w:color="auto"/>
                <w:right w:val="none" w:sz="0" w:space="0" w:color="auto"/>
              </w:divBdr>
              <w:divsChild>
                <w:div w:id="72529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18838">
      <w:bodyDiv w:val="1"/>
      <w:marLeft w:val="0"/>
      <w:marRight w:val="0"/>
      <w:marTop w:val="0"/>
      <w:marBottom w:val="0"/>
      <w:divBdr>
        <w:top w:val="none" w:sz="0" w:space="0" w:color="auto"/>
        <w:left w:val="none" w:sz="0" w:space="0" w:color="auto"/>
        <w:bottom w:val="none" w:sz="0" w:space="0" w:color="auto"/>
        <w:right w:val="none" w:sz="0" w:space="0" w:color="auto"/>
      </w:divBdr>
    </w:div>
    <w:div w:id="1490899804">
      <w:bodyDiv w:val="1"/>
      <w:marLeft w:val="0"/>
      <w:marRight w:val="0"/>
      <w:marTop w:val="0"/>
      <w:marBottom w:val="0"/>
      <w:divBdr>
        <w:top w:val="none" w:sz="0" w:space="0" w:color="auto"/>
        <w:left w:val="none" w:sz="0" w:space="0" w:color="auto"/>
        <w:bottom w:val="none" w:sz="0" w:space="0" w:color="auto"/>
        <w:right w:val="none" w:sz="0" w:space="0" w:color="auto"/>
      </w:divBdr>
    </w:div>
    <w:div w:id="1538003131">
      <w:bodyDiv w:val="1"/>
      <w:marLeft w:val="0"/>
      <w:marRight w:val="0"/>
      <w:marTop w:val="0"/>
      <w:marBottom w:val="0"/>
      <w:divBdr>
        <w:top w:val="none" w:sz="0" w:space="0" w:color="auto"/>
        <w:left w:val="none" w:sz="0" w:space="0" w:color="auto"/>
        <w:bottom w:val="none" w:sz="0" w:space="0" w:color="auto"/>
        <w:right w:val="none" w:sz="0" w:space="0" w:color="auto"/>
      </w:divBdr>
      <w:divsChild>
        <w:div w:id="179973242">
          <w:marLeft w:val="0"/>
          <w:marRight w:val="0"/>
          <w:marTop w:val="0"/>
          <w:marBottom w:val="0"/>
          <w:divBdr>
            <w:top w:val="none" w:sz="0" w:space="0" w:color="auto"/>
            <w:left w:val="none" w:sz="0" w:space="0" w:color="auto"/>
            <w:bottom w:val="none" w:sz="0" w:space="0" w:color="auto"/>
            <w:right w:val="none" w:sz="0" w:space="0" w:color="auto"/>
          </w:divBdr>
          <w:divsChild>
            <w:div w:id="1760298104">
              <w:marLeft w:val="195"/>
              <w:marRight w:val="0"/>
              <w:marTop w:val="0"/>
              <w:marBottom w:val="0"/>
              <w:divBdr>
                <w:top w:val="none" w:sz="0" w:space="0" w:color="auto"/>
                <w:left w:val="none" w:sz="0" w:space="0" w:color="auto"/>
                <w:bottom w:val="none" w:sz="0" w:space="0" w:color="auto"/>
                <w:right w:val="none" w:sz="0" w:space="0" w:color="auto"/>
              </w:divBdr>
              <w:divsChild>
                <w:div w:id="772671361">
                  <w:marLeft w:val="0"/>
                  <w:marRight w:val="0"/>
                  <w:marTop w:val="0"/>
                  <w:marBottom w:val="0"/>
                  <w:divBdr>
                    <w:top w:val="none" w:sz="0" w:space="0" w:color="auto"/>
                    <w:left w:val="none" w:sz="0" w:space="0" w:color="auto"/>
                    <w:bottom w:val="none" w:sz="0" w:space="0" w:color="auto"/>
                    <w:right w:val="none" w:sz="0" w:space="0" w:color="auto"/>
                  </w:divBdr>
                  <w:divsChild>
                    <w:div w:id="182080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999967">
      <w:bodyDiv w:val="1"/>
      <w:marLeft w:val="0"/>
      <w:marRight w:val="0"/>
      <w:marTop w:val="0"/>
      <w:marBottom w:val="0"/>
      <w:divBdr>
        <w:top w:val="none" w:sz="0" w:space="0" w:color="auto"/>
        <w:left w:val="none" w:sz="0" w:space="0" w:color="auto"/>
        <w:bottom w:val="none" w:sz="0" w:space="0" w:color="auto"/>
        <w:right w:val="none" w:sz="0" w:space="0" w:color="auto"/>
      </w:divBdr>
      <w:divsChild>
        <w:div w:id="1134954622">
          <w:marLeft w:val="0"/>
          <w:marRight w:val="0"/>
          <w:marTop w:val="0"/>
          <w:marBottom w:val="0"/>
          <w:divBdr>
            <w:top w:val="none" w:sz="0" w:space="0" w:color="auto"/>
            <w:left w:val="none" w:sz="0" w:space="0" w:color="auto"/>
            <w:bottom w:val="none" w:sz="0" w:space="0" w:color="auto"/>
            <w:right w:val="none" w:sz="0" w:space="0" w:color="auto"/>
          </w:divBdr>
          <w:divsChild>
            <w:div w:id="1384062813">
              <w:marLeft w:val="0"/>
              <w:marRight w:val="0"/>
              <w:marTop w:val="0"/>
              <w:marBottom w:val="0"/>
              <w:divBdr>
                <w:top w:val="none" w:sz="0" w:space="0" w:color="auto"/>
                <w:left w:val="none" w:sz="0" w:space="0" w:color="auto"/>
                <w:bottom w:val="none" w:sz="0" w:space="0" w:color="auto"/>
                <w:right w:val="none" w:sz="0" w:space="0" w:color="auto"/>
              </w:divBdr>
              <w:divsChild>
                <w:div w:id="80985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885246">
      <w:bodyDiv w:val="1"/>
      <w:marLeft w:val="0"/>
      <w:marRight w:val="0"/>
      <w:marTop w:val="0"/>
      <w:marBottom w:val="0"/>
      <w:divBdr>
        <w:top w:val="none" w:sz="0" w:space="0" w:color="auto"/>
        <w:left w:val="none" w:sz="0" w:space="0" w:color="auto"/>
        <w:bottom w:val="none" w:sz="0" w:space="0" w:color="auto"/>
        <w:right w:val="none" w:sz="0" w:space="0" w:color="auto"/>
      </w:divBdr>
    </w:div>
    <w:div w:id="1789738068">
      <w:bodyDiv w:val="1"/>
      <w:marLeft w:val="0"/>
      <w:marRight w:val="0"/>
      <w:marTop w:val="0"/>
      <w:marBottom w:val="0"/>
      <w:divBdr>
        <w:top w:val="none" w:sz="0" w:space="0" w:color="auto"/>
        <w:left w:val="none" w:sz="0" w:space="0" w:color="auto"/>
        <w:bottom w:val="none" w:sz="0" w:space="0" w:color="auto"/>
        <w:right w:val="none" w:sz="0" w:space="0" w:color="auto"/>
      </w:divBdr>
      <w:divsChild>
        <w:div w:id="1779980464">
          <w:marLeft w:val="0"/>
          <w:marRight w:val="0"/>
          <w:marTop w:val="0"/>
          <w:marBottom w:val="0"/>
          <w:divBdr>
            <w:top w:val="none" w:sz="0" w:space="0" w:color="auto"/>
            <w:left w:val="none" w:sz="0" w:space="0" w:color="auto"/>
            <w:bottom w:val="none" w:sz="0" w:space="0" w:color="auto"/>
            <w:right w:val="none" w:sz="0" w:space="0" w:color="auto"/>
          </w:divBdr>
          <w:divsChild>
            <w:div w:id="1466585019">
              <w:marLeft w:val="0"/>
              <w:marRight w:val="0"/>
              <w:marTop w:val="0"/>
              <w:marBottom w:val="0"/>
              <w:divBdr>
                <w:top w:val="none" w:sz="0" w:space="0" w:color="auto"/>
                <w:left w:val="none" w:sz="0" w:space="0" w:color="auto"/>
                <w:bottom w:val="none" w:sz="0" w:space="0" w:color="auto"/>
                <w:right w:val="none" w:sz="0" w:space="0" w:color="auto"/>
              </w:divBdr>
              <w:divsChild>
                <w:div w:id="13048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8514">
      <w:bodyDiv w:val="1"/>
      <w:marLeft w:val="0"/>
      <w:marRight w:val="0"/>
      <w:marTop w:val="0"/>
      <w:marBottom w:val="0"/>
      <w:divBdr>
        <w:top w:val="none" w:sz="0" w:space="0" w:color="auto"/>
        <w:left w:val="none" w:sz="0" w:space="0" w:color="auto"/>
        <w:bottom w:val="none" w:sz="0" w:space="0" w:color="auto"/>
        <w:right w:val="none" w:sz="0" w:space="0" w:color="auto"/>
      </w:divBdr>
    </w:div>
    <w:div w:id="1855878722">
      <w:bodyDiv w:val="1"/>
      <w:marLeft w:val="0"/>
      <w:marRight w:val="0"/>
      <w:marTop w:val="0"/>
      <w:marBottom w:val="0"/>
      <w:divBdr>
        <w:top w:val="none" w:sz="0" w:space="0" w:color="auto"/>
        <w:left w:val="none" w:sz="0" w:space="0" w:color="auto"/>
        <w:bottom w:val="none" w:sz="0" w:space="0" w:color="auto"/>
        <w:right w:val="none" w:sz="0" w:space="0" w:color="auto"/>
      </w:divBdr>
    </w:div>
    <w:div w:id="1866744895">
      <w:bodyDiv w:val="1"/>
      <w:marLeft w:val="0"/>
      <w:marRight w:val="0"/>
      <w:marTop w:val="0"/>
      <w:marBottom w:val="0"/>
      <w:divBdr>
        <w:top w:val="none" w:sz="0" w:space="0" w:color="auto"/>
        <w:left w:val="none" w:sz="0" w:space="0" w:color="auto"/>
        <w:bottom w:val="none" w:sz="0" w:space="0" w:color="auto"/>
        <w:right w:val="none" w:sz="0" w:space="0" w:color="auto"/>
      </w:divBdr>
      <w:divsChild>
        <w:div w:id="1783722191">
          <w:marLeft w:val="0"/>
          <w:marRight w:val="0"/>
          <w:marTop w:val="0"/>
          <w:marBottom w:val="0"/>
          <w:divBdr>
            <w:top w:val="none" w:sz="0" w:space="0" w:color="auto"/>
            <w:left w:val="none" w:sz="0" w:space="0" w:color="auto"/>
            <w:bottom w:val="none" w:sz="0" w:space="0" w:color="auto"/>
            <w:right w:val="none" w:sz="0" w:space="0" w:color="auto"/>
          </w:divBdr>
          <w:divsChild>
            <w:div w:id="1613825130">
              <w:marLeft w:val="0"/>
              <w:marRight w:val="0"/>
              <w:marTop w:val="0"/>
              <w:marBottom w:val="0"/>
              <w:divBdr>
                <w:top w:val="none" w:sz="0" w:space="0" w:color="auto"/>
                <w:left w:val="none" w:sz="0" w:space="0" w:color="auto"/>
                <w:bottom w:val="none" w:sz="0" w:space="0" w:color="auto"/>
                <w:right w:val="none" w:sz="0" w:space="0" w:color="auto"/>
              </w:divBdr>
              <w:divsChild>
                <w:div w:id="139546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07280">
      <w:bodyDiv w:val="1"/>
      <w:marLeft w:val="0"/>
      <w:marRight w:val="0"/>
      <w:marTop w:val="0"/>
      <w:marBottom w:val="0"/>
      <w:divBdr>
        <w:top w:val="none" w:sz="0" w:space="0" w:color="auto"/>
        <w:left w:val="none" w:sz="0" w:space="0" w:color="auto"/>
        <w:bottom w:val="none" w:sz="0" w:space="0" w:color="auto"/>
        <w:right w:val="none" w:sz="0" w:space="0" w:color="auto"/>
      </w:divBdr>
      <w:divsChild>
        <w:div w:id="811484671">
          <w:marLeft w:val="0"/>
          <w:marRight w:val="0"/>
          <w:marTop w:val="0"/>
          <w:marBottom w:val="0"/>
          <w:divBdr>
            <w:top w:val="none" w:sz="0" w:space="0" w:color="auto"/>
            <w:left w:val="none" w:sz="0" w:space="0" w:color="auto"/>
            <w:bottom w:val="none" w:sz="0" w:space="0" w:color="auto"/>
            <w:right w:val="none" w:sz="0" w:space="0" w:color="auto"/>
          </w:divBdr>
          <w:divsChild>
            <w:div w:id="1147286276">
              <w:marLeft w:val="0"/>
              <w:marRight w:val="0"/>
              <w:marTop w:val="0"/>
              <w:marBottom w:val="0"/>
              <w:divBdr>
                <w:top w:val="none" w:sz="0" w:space="0" w:color="auto"/>
                <w:left w:val="none" w:sz="0" w:space="0" w:color="auto"/>
                <w:bottom w:val="none" w:sz="0" w:space="0" w:color="auto"/>
                <w:right w:val="none" w:sz="0" w:space="0" w:color="auto"/>
              </w:divBdr>
              <w:divsChild>
                <w:div w:id="2294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2217">
      <w:bodyDiv w:val="1"/>
      <w:marLeft w:val="0"/>
      <w:marRight w:val="0"/>
      <w:marTop w:val="0"/>
      <w:marBottom w:val="0"/>
      <w:divBdr>
        <w:top w:val="none" w:sz="0" w:space="0" w:color="auto"/>
        <w:left w:val="none" w:sz="0" w:space="0" w:color="auto"/>
        <w:bottom w:val="none" w:sz="0" w:space="0" w:color="auto"/>
        <w:right w:val="none" w:sz="0" w:space="0" w:color="auto"/>
      </w:divBdr>
    </w:div>
    <w:div w:id="2144425853">
      <w:bodyDiv w:val="1"/>
      <w:marLeft w:val="0"/>
      <w:marRight w:val="0"/>
      <w:marTop w:val="0"/>
      <w:marBottom w:val="0"/>
      <w:divBdr>
        <w:top w:val="none" w:sz="0" w:space="0" w:color="auto"/>
        <w:left w:val="none" w:sz="0" w:space="0" w:color="auto"/>
        <w:bottom w:val="none" w:sz="0" w:space="0" w:color="auto"/>
        <w:right w:val="none" w:sz="0" w:space="0" w:color="auto"/>
      </w:divBdr>
      <w:divsChild>
        <w:div w:id="522597123">
          <w:marLeft w:val="0"/>
          <w:marRight w:val="0"/>
          <w:marTop w:val="0"/>
          <w:marBottom w:val="0"/>
          <w:divBdr>
            <w:top w:val="none" w:sz="0" w:space="0" w:color="auto"/>
            <w:left w:val="none" w:sz="0" w:space="0" w:color="auto"/>
            <w:bottom w:val="none" w:sz="0" w:space="0" w:color="auto"/>
            <w:right w:val="none" w:sz="0" w:space="0" w:color="auto"/>
          </w:divBdr>
          <w:divsChild>
            <w:div w:id="929583384">
              <w:marLeft w:val="0"/>
              <w:marRight w:val="0"/>
              <w:marTop w:val="0"/>
              <w:marBottom w:val="0"/>
              <w:divBdr>
                <w:top w:val="none" w:sz="0" w:space="0" w:color="auto"/>
                <w:left w:val="none" w:sz="0" w:space="0" w:color="auto"/>
                <w:bottom w:val="none" w:sz="0" w:space="0" w:color="auto"/>
                <w:right w:val="none" w:sz="0" w:space="0" w:color="auto"/>
              </w:divBdr>
              <w:divsChild>
                <w:div w:id="18342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30.emf"/><Relationship Id="rId21" Type="http://schemas.openxmlformats.org/officeDocument/2006/relationships/image" Target="media/image12.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image" Target="media/image41.emf"/><Relationship Id="rId55" Type="http://schemas.openxmlformats.org/officeDocument/2006/relationships/image" Target="media/image46.emf"/><Relationship Id="rId63" Type="http://schemas.openxmlformats.org/officeDocument/2006/relationships/image" Target="media/image54.emf"/><Relationship Id="rId68" Type="http://schemas.openxmlformats.org/officeDocument/2006/relationships/image" Target="media/image59.emf"/><Relationship Id="rId76"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image" Target="media/image62.emf"/><Relationship Id="rId2" Type="http://schemas.openxmlformats.org/officeDocument/2006/relationships/customXml" Target="../customXml/item2.xml"/><Relationship Id="rId16" Type="http://schemas.openxmlformats.org/officeDocument/2006/relationships/image" Target="media/image7.emf"/><Relationship Id="rId29" Type="http://schemas.openxmlformats.org/officeDocument/2006/relationships/image" Target="media/image20.emf"/><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3" Type="http://schemas.openxmlformats.org/officeDocument/2006/relationships/image" Target="media/image44.emf"/><Relationship Id="rId58" Type="http://schemas.openxmlformats.org/officeDocument/2006/relationships/image" Target="media/image49.emf"/><Relationship Id="rId66" Type="http://schemas.openxmlformats.org/officeDocument/2006/relationships/image" Target="media/image57.emf"/><Relationship Id="rId74" Type="http://schemas.openxmlformats.org/officeDocument/2006/relationships/image" Target="media/image65.emf"/><Relationship Id="rId79" Type="http://schemas.openxmlformats.org/officeDocument/2006/relationships/footer" Target="footer2.xml"/><Relationship Id="rId5" Type="http://schemas.microsoft.com/office/2007/relationships/stylesWithEffects" Target="stylesWithEffects.xml"/><Relationship Id="rId61" Type="http://schemas.openxmlformats.org/officeDocument/2006/relationships/image" Target="media/image52.emf"/><Relationship Id="rId10" Type="http://schemas.openxmlformats.org/officeDocument/2006/relationships/image" Target="media/image1.emf"/><Relationship Id="rId19" Type="http://schemas.openxmlformats.org/officeDocument/2006/relationships/image" Target="media/image10.emf"/><Relationship Id="rId31" Type="http://schemas.openxmlformats.org/officeDocument/2006/relationships/image" Target="media/image22.emf"/><Relationship Id="rId44" Type="http://schemas.openxmlformats.org/officeDocument/2006/relationships/image" Target="media/image35.emf"/><Relationship Id="rId52" Type="http://schemas.openxmlformats.org/officeDocument/2006/relationships/image" Target="media/image43.emf"/><Relationship Id="rId60" Type="http://schemas.openxmlformats.org/officeDocument/2006/relationships/image" Target="media/image51.emf"/><Relationship Id="rId65" Type="http://schemas.openxmlformats.org/officeDocument/2006/relationships/image" Target="media/image56.emf"/><Relationship Id="rId73" Type="http://schemas.openxmlformats.org/officeDocument/2006/relationships/image" Target="media/image64.emf"/><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image" Target="media/image39.emf"/><Relationship Id="rId56" Type="http://schemas.openxmlformats.org/officeDocument/2006/relationships/image" Target="media/image47.emf"/><Relationship Id="rId64" Type="http://schemas.openxmlformats.org/officeDocument/2006/relationships/image" Target="media/image55.emf"/><Relationship Id="rId69" Type="http://schemas.openxmlformats.org/officeDocument/2006/relationships/image" Target="media/image60.emf"/><Relationship Id="rId77"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image" Target="media/image42.emf"/><Relationship Id="rId72" Type="http://schemas.openxmlformats.org/officeDocument/2006/relationships/image" Target="media/image63.emf"/><Relationship Id="rId80"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59" Type="http://schemas.openxmlformats.org/officeDocument/2006/relationships/image" Target="media/image50.emf"/><Relationship Id="rId67" Type="http://schemas.openxmlformats.org/officeDocument/2006/relationships/image" Target="media/image58.emf"/><Relationship Id="rId20" Type="http://schemas.openxmlformats.org/officeDocument/2006/relationships/image" Target="media/image11.emf"/><Relationship Id="rId41" Type="http://schemas.openxmlformats.org/officeDocument/2006/relationships/image" Target="media/image32.emf"/><Relationship Id="rId54" Type="http://schemas.openxmlformats.org/officeDocument/2006/relationships/image" Target="media/image45.emf"/><Relationship Id="rId62" Type="http://schemas.openxmlformats.org/officeDocument/2006/relationships/image" Target="media/image53.emf"/><Relationship Id="rId70" Type="http://schemas.openxmlformats.org/officeDocument/2006/relationships/image" Target="media/image61.emf"/><Relationship Id="rId75" Type="http://schemas.openxmlformats.org/officeDocument/2006/relationships/image" Target="media/image6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7.emf"/><Relationship Id="rId49" Type="http://schemas.openxmlformats.org/officeDocument/2006/relationships/image" Target="media/image40.emf"/><Relationship Id="rId57" Type="http://schemas.openxmlformats.org/officeDocument/2006/relationships/image" Target="media/image48.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E319A-D399-4ADE-AE46-93B122C5E277}">
  <ds:schemaRefs>
    <ds:schemaRef ds:uri="http://schemas.openxmlformats.org/officeDocument/2006/bibliography"/>
  </ds:schemaRefs>
</ds:datastoreItem>
</file>

<file path=customXml/itemProps2.xml><?xml version="1.0" encoding="utf-8"?>
<ds:datastoreItem xmlns:ds="http://schemas.openxmlformats.org/officeDocument/2006/customXml" ds:itemID="{31333F40-672F-4480-B411-CC953700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846</TotalTime>
  <Pages>84</Pages>
  <Words>26186</Words>
  <Characters>151225</Characters>
  <Application>Microsoft Office Word</Application>
  <DocSecurity>0</DocSecurity>
  <Lines>1260</Lines>
  <Paragraphs>354</Paragraphs>
  <ScaleCrop>false</ScaleCrop>
  <HeadingPairs>
    <vt:vector size="2" baseType="variant">
      <vt:variant>
        <vt:lpstr>Title</vt:lpstr>
      </vt:variant>
      <vt:variant>
        <vt:i4>1</vt:i4>
      </vt:variant>
    </vt:vector>
  </HeadingPairs>
  <TitlesOfParts>
    <vt:vector size="1" baseType="lpstr">
      <vt:lpstr>Chapter 14 Services for people with disability - Report on Government Services 2016</vt:lpstr>
    </vt:vector>
  </TitlesOfParts>
  <Company>Productivity Commission</Company>
  <LinksUpToDate>false</LinksUpToDate>
  <CharactersWithSpaces>177057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Services for people with disability - Report on Government Services 2016</dc:title>
  <dc:creator>Steering Committee for the Review of Government Service Provision</dc:creator>
  <cp:lastModifiedBy>Frech, Tanya</cp:lastModifiedBy>
  <cp:revision>40</cp:revision>
  <cp:lastPrinted>2016-01-11T22:33:00Z</cp:lastPrinted>
  <dcterms:created xsi:type="dcterms:W3CDTF">2015-11-29T23:52:00Z</dcterms:created>
  <dcterms:modified xsi:type="dcterms:W3CDTF">2016-01-11T22:33:00Z</dcterms:modified>
</cp:coreProperties>
</file>